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A0ECA" w14:textId="77777777" w:rsidR="00F2361B" w:rsidRDefault="00F2361B" w:rsidP="00F2361B">
      <w:pPr>
        <w:rPr>
          <w:rFonts w:cs="Calibri"/>
          <w:color w:val="FF0000"/>
        </w:rPr>
      </w:pPr>
      <w:bookmarkStart w:id="0" w:name="_Toc207957905"/>
      <w:bookmarkStart w:id="1" w:name="_Toc380746195"/>
      <w:bookmarkStart w:id="2" w:name="_Toc380746321"/>
      <w:bookmarkStart w:id="3" w:name="_Toc380746602"/>
    </w:p>
    <w:p w14:paraId="50DB1212" w14:textId="76EBA7F1" w:rsidR="00F2361B" w:rsidRPr="00F2361B" w:rsidRDefault="00F2361B" w:rsidP="00F2361B">
      <w:pPr>
        <w:rPr>
          <w:rFonts w:cs="Calibri"/>
          <w:color w:val="FF0000"/>
        </w:rPr>
      </w:pPr>
      <w:r>
        <w:rPr>
          <w:rFonts w:cs="Calibri"/>
          <w:color w:val="FF0000"/>
        </w:rPr>
        <w:t xml:space="preserve">An addendum </w:t>
      </w:r>
      <w:r w:rsidRPr="00F2361B">
        <w:rPr>
          <w:rFonts w:cs="Calibri"/>
          <w:color w:val="FF0000"/>
        </w:rPr>
        <w:t>to this Public Summary Document has been included at the end of the document.</w:t>
      </w:r>
    </w:p>
    <w:p w14:paraId="69A9F986" w14:textId="796FCB66" w:rsidR="00346E2F" w:rsidRPr="00A55C25" w:rsidRDefault="00577D83" w:rsidP="00346E2F">
      <w:pPr>
        <w:pStyle w:val="1-MainHeading"/>
      </w:pPr>
      <w:r w:rsidRPr="00A55C25">
        <w:t>6</w:t>
      </w:r>
      <w:r w:rsidR="00346E2F" w:rsidRPr="00A55C25">
        <w:t>.</w:t>
      </w:r>
      <w:r w:rsidRPr="00A55C25">
        <w:t>01</w:t>
      </w:r>
      <w:r w:rsidR="00346E2F" w:rsidRPr="00A55C25">
        <w:tab/>
        <w:t>ACALABRUTINIB,</w:t>
      </w:r>
      <w:r w:rsidR="00346E2F" w:rsidRPr="00A55C25">
        <w:br/>
        <w:t>Tablet,</w:t>
      </w:r>
      <w:r w:rsidR="00346E2F" w:rsidRPr="00A55C25">
        <w:br/>
        <w:t>100 mg,</w:t>
      </w:r>
      <w:r w:rsidR="00346E2F" w:rsidRPr="00A55C25">
        <w:br/>
      </w:r>
      <w:proofErr w:type="spellStart"/>
      <w:r w:rsidR="00346E2F" w:rsidRPr="00A55C25">
        <w:t>Calquence</w:t>
      </w:r>
      <w:proofErr w:type="spellEnd"/>
      <w:r w:rsidR="00346E2F" w:rsidRPr="00A55C25">
        <w:rPr>
          <w:vertAlign w:val="superscript"/>
        </w:rPr>
        <w:t>®</w:t>
      </w:r>
      <w:r w:rsidR="00346E2F" w:rsidRPr="00A55C25">
        <w:t>,</w:t>
      </w:r>
      <w:r w:rsidR="00346E2F" w:rsidRPr="00A55C25">
        <w:br/>
        <w:t>ASTRAZENECA PTY LTD.</w:t>
      </w:r>
      <w:bookmarkEnd w:id="0"/>
    </w:p>
    <w:p w14:paraId="7F705ECD" w14:textId="3009135F" w:rsidR="00346E2F" w:rsidRPr="00A55C25" w:rsidRDefault="00346E2F" w:rsidP="00475C36">
      <w:pPr>
        <w:pStyle w:val="2-SectionHeading"/>
      </w:pPr>
      <w:bookmarkStart w:id="4" w:name="_Toc207957907"/>
      <w:r w:rsidRPr="00A55C25">
        <w:t>Purpose of submission</w:t>
      </w:r>
      <w:bookmarkEnd w:id="4"/>
    </w:p>
    <w:p w14:paraId="14F1D3ED" w14:textId="079D6B73" w:rsidR="00346E2F" w:rsidRPr="00A55C25" w:rsidRDefault="00346E2F" w:rsidP="00346E2F">
      <w:pPr>
        <w:pStyle w:val="3-BodyText"/>
        <w:numPr>
          <w:ilvl w:val="1"/>
          <w:numId w:val="1"/>
        </w:numPr>
      </w:pPr>
      <w:r w:rsidRPr="00A55C25">
        <w:t xml:space="preserve">The Category 2 submission requested a General Schedule Authority Required (telephone/online) listing for acalabrutinib for use in combination with venetoclax (AV) in a fixed duration (FD) regimen for the treatment of </w:t>
      </w:r>
      <w:r w:rsidR="00041126" w:rsidRPr="00A55C25">
        <w:t>previously untreated</w:t>
      </w:r>
      <w:r w:rsidRPr="00A55C25">
        <w:t xml:space="preserve"> chronic lymphocytic leukaemia (CLL) or small lymphocytic lymphoma (SLL).</w:t>
      </w:r>
    </w:p>
    <w:p w14:paraId="1C5BE71E" w14:textId="004EF61D" w:rsidR="00346E2F" w:rsidRPr="00A55C25" w:rsidRDefault="00346E2F" w:rsidP="00346E2F">
      <w:pPr>
        <w:pStyle w:val="3-BodyText"/>
        <w:numPr>
          <w:ilvl w:val="1"/>
          <w:numId w:val="1"/>
        </w:numPr>
      </w:pPr>
      <w:r w:rsidRPr="00A55C25">
        <w:t xml:space="preserve">Listing was requested </w:t>
      </w:r>
      <w:proofErr w:type="gramStart"/>
      <w:r w:rsidRPr="00A55C25">
        <w:t>on the basis of</w:t>
      </w:r>
      <w:proofErr w:type="gramEnd"/>
      <w:r w:rsidRPr="00A55C25">
        <w:t xml:space="preserve"> a cost-minimisation approach versus the FD regimens of ibrutinib in combination with venetoclax (IV) and venetoclax in combination with obinutuzumab (VO).</w:t>
      </w:r>
    </w:p>
    <w:p w14:paraId="0CBE3056" w14:textId="159C0B46" w:rsidR="00346E2F" w:rsidRPr="00A55C25" w:rsidRDefault="00346E2F" w:rsidP="00346E2F">
      <w:pPr>
        <w:pStyle w:val="TableFigureHeading"/>
        <w:rPr>
          <w:rStyle w:val="CommentReference"/>
          <w:b/>
          <w:szCs w:val="24"/>
        </w:rPr>
      </w:pPr>
      <w:r w:rsidRPr="00A55C25">
        <w:t xml:space="preserve">Table </w:t>
      </w:r>
      <w:r w:rsidR="00C92B8D">
        <w:fldChar w:fldCharType="begin"/>
      </w:r>
      <w:r w:rsidR="00C92B8D">
        <w:instrText xml:space="preserve"> SEQ Table \* ARABIC </w:instrText>
      </w:r>
      <w:r w:rsidR="00C92B8D">
        <w:fldChar w:fldCharType="separate"/>
      </w:r>
      <w:r w:rsidR="00717804">
        <w:rPr>
          <w:noProof/>
        </w:rPr>
        <w:t>1</w:t>
      </w:r>
      <w:r w:rsidR="00C92B8D">
        <w:fldChar w:fldCharType="end"/>
      </w:r>
      <w:r w:rsidRPr="00A55C25">
        <w:t>:</w:t>
      </w:r>
      <w:r w:rsidRPr="00A55C25">
        <w:rPr>
          <w:rStyle w:val="CommentReference"/>
          <w:b/>
          <w:szCs w:val="24"/>
        </w:rPr>
        <w:t xml:space="preserve"> Key components of the clinical issue addressed by the submission (as stated in the submission)</w:t>
      </w:r>
    </w:p>
    <w:tbl>
      <w:tblPr>
        <w:tblStyle w:val="PBACtable"/>
        <w:tblW w:w="5000" w:type="pct"/>
        <w:tblLook w:val="04A0" w:firstRow="1" w:lastRow="0" w:firstColumn="1" w:lastColumn="0" w:noHBand="0" w:noVBand="1"/>
        <w:tblCaption w:val="Table 1: Key components of the clinical issue addressed by the submission (as stated in the submission)"/>
      </w:tblPr>
      <w:tblGrid>
        <w:gridCol w:w="999"/>
        <w:gridCol w:w="8018"/>
      </w:tblGrid>
      <w:tr w:rsidR="00346E2F" w:rsidRPr="00A55C25" w14:paraId="156211EE" w14:textId="77777777" w:rsidTr="00ED2BDA">
        <w:tc>
          <w:tcPr>
            <w:tcW w:w="554" w:type="pct"/>
          </w:tcPr>
          <w:p w14:paraId="7750FCD3" w14:textId="77777777" w:rsidR="00346E2F" w:rsidRPr="00A55C25" w:rsidRDefault="00346E2F" w:rsidP="002A750F">
            <w:pPr>
              <w:pStyle w:val="In-tableHeading"/>
              <w:rPr>
                <w:lang w:val="en-AU"/>
              </w:rPr>
            </w:pPr>
            <w:r w:rsidRPr="00A55C25">
              <w:rPr>
                <w:lang w:val="en-AU"/>
              </w:rPr>
              <w:t>Component</w:t>
            </w:r>
          </w:p>
        </w:tc>
        <w:tc>
          <w:tcPr>
            <w:tcW w:w="4446" w:type="pct"/>
          </w:tcPr>
          <w:p w14:paraId="79002395" w14:textId="77777777" w:rsidR="00346E2F" w:rsidRPr="00A55C25" w:rsidRDefault="00346E2F" w:rsidP="002A750F">
            <w:pPr>
              <w:pStyle w:val="In-tableHeading"/>
              <w:rPr>
                <w:lang w:val="en-AU"/>
              </w:rPr>
            </w:pPr>
            <w:r w:rsidRPr="00A55C25">
              <w:rPr>
                <w:lang w:val="en-AU"/>
              </w:rPr>
              <w:t>Description</w:t>
            </w:r>
          </w:p>
        </w:tc>
      </w:tr>
      <w:tr w:rsidR="00346E2F" w:rsidRPr="00A55C25" w14:paraId="3D82D825" w14:textId="77777777" w:rsidTr="00ED2BDA">
        <w:tc>
          <w:tcPr>
            <w:tcW w:w="554" w:type="pct"/>
          </w:tcPr>
          <w:p w14:paraId="6E56823E" w14:textId="77777777" w:rsidR="00346E2F" w:rsidRPr="00A55C25" w:rsidRDefault="00346E2F" w:rsidP="002A750F">
            <w:pPr>
              <w:pStyle w:val="TableText0"/>
            </w:pPr>
            <w:r w:rsidRPr="00A55C25">
              <w:t>Population</w:t>
            </w:r>
          </w:p>
        </w:tc>
        <w:tc>
          <w:tcPr>
            <w:tcW w:w="4446" w:type="pct"/>
          </w:tcPr>
          <w:p w14:paraId="07CF79DD" w14:textId="77777777" w:rsidR="00346E2F" w:rsidRPr="00A55C25" w:rsidRDefault="00346E2F" w:rsidP="002A750F">
            <w:pPr>
              <w:pStyle w:val="TableText0"/>
            </w:pPr>
            <w:r w:rsidRPr="00A55C25">
              <w:t>Patients with previously untreated CLL or SLL</w:t>
            </w:r>
          </w:p>
        </w:tc>
      </w:tr>
      <w:tr w:rsidR="00346E2F" w:rsidRPr="00A55C25" w14:paraId="119BCDD4" w14:textId="77777777" w:rsidTr="00ED2BDA">
        <w:tc>
          <w:tcPr>
            <w:tcW w:w="554" w:type="pct"/>
          </w:tcPr>
          <w:p w14:paraId="5FAADA82" w14:textId="77777777" w:rsidR="00346E2F" w:rsidRPr="00A55C25" w:rsidRDefault="00346E2F" w:rsidP="002A750F">
            <w:pPr>
              <w:pStyle w:val="TableText0"/>
            </w:pPr>
            <w:r w:rsidRPr="00A55C25">
              <w:t>Intervention*</w:t>
            </w:r>
          </w:p>
        </w:tc>
        <w:tc>
          <w:tcPr>
            <w:tcW w:w="4446" w:type="pct"/>
          </w:tcPr>
          <w:p w14:paraId="388D899D" w14:textId="77777777" w:rsidR="00346E2F" w:rsidRPr="00A55C25" w:rsidRDefault="00346E2F" w:rsidP="002A750F">
            <w:pPr>
              <w:pStyle w:val="TableText0"/>
            </w:pPr>
            <w:r w:rsidRPr="00A55C25">
              <w:t>AV:</w:t>
            </w:r>
          </w:p>
          <w:p w14:paraId="28E52474" w14:textId="392FFA8F" w:rsidR="00346E2F" w:rsidRPr="00A55C25" w:rsidRDefault="00346E2F" w:rsidP="002A750F">
            <w:pPr>
              <w:pStyle w:val="TableText0"/>
            </w:pPr>
            <w:r w:rsidRPr="00A55C25">
              <w:t xml:space="preserve">Acalabrutinib (Cycles 1 to 14): 100 mg orally </w:t>
            </w:r>
            <w:r w:rsidR="00CB1C27" w:rsidRPr="00A55C25">
              <w:t>twice daily</w:t>
            </w:r>
          </w:p>
          <w:p w14:paraId="79B43680" w14:textId="77777777" w:rsidR="00346E2F" w:rsidRPr="00A55C25" w:rsidRDefault="00346E2F" w:rsidP="002A750F">
            <w:pPr>
              <w:pStyle w:val="TableText0"/>
            </w:pPr>
            <w:r w:rsidRPr="00A55C25">
              <w:t xml:space="preserve">Venetoclax (Cycles 3 to 14): From Cycle 3, a 4-week dose ramp-up (one week at each dose of 20 mg, 50 mg, 100 mg, and 200 mg once daily) followed by 400 mg once daily until the end of Cycle 14 </w:t>
            </w:r>
          </w:p>
        </w:tc>
      </w:tr>
      <w:tr w:rsidR="00346E2F" w:rsidRPr="00A55C25" w14:paraId="6FE33270" w14:textId="77777777" w:rsidTr="00ED2BDA">
        <w:tc>
          <w:tcPr>
            <w:tcW w:w="554" w:type="pct"/>
          </w:tcPr>
          <w:p w14:paraId="21340546" w14:textId="77777777" w:rsidR="00346E2F" w:rsidRPr="00A55C25" w:rsidRDefault="00346E2F" w:rsidP="002A750F">
            <w:pPr>
              <w:pStyle w:val="TableText0"/>
            </w:pPr>
            <w:r w:rsidRPr="00A55C25">
              <w:t>Comparator*</w:t>
            </w:r>
          </w:p>
        </w:tc>
        <w:tc>
          <w:tcPr>
            <w:tcW w:w="4446" w:type="pct"/>
          </w:tcPr>
          <w:p w14:paraId="63BB1E4D" w14:textId="77777777" w:rsidR="00346E2F" w:rsidRPr="00A55C25" w:rsidRDefault="00346E2F" w:rsidP="002A750F">
            <w:pPr>
              <w:pStyle w:val="TableText0"/>
            </w:pPr>
            <w:r w:rsidRPr="00A55C25">
              <w:t>IV:</w:t>
            </w:r>
          </w:p>
          <w:p w14:paraId="1C8661F1" w14:textId="77777777" w:rsidR="00346E2F" w:rsidRPr="00A55C25" w:rsidRDefault="00346E2F" w:rsidP="002A750F">
            <w:pPr>
              <w:pStyle w:val="TableText0"/>
            </w:pPr>
            <w:r w:rsidRPr="00A55C25">
              <w:t xml:space="preserve">Ibrutinib (Cycles 1 to 15): 420 mg orally once daily </w:t>
            </w:r>
          </w:p>
          <w:p w14:paraId="6A681897" w14:textId="77777777" w:rsidR="00346E2F" w:rsidRPr="00A55C25" w:rsidRDefault="00346E2F" w:rsidP="002A750F">
            <w:pPr>
              <w:pStyle w:val="TableText0"/>
            </w:pPr>
            <w:r w:rsidRPr="00A55C25">
              <w:t xml:space="preserve">Venetoclax (Cycles 4 to 15): From Cycle 4, a 4-week dose ramp-up (one week at each dose of 20 mg, 50 mg, 100 mg, and 200 mg once daily) followed by 400 mg once daily until the end of Cycle 15 </w:t>
            </w:r>
          </w:p>
          <w:p w14:paraId="368441FB" w14:textId="77777777" w:rsidR="00346E2F" w:rsidRPr="00A55C25" w:rsidRDefault="00346E2F" w:rsidP="002A750F">
            <w:pPr>
              <w:pStyle w:val="TableText0"/>
            </w:pPr>
            <w:r w:rsidRPr="00A55C25">
              <w:t>VO:</w:t>
            </w:r>
          </w:p>
          <w:p w14:paraId="0AE40DF5" w14:textId="77777777" w:rsidR="00346E2F" w:rsidRPr="00A55C25" w:rsidRDefault="00346E2F" w:rsidP="002A750F">
            <w:pPr>
              <w:pStyle w:val="TableText0"/>
            </w:pPr>
            <w:r w:rsidRPr="00A55C25">
              <w:t xml:space="preserve">Venetoclax (Cycles 1 to 12): From Cycle 1 Day 22, a 4-week dose ramp-up (one week at each dose of 20 mg, 50 mg, 100 mg, and 200 mg once daily) followed by 400 mg once daily until the end of Cycle 12 </w:t>
            </w:r>
          </w:p>
          <w:p w14:paraId="69F82653" w14:textId="77777777" w:rsidR="00346E2F" w:rsidRPr="00A55C25" w:rsidRDefault="00346E2F" w:rsidP="002A750F">
            <w:pPr>
              <w:pStyle w:val="TableText0"/>
            </w:pPr>
            <w:r w:rsidRPr="00A55C25">
              <w:t>Obinutuzumab (Cycles 1 to 6): From Cycle 1 Day 1, a 4-week dose ramp-up (Day 1, 100 mg; Day 2, 900 mg; Days 8 and 15, 1000 mg) followed by 1000 mg given on Day 1 of each cycle by intravenous infusion</w:t>
            </w:r>
          </w:p>
        </w:tc>
      </w:tr>
      <w:tr w:rsidR="00346E2F" w:rsidRPr="00A55C25" w14:paraId="2AF29B16" w14:textId="77777777" w:rsidTr="00ED2BDA">
        <w:tc>
          <w:tcPr>
            <w:tcW w:w="554" w:type="pct"/>
          </w:tcPr>
          <w:p w14:paraId="7A12EF4A" w14:textId="77777777" w:rsidR="00346E2F" w:rsidRPr="00A55C25" w:rsidRDefault="00346E2F" w:rsidP="002A750F">
            <w:pPr>
              <w:pStyle w:val="TableText0"/>
            </w:pPr>
            <w:r w:rsidRPr="00A55C25">
              <w:t>Outcomes</w:t>
            </w:r>
          </w:p>
        </w:tc>
        <w:tc>
          <w:tcPr>
            <w:tcW w:w="4446" w:type="pct"/>
          </w:tcPr>
          <w:p w14:paraId="4372ECC8" w14:textId="77777777" w:rsidR="00346E2F" w:rsidRPr="00A55C25" w:rsidRDefault="00346E2F" w:rsidP="002A750F">
            <w:pPr>
              <w:pStyle w:val="TableText0"/>
            </w:pPr>
            <w:r w:rsidRPr="00A55C25">
              <w:t>PFS, OS, TTNT, AEs</w:t>
            </w:r>
          </w:p>
        </w:tc>
      </w:tr>
      <w:tr w:rsidR="00346E2F" w:rsidRPr="00A55C25" w14:paraId="189D1360" w14:textId="77777777" w:rsidTr="00ED2BDA">
        <w:trPr>
          <w:trHeight w:val="965"/>
        </w:trPr>
        <w:tc>
          <w:tcPr>
            <w:tcW w:w="554" w:type="pct"/>
          </w:tcPr>
          <w:p w14:paraId="38345A15" w14:textId="77777777" w:rsidR="00346E2F" w:rsidRPr="00A55C25" w:rsidRDefault="00346E2F" w:rsidP="002A750F">
            <w:pPr>
              <w:pStyle w:val="TableText0"/>
            </w:pPr>
            <w:r w:rsidRPr="00A55C25">
              <w:t>Clinical claim</w:t>
            </w:r>
          </w:p>
        </w:tc>
        <w:tc>
          <w:tcPr>
            <w:tcW w:w="4446" w:type="pct"/>
          </w:tcPr>
          <w:p w14:paraId="4B70AF38" w14:textId="77777777" w:rsidR="00346E2F" w:rsidRPr="00A55C25" w:rsidRDefault="00346E2F" w:rsidP="002A750F">
            <w:pPr>
              <w:pStyle w:val="TableText0"/>
            </w:pPr>
            <w:r w:rsidRPr="00A55C25">
              <w:t>In patients with previously untreated CLL/SLL, FD AV is non-inferior in terms of efficacy with superior safety compared to IV.</w:t>
            </w:r>
          </w:p>
          <w:p w14:paraId="3CFEDE25" w14:textId="77777777" w:rsidR="00346E2F" w:rsidRPr="00A55C25" w:rsidRDefault="00346E2F" w:rsidP="002A750F">
            <w:pPr>
              <w:pStyle w:val="TableText0"/>
            </w:pPr>
            <w:r w:rsidRPr="00A55C25">
              <w:t>In patients with previously untreated CLL/SLL, FD AV is non-inferior in terms of efficacy with a more favourable safety profile compared to VO.</w:t>
            </w:r>
          </w:p>
        </w:tc>
      </w:tr>
    </w:tbl>
    <w:p w14:paraId="72E33C98" w14:textId="77777777" w:rsidR="00346E2F" w:rsidRPr="00A55C25" w:rsidRDefault="00346E2F" w:rsidP="00346E2F">
      <w:pPr>
        <w:pStyle w:val="FooterTableFigure"/>
      </w:pPr>
      <w:r w:rsidRPr="00A55C25">
        <w:t>Source: Table 1-1, pp2-3 of the submission.</w:t>
      </w:r>
    </w:p>
    <w:p w14:paraId="129889E9" w14:textId="691423F3" w:rsidR="00346E2F" w:rsidRPr="00A55C25" w:rsidRDefault="00346E2F" w:rsidP="00346E2F">
      <w:pPr>
        <w:pStyle w:val="FooterTableFigure"/>
      </w:pPr>
      <w:r w:rsidRPr="00A55C25">
        <w:t xml:space="preserve">AE, adverse event; AV, </w:t>
      </w:r>
      <w:proofErr w:type="spellStart"/>
      <w:r w:rsidRPr="00A55C25">
        <w:t>acalabrutinib+venetoclax</w:t>
      </w:r>
      <w:proofErr w:type="spellEnd"/>
      <w:r w:rsidRPr="00A55C25">
        <w:t>;</w:t>
      </w:r>
      <w:r w:rsidR="00E476E1" w:rsidRPr="00A55C25">
        <w:t xml:space="preserve"> </w:t>
      </w:r>
      <w:r w:rsidRPr="00A55C25">
        <w:t xml:space="preserve">CLL, chronic lymphocytic leukaemia; FD, fixed duration; IV, </w:t>
      </w:r>
      <w:proofErr w:type="spellStart"/>
      <w:r w:rsidRPr="00A55C25">
        <w:t>ibrutinib+venetoclax</w:t>
      </w:r>
      <w:proofErr w:type="spellEnd"/>
      <w:r w:rsidRPr="00A55C25">
        <w:t xml:space="preserve">; OS, overall survival; PFS, progression free survival; SLL, small lymphocytic lymphoma; TTNT, time to next treatment; VO, </w:t>
      </w:r>
      <w:proofErr w:type="spellStart"/>
      <w:r w:rsidRPr="00A55C25">
        <w:t>venetoclax+obinutuzumab</w:t>
      </w:r>
      <w:proofErr w:type="spellEnd"/>
      <w:r w:rsidRPr="00A55C25">
        <w:t>.</w:t>
      </w:r>
    </w:p>
    <w:p w14:paraId="00EF5856" w14:textId="77777777" w:rsidR="00346E2F" w:rsidRPr="00A55C25" w:rsidRDefault="00346E2F" w:rsidP="00346E2F">
      <w:pPr>
        <w:pStyle w:val="FooterTableFigure"/>
        <w:tabs>
          <w:tab w:val="left" w:pos="142"/>
        </w:tabs>
        <w:rPr>
          <w:rStyle w:val="CommentReference"/>
          <w:b w:val="0"/>
          <w:sz w:val="18"/>
          <w:szCs w:val="22"/>
        </w:rPr>
      </w:pPr>
      <w:r w:rsidRPr="00A55C25">
        <w:t>*</w:t>
      </w:r>
      <w:r w:rsidRPr="00A55C25">
        <w:tab/>
        <w:t>All cycles are for 28 days</w:t>
      </w:r>
    </w:p>
    <w:p w14:paraId="791C808E" w14:textId="77777777" w:rsidR="00346E2F" w:rsidRPr="00A55C25" w:rsidRDefault="00346E2F" w:rsidP="00346E2F">
      <w:pPr>
        <w:pStyle w:val="2-SectionHeading"/>
        <w:numPr>
          <w:ilvl w:val="0"/>
          <w:numId w:val="1"/>
        </w:numPr>
      </w:pPr>
      <w:bookmarkStart w:id="5" w:name="_Toc207957908"/>
      <w:r w:rsidRPr="00A55C25">
        <w:lastRenderedPageBreak/>
        <w:t>Background</w:t>
      </w:r>
      <w:bookmarkEnd w:id="5"/>
    </w:p>
    <w:p w14:paraId="557CB2F5" w14:textId="77777777" w:rsidR="00346E2F" w:rsidRPr="00A55C25" w:rsidRDefault="00346E2F" w:rsidP="00346E2F">
      <w:pPr>
        <w:pStyle w:val="4-SubsectionHeading"/>
      </w:pPr>
      <w:bookmarkStart w:id="6" w:name="_Toc22897638"/>
      <w:bookmarkStart w:id="7" w:name="_Toc207957909"/>
      <w:r w:rsidRPr="00A55C25">
        <w:t>Registration status</w:t>
      </w:r>
      <w:bookmarkEnd w:id="6"/>
      <w:bookmarkEnd w:id="7"/>
    </w:p>
    <w:p w14:paraId="2BEA519F" w14:textId="0C8A6D1C" w:rsidR="00346E2F" w:rsidRPr="00A55C25" w:rsidRDefault="00346E2F" w:rsidP="00346E2F">
      <w:pPr>
        <w:pStyle w:val="3-BodyText"/>
        <w:numPr>
          <w:ilvl w:val="1"/>
          <w:numId w:val="1"/>
        </w:numPr>
      </w:pPr>
      <w:r w:rsidRPr="00A55C25">
        <w:t>Acalabrutinib was TGA registered on 22 November 2019 for “the treatment of patients with chronic lymphocytic leukaemia (CLL)/small lymphocytic lymphoma (SLL)”</w:t>
      </w:r>
      <w:r w:rsidR="008325DC" w:rsidRPr="00A55C25">
        <w:t xml:space="preserve"> </w:t>
      </w:r>
      <w:r w:rsidR="000D01E5" w:rsidRPr="00A55C25">
        <w:t>when administered continuously (100 mg twice daily) until disease progression (i.e. treat to progression [TTP] regimen)</w:t>
      </w:r>
      <w:r w:rsidRPr="00A55C25">
        <w:t>. Due to the proposed changes to the circumstances of use (</w:t>
      </w:r>
      <w:r w:rsidR="000D01E5" w:rsidRPr="00A55C25">
        <w:t xml:space="preserve">the proposed FD regimen </w:t>
      </w:r>
      <w:r w:rsidRPr="00A55C25">
        <w:t xml:space="preserve">and use in combination with venetoclax), </w:t>
      </w:r>
      <w:r w:rsidR="005A2E95">
        <w:t xml:space="preserve">at the time of the evaluation, </w:t>
      </w:r>
      <w:r w:rsidRPr="00A55C25">
        <w:t xml:space="preserve">acalabrutinib </w:t>
      </w:r>
      <w:r w:rsidR="005A2E95">
        <w:t>wa</w:t>
      </w:r>
      <w:r w:rsidRPr="00A55C25">
        <w:t>s under evaluation by the TGA for the following extension of indication:</w:t>
      </w:r>
    </w:p>
    <w:p w14:paraId="574A1AD3" w14:textId="77777777" w:rsidR="00346E2F" w:rsidRPr="00A55C25" w:rsidRDefault="00346E2F" w:rsidP="00A900A7">
      <w:pPr>
        <w:pStyle w:val="3-BodyText"/>
        <w:numPr>
          <w:ilvl w:val="0"/>
          <w:numId w:val="6"/>
        </w:numPr>
        <w:ind w:left="1134" w:hanging="425"/>
      </w:pPr>
      <w:r w:rsidRPr="00A55C25">
        <w:t>“CALQUENCE in combination with venetoclax with or without obinutuzumab is indicated for the treatment of patients with previously untreated chronic lymphocytic leukaemia (CLL)/small lymphocytic lymphoma (SLL).”</w:t>
      </w:r>
    </w:p>
    <w:p w14:paraId="50F3F73A" w14:textId="4794252C" w:rsidR="00346E2F" w:rsidRPr="003A2AC8" w:rsidRDefault="00745FA8" w:rsidP="00346E2F">
      <w:pPr>
        <w:pStyle w:val="3-BodyText"/>
        <w:numPr>
          <w:ilvl w:val="1"/>
          <w:numId w:val="1"/>
        </w:numPr>
      </w:pPr>
      <w:r w:rsidRPr="003A2AC8">
        <w:t xml:space="preserve">The </w:t>
      </w:r>
      <w:r w:rsidR="000D1C10" w:rsidRPr="003A2AC8">
        <w:t xml:space="preserve">TGA </w:t>
      </w:r>
      <w:r w:rsidRPr="003A2AC8">
        <w:t xml:space="preserve">Clinical Evaluation Report </w:t>
      </w:r>
      <w:r w:rsidR="00582C02" w:rsidRPr="003A2AC8">
        <w:t xml:space="preserve">(Round 2) </w:t>
      </w:r>
      <w:r w:rsidRPr="003A2AC8">
        <w:t>was</w:t>
      </w:r>
      <w:r w:rsidR="00346E2F" w:rsidRPr="003A2AC8">
        <w:t xml:space="preserve"> available at the time of PBAC </w:t>
      </w:r>
      <w:r w:rsidR="00582C02" w:rsidRPr="003A2AC8">
        <w:t>consideration</w:t>
      </w:r>
      <w:r w:rsidR="00346E2F" w:rsidRPr="003A2AC8">
        <w:t xml:space="preserve">. </w:t>
      </w:r>
      <w:r w:rsidR="00B82A92">
        <w:t xml:space="preserve">The </w:t>
      </w:r>
      <w:r w:rsidR="00DE234D">
        <w:t>TGA Delegate’s Overview</w:t>
      </w:r>
      <w:r w:rsidR="0087724B">
        <w:t xml:space="preserve"> was not available prior to the PBAC meeting</w:t>
      </w:r>
      <w:r w:rsidR="00DE234D">
        <w:t>.</w:t>
      </w:r>
      <w:r w:rsidR="002128D3">
        <w:t xml:space="preserve"> </w:t>
      </w:r>
    </w:p>
    <w:p w14:paraId="349C55D5" w14:textId="77777777" w:rsidR="008325DC" w:rsidRPr="00A55C25" w:rsidRDefault="008325DC" w:rsidP="008325DC">
      <w:pPr>
        <w:pStyle w:val="4-SubsectionHeading"/>
      </w:pPr>
      <w:bookmarkStart w:id="8" w:name="_Toc22897639"/>
      <w:bookmarkStart w:id="9" w:name="_Toc202884169"/>
      <w:bookmarkStart w:id="10" w:name="_Toc207957910"/>
      <w:r w:rsidRPr="00A55C25">
        <w:t>Previous PBAC consideration</w:t>
      </w:r>
      <w:bookmarkEnd w:id="8"/>
      <w:bookmarkEnd w:id="9"/>
      <w:bookmarkEnd w:id="10"/>
    </w:p>
    <w:p w14:paraId="08EF8AF0" w14:textId="31F005A6" w:rsidR="008325DC" w:rsidRPr="00A55C25" w:rsidRDefault="000C718D" w:rsidP="00346E2F">
      <w:pPr>
        <w:pStyle w:val="3-BodyText"/>
        <w:numPr>
          <w:ilvl w:val="1"/>
          <w:numId w:val="1"/>
        </w:numPr>
      </w:pPr>
      <w:r w:rsidRPr="00A55C25">
        <w:t>Acalabrutinib, either</w:t>
      </w:r>
      <w:r w:rsidR="00B01D14" w:rsidRPr="00A55C25">
        <w:t xml:space="preserve"> </w:t>
      </w:r>
      <w:r w:rsidRPr="00A55C25">
        <w:t>as monotherapy o</w:t>
      </w:r>
      <w:r w:rsidR="00EF1D60" w:rsidRPr="00A55C25">
        <w:t>r</w:t>
      </w:r>
      <w:r w:rsidRPr="00A55C25">
        <w:t xml:space="preserve"> in combination with obinutuzumab (A</w:t>
      </w:r>
      <w:r w:rsidRPr="00A55C25">
        <w:rPr>
          <w:rFonts w:cstheme="minorHAnsi"/>
        </w:rPr>
        <w:t>±</w:t>
      </w:r>
      <w:r w:rsidRPr="00A55C25">
        <w:t>O), was PBS listed on 1 January 2024 for the treatment of previously untreated CLL/SLL when administered as a TTP regimen. The PBAC recommended listing of A</w:t>
      </w:r>
      <w:r w:rsidRPr="00A55C25">
        <w:rPr>
          <w:rFonts w:cstheme="minorHAnsi"/>
        </w:rPr>
        <w:t>±</w:t>
      </w:r>
      <w:r w:rsidRPr="00A55C25">
        <w:t xml:space="preserve">O </w:t>
      </w:r>
      <w:r w:rsidR="00215354" w:rsidRPr="00A55C25">
        <w:t xml:space="preserve">TTP regimen </w:t>
      </w:r>
      <w:r w:rsidRPr="00A55C25">
        <w:t xml:space="preserve">on a </w:t>
      </w:r>
      <w:r w:rsidR="00215354" w:rsidRPr="00A55C25">
        <w:t xml:space="preserve">cost-minimisation basis to VO FD regimen and zanubrutinib TTP regimen at the July 2023 PBAC Meeting. Acalabrutinib </w:t>
      </w:r>
      <w:r w:rsidR="00DA1475" w:rsidRPr="00A55C25">
        <w:t>i</w:t>
      </w:r>
      <w:r w:rsidR="00215354" w:rsidRPr="00A55C25">
        <w:t xml:space="preserve">s also </w:t>
      </w:r>
      <w:r w:rsidR="00DA1475" w:rsidRPr="00A55C25">
        <w:t xml:space="preserve">currently </w:t>
      </w:r>
      <w:r w:rsidR="00215354" w:rsidRPr="00A55C25">
        <w:t xml:space="preserve">PBS listed for relapsed/refractory CLL </w:t>
      </w:r>
      <w:r w:rsidR="00DA1475" w:rsidRPr="00A55C25">
        <w:t>(</w:t>
      </w:r>
      <w:r w:rsidR="00215354" w:rsidRPr="00A55C25">
        <w:t>since 1 September 2020</w:t>
      </w:r>
      <w:r w:rsidR="00DA1475" w:rsidRPr="00A55C25">
        <w:t>)</w:t>
      </w:r>
      <w:r w:rsidR="00215354" w:rsidRPr="00A55C25">
        <w:t xml:space="preserve"> and relapsed/refractory mantle cell lymphoma </w:t>
      </w:r>
      <w:r w:rsidR="00DA1475" w:rsidRPr="00A55C25">
        <w:t>(</w:t>
      </w:r>
      <w:r w:rsidR="00215354" w:rsidRPr="00A55C25">
        <w:t>since 1 February 2022</w:t>
      </w:r>
      <w:r w:rsidR="00DA1475" w:rsidRPr="00A55C25">
        <w:t>)</w:t>
      </w:r>
      <w:r w:rsidR="00215354" w:rsidRPr="00A55C25">
        <w:t>.</w:t>
      </w:r>
    </w:p>
    <w:p w14:paraId="3EDDF675" w14:textId="2EE082BB" w:rsidR="00815DE9" w:rsidRPr="00A55C25" w:rsidRDefault="00815DE9" w:rsidP="00346E2F">
      <w:pPr>
        <w:pStyle w:val="3-BodyText"/>
        <w:numPr>
          <w:ilvl w:val="1"/>
          <w:numId w:val="1"/>
        </w:numPr>
      </w:pPr>
      <w:r w:rsidRPr="00A55C25">
        <w:t>The PBAC has not previously considered acalabrutinib, for use in combination with venetoclax</w:t>
      </w:r>
      <w:r w:rsidR="00215354" w:rsidRPr="00A55C25">
        <w:t xml:space="preserve"> (AV)</w:t>
      </w:r>
      <w:r w:rsidRPr="00A55C25">
        <w:t>, as a FD regimen for the treatment of previously untreated CLL/SLL.</w:t>
      </w:r>
      <w:r w:rsidR="00215354" w:rsidRPr="00A55C25">
        <w:t xml:space="preserve"> </w:t>
      </w:r>
    </w:p>
    <w:p w14:paraId="447984C2" w14:textId="5A55DFC3" w:rsidR="00E56E70" w:rsidRPr="00C33D30" w:rsidRDefault="00E56E70" w:rsidP="00E56E70">
      <w:pPr>
        <w:ind w:firstLine="709"/>
        <w:rPr>
          <w:rFonts w:asciiTheme="minorHAnsi" w:hAnsiTheme="minorHAnsi"/>
          <w:i/>
        </w:rPr>
      </w:pPr>
      <w:bookmarkStart w:id="11" w:name="_Toc107902078"/>
      <w:bookmarkStart w:id="12" w:name="_Hlk76375324"/>
      <w:bookmarkStart w:id="13" w:name="_Toc207957911"/>
      <w:bookmarkEnd w:id="11"/>
      <w:r w:rsidRPr="00C33D30">
        <w:rPr>
          <w:rFonts w:asciiTheme="minorHAnsi" w:hAnsiTheme="minorHAnsi"/>
          <w:i/>
        </w:rPr>
        <w:t>For more detail on PBAC’s view, see section 7 PBAC outcome.</w:t>
      </w:r>
    </w:p>
    <w:bookmarkEnd w:id="12"/>
    <w:p w14:paraId="3A605F76" w14:textId="0BAB9CF8" w:rsidR="00346E2F" w:rsidRDefault="00346E2F" w:rsidP="00346E2F">
      <w:pPr>
        <w:pStyle w:val="2-SectionHeading"/>
        <w:numPr>
          <w:ilvl w:val="0"/>
          <w:numId w:val="1"/>
        </w:numPr>
      </w:pPr>
      <w:r w:rsidRPr="00A55C25">
        <w:lastRenderedPageBreak/>
        <w:t>Requested listing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quested listing"/>
      </w:tblPr>
      <w:tblGrid>
        <w:gridCol w:w="2359"/>
        <w:gridCol w:w="2402"/>
        <w:gridCol w:w="927"/>
        <w:gridCol w:w="970"/>
        <w:gridCol w:w="1248"/>
        <w:gridCol w:w="1111"/>
      </w:tblGrid>
      <w:tr w:rsidR="00346E2F" w:rsidRPr="00ED2BDA" w14:paraId="6D2D2D8F" w14:textId="77777777" w:rsidTr="00ED2BDA">
        <w:trPr>
          <w:cantSplit/>
          <w:trHeight w:val="20"/>
        </w:trPr>
        <w:tc>
          <w:tcPr>
            <w:tcW w:w="1308" w:type="pct"/>
            <w:vAlign w:val="center"/>
          </w:tcPr>
          <w:p w14:paraId="1E3B0138" w14:textId="0075BC26" w:rsidR="00346E2F" w:rsidRPr="00ED2BDA" w:rsidRDefault="00041126" w:rsidP="00041126">
            <w:pPr>
              <w:pStyle w:val="TableText0"/>
              <w:jc w:val="center"/>
              <w:rPr>
                <w:b/>
                <w:bCs w:val="0"/>
                <w:szCs w:val="20"/>
              </w:rPr>
            </w:pPr>
            <w:r w:rsidRPr="00ED2BDA">
              <w:rPr>
                <w:szCs w:val="20"/>
              </w:rPr>
              <w:br w:type="page"/>
            </w:r>
            <w:r w:rsidR="00346E2F" w:rsidRPr="00ED2BDA">
              <w:rPr>
                <w:b/>
                <w:bCs w:val="0"/>
                <w:szCs w:val="20"/>
              </w:rPr>
              <w:t>MEDICINAL PRODUCT</w:t>
            </w:r>
          </w:p>
          <w:p w14:paraId="58AA8288" w14:textId="77777777" w:rsidR="00346E2F" w:rsidRPr="00ED2BDA" w:rsidRDefault="00346E2F" w:rsidP="00041126">
            <w:pPr>
              <w:pStyle w:val="TableText0"/>
              <w:jc w:val="center"/>
              <w:rPr>
                <w:b/>
                <w:bCs w:val="0"/>
                <w:szCs w:val="20"/>
              </w:rPr>
            </w:pPr>
            <w:r w:rsidRPr="00ED2BDA">
              <w:rPr>
                <w:b/>
                <w:bCs w:val="0"/>
                <w:szCs w:val="20"/>
              </w:rPr>
              <w:t>medicinal product pack</w:t>
            </w:r>
          </w:p>
        </w:tc>
        <w:tc>
          <w:tcPr>
            <w:tcW w:w="1332" w:type="pct"/>
            <w:vAlign w:val="center"/>
          </w:tcPr>
          <w:p w14:paraId="205E764C" w14:textId="77777777" w:rsidR="00346E2F" w:rsidRPr="00ED2BDA" w:rsidRDefault="00346E2F" w:rsidP="00041126">
            <w:pPr>
              <w:pStyle w:val="TableText0"/>
              <w:jc w:val="center"/>
              <w:rPr>
                <w:b/>
                <w:bCs w:val="0"/>
                <w:szCs w:val="20"/>
              </w:rPr>
            </w:pPr>
            <w:r w:rsidRPr="00ED2BDA">
              <w:rPr>
                <w:b/>
                <w:bCs w:val="0"/>
                <w:snapToGrid w:val="0"/>
                <w:szCs w:val="20"/>
              </w:rPr>
              <w:t>Dispensed Price for Max. Qty</w:t>
            </w:r>
          </w:p>
        </w:tc>
        <w:tc>
          <w:tcPr>
            <w:tcW w:w="514" w:type="pct"/>
            <w:vAlign w:val="center"/>
          </w:tcPr>
          <w:p w14:paraId="62ED01BF" w14:textId="77777777" w:rsidR="00346E2F" w:rsidRPr="00ED2BDA" w:rsidRDefault="00346E2F" w:rsidP="00041126">
            <w:pPr>
              <w:pStyle w:val="TableText0"/>
              <w:jc w:val="center"/>
              <w:rPr>
                <w:b/>
                <w:bCs w:val="0"/>
                <w:szCs w:val="20"/>
              </w:rPr>
            </w:pPr>
            <w:r w:rsidRPr="00ED2BDA">
              <w:rPr>
                <w:b/>
                <w:bCs w:val="0"/>
                <w:szCs w:val="20"/>
              </w:rPr>
              <w:t>Max. qty packs</w:t>
            </w:r>
          </w:p>
        </w:tc>
        <w:tc>
          <w:tcPr>
            <w:tcW w:w="538" w:type="pct"/>
            <w:vAlign w:val="center"/>
          </w:tcPr>
          <w:p w14:paraId="3968E8CF" w14:textId="77777777" w:rsidR="00346E2F" w:rsidRPr="00ED2BDA" w:rsidRDefault="00346E2F" w:rsidP="00041126">
            <w:pPr>
              <w:pStyle w:val="TableText0"/>
              <w:jc w:val="center"/>
              <w:rPr>
                <w:b/>
                <w:bCs w:val="0"/>
                <w:szCs w:val="20"/>
              </w:rPr>
            </w:pPr>
            <w:r w:rsidRPr="00ED2BDA">
              <w:rPr>
                <w:b/>
                <w:bCs w:val="0"/>
                <w:szCs w:val="20"/>
              </w:rPr>
              <w:t>Max. qty units</w:t>
            </w:r>
          </w:p>
        </w:tc>
        <w:tc>
          <w:tcPr>
            <w:tcW w:w="692" w:type="pct"/>
            <w:vAlign w:val="center"/>
          </w:tcPr>
          <w:p w14:paraId="08B820AC" w14:textId="77777777" w:rsidR="00346E2F" w:rsidRPr="00ED2BDA" w:rsidRDefault="00346E2F" w:rsidP="00041126">
            <w:pPr>
              <w:pStyle w:val="TableText0"/>
              <w:jc w:val="center"/>
              <w:rPr>
                <w:b/>
                <w:bCs w:val="0"/>
                <w:szCs w:val="20"/>
              </w:rPr>
            </w:pPr>
            <w:r w:rsidRPr="00ED2BDA">
              <w:rPr>
                <w:b/>
                <w:bCs w:val="0"/>
                <w:szCs w:val="20"/>
              </w:rPr>
              <w:t>№.of</w:t>
            </w:r>
          </w:p>
          <w:p w14:paraId="1ACA274D" w14:textId="77777777" w:rsidR="00346E2F" w:rsidRPr="00ED2BDA" w:rsidRDefault="00346E2F" w:rsidP="00041126">
            <w:pPr>
              <w:pStyle w:val="TableText0"/>
              <w:jc w:val="center"/>
              <w:rPr>
                <w:b/>
                <w:bCs w:val="0"/>
                <w:szCs w:val="20"/>
              </w:rPr>
            </w:pPr>
            <w:proofErr w:type="spellStart"/>
            <w:r w:rsidRPr="00ED2BDA">
              <w:rPr>
                <w:b/>
                <w:bCs w:val="0"/>
                <w:szCs w:val="20"/>
              </w:rPr>
              <w:t>Rpts</w:t>
            </w:r>
            <w:proofErr w:type="spellEnd"/>
          </w:p>
        </w:tc>
        <w:tc>
          <w:tcPr>
            <w:tcW w:w="615" w:type="pct"/>
            <w:vAlign w:val="center"/>
          </w:tcPr>
          <w:p w14:paraId="58526D05" w14:textId="77777777" w:rsidR="00346E2F" w:rsidRPr="00ED2BDA" w:rsidRDefault="00346E2F" w:rsidP="00041126">
            <w:pPr>
              <w:pStyle w:val="TableText0"/>
              <w:jc w:val="center"/>
              <w:rPr>
                <w:b/>
                <w:bCs w:val="0"/>
                <w:szCs w:val="20"/>
              </w:rPr>
            </w:pPr>
            <w:r w:rsidRPr="00ED2BDA">
              <w:rPr>
                <w:b/>
                <w:bCs w:val="0"/>
                <w:szCs w:val="20"/>
              </w:rPr>
              <w:t>Available brands</w:t>
            </w:r>
          </w:p>
        </w:tc>
      </w:tr>
      <w:tr w:rsidR="00346E2F" w:rsidRPr="00ED2BDA" w14:paraId="355B3A5E" w14:textId="77777777" w:rsidTr="00ED2BDA">
        <w:trPr>
          <w:cantSplit/>
          <w:trHeight w:val="20"/>
        </w:trPr>
        <w:tc>
          <w:tcPr>
            <w:tcW w:w="5000" w:type="pct"/>
            <w:gridSpan w:val="6"/>
            <w:vAlign w:val="center"/>
          </w:tcPr>
          <w:p w14:paraId="7939B17E" w14:textId="77777777" w:rsidR="00346E2F" w:rsidRPr="00ED2BDA" w:rsidRDefault="00346E2F" w:rsidP="00041126">
            <w:pPr>
              <w:pStyle w:val="TableText0"/>
              <w:rPr>
                <w:rFonts w:cs="Arial"/>
                <w:szCs w:val="20"/>
              </w:rPr>
            </w:pPr>
            <w:r w:rsidRPr="00ED2BDA">
              <w:rPr>
                <w:szCs w:val="20"/>
              </w:rPr>
              <w:t>ACALABRUTINIB</w:t>
            </w:r>
            <w:r w:rsidRPr="00ED2BDA">
              <w:rPr>
                <w:rFonts w:cs="Arial"/>
                <w:szCs w:val="20"/>
              </w:rPr>
              <w:t xml:space="preserve"> </w:t>
            </w:r>
          </w:p>
        </w:tc>
      </w:tr>
      <w:tr w:rsidR="00346E2F" w:rsidRPr="00ED2BDA" w14:paraId="7BAC1D14" w14:textId="77777777" w:rsidTr="00ED2BDA">
        <w:trPr>
          <w:cantSplit/>
          <w:trHeight w:val="20"/>
        </w:trPr>
        <w:tc>
          <w:tcPr>
            <w:tcW w:w="1308" w:type="pct"/>
            <w:vAlign w:val="center"/>
          </w:tcPr>
          <w:p w14:paraId="07DAEAEA" w14:textId="77777777" w:rsidR="00346E2F" w:rsidRPr="00273F59" w:rsidRDefault="00346E2F" w:rsidP="00041126">
            <w:pPr>
              <w:pStyle w:val="TableText0"/>
              <w:rPr>
                <w:b/>
                <w:bCs w:val="0"/>
                <w:szCs w:val="20"/>
              </w:rPr>
            </w:pPr>
            <w:r w:rsidRPr="00273F59">
              <w:rPr>
                <w:b/>
                <w:bCs w:val="0"/>
                <w:szCs w:val="20"/>
              </w:rPr>
              <w:t>Initial treatment</w:t>
            </w:r>
          </w:p>
          <w:p w14:paraId="7472C069" w14:textId="77777777" w:rsidR="00346E2F" w:rsidRPr="00273F59" w:rsidRDefault="00346E2F" w:rsidP="00041126">
            <w:pPr>
              <w:pStyle w:val="TableText0"/>
              <w:rPr>
                <w:szCs w:val="20"/>
              </w:rPr>
            </w:pPr>
            <w:r w:rsidRPr="00273F59">
              <w:rPr>
                <w:szCs w:val="20"/>
              </w:rPr>
              <w:t>Acalabrutinib 100 mg tablet, 56</w:t>
            </w:r>
          </w:p>
        </w:tc>
        <w:tc>
          <w:tcPr>
            <w:tcW w:w="1332" w:type="pct"/>
          </w:tcPr>
          <w:p w14:paraId="714C7F31" w14:textId="77777777" w:rsidR="00346E2F" w:rsidRPr="00273F59" w:rsidRDefault="00346E2F" w:rsidP="00041126">
            <w:pPr>
              <w:pStyle w:val="TableText0"/>
              <w:jc w:val="center"/>
              <w:rPr>
                <w:szCs w:val="20"/>
              </w:rPr>
            </w:pPr>
            <w:r w:rsidRPr="00273F59">
              <w:rPr>
                <w:szCs w:val="20"/>
              </w:rPr>
              <w:t>$7414.90 published price</w:t>
            </w:r>
          </w:p>
          <w:p w14:paraId="1EB86F2B" w14:textId="0AF61B93" w:rsidR="00346E2F" w:rsidRPr="00273F59" w:rsidRDefault="00346E2F" w:rsidP="00041126">
            <w:pPr>
              <w:pStyle w:val="TableText0"/>
              <w:jc w:val="center"/>
              <w:rPr>
                <w:szCs w:val="20"/>
              </w:rPr>
            </w:pPr>
            <w:r w:rsidRPr="00273F59">
              <w:rPr>
                <w:szCs w:val="20"/>
              </w:rPr>
              <w:t>$</w:t>
            </w:r>
            <w:r w:rsidR="007C5080" w:rsidRPr="007C5080">
              <w:rPr>
                <w:szCs w:val="20"/>
                <w:highlight w:val="black"/>
              </w:rPr>
              <w:t>@@@@</w:t>
            </w:r>
            <w:r w:rsidRPr="00273F59">
              <w:rPr>
                <w:szCs w:val="20"/>
              </w:rPr>
              <w:t xml:space="preserve"> effective price</w:t>
            </w:r>
          </w:p>
        </w:tc>
        <w:tc>
          <w:tcPr>
            <w:tcW w:w="514" w:type="pct"/>
            <w:vAlign w:val="center"/>
          </w:tcPr>
          <w:p w14:paraId="248D7B8C" w14:textId="77777777" w:rsidR="00346E2F" w:rsidRPr="00ED2BDA" w:rsidRDefault="00346E2F" w:rsidP="00041126">
            <w:pPr>
              <w:pStyle w:val="TableText0"/>
              <w:jc w:val="center"/>
              <w:rPr>
                <w:szCs w:val="20"/>
              </w:rPr>
            </w:pPr>
            <w:r w:rsidRPr="00ED2BDA">
              <w:rPr>
                <w:szCs w:val="20"/>
              </w:rPr>
              <w:t>1</w:t>
            </w:r>
          </w:p>
        </w:tc>
        <w:tc>
          <w:tcPr>
            <w:tcW w:w="538" w:type="pct"/>
            <w:vAlign w:val="center"/>
          </w:tcPr>
          <w:p w14:paraId="62C962CE" w14:textId="77777777" w:rsidR="00346E2F" w:rsidRPr="00ED2BDA" w:rsidRDefault="00346E2F" w:rsidP="00041126">
            <w:pPr>
              <w:pStyle w:val="TableText0"/>
              <w:jc w:val="center"/>
              <w:rPr>
                <w:szCs w:val="20"/>
              </w:rPr>
            </w:pPr>
            <w:r w:rsidRPr="00ED2BDA">
              <w:rPr>
                <w:szCs w:val="20"/>
              </w:rPr>
              <w:t>56</w:t>
            </w:r>
          </w:p>
        </w:tc>
        <w:tc>
          <w:tcPr>
            <w:tcW w:w="692" w:type="pct"/>
            <w:vAlign w:val="center"/>
          </w:tcPr>
          <w:p w14:paraId="62E05479" w14:textId="77777777" w:rsidR="00346E2F" w:rsidRPr="00ED2BDA" w:rsidRDefault="00346E2F" w:rsidP="00041126">
            <w:pPr>
              <w:pStyle w:val="TableText0"/>
              <w:jc w:val="center"/>
              <w:rPr>
                <w:szCs w:val="20"/>
              </w:rPr>
            </w:pPr>
            <w:r w:rsidRPr="00ED2BDA">
              <w:rPr>
                <w:szCs w:val="20"/>
              </w:rPr>
              <w:t>1</w:t>
            </w:r>
          </w:p>
        </w:tc>
        <w:tc>
          <w:tcPr>
            <w:tcW w:w="615" w:type="pct"/>
            <w:vAlign w:val="center"/>
          </w:tcPr>
          <w:p w14:paraId="5315856A" w14:textId="77777777" w:rsidR="00346E2F" w:rsidRPr="00ED2BDA" w:rsidRDefault="00346E2F" w:rsidP="00041126">
            <w:pPr>
              <w:pStyle w:val="TableText0"/>
              <w:rPr>
                <w:szCs w:val="20"/>
              </w:rPr>
            </w:pPr>
            <w:proofErr w:type="spellStart"/>
            <w:r w:rsidRPr="00ED2BDA">
              <w:rPr>
                <w:szCs w:val="20"/>
              </w:rPr>
              <w:t>Calquence</w:t>
            </w:r>
            <w:proofErr w:type="spellEnd"/>
          </w:p>
        </w:tc>
      </w:tr>
      <w:tr w:rsidR="00346E2F" w:rsidRPr="00ED2BDA" w14:paraId="09EE6CF9" w14:textId="77777777" w:rsidTr="00ED2BDA">
        <w:trPr>
          <w:cantSplit/>
          <w:trHeight w:val="20"/>
        </w:trPr>
        <w:tc>
          <w:tcPr>
            <w:tcW w:w="1308" w:type="pct"/>
            <w:vAlign w:val="center"/>
          </w:tcPr>
          <w:p w14:paraId="14E485D9" w14:textId="77777777" w:rsidR="00346E2F" w:rsidRPr="00ED2BDA" w:rsidRDefault="00346E2F" w:rsidP="00041126">
            <w:pPr>
              <w:pStyle w:val="TableText0"/>
              <w:rPr>
                <w:b/>
                <w:bCs w:val="0"/>
                <w:szCs w:val="20"/>
              </w:rPr>
            </w:pPr>
            <w:r w:rsidRPr="00ED2BDA">
              <w:rPr>
                <w:b/>
                <w:bCs w:val="0"/>
                <w:szCs w:val="20"/>
              </w:rPr>
              <w:t>Continuing treatment</w:t>
            </w:r>
          </w:p>
          <w:p w14:paraId="1DEF99CB" w14:textId="77777777" w:rsidR="00346E2F" w:rsidRPr="00ED2BDA" w:rsidRDefault="00346E2F" w:rsidP="00041126">
            <w:pPr>
              <w:pStyle w:val="TableText0"/>
              <w:rPr>
                <w:szCs w:val="20"/>
              </w:rPr>
            </w:pPr>
            <w:r w:rsidRPr="00ED2BDA">
              <w:rPr>
                <w:szCs w:val="20"/>
              </w:rPr>
              <w:t>Acalabrutinib 100 mg tablet, 56</w:t>
            </w:r>
          </w:p>
        </w:tc>
        <w:tc>
          <w:tcPr>
            <w:tcW w:w="1332" w:type="pct"/>
          </w:tcPr>
          <w:p w14:paraId="0BEBD0EC" w14:textId="77777777" w:rsidR="00346E2F" w:rsidRPr="00ED2BDA" w:rsidRDefault="00346E2F" w:rsidP="00041126">
            <w:pPr>
              <w:pStyle w:val="TableText0"/>
              <w:jc w:val="center"/>
              <w:rPr>
                <w:szCs w:val="20"/>
              </w:rPr>
            </w:pPr>
            <w:r w:rsidRPr="00273F59">
              <w:rPr>
                <w:szCs w:val="20"/>
              </w:rPr>
              <w:t>$7414.90 published</w:t>
            </w:r>
            <w:r w:rsidRPr="00ED2BDA">
              <w:rPr>
                <w:szCs w:val="20"/>
              </w:rPr>
              <w:t xml:space="preserve"> price</w:t>
            </w:r>
          </w:p>
          <w:p w14:paraId="70BAAED8" w14:textId="10980E28" w:rsidR="00346E2F" w:rsidRPr="00ED2BDA" w:rsidRDefault="00346E2F" w:rsidP="00041126">
            <w:pPr>
              <w:pStyle w:val="TableText0"/>
              <w:jc w:val="center"/>
              <w:rPr>
                <w:szCs w:val="20"/>
              </w:rPr>
            </w:pPr>
            <w:r w:rsidRPr="00ED2BDA">
              <w:rPr>
                <w:szCs w:val="20"/>
              </w:rPr>
              <w:t>$</w:t>
            </w:r>
            <w:r w:rsidR="007C5080" w:rsidRPr="007C5080">
              <w:rPr>
                <w:szCs w:val="20"/>
                <w:highlight w:val="black"/>
              </w:rPr>
              <w:t>@@@@</w:t>
            </w:r>
            <w:r w:rsidRPr="00ED2BDA">
              <w:rPr>
                <w:szCs w:val="20"/>
              </w:rPr>
              <w:t xml:space="preserve"> effective price</w:t>
            </w:r>
          </w:p>
        </w:tc>
        <w:tc>
          <w:tcPr>
            <w:tcW w:w="514" w:type="pct"/>
            <w:vAlign w:val="center"/>
          </w:tcPr>
          <w:p w14:paraId="44D28EC0" w14:textId="77777777" w:rsidR="00346E2F" w:rsidRPr="00ED2BDA" w:rsidRDefault="00346E2F" w:rsidP="00041126">
            <w:pPr>
              <w:pStyle w:val="TableText0"/>
              <w:jc w:val="center"/>
              <w:rPr>
                <w:szCs w:val="20"/>
              </w:rPr>
            </w:pPr>
            <w:r w:rsidRPr="00ED2BDA">
              <w:rPr>
                <w:szCs w:val="20"/>
              </w:rPr>
              <w:t>1</w:t>
            </w:r>
          </w:p>
        </w:tc>
        <w:tc>
          <w:tcPr>
            <w:tcW w:w="538" w:type="pct"/>
            <w:vAlign w:val="center"/>
          </w:tcPr>
          <w:p w14:paraId="5CBB465F" w14:textId="77777777" w:rsidR="00346E2F" w:rsidRPr="00ED2BDA" w:rsidRDefault="00346E2F" w:rsidP="00041126">
            <w:pPr>
              <w:pStyle w:val="TableText0"/>
              <w:jc w:val="center"/>
              <w:rPr>
                <w:szCs w:val="20"/>
              </w:rPr>
            </w:pPr>
            <w:r w:rsidRPr="00ED2BDA">
              <w:rPr>
                <w:szCs w:val="20"/>
              </w:rPr>
              <w:t>56</w:t>
            </w:r>
          </w:p>
        </w:tc>
        <w:tc>
          <w:tcPr>
            <w:tcW w:w="692" w:type="pct"/>
            <w:vAlign w:val="center"/>
          </w:tcPr>
          <w:p w14:paraId="17879690" w14:textId="77777777" w:rsidR="00346E2F" w:rsidRPr="00ED2BDA" w:rsidRDefault="00346E2F" w:rsidP="00041126">
            <w:pPr>
              <w:pStyle w:val="TableText0"/>
              <w:jc w:val="center"/>
              <w:rPr>
                <w:szCs w:val="20"/>
              </w:rPr>
            </w:pPr>
            <w:r w:rsidRPr="00ED2BDA">
              <w:rPr>
                <w:szCs w:val="20"/>
              </w:rPr>
              <w:t>5</w:t>
            </w:r>
          </w:p>
        </w:tc>
        <w:tc>
          <w:tcPr>
            <w:tcW w:w="615" w:type="pct"/>
            <w:vAlign w:val="center"/>
          </w:tcPr>
          <w:p w14:paraId="47A7C2F1" w14:textId="77777777" w:rsidR="00346E2F" w:rsidRPr="00ED2BDA" w:rsidRDefault="00346E2F" w:rsidP="00041126">
            <w:pPr>
              <w:pStyle w:val="TableText0"/>
              <w:rPr>
                <w:szCs w:val="20"/>
              </w:rPr>
            </w:pPr>
            <w:proofErr w:type="spellStart"/>
            <w:r w:rsidRPr="00ED2BDA">
              <w:rPr>
                <w:szCs w:val="20"/>
              </w:rPr>
              <w:t>Calquence</w:t>
            </w:r>
            <w:proofErr w:type="spellEnd"/>
          </w:p>
        </w:tc>
      </w:tr>
      <w:tr w:rsidR="00346E2F" w:rsidRPr="00ED2BDA" w14:paraId="4F2400D7"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Pr>
          <w:p w14:paraId="1AD742A2" w14:textId="77777777" w:rsidR="00346E2F" w:rsidRPr="00ED2BDA" w:rsidRDefault="00346E2F" w:rsidP="00041126">
            <w:pPr>
              <w:pStyle w:val="TableText0"/>
              <w:keepLines w:val="0"/>
              <w:widowControl w:val="0"/>
              <w:rPr>
                <w:szCs w:val="20"/>
              </w:rPr>
            </w:pPr>
            <w:r w:rsidRPr="00ED2BDA">
              <w:rPr>
                <w:b/>
                <w:szCs w:val="20"/>
              </w:rPr>
              <w:t xml:space="preserve">Category / Program: </w:t>
            </w:r>
            <w:r w:rsidRPr="00ED2BDA">
              <w:rPr>
                <w:szCs w:val="20"/>
              </w:rPr>
              <w:t>General Schedule</w:t>
            </w:r>
          </w:p>
        </w:tc>
      </w:tr>
      <w:tr w:rsidR="00346E2F" w:rsidRPr="00ED2BDA" w14:paraId="630C7A91"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Pr>
          <w:p w14:paraId="33411697" w14:textId="6D8BF4E4" w:rsidR="00346E2F" w:rsidRPr="00ED2BDA" w:rsidRDefault="00346E2F" w:rsidP="00041126">
            <w:pPr>
              <w:pStyle w:val="TableText0"/>
              <w:keepLines w:val="0"/>
              <w:widowControl w:val="0"/>
              <w:rPr>
                <w:b/>
                <w:szCs w:val="20"/>
              </w:rPr>
            </w:pPr>
            <w:r w:rsidRPr="00ED2BDA">
              <w:rPr>
                <w:b/>
                <w:szCs w:val="20"/>
              </w:rPr>
              <w:t xml:space="preserve">Prescriber type: </w:t>
            </w:r>
            <w:r w:rsidRPr="00ED2BDA">
              <w:rPr>
                <w:szCs w:val="20"/>
              </w:rPr>
              <w:fldChar w:fldCharType="begin">
                <w:ffData>
                  <w:name w:val=""/>
                  <w:enabled/>
                  <w:calcOnExit w:val="0"/>
                  <w:checkBox>
                    <w:sizeAuto/>
                    <w:default w:val="1"/>
                  </w:checkBox>
                </w:ffData>
              </w:fldChar>
            </w:r>
            <w:r w:rsidRPr="00ED2BDA">
              <w:rPr>
                <w:szCs w:val="20"/>
              </w:rPr>
              <w:instrText xml:space="preserve"> FORMCHECKBOX </w:instrText>
            </w:r>
            <w:r w:rsidRPr="00ED2BDA">
              <w:rPr>
                <w:szCs w:val="20"/>
              </w:rPr>
            </w:r>
            <w:r w:rsidRPr="00ED2BDA">
              <w:rPr>
                <w:szCs w:val="20"/>
              </w:rPr>
              <w:fldChar w:fldCharType="separate"/>
            </w:r>
            <w:r w:rsidRPr="00ED2BDA">
              <w:rPr>
                <w:szCs w:val="20"/>
              </w:rPr>
              <w:fldChar w:fldCharType="end"/>
            </w:r>
            <w:r w:rsidR="003B444D">
              <w:rPr>
                <w:szCs w:val="20"/>
              </w:rPr>
              <w:t xml:space="preserve"> </w:t>
            </w:r>
            <w:r w:rsidRPr="00ED2BDA">
              <w:rPr>
                <w:szCs w:val="20"/>
              </w:rPr>
              <w:t>Medical Practitioners</w:t>
            </w:r>
          </w:p>
        </w:tc>
      </w:tr>
      <w:tr w:rsidR="00346E2F" w:rsidRPr="00ED2BDA" w14:paraId="1B6911E7"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Pr>
          <w:p w14:paraId="70C6F31A" w14:textId="2D3ED207" w:rsidR="00346E2F" w:rsidRPr="00ED2BDA" w:rsidRDefault="00346E2F" w:rsidP="00041126">
            <w:pPr>
              <w:pStyle w:val="TableText0"/>
              <w:keepLines w:val="0"/>
              <w:widowControl w:val="0"/>
              <w:rPr>
                <w:rFonts w:eastAsia="Times New Roman"/>
                <w:szCs w:val="20"/>
              </w:rPr>
            </w:pPr>
            <w:r w:rsidRPr="00ED2BDA">
              <w:rPr>
                <w:b/>
                <w:szCs w:val="20"/>
              </w:rPr>
              <w:t xml:space="preserve">Restriction type: </w:t>
            </w:r>
            <w:r w:rsidRPr="00ED2BDA">
              <w:rPr>
                <w:rFonts w:eastAsia="Times New Roman"/>
                <w:szCs w:val="20"/>
              </w:rPr>
              <w:fldChar w:fldCharType="begin">
                <w:ffData>
                  <w:name w:val="Check3"/>
                  <w:enabled/>
                  <w:calcOnExit w:val="0"/>
                  <w:checkBox>
                    <w:sizeAuto/>
                    <w:default w:val="1"/>
                  </w:checkBox>
                </w:ffData>
              </w:fldChar>
            </w:r>
            <w:r w:rsidRPr="00ED2BDA">
              <w:rPr>
                <w:rFonts w:eastAsia="Times New Roman"/>
                <w:szCs w:val="20"/>
              </w:rPr>
              <w:instrText xml:space="preserve"> FORMCHECKBOX </w:instrText>
            </w:r>
            <w:r w:rsidRPr="00ED2BDA">
              <w:rPr>
                <w:rFonts w:eastAsia="Times New Roman"/>
                <w:szCs w:val="20"/>
              </w:rPr>
            </w:r>
            <w:r w:rsidRPr="00ED2BDA">
              <w:rPr>
                <w:rFonts w:eastAsia="Times New Roman"/>
                <w:szCs w:val="20"/>
              </w:rPr>
              <w:fldChar w:fldCharType="separate"/>
            </w:r>
            <w:r w:rsidRPr="00ED2BDA">
              <w:rPr>
                <w:rFonts w:eastAsia="Times New Roman"/>
                <w:szCs w:val="20"/>
              </w:rPr>
              <w:fldChar w:fldCharType="end"/>
            </w:r>
            <w:r w:rsidR="003B444D">
              <w:rPr>
                <w:rFonts w:eastAsia="Times New Roman"/>
                <w:szCs w:val="20"/>
              </w:rPr>
              <w:t xml:space="preserve"> </w:t>
            </w:r>
            <w:r w:rsidRPr="00ED2BDA">
              <w:rPr>
                <w:rFonts w:eastAsia="Times New Roman"/>
                <w:szCs w:val="20"/>
              </w:rPr>
              <w:t xml:space="preserve">Authority Required (telephone/online PBS Authorities system) </w:t>
            </w:r>
          </w:p>
        </w:tc>
      </w:tr>
      <w:tr w:rsidR="00346E2F" w:rsidRPr="00ED2BDA" w14:paraId="470D3DFC"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E07C4C" w14:textId="77777777" w:rsidR="00346E2F" w:rsidRPr="00ED2BDA" w:rsidRDefault="00346E2F" w:rsidP="00041126">
            <w:pPr>
              <w:pStyle w:val="TableText0"/>
              <w:keepLines w:val="0"/>
              <w:widowControl w:val="0"/>
              <w:rPr>
                <w:b/>
                <w:szCs w:val="20"/>
              </w:rPr>
            </w:pPr>
            <w:r w:rsidRPr="00ED2BDA">
              <w:rPr>
                <w:b/>
                <w:szCs w:val="20"/>
              </w:rPr>
              <w:t xml:space="preserve">Severity: </w:t>
            </w:r>
            <w:r w:rsidRPr="00ED2BDA">
              <w:rPr>
                <w:bCs w:val="0"/>
                <w:szCs w:val="20"/>
              </w:rPr>
              <w:t>Chronic lymphocytic leukaemia (CLL) or small lymphocytic lymphoma (SLL)</w:t>
            </w:r>
          </w:p>
        </w:tc>
      </w:tr>
      <w:tr w:rsidR="00346E2F" w:rsidRPr="00ED2BDA" w14:paraId="1234D5E6"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0FC63C" w14:textId="77777777" w:rsidR="00346E2F" w:rsidRPr="00ED2BDA" w:rsidRDefault="00346E2F" w:rsidP="00041126">
            <w:pPr>
              <w:pStyle w:val="TableText0"/>
              <w:keepLines w:val="0"/>
              <w:widowControl w:val="0"/>
              <w:rPr>
                <w:b/>
                <w:szCs w:val="20"/>
              </w:rPr>
            </w:pPr>
            <w:r w:rsidRPr="00ED2BDA">
              <w:rPr>
                <w:b/>
                <w:szCs w:val="20"/>
              </w:rPr>
              <w:t xml:space="preserve">Condition: </w:t>
            </w:r>
            <w:r w:rsidRPr="00ED2BDA">
              <w:rPr>
                <w:szCs w:val="20"/>
              </w:rPr>
              <w:t>Chronic lymphocytic leukaemia (CLL) or small lymphocytic lymphoma (SLL)</w:t>
            </w:r>
            <w:r w:rsidRPr="00ED2BDA">
              <w:rPr>
                <w:color w:val="0066FF"/>
                <w:szCs w:val="20"/>
              </w:rPr>
              <w:t xml:space="preserve"> </w:t>
            </w:r>
          </w:p>
        </w:tc>
      </w:tr>
      <w:tr w:rsidR="00346E2F" w:rsidRPr="00ED2BDA" w14:paraId="3479D321"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FFE93D4" w14:textId="77777777" w:rsidR="00346E2F" w:rsidRPr="00ED2BDA" w:rsidRDefault="00346E2F" w:rsidP="00041126">
            <w:pPr>
              <w:pStyle w:val="TableText0"/>
              <w:keepLines w:val="0"/>
              <w:widowControl w:val="0"/>
              <w:rPr>
                <w:szCs w:val="20"/>
              </w:rPr>
            </w:pPr>
            <w:r w:rsidRPr="00ED2BDA">
              <w:rPr>
                <w:b/>
                <w:szCs w:val="20"/>
              </w:rPr>
              <w:t>Indication:</w:t>
            </w:r>
            <w:r w:rsidRPr="00ED2BDA">
              <w:rPr>
                <w:szCs w:val="20"/>
              </w:rPr>
              <w:t xml:space="preserve"> Chronic lymphocytic leukaemia (CLL) or small lymphocytic lymphoma (SLL)</w:t>
            </w:r>
          </w:p>
        </w:tc>
      </w:tr>
      <w:tr w:rsidR="00346E2F" w:rsidRPr="00ED2BDA" w14:paraId="2524CCD9"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0A56BC9" w14:textId="77777777" w:rsidR="00346E2F" w:rsidRPr="00ED2BDA" w:rsidRDefault="00346E2F" w:rsidP="00041126">
            <w:pPr>
              <w:pStyle w:val="TableText0"/>
              <w:keepLines w:val="0"/>
              <w:widowControl w:val="0"/>
              <w:rPr>
                <w:b/>
                <w:szCs w:val="20"/>
              </w:rPr>
            </w:pPr>
            <w:r w:rsidRPr="00ED2BDA">
              <w:rPr>
                <w:b/>
                <w:szCs w:val="20"/>
              </w:rPr>
              <w:t>Treatment Phase: Initial treatment in first-line therapy (treatment cycles 1 to 2 inclusive)</w:t>
            </w:r>
          </w:p>
        </w:tc>
      </w:tr>
      <w:tr w:rsidR="00346E2F" w:rsidRPr="00ED2BDA" w14:paraId="39D4A6AE"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single" w:sz="4" w:space="0" w:color="auto"/>
            </w:tcBorders>
            <w:vAlign w:val="center"/>
            <w:hideMark/>
          </w:tcPr>
          <w:p w14:paraId="0FD3579C" w14:textId="77777777" w:rsidR="00346E2F" w:rsidRPr="00ED2BDA" w:rsidRDefault="00346E2F" w:rsidP="00041126">
            <w:pPr>
              <w:pStyle w:val="TableText0"/>
              <w:keepLines w:val="0"/>
              <w:widowControl w:val="0"/>
              <w:rPr>
                <w:szCs w:val="20"/>
              </w:rPr>
            </w:pPr>
            <w:r w:rsidRPr="00ED2BDA">
              <w:rPr>
                <w:b/>
                <w:szCs w:val="20"/>
              </w:rPr>
              <w:t xml:space="preserve">Clinical criteria: </w:t>
            </w:r>
          </w:p>
        </w:tc>
      </w:tr>
      <w:tr w:rsidR="00346E2F" w:rsidRPr="00ED2BDA" w14:paraId="4FCCF06E"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nil"/>
            </w:tcBorders>
            <w:vAlign w:val="center"/>
            <w:hideMark/>
          </w:tcPr>
          <w:p w14:paraId="2E0B4517" w14:textId="77777777" w:rsidR="00346E2F" w:rsidRPr="00ED2BDA" w:rsidRDefault="00346E2F" w:rsidP="00041126">
            <w:pPr>
              <w:pStyle w:val="TableText0"/>
              <w:keepLines w:val="0"/>
              <w:widowControl w:val="0"/>
              <w:rPr>
                <w:szCs w:val="20"/>
              </w:rPr>
            </w:pPr>
            <w:r w:rsidRPr="00ED2BDA">
              <w:rPr>
                <w:szCs w:val="20"/>
              </w:rPr>
              <w:t>The condition must be untreated with drug treatment at the time of the first dose of this drug; OR</w:t>
            </w:r>
          </w:p>
          <w:p w14:paraId="01666212" w14:textId="77777777" w:rsidR="00346E2F" w:rsidRPr="00ED2BDA" w:rsidRDefault="00346E2F" w:rsidP="00041126">
            <w:pPr>
              <w:pStyle w:val="TableText0"/>
              <w:keepLines w:val="0"/>
              <w:widowControl w:val="0"/>
              <w:rPr>
                <w:szCs w:val="20"/>
              </w:rPr>
            </w:pPr>
            <w:r w:rsidRPr="00ED2BDA">
              <w:rPr>
                <w:szCs w:val="20"/>
              </w:rPr>
              <w:t>Patient must have developed an intolerance of a severity necessitating permanent treatment withdrawal following use of another drug PBS indicated as first-line drug treatment of CLL/SLL</w:t>
            </w:r>
          </w:p>
        </w:tc>
      </w:tr>
      <w:tr w:rsidR="00346E2F" w:rsidRPr="00ED2BDA" w14:paraId="54928638"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hideMark/>
          </w:tcPr>
          <w:p w14:paraId="04308608" w14:textId="77777777" w:rsidR="00346E2F" w:rsidRPr="00ED2BDA" w:rsidRDefault="00346E2F" w:rsidP="00041126">
            <w:pPr>
              <w:pStyle w:val="TableText0"/>
              <w:keepLines w:val="0"/>
              <w:widowControl w:val="0"/>
              <w:rPr>
                <w:szCs w:val="20"/>
              </w:rPr>
            </w:pPr>
            <w:r w:rsidRPr="00ED2BDA">
              <w:rPr>
                <w:b/>
                <w:szCs w:val="20"/>
              </w:rPr>
              <w:t>AND</w:t>
            </w:r>
          </w:p>
        </w:tc>
      </w:tr>
      <w:tr w:rsidR="00346E2F" w:rsidRPr="00ED2BDA" w14:paraId="29993A7C"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hideMark/>
          </w:tcPr>
          <w:p w14:paraId="1433FDB8" w14:textId="77777777" w:rsidR="00346E2F" w:rsidRPr="00ED2BDA" w:rsidRDefault="00346E2F" w:rsidP="00041126">
            <w:pPr>
              <w:pStyle w:val="TableText0"/>
              <w:keepLines w:val="0"/>
              <w:widowControl w:val="0"/>
              <w:rPr>
                <w:szCs w:val="20"/>
              </w:rPr>
            </w:pPr>
            <w:r w:rsidRPr="00ED2BDA">
              <w:rPr>
                <w:szCs w:val="20"/>
              </w:rPr>
              <w:t>The treatment must only be prescribed for a patient with active disease in accordance with the International Workshop on CLL (</w:t>
            </w:r>
            <w:proofErr w:type="spellStart"/>
            <w:r w:rsidRPr="00ED2BDA">
              <w:rPr>
                <w:szCs w:val="20"/>
              </w:rPr>
              <w:t>iwCLL</w:t>
            </w:r>
            <w:proofErr w:type="spellEnd"/>
            <w:r w:rsidRPr="00ED2BDA">
              <w:rPr>
                <w:szCs w:val="20"/>
              </w:rPr>
              <w:t>) guidance (latest version) in relation to when to prescribe drug treatment for this condition</w:t>
            </w:r>
          </w:p>
        </w:tc>
      </w:tr>
      <w:tr w:rsidR="00346E2F" w:rsidRPr="00ED2BDA" w14:paraId="2E33DFF8"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tcPr>
          <w:p w14:paraId="76657B30" w14:textId="77777777" w:rsidR="00346E2F" w:rsidRPr="00ED2BDA" w:rsidRDefault="00346E2F" w:rsidP="00041126">
            <w:pPr>
              <w:pStyle w:val="TableText0"/>
              <w:keepLines w:val="0"/>
              <w:widowControl w:val="0"/>
              <w:rPr>
                <w:szCs w:val="20"/>
              </w:rPr>
            </w:pPr>
            <w:r w:rsidRPr="00ED2BDA">
              <w:rPr>
                <w:b/>
                <w:szCs w:val="20"/>
              </w:rPr>
              <w:t>AND</w:t>
            </w:r>
          </w:p>
        </w:tc>
      </w:tr>
      <w:tr w:rsidR="00346E2F" w:rsidRPr="00ED2BDA" w14:paraId="5751085D"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tcBorders>
            <w:vAlign w:val="center"/>
          </w:tcPr>
          <w:p w14:paraId="1723E691" w14:textId="77777777" w:rsidR="00346E2F" w:rsidRPr="00ED2BDA" w:rsidRDefault="00346E2F" w:rsidP="00041126">
            <w:pPr>
              <w:pStyle w:val="TableText0"/>
              <w:keepLines w:val="0"/>
              <w:widowControl w:val="0"/>
              <w:rPr>
                <w:b/>
                <w:szCs w:val="20"/>
              </w:rPr>
            </w:pPr>
            <w:r w:rsidRPr="00ED2BDA">
              <w:rPr>
                <w:szCs w:val="20"/>
              </w:rPr>
              <w:t>The treatment must be in combination with venetoclax (refer to Product Information for timing of acalabrutinib and venetoclax doses)</w:t>
            </w:r>
          </w:p>
        </w:tc>
      </w:tr>
      <w:tr w:rsidR="00346E2F" w:rsidRPr="00ED2BDA" w14:paraId="1EE2DFF2"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ABAC0C2" w14:textId="77777777" w:rsidR="00346E2F" w:rsidRPr="00ED2BDA" w:rsidRDefault="00346E2F" w:rsidP="00041126">
            <w:pPr>
              <w:pStyle w:val="TableText0"/>
              <w:keepLines w:val="0"/>
              <w:widowControl w:val="0"/>
              <w:rPr>
                <w:b/>
                <w:szCs w:val="20"/>
              </w:rPr>
            </w:pPr>
            <w:r w:rsidRPr="00ED2BDA">
              <w:rPr>
                <w:b/>
                <w:szCs w:val="20"/>
              </w:rPr>
              <w:t xml:space="preserve">Administrative Advice: </w:t>
            </w:r>
          </w:p>
          <w:p w14:paraId="4981BEAC" w14:textId="77777777" w:rsidR="00346E2F" w:rsidRPr="00ED2BDA" w:rsidRDefault="00346E2F" w:rsidP="00041126">
            <w:pPr>
              <w:pStyle w:val="TableText0"/>
              <w:keepLines w:val="0"/>
              <w:widowControl w:val="0"/>
              <w:rPr>
                <w:szCs w:val="20"/>
              </w:rPr>
            </w:pPr>
            <w:r w:rsidRPr="00ED2BDA">
              <w:rPr>
                <w:szCs w:val="20"/>
              </w:rPr>
              <w:t>The latest International Workshop on CLL (</w:t>
            </w:r>
            <w:proofErr w:type="spellStart"/>
            <w:r w:rsidRPr="00ED2BDA">
              <w:rPr>
                <w:szCs w:val="20"/>
              </w:rPr>
              <w:t>iwCLL</w:t>
            </w:r>
            <w:proofErr w:type="spellEnd"/>
            <w:r w:rsidRPr="00ED2BDA">
              <w:rPr>
                <w:szCs w:val="20"/>
              </w:rPr>
              <w:t>) provides guidance on various aspects of management of CLL/SLL. Notably, two of these are:</w:t>
            </w:r>
          </w:p>
          <w:p w14:paraId="117CB16A" w14:textId="77777777" w:rsidR="00346E2F" w:rsidRPr="00ED2BDA" w:rsidRDefault="00346E2F" w:rsidP="00041126">
            <w:pPr>
              <w:pStyle w:val="TableText0"/>
              <w:keepLines w:val="0"/>
              <w:widowControl w:val="0"/>
              <w:rPr>
                <w:szCs w:val="20"/>
              </w:rPr>
            </w:pPr>
            <w:r w:rsidRPr="00ED2BDA">
              <w:rPr>
                <w:szCs w:val="20"/>
              </w:rPr>
              <w:t>(1) when to treat versus when to monitor the patient without therapy - see 'Indications for treatment' section; and</w:t>
            </w:r>
          </w:p>
          <w:p w14:paraId="77AEFCAE" w14:textId="77777777" w:rsidR="00346E2F" w:rsidRPr="00ED2BDA" w:rsidRDefault="00346E2F" w:rsidP="00041126">
            <w:pPr>
              <w:pStyle w:val="TableText0"/>
              <w:keepLines w:val="0"/>
              <w:widowControl w:val="0"/>
              <w:rPr>
                <w:szCs w:val="20"/>
              </w:rPr>
            </w:pPr>
            <w:r w:rsidRPr="00ED2BDA">
              <w:rPr>
                <w:szCs w:val="20"/>
              </w:rPr>
              <w:t>(2) recognising progressive disease - see 'Definition of response, relapse, and refractory disease' section.</w:t>
            </w:r>
          </w:p>
          <w:p w14:paraId="0F20A2DD" w14:textId="77777777" w:rsidR="00346E2F" w:rsidRPr="00ED2BDA" w:rsidRDefault="00346E2F" w:rsidP="00041126">
            <w:pPr>
              <w:pStyle w:val="TableText0"/>
              <w:keepLines w:val="0"/>
              <w:widowControl w:val="0"/>
              <w:rPr>
                <w:szCs w:val="20"/>
              </w:rPr>
            </w:pPr>
            <w:r w:rsidRPr="00ED2BDA">
              <w:rPr>
                <w:szCs w:val="20"/>
              </w:rPr>
              <w:t>See the following literature reference for details:</w:t>
            </w:r>
          </w:p>
          <w:p w14:paraId="7214B14E" w14:textId="77777777" w:rsidR="00346E2F" w:rsidRPr="00ED2BDA" w:rsidRDefault="00346E2F" w:rsidP="00041126">
            <w:pPr>
              <w:pStyle w:val="TableText0"/>
              <w:keepLines w:val="0"/>
              <w:widowControl w:val="0"/>
              <w:rPr>
                <w:szCs w:val="20"/>
              </w:rPr>
            </w:pPr>
            <w:proofErr w:type="spellStart"/>
            <w:r w:rsidRPr="00ED2BDA">
              <w:rPr>
                <w:szCs w:val="20"/>
              </w:rPr>
              <w:t>Hallek</w:t>
            </w:r>
            <w:proofErr w:type="spellEnd"/>
            <w:r w:rsidRPr="00ED2BDA">
              <w:rPr>
                <w:szCs w:val="20"/>
              </w:rPr>
              <w:t xml:space="preserve">, M et al. </w:t>
            </w:r>
            <w:proofErr w:type="spellStart"/>
            <w:r w:rsidRPr="00ED2BDA">
              <w:rPr>
                <w:szCs w:val="20"/>
              </w:rPr>
              <w:t>iwCLL</w:t>
            </w:r>
            <w:proofErr w:type="spellEnd"/>
            <w:r w:rsidRPr="00ED2BDA">
              <w:rPr>
                <w:szCs w:val="20"/>
              </w:rPr>
              <w:t xml:space="preserve"> guidelines for diagnosis, indications for treatment, response assessment, and supportive management of CLL. Blood vol. 131, 25 (2018): 2745-2760.</w:t>
            </w:r>
          </w:p>
        </w:tc>
      </w:tr>
      <w:tr w:rsidR="00346E2F" w:rsidRPr="00ED2BDA" w14:paraId="20AE3F35"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0B5FBE4" w14:textId="77777777" w:rsidR="00346E2F" w:rsidRPr="00ED2BDA" w:rsidRDefault="00346E2F" w:rsidP="00041126">
            <w:pPr>
              <w:pStyle w:val="TableText0"/>
              <w:keepLines w:val="0"/>
              <w:widowControl w:val="0"/>
              <w:rPr>
                <w:b/>
                <w:szCs w:val="20"/>
              </w:rPr>
            </w:pPr>
            <w:r w:rsidRPr="00ED2BDA">
              <w:rPr>
                <w:b/>
                <w:szCs w:val="20"/>
              </w:rPr>
              <w:t xml:space="preserve">Administrative Advice: </w:t>
            </w:r>
          </w:p>
          <w:p w14:paraId="608D1D69" w14:textId="77777777" w:rsidR="00346E2F" w:rsidRPr="00ED2BDA" w:rsidRDefault="00346E2F" w:rsidP="00041126">
            <w:pPr>
              <w:pStyle w:val="TableText0"/>
              <w:keepLines w:val="0"/>
              <w:widowControl w:val="0"/>
              <w:rPr>
                <w:b/>
                <w:szCs w:val="20"/>
              </w:rPr>
            </w:pPr>
            <w:r w:rsidRPr="00ED2BDA">
              <w:rPr>
                <w:szCs w:val="20"/>
              </w:rPr>
              <w:t>A patient may only qualify for PBS-subsidised treatment under this restriction once in a lifetime.</w:t>
            </w:r>
          </w:p>
        </w:tc>
      </w:tr>
      <w:tr w:rsidR="00346E2F" w:rsidRPr="00ED2BDA" w14:paraId="516C95EE"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single" w:sz="4" w:space="0" w:color="auto"/>
            </w:tcBorders>
            <w:vAlign w:val="center"/>
            <w:hideMark/>
          </w:tcPr>
          <w:p w14:paraId="57BB8F12" w14:textId="77777777" w:rsidR="00346E2F" w:rsidRPr="00ED2BDA" w:rsidRDefault="00346E2F" w:rsidP="00041126">
            <w:pPr>
              <w:pStyle w:val="TableText0"/>
              <w:keepLines w:val="0"/>
              <w:widowControl w:val="0"/>
              <w:rPr>
                <w:b/>
                <w:szCs w:val="20"/>
              </w:rPr>
            </w:pPr>
            <w:r w:rsidRPr="00ED2BDA">
              <w:rPr>
                <w:b/>
                <w:szCs w:val="20"/>
              </w:rPr>
              <w:t>Treatment Phase: Continuing treatment (treatment cycles 3 to 14 inclusive) of first-line therapy</w:t>
            </w:r>
          </w:p>
        </w:tc>
      </w:tr>
      <w:tr w:rsidR="00346E2F" w:rsidRPr="00ED2BDA" w14:paraId="7538AE1F"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bottom w:val="nil"/>
            </w:tcBorders>
            <w:vAlign w:val="center"/>
          </w:tcPr>
          <w:p w14:paraId="4DC0B6FC" w14:textId="77777777" w:rsidR="00346E2F" w:rsidRPr="00ED2BDA" w:rsidRDefault="00346E2F" w:rsidP="00041126">
            <w:pPr>
              <w:pStyle w:val="TableText0"/>
              <w:keepLines w:val="0"/>
              <w:widowControl w:val="0"/>
              <w:rPr>
                <w:b/>
                <w:szCs w:val="20"/>
              </w:rPr>
            </w:pPr>
            <w:r w:rsidRPr="00ED2BDA">
              <w:rPr>
                <w:b/>
                <w:szCs w:val="20"/>
              </w:rPr>
              <w:t>Clinical criteria:</w:t>
            </w:r>
          </w:p>
        </w:tc>
      </w:tr>
      <w:tr w:rsidR="00346E2F" w:rsidRPr="00ED2BDA" w14:paraId="40E58E08"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tcPr>
          <w:p w14:paraId="1A7CCD88" w14:textId="77777777" w:rsidR="00346E2F" w:rsidRPr="00ED2BDA" w:rsidRDefault="00346E2F" w:rsidP="00041126">
            <w:pPr>
              <w:pStyle w:val="TableText0"/>
              <w:keepLines w:val="0"/>
              <w:widowControl w:val="0"/>
              <w:rPr>
                <w:b/>
                <w:szCs w:val="20"/>
              </w:rPr>
            </w:pPr>
            <w:r w:rsidRPr="00ED2BDA">
              <w:rPr>
                <w:szCs w:val="20"/>
              </w:rPr>
              <w:t>Patient must have previously received PBS-subsidised treatment with this drug for this condition</w:t>
            </w:r>
          </w:p>
        </w:tc>
      </w:tr>
      <w:tr w:rsidR="00346E2F" w:rsidRPr="00ED2BDA" w14:paraId="65FBA119"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tcPr>
          <w:p w14:paraId="4186A884" w14:textId="77777777" w:rsidR="00346E2F" w:rsidRPr="00ED2BDA" w:rsidRDefault="00346E2F" w:rsidP="00041126">
            <w:pPr>
              <w:pStyle w:val="TableText0"/>
              <w:keepLines w:val="0"/>
              <w:widowControl w:val="0"/>
              <w:rPr>
                <w:b/>
                <w:szCs w:val="20"/>
              </w:rPr>
            </w:pPr>
            <w:r w:rsidRPr="00ED2BDA">
              <w:rPr>
                <w:b/>
                <w:szCs w:val="20"/>
              </w:rPr>
              <w:t>AND</w:t>
            </w:r>
          </w:p>
        </w:tc>
      </w:tr>
      <w:tr w:rsidR="00346E2F" w:rsidRPr="00ED2BDA" w14:paraId="6254C0F1"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tcPr>
          <w:p w14:paraId="0160316D" w14:textId="77777777" w:rsidR="00346E2F" w:rsidRPr="00ED2BDA" w:rsidRDefault="00346E2F" w:rsidP="00041126">
            <w:pPr>
              <w:pStyle w:val="TableText0"/>
              <w:keepLines w:val="0"/>
              <w:widowControl w:val="0"/>
              <w:rPr>
                <w:b/>
                <w:szCs w:val="20"/>
              </w:rPr>
            </w:pPr>
            <w:r w:rsidRPr="00ED2BDA">
              <w:rPr>
                <w:szCs w:val="20"/>
              </w:rPr>
              <w:t>The treatment must be in combination with venetoclax (refer to Product Information for timing of acalabrutinib and venetoclax doses)</w:t>
            </w:r>
          </w:p>
        </w:tc>
      </w:tr>
      <w:tr w:rsidR="00346E2F" w:rsidRPr="00ED2BDA" w14:paraId="4A190F17"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bottom w:val="nil"/>
            </w:tcBorders>
            <w:vAlign w:val="center"/>
          </w:tcPr>
          <w:p w14:paraId="687ACD0B" w14:textId="77777777" w:rsidR="00346E2F" w:rsidRPr="00ED2BDA" w:rsidRDefault="00346E2F" w:rsidP="00041126">
            <w:pPr>
              <w:pStyle w:val="TableText0"/>
              <w:keepLines w:val="0"/>
              <w:widowControl w:val="0"/>
              <w:rPr>
                <w:b/>
                <w:szCs w:val="20"/>
              </w:rPr>
            </w:pPr>
            <w:r w:rsidRPr="00ED2BDA">
              <w:rPr>
                <w:b/>
                <w:szCs w:val="20"/>
              </w:rPr>
              <w:t>AND</w:t>
            </w:r>
          </w:p>
        </w:tc>
      </w:tr>
      <w:tr w:rsidR="00346E2F" w:rsidRPr="00ED2BDA" w14:paraId="3EFC5400"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tcBorders>
              <w:top w:val="nil"/>
            </w:tcBorders>
            <w:vAlign w:val="center"/>
          </w:tcPr>
          <w:p w14:paraId="3E64B501" w14:textId="77777777" w:rsidR="00346E2F" w:rsidRPr="00ED2BDA" w:rsidRDefault="00346E2F" w:rsidP="00041126">
            <w:pPr>
              <w:pStyle w:val="TableText0"/>
              <w:keepLines w:val="0"/>
              <w:widowControl w:val="0"/>
              <w:rPr>
                <w:szCs w:val="20"/>
              </w:rPr>
            </w:pPr>
            <w:r w:rsidRPr="00ED2BDA">
              <w:rPr>
                <w:szCs w:val="20"/>
              </w:rPr>
              <w:t xml:space="preserve">The treatment must cease upon disease </w:t>
            </w:r>
            <w:proofErr w:type="gramStart"/>
            <w:r w:rsidRPr="00ED2BDA">
              <w:rPr>
                <w:szCs w:val="20"/>
              </w:rPr>
              <w:t>progression;</w:t>
            </w:r>
            <w:proofErr w:type="gramEnd"/>
            <w:r w:rsidRPr="00ED2BDA">
              <w:rPr>
                <w:szCs w:val="20"/>
              </w:rPr>
              <w:t xml:space="preserve"> OR</w:t>
            </w:r>
          </w:p>
          <w:p w14:paraId="3880C46D" w14:textId="77777777" w:rsidR="00346E2F" w:rsidRPr="00ED2BDA" w:rsidRDefault="00346E2F" w:rsidP="00041126">
            <w:pPr>
              <w:pStyle w:val="TableText0"/>
              <w:keepLines w:val="0"/>
              <w:widowControl w:val="0"/>
              <w:rPr>
                <w:b/>
                <w:szCs w:val="20"/>
              </w:rPr>
            </w:pPr>
            <w:r w:rsidRPr="00ED2BDA">
              <w:rPr>
                <w:szCs w:val="20"/>
              </w:rPr>
              <w:t>The treatment must cease upon completion of 14 cycles of treatment with this drug for this condition, whichever comes first.</w:t>
            </w:r>
          </w:p>
        </w:tc>
      </w:tr>
      <w:tr w:rsidR="00346E2F" w:rsidRPr="00ED2BDA" w14:paraId="4CB22318" w14:textId="77777777" w:rsidTr="00ED2BDA">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2F6BFF" w14:textId="77777777" w:rsidR="00346E2F" w:rsidRPr="00ED2BDA" w:rsidRDefault="00346E2F" w:rsidP="00041126">
            <w:pPr>
              <w:pStyle w:val="TableText0"/>
              <w:keepLines w:val="0"/>
              <w:widowControl w:val="0"/>
              <w:rPr>
                <w:b/>
                <w:szCs w:val="20"/>
              </w:rPr>
            </w:pPr>
            <w:r w:rsidRPr="00ED2BDA">
              <w:rPr>
                <w:b/>
                <w:szCs w:val="20"/>
              </w:rPr>
              <w:t xml:space="preserve">Administrative Advice: </w:t>
            </w:r>
          </w:p>
          <w:p w14:paraId="434F1A56" w14:textId="77777777" w:rsidR="00346E2F" w:rsidRPr="00ED2BDA" w:rsidRDefault="00346E2F" w:rsidP="00041126">
            <w:pPr>
              <w:pStyle w:val="TableText0"/>
              <w:keepLines w:val="0"/>
              <w:widowControl w:val="0"/>
              <w:rPr>
                <w:b/>
                <w:szCs w:val="20"/>
              </w:rPr>
            </w:pPr>
            <w:r w:rsidRPr="00ED2BDA">
              <w:rPr>
                <w:szCs w:val="20"/>
              </w:rPr>
              <w:t>A patient may only qualify for PBS-subsidised treatment under this restriction once in a lifetime.</w:t>
            </w:r>
          </w:p>
        </w:tc>
      </w:tr>
    </w:tbl>
    <w:p w14:paraId="68F91EFE" w14:textId="77777777" w:rsidR="00346E2F" w:rsidRPr="00A55C25" w:rsidRDefault="00346E2F" w:rsidP="00041126">
      <w:pPr>
        <w:pStyle w:val="TableFooter"/>
        <w:keepNext/>
        <w:keepLines/>
      </w:pPr>
      <w:r w:rsidRPr="00A55C25">
        <w:t>Source: Table 1-11, 1-12, 1-13, 1-14, p21-24 of the submission.</w:t>
      </w:r>
    </w:p>
    <w:p w14:paraId="3FC63086" w14:textId="77777777" w:rsidR="00EC79A6" w:rsidRPr="00A55C25" w:rsidRDefault="00EC79A6" w:rsidP="00346E2F">
      <w:pPr>
        <w:pStyle w:val="TableFooter"/>
        <w:keepNext/>
        <w:keepLines/>
      </w:pPr>
    </w:p>
    <w:p w14:paraId="6C4DC2B7" w14:textId="37EC8F79" w:rsidR="00CE5083" w:rsidRPr="00DD26A1" w:rsidRDefault="00CE5083" w:rsidP="00CE5083">
      <w:pPr>
        <w:pStyle w:val="3-BodyText"/>
        <w:numPr>
          <w:ilvl w:val="1"/>
          <w:numId w:val="1"/>
        </w:numPr>
        <w:rPr>
          <w:i/>
          <w:iCs/>
        </w:rPr>
      </w:pPr>
      <w:r w:rsidRPr="00A55C25">
        <w:t xml:space="preserve">The submission requested a Special Pricing Arrangement (SPA) for acalabrutinib in this indication, consisting of a published </w:t>
      </w:r>
      <w:r w:rsidRPr="0078770A">
        <w:t xml:space="preserve">AEMP of $7,251.97 (published DPMQ of </w:t>
      </w:r>
      <w:r w:rsidRPr="0078770A">
        <w:lastRenderedPageBreak/>
        <w:t>$7,414.90) and a</w:t>
      </w:r>
      <w:r w:rsidRPr="00A55C25">
        <w:t>n effective AEMP of $</w:t>
      </w:r>
      <w:r w:rsidR="007C5080" w:rsidRPr="007C5080">
        <w:rPr>
          <w:highlight w:val="black"/>
        </w:rPr>
        <w:t>@@@@</w:t>
      </w:r>
      <w:r w:rsidRPr="00A55C25">
        <w:t xml:space="preserve"> (effective DPMQ of $</w:t>
      </w:r>
      <w:r w:rsidR="007C5080" w:rsidRPr="007C5080">
        <w:rPr>
          <w:highlight w:val="black"/>
        </w:rPr>
        <w:t>@@@@</w:t>
      </w:r>
      <w:r w:rsidRPr="00A55C25">
        <w:t>). The proposed SPA would maintain the same published price per box as the current PBS listing of acalabrutinib, when used as part of the A</w:t>
      </w:r>
      <w:r w:rsidRPr="00A55C25">
        <w:rPr>
          <w:rFonts w:cstheme="minorHAnsi"/>
        </w:rPr>
        <w:t>±</w:t>
      </w:r>
      <w:r w:rsidRPr="00A55C25">
        <w:t>O regimen for previously untreated CLL/SLL, but represents an increase in the effective price (the current effective AEMP is $</w:t>
      </w:r>
      <w:r w:rsidR="007C5080" w:rsidRPr="007C5080">
        <w:rPr>
          <w:highlight w:val="black"/>
        </w:rPr>
        <w:t>@@@@</w:t>
      </w:r>
      <w:r w:rsidRPr="00A55C25">
        <w:t xml:space="preserve"> per box) due to the shorter average treatment duration with the FD regimen (~13 months) compared to the TTP regimen (~50 months).</w:t>
      </w:r>
    </w:p>
    <w:p w14:paraId="5454F6D4" w14:textId="1432D507" w:rsidR="00EC79A6" w:rsidRPr="000E21EC" w:rsidRDefault="005E5618" w:rsidP="00C225D2">
      <w:pPr>
        <w:pStyle w:val="ListParagraph"/>
        <w:numPr>
          <w:ilvl w:val="1"/>
          <w:numId w:val="1"/>
        </w:numPr>
        <w:jc w:val="both"/>
        <w:rPr>
          <w:rFonts w:cs="Calibri"/>
          <w:bCs/>
          <w:iCs/>
        </w:rPr>
      </w:pPr>
      <w:r w:rsidRPr="000E21EC">
        <w:rPr>
          <w:rFonts w:cs="Calibri"/>
          <w:bCs/>
          <w:iCs/>
        </w:rPr>
        <w:t xml:space="preserve">The submission requested Authority Required – Telephone/electronic (via Online PBS Authorities) listings for both initial/grandfathering and continuing treatment, noting that this would be consistent with existing acalabrutinib listings in the R/R setting, and with </w:t>
      </w:r>
      <w:r w:rsidR="00A82493" w:rsidRPr="000E21EC">
        <w:rPr>
          <w:rFonts w:cs="Calibri"/>
          <w:bCs/>
          <w:iCs/>
        </w:rPr>
        <w:t>VO</w:t>
      </w:r>
      <w:r w:rsidRPr="000E21EC">
        <w:rPr>
          <w:rFonts w:cs="Calibri"/>
          <w:bCs/>
          <w:iCs/>
        </w:rPr>
        <w:t xml:space="preserve"> in the first-line setting. </w:t>
      </w:r>
      <w:r w:rsidR="000E21EC" w:rsidRPr="000E21EC">
        <w:rPr>
          <w:rFonts w:cs="Calibri"/>
          <w:bCs/>
          <w:iCs/>
        </w:rPr>
        <w:t>The Secretariat suggested that a</w:t>
      </w:r>
      <w:r w:rsidRPr="000E21EC">
        <w:rPr>
          <w:rFonts w:cs="Calibri"/>
          <w:bCs/>
          <w:iCs/>
        </w:rPr>
        <w:t xml:space="preserve">lternatively, an Authority Required – Written assessment listing could be appropriate for the continuing treatment restriction (treatment cycles 3 to 14 inclusive) of first-line therapy, to help ensure that acalabrutinib is not being administered as monotherapy. </w:t>
      </w:r>
      <w:r w:rsidR="005A0511" w:rsidRPr="000E21EC">
        <w:rPr>
          <w:rFonts w:cs="Calibri"/>
          <w:bCs/>
          <w:iCs/>
        </w:rPr>
        <w:t>T</w:t>
      </w:r>
      <w:r w:rsidR="0048762E" w:rsidRPr="000E21EC">
        <w:rPr>
          <w:rFonts w:cs="Calibri"/>
          <w:bCs/>
          <w:iCs/>
        </w:rPr>
        <w:t xml:space="preserve">he Pre-Sub-Committee Response </w:t>
      </w:r>
      <w:r w:rsidR="00CD6303" w:rsidRPr="000E21EC">
        <w:rPr>
          <w:rFonts w:cs="Calibri"/>
          <w:bCs/>
          <w:iCs/>
        </w:rPr>
        <w:t xml:space="preserve">(PSCR) </w:t>
      </w:r>
      <w:r w:rsidR="004B0014" w:rsidRPr="000E21EC">
        <w:rPr>
          <w:rFonts w:cs="Calibri"/>
          <w:bCs/>
          <w:iCs/>
        </w:rPr>
        <w:t>considere</w:t>
      </w:r>
      <w:r w:rsidR="0048762E" w:rsidRPr="000E21EC">
        <w:rPr>
          <w:rFonts w:cs="Calibri"/>
          <w:bCs/>
          <w:iCs/>
        </w:rPr>
        <w:t xml:space="preserve">d </w:t>
      </w:r>
      <w:r w:rsidR="004B0014" w:rsidRPr="000E21EC">
        <w:rPr>
          <w:rFonts w:cs="Calibri"/>
          <w:bCs/>
          <w:iCs/>
        </w:rPr>
        <w:t>t</w:t>
      </w:r>
      <w:r w:rsidR="004D5AE7" w:rsidRPr="000E21EC">
        <w:rPr>
          <w:rFonts w:cs="Calibri"/>
          <w:bCs/>
          <w:iCs/>
        </w:rPr>
        <w:t xml:space="preserve">his requirement </w:t>
      </w:r>
      <w:r w:rsidR="00E16FDC" w:rsidRPr="000E21EC">
        <w:rPr>
          <w:rFonts w:cs="Calibri"/>
          <w:bCs/>
          <w:iCs/>
        </w:rPr>
        <w:t>unnecessary</w:t>
      </w:r>
      <w:r w:rsidR="00564C01" w:rsidRPr="000E21EC">
        <w:rPr>
          <w:rFonts w:cs="Calibri"/>
          <w:bCs/>
          <w:iCs/>
        </w:rPr>
        <w:t xml:space="preserve">, </w:t>
      </w:r>
      <w:r w:rsidR="00B038D9" w:rsidRPr="000E21EC">
        <w:rPr>
          <w:rFonts w:cs="Calibri"/>
          <w:bCs/>
          <w:iCs/>
        </w:rPr>
        <w:t>asserting that</w:t>
      </w:r>
      <w:r w:rsidR="00564C01" w:rsidRPr="000E21EC">
        <w:rPr>
          <w:rFonts w:cs="Calibri"/>
          <w:bCs/>
          <w:iCs/>
        </w:rPr>
        <w:t xml:space="preserve"> </w:t>
      </w:r>
      <w:r w:rsidR="001D394B" w:rsidRPr="000E21EC">
        <w:rPr>
          <w:rFonts w:cs="Calibri"/>
          <w:bCs/>
          <w:iCs/>
        </w:rPr>
        <w:t>the</w:t>
      </w:r>
      <w:r w:rsidR="00B038D9" w:rsidRPr="000E21EC">
        <w:rPr>
          <w:rFonts w:cs="Calibri"/>
          <w:bCs/>
          <w:iCs/>
        </w:rPr>
        <w:t>re would be a low</w:t>
      </w:r>
      <w:r w:rsidR="001D394B" w:rsidRPr="000E21EC">
        <w:rPr>
          <w:rFonts w:cs="Calibri"/>
          <w:bCs/>
          <w:iCs/>
        </w:rPr>
        <w:t xml:space="preserve"> risk of clinicians prescrib</w:t>
      </w:r>
      <w:r w:rsidR="00456114" w:rsidRPr="000E21EC">
        <w:rPr>
          <w:rFonts w:cs="Calibri"/>
          <w:bCs/>
          <w:iCs/>
        </w:rPr>
        <w:t>ing</w:t>
      </w:r>
      <w:r w:rsidR="001D394B" w:rsidRPr="000E21EC">
        <w:rPr>
          <w:rFonts w:cs="Calibri"/>
          <w:bCs/>
          <w:iCs/>
        </w:rPr>
        <w:t xml:space="preserve"> acalabrutinib as monotherapy </w:t>
      </w:r>
      <w:r w:rsidR="00456114" w:rsidRPr="000E21EC">
        <w:rPr>
          <w:rFonts w:cs="Calibri"/>
          <w:bCs/>
          <w:iCs/>
        </w:rPr>
        <w:t>using the proposed restriction</w:t>
      </w:r>
      <w:r w:rsidR="001D394B" w:rsidRPr="000E21EC">
        <w:rPr>
          <w:rFonts w:cs="Calibri"/>
          <w:bCs/>
          <w:iCs/>
        </w:rPr>
        <w:t>.</w:t>
      </w:r>
      <w:r w:rsidR="008C280A" w:rsidRPr="000E21EC">
        <w:rPr>
          <w:rFonts w:cs="Calibri"/>
          <w:bCs/>
          <w:iCs/>
        </w:rPr>
        <w:t xml:space="preserve"> In support of this assertion, the PSCR stated that there “is no clinical evidence supporting the use of acalabrutinib monotherapy as a FD regimen in first-line CLL/SLL therapy, and this is not reflected in current practice or guidelines”.</w:t>
      </w:r>
    </w:p>
    <w:p w14:paraId="56DA95CD" w14:textId="4CD695C5" w:rsidR="0015525E" w:rsidRPr="00A55C25" w:rsidRDefault="0015525E" w:rsidP="0015525E">
      <w:pPr>
        <w:pStyle w:val="3-BodyText"/>
        <w:numPr>
          <w:ilvl w:val="1"/>
          <w:numId w:val="1"/>
        </w:numPr>
      </w:pPr>
      <w:r w:rsidRPr="00A55C25">
        <w:t>At the proposed recommended FD dosing regimen, initial treatment would provide up to 56 days of treatment when acalabrutinib is given as monotherapy (Cycles 1-2), and continuing treatment would provide up to 6 months of treatment per prescription</w:t>
      </w:r>
      <w:r w:rsidR="00482773" w:rsidRPr="00A55C25">
        <w:t xml:space="preserve"> (</w:t>
      </w:r>
      <w:r w:rsidR="00CC38F3" w:rsidRPr="00A55C25">
        <w:t>original plus 5 repeats)</w:t>
      </w:r>
      <w:r w:rsidRPr="00A55C25">
        <w:t>, with patients requiring two prescriptions to complete the remaining 12 cycles (Cycles 3-14).</w:t>
      </w:r>
      <w:r w:rsidR="00FD574B" w:rsidRPr="00A55C25">
        <w:t xml:space="preserve"> The maximum quantity and number of repeats are appropriate for this indication.</w:t>
      </w:r>
    </w:p>
    <w:p w14:paraId="46EF3234" w14:textId="00E417A7" w:rsidR="008325DC" w:rsidRPr="00A55C25" w:rsidRDefault="008325DC" w:rsidP="00A151D6">
      <w:pPr>
        <w:pStyle w:val="3-BodyText"/>
        <w:numPr>
          <w:ilvl w:val="1"/>
          <w:numId w:val="1"/>
        </w:numPr>
      </w:pPr>
      <w:r w:rsidRPr="00A55C25">
        <w:t xml:space="preserve">The proposed restriction criteria for acalabrutinib </w:t>
      </w:r>
      <w:r w:rsidR="005706A2" w:rsidRPr="00A55C25">
        <w:t>were</w:t>
      </w:r>
      <w:r w:rsidRPr="00A55C25">
        <w:t xml:space="preserve"> consistent with the current criteria of other PBS-listed treatments for the treatment of patients with previously untreated CLL/SLL. Eligible patients must have previously untreated and active disease, defined by the </w:t>
      </w:r>
      <w:r w:rsidR="006E29F4" w:rsidRPr="00A55C25">
        <w:t>International Workshop on Chronic Lymphocytic Leukemia (</w:t>
      </w:r>
      <w:proofErr w:type="spellStart"/>
      <w:r w:rsidRPr="00A55C25">
        <w:t>iwCLL</w:t>
      </w:r>
      <w:proofErr w:type="spellEnd"/>
      <w:r w:rsidR="006E29F4" w:rsidRPr="00A55C25">
        <w:t>)</w:t>
      </w:r>
      <w:r w:rsidRPr="00A55C25">
        <w:t xml:space="preserve"> criteria (latest version), and treatment must be in combination with venetoclax. Patients must cease treatment upon completion of 14 cycles of treatment with acalabrutinib or upon disease progression, whichever comes first. In addition, the submission proposed flow on changes to the current PBS listing of venetoclax to allow treatment in combination with acalabrutinib.</w:t>
      </w:r>
    </w:p>
    <w:p w14:paraId="2F5796CE" w14:textId="2A16D0AB" w:rsidR="00346E2F" w:rsidRPr="00A55C25" w:rsidRDefault="00A151D6" w:rsidP="00346E2F">
      <w:pPr>
        <w:pStyle w:val="3-BodyText"/>
        <w:numPr>
          <w:ilvl w:val="1"/>
          <w:numId w:val="1"/>
        </w:numPr>
      </w:pPr>
      <w:r w:rsidRPr="00A55C25">
        <w:t xml:space="preserve">Although consistent with other </w:t>
      </w:r>
      <w:r w:rsidR="00EA5678" w:rsidRPr="00A55C25">
        <w:t>PBS-listed</w:t>
      </w:r>
      <w:r w:rsidRPr="00A55C25">
        <w:t xml:space="preserve"> treatments, t</w:t>
      </w:r>
      <w:r w:rsidR="00346E2F" w:rsidRPr="00A55C25">
        <w:t xml:space="preserve">he proposed listing </w:t>
      </w:r>
      <w:r w:rsidR="008325DC" w:rsidRPr="00A55C25">
        <w:t xml:space="preserve">was </w:t>
      </w:r>
      <w:r w:rsidR="00346E2F" w:rsidRPr="00A55C25">
        <w:t xml:space="preserve">narrower than the </w:t>
      </w:r>
      <w:r w:rsidR="00A43F1E">
        <w:t xml:space="preserve">proposed </w:t>
      </w:r>
      <w:r w:rsidR="00346E2F" w:rsidRPr="00A55C25">
        <w:t xml:space="preserve">TGA indication in terms of circumstances of use, which includes combination treatment of AV with or without obinutuzumab, but broader than the primary clinical evidence in terms of the proposed eligible population. The AMPLIFY trial only recruited a ‘fit’ population (Eastern Cooperative Oncology Group [ECOG] performance status 0-2, few or mild comorbidities, adequate renal function) without del(17p) or </w:t>
      </w:r>
      <w:r w:rsidR="00346E2F" w:rsidRPr="00045D7C">
        <w:rPr>
          <w:i/>
          <w:iCs/>
        </w:rPr>
        <w:t>TP53</w:t>
      </w:r>
      <w:r w:rsidR="00346E2F" w:rsidRPr="00A55C25">
        <w:t xml:space="preserve"> mutations. The proposed listing does not restrict the eligible population based on Cumulative Illness Rating Scale (CIRS) score and/or creatinine </w:t>
      </w:r>
      <w:r w:rsidR="00346E2F" w:rsidRPr="00A55C25">
        <w:lastRenderedPageBreak/>
        <w:t xml:space="preserve">clearance, consistent with previous PBAC advice that “it would be more clinically appropriate for clinicians/patients to decide the most appropriate treatment regimen for a particular patient, which may involve consideration of a broader range of factors including biological characteristics of the disease and an individual’s specific organ sensitivities (e.g. cardiac or renal risk)” (para 7.4, acalabrutinib </w:t>
      </w:r>
      <w:r w:rsidR="00B3438C">
        <w:t>Public Summary Document [</w:t>
      </w:r>
      <w:r w:rsidR="00346E2F" w:rsidRPr="00A55C25">
        <w:t>PSD</w:t>
      </w:r>
      <w:r w:rsidR="00B3438C">
        <w:t>]</w:t>
      </w:r>
      <w:r w:rsidR="00346E2F" w:rsidRPr="00A55C25">
        <w:t>, December 2022 PBAC meeting).</w:t>
      </w:r>
    </w:p>
    <w:p w14:paraId="59CCE4C1" w14:textId="77777777" w:rsidR="00DD26A1" w:rsidRPr="00DD26A1" w:rsidRDefault="00DD26A1" w:rsidP="00DD26A1">
      <w:pPr>
        <w:pStyle w:val="ListParagraph"/>
        <w:numPr>
          <w:ilvl w:val="0"/>
          <w:numId w:val="0"/>
        </w:numPr>
        <w:ind w:left="720"/>
        <w:rPr>
          <w:i/>
        </w:rPr>
      </w:pPr>
      <w:r w:rsidRPr="00DD26A1">
        <w:rPr>
          <w:i/>
        </w:rPr>
        <w:t>For more detail on PBAC’s view, see section 7 PBAC outcome.</w:t>
      </w:r>
    </w:p>
    <w:p w14:paraId="4E41266A" w14:textId="77777777" w:rsidR="00346E2F" w:rsidRPr="00A55C25" w:rsidDel="00195452" w:rsidRDefault="00346E2F" w:rsidP="00346E2F">
      <w:pPr>
        <w:pStyle w:val="2-SectionHeading"/>
        <w:numPr>
          <w:ilvl w:val="0"/>
          <w:numId w:val="1"/>
        </w:numPr>
      </w:pPr>
      <w:bookmarkStart w:id="14" w:name="_Toc207957912"/>
      <w:r w:rsidRPr="00A55C25" w:rsidDel="00195452">
        <w:t>Population and disease</w:t>
      </w:r>
      <w:bookmarkEnd w:id="14"/>
    </w:p>
    <w:p w14:paraId="3DCFDA06" w14:textId="4D5F4899" w:rsidR="00EF116A" w:rsidRPr="00A55C25" w:rsidRDefault="00346E2F" w:rsidP="00EF116A">
      <w:pPr>
        <w:pStyle w:val="3-BodyText"/>
        <w:numPr>
          <w:ilvl w:val="1"/>
          <w:numId w:val="1"/>
        </w:numPr>
      </w:pPr>
      <w:r w:rsidRPr="00A55C25">
        <w:t>CLL is characterised by the proliferation and accumulation of functionally incompetent B lymphocytes in peripheral blood, bone marrow and lymphoid organs. CLL and SLL are considered the same disease with different manifestations. CLL manifests primarily in the blood, whereas when malignant cells are primarily in lymph nodes, the disease is classified as SLL. Treatment pathways for CLL and SLL are the same. Typical symptoms associated with CLL include swollen lymph nodes, pain, anaemia, infections, increased or unexplained bleeding/bruising, excessive nocturnal sweating and unintentional weight loss.</w:t>
      </w:r>
      <w:r w:rsidR="00EF116A" w:rsidRPr="00A55C25">
        <w:t xml:space="preserve"> </w:t>
      </w:r>
      <w:r w:rsidR="006C40B1" w:rsidRPr="00A55C25">
        <w:t>In general, patients with asymptomatic early-stage disease, and selected patients with later-stage disease can be monitored without therapy until they have evidence of progressive or symptomatic disease (</w:t>
      </w:r>
      <w:proofErr w:type="spellStart"/>
      <w:r w:rsidR="006C40B1" w:rsidRPr="00A55C25">
        <w:t>Hallek</w:t>
      </w:r>
      <w:proofErr w:type="spellEnd"/>
      <w:r w:rsidR="006C40B1" w:rsidRPr="00A55C25">
        <w:t xml:space="preserve"> et al., 2018). The choice of therapy depends on several factors, including age, fitness, comorbidities, the presence of prognostic genetic mutations, and goals of therapy.</w:t>
      </w:r>
    </w:p>
    <w:p w14:paraId="17F4963C" w14:textId="042E7971" w:rsidR="00FE694D" w:rsidRPr="00A55C25" w:rsidRDefault="00346E2F" w:rsidP="002A750F">
      <w:pPr>
        <w:pStyle w:val="3-BodyText"/>
        <w:numPr>
          <w:ilvl w:val="1"/>
          <w:numId w:val="1"/>
        </w:numPr>
      </w:pPr>
      <w:r w:rsidRPr="00A55C25">
        <w:t>Acalabrutinib is an orally administered selective small-molecule second-generation Bruton’s tyrosine kinase (BTK) inhibitor. Over signalling of BTK may contribute to B cell malignancies, such as CLL. As a second-generation BTK inhibitor, acalabrutinib is more selective in target binding when compared to the first-generation BTK inhibitor ibrutinib, causing fewer side effects.</w:t>
      </w:r>
      <w:r w:rsidR="00FE694D" w:rsidRPr="00A55C25">
        <w:t xml:space="preserve"> </w:t>
      </w:r>
      <w:r w:rsidR="00494220" w:rsidRPr="00A55C25">
        <w:t xml:space="preserve">The </w:t>
      </w:r>
      <w:r w:rsidRPr="00A55C25">
        <w:t xml:space="preserve">AV </w:t>
      </w:r>
      <w:r w:rsidR="00494220" w:rsidRPr="00A55C25">
        <w:t xml:space="preserve">treatment regimen </w:t>
      </w:r>
      <w:r w:rsidRPr="00A55C25">
        <w:t>is the first combin</w:t>
      </w:r>
      <w:r w:rsidR="00494220" w:rsidRPr="00A55C25">
        <w:t>ation of</w:t>
      </w:r>
      <w:r w:rsidRPr="00A55C25">
        <w:t xml:space="preserve"> a second-generation BTKi with venetoclax. Venetoclax is a selective, orally bioavailable small-molecule BCL-2 inhibitor. BCL-2 is overexpressed in CLL cells, where it mediates tumour cell survival by blocking programmed cell death, causing resistance to chemotherapeutics.</w:t>
      </w:r>
      <w:r w:rsidR="00FE694D" w:rsidRPr="00A55C25">
        <w:t xml:space="preserve"> </w:t>
      </w:r>
    </w:p>
    <w:p w14:paraId="3BE80DA0" w14:textId="05F59CC6" w:rsidR="00346E2F" w:rsidRPr="00DD26A1" w:rsidRDefault="00346E2F" w:rsidP="002A750F">
      <w:pPr>
        <w:pStyle w:val="3-BodyText"/>
        <w:numPr>
          <w:ilvl w:val="1"/>
          <w:numId w:val="1"/>
        </w:numPr>
      </w:pPr>
      <w:r w:rsidRPr="00A55C25">
        <w:t xml:space="preserve">The submission positioned AV as an all-oral alternative treatment option to the available PBS-listed treatment options for previously untreated CLL/SLL, including </w:t>
      </w:r>
      <w:r w:rsidR="00494220" w:rsidRPr="00A55C25">
        <w:t xml:space="preserve">other </w:t>
      </w:r>
      <w:r w:rsidRPr="00A55C25">
        <w:t xml:space="preserve">FD </w:t>
      </w:r>
      <w:r w:rsidR="00494220" w:rsidRPr="00A55C25">
        <w:t>regimens (IV, and VO) as well as TTP regimens (</w:t>
      </w:r>
      <w:r w:rsidRPr="00A55C25">
        <w:t>zanubrutinib, and A</w:t>
      </w:r>
      <w:r w:rsidRPr="00A55C25">
        <w:rPr>
          <w:rFonts w:cstheme="minorHAnsi"/>
        </w:rPr>
        <w:t>±</w:t>
      </w:r>
      <w:r w:rsidRPr="00A55C25">
        <w:t xml:space="preserve">O). The use of AV in this setting </w:t>
      </w:r>
      <w:r w:rsidR="00494220" w:rsidRPr="00A55C25">
        <w:t xml:space="preserve">was </w:t>
      </w:r>
      <w:r w:rsidRPr="00A55C25">
        <w:t xml:space="preserve">consistent with </w:t>
      </w:r>
      <w:r w:rsidR="00494220" w:rsidRPr="00A55C25">
        <w:t xml:space="preserve">latest </w:t>
      </w:r>
      <w:r w:rsidRPr="00A55C25">
        <w:t>NCCN, ESMO and Australian consensus guidelines, which use fitness and genetic features to direct therapy but recommend BTK inhibitors in all populations</w:t>
      </w:r>
      <w:r w:rsidRPr="00A55C25">
        <w:rPr>
          <w:i/>
          <w:iCs/>
        </w:rPr>
        <w:t>.</w:t>
      </w:r>
    </w:p>
    <w:p w14:paraId="39F83A6C" w14:textId="77777777" w:rsidR="00DD26A1" w:rsidRPr="00DD26A1" w:rsidRDefault="00DD26A1" w:rsidP="00DD26A1">
      <w:pPr>
        <w:pStyle w:val="ListParagraph"/>
        <w:numPr>
          <w:ilvl w:val="0"/>
          <w:numId w:val="0"/>
        </w:numPr>
        <w:ind w:left="720"/>
        <w:rPr>
          <w:i/>
        </w:rPr>
      </w:pPr>
      <w:r w:rsidRPr="00DD26A1">
        <w:rPr>
          <w:i/>
        </w:rPr>
        <w:t>For more detail on PBAC’s view, see section 7 PBAC outcome.</w:t>
      </w:r>
    </w:p>
    <w:p w14:paraId="505F7848" w14:textId="77777777" w:rsidR="00346E2F" w:rsidRPr="00A55C25" w:rsidRDefault="00346E2F" w:rsidP="00346E2F">
      <w:pPr>
        <w:pStyle w:val="2-SectionHeading"/>
        <w:numPr>
          <w:ilvl w:val="0"/>
          <w:numId w:val="1"/>
        </w:numPr>
      </w:pPr>
      <w:bookmarkStart w:id="15" w:name="_Toc207957913"/>
      <w:r w:rsidRPr="00A55C25">
        <w:t>Comparator</w:t>
      </w:r>
      <w:bookmarkEnd w:id="15"/>
    </w:p>
    <w:p w14:paraId="27C17AAB" w14:textId="278C9047" w:rsidR="004E0054" w:rsidRPr="00A55C25" w:rsidRDefault="004E0054" w:rsidP="004E0054">
      <w:pPr>
        <w:pStyle w:val="3-BodyText"/>
        <w:numPr>
          <w:ilvl w:val="1"/>
          <w:numId w:val="1"/>
        </w:numPr>
      </w:pPr>
      <w:r w:rsidRPr="00A55C25">
        <w:t xml:space="preserve">The submission nominated IV and VO as relevant comparators. The main argument provided in support of this nomination </w:t>
      </w:r>
      <w:r w:rsidR="007D2F1B" w:rsidRPr="00A55C25">
        <w:t xml:space="preserve">was </w:t>
      </w:r>
      <w:r w:rsidRPr="00A55C25">
        <w:t xml:space="preserve">that IV and VO are FD regimens currently </w:t>
      </w:r>
      <w:r w:rsidRPr="00A55C25">
        <w:lastRenderedPageBreak/>
        <w:t>PBS listed for previously untreated CLL/SLL. The submission also identified zanubrutinib and A</w:t>
      </w:r>
      <w:r w:rsidRPr="00A55C25">
        <w:rPr>
          <w:rFonts w:cs="Calibri"/>
        </w:rPr>
        <w:t>±</w:t>
      </w:r>
      <w:r w:rsidRPr="00A55C25">
        <w:t xml:space="preserve">O as potential comparators, which are also PBS listed for previously untreated CLL/SLL but </w:t>
      </w:r>
      <w:r w:rsidR="007D2F1B" w:rsidRPr="00A55C25">
        <w:t xml:space="preserve">use </w:t>
      </w:r>
      <w:r w:rsidRPr="00A55C25">
        <w:t>a TTP dosing strategy. The submission stated that only current FD regimens were nominated as comparators, both for simplicity and because the treatment pathway favours FD dosing compared to TTP (implying doctors first decide upon dosing strategy before treatment). The submission noted that zanubrutinib and A</w:t>
      </w:r>
      <w:r w:rsidRPr="00A55C25">
        <w:rPr>
          <w:rFonts w:cs="Calibri"/>
        </w:rPr>
        <w:t>±</w:t>
      </w:r>
      <w:r w:rsidRPr="00A55C25">
        <w:t xml:space="preserve">O were each recommended </w:t>
      </w:r>
      <w:proofErr w:type="gramStart"/>
      <w:r w:rsidRPr="00A55C25">
        <w:t>on the basis of</w:t>
      </w:r>
      <w:proofErr w:type="gramEnd"/>
      <w:r w:rsidRPr="00A55C25">
        <w:t xml:space="preserve"> a cost-minimisation </w:t>
      </w:r>
      <w:r w:rsidR="009D6101" w:rsidRPr="00A55C25">
        <w:t>approach</w:t>
      </w:r>
      <w:r w:rsidRPr="00A55C25">
        <w:t xml:space="preserve"> versus VO, in March 2023 and July 202</w:t>
      </w:r>
      <w:r w:rsidR="00FF4D9F" w:rsidRPr="00A55C25">
        <w:t>3</w:t>
      </w:r>
      <w:r w:rsidRPr="00A55C25">
        <w:t xml:space="preserve"> respectively.</w:t>
      </w:r>
    </w:p>
    <w:p w14:paraId="6EB78507" w14:textId="07527299" w:rsidR="00446E71" w:rsidRPr="00A55C25" w:rsidRDefault="004E0054" w:rsidP="00446E71">
      <w:pPr>
        <w:pStyle w:val="3-BodyText"/>
        <w:numPr>
          <w:ilvl w:val="1"/>
          <w:numId w:val="1"/>
        </w:numPr>
      </w:pPr>
      <w:r w:rsidRPr="00A55C25">
        <w:t xml:space="preserve">The submission argued that AV </w:t>
      </w:r>
      <w:r w:rsidR="00C16184" w:rsidRPr="00A55C25">
        <w:t xml:space="preserve">(an all-oral regimen) </w:t>
      </w:r>
      <w:r w:rsidRPr="00A55C25">
        <w:t xml:space="preserve">was expected to largely replace IV </w:t>
      </w:r>
      <w:r w:rsidR="00C16184" w:rsidRPr="00A55C25">
        <w:t xml:space="preserve">(an all-oral regimen) </w:t>
      </w:r>
      <w:r w:rsidRPr="00A55C25">
        <w:t xml:space="preserve">due to its safety profile, and </w:t>
      </w:r>
      <w:r w:rsidR="00776298" w:rsidRPr="00A55C25">
        <w:t xml:space="preserve">that it </w:t>
      </w:r>
      <w:r w:rsidRPr="00A55C25">
        <w:t xml:space="preserve">will also replace VO </w:t>
      </w:r>
      <w:r w:rsidR="00C16184" w:rsidRPr="00A55C25">
        <w:t xml:space="preserve">(an oral + intravenous infusion regimen) </w:t>
      </w:r>
      <w:r w:rsidRPr="00A55C25">
        <w:t>to some extent due to the convenience of the all-oral formulation.</w:t>
      </w:r>
      <w:r w:rsidR="00C16184" w:rsidRPr="00A55C25">
        <w:rPr>
          <w:i/>
          <w:iCs/>
        </w:rPr>
        <w:t xml:space="preserve"> </w:t>
      </w:r>
      <w:r w:rsidR="00531F97" w:rsidRPr="00A55C25">
        <w:t xml:space="preserve">This argument was poorly justified. While AV and IV are more easily interchangeable as they are both </w:t>
      </w:r>
      <w:proofErr w:type="gramStart"/>
      <w:r w:rsidR="00531F97" w:rsidRPr="00A55C25">
        <w:t>all oral</w:t>
      </w:r>
      <w:proofErr w:type="gramEnd"/>
      <w:r w:rsidR="00531F97" w:rsidRPr="00A55C25">
        <w:t xml:space="preserve"> regimens, VO is more established as a treatment option and may have more scope for replacement. A similar argument could also be made for substitution away from the TTP regimens (e.g. zanubrutinib and A</w:t>
      </w:r>
      <w:r w:rsidR="00531F97" w:rsidRPr="00A55C25">
        <w:rPr>
          <w:rFonts w:cs="Calibri"/>
        </w:rPr>
        <w:t>±</w:t>
      </w:r>
      <w:r w:rsidR="00531F97" w:rsidRPr="00A55C25">
        <w:t>O) due to the more convenient shorter duration of treatment with the FD regimens. Given the recent listing of IV (</w:t>
      </w:r>
      <w:r w:rsidR="009F6B0E" w:rsidRPr="00A55C25">
        <w:t xml:space="preserve">recommended in </w:t>
      </w:r>
      <w:r w:rsidR="00531F97" w:rsidRPr="00A55C25">
        <w:t>March 2024) and A</w:t>
      </w:r>
      <w:r w:rsidR="00531F97" w:rsidRPr="00A55C25">
        <w:rPr>
          <w:rFonts w:cs="Calibri"/>
        </w:rPr>
        <w:t>±</w:t>
      </w:r>
      <w:r w:rsidR="00531F97" w:rsidRPr="00A55C25">
        <w:t>O (</w:t>
      </w:r>
      <w:r w:rsidR="009F6B0E" w:rsidRPr="00A55C25">
        <w:t xml:space="preserve">recommended in </w:t>
      </w:r>
      <w:r w:rsidR="00531F97" w:rsidRPr="00A55C25">
        <w:t xml:space="preserve">July 2023), </w:t>
      </w:r>
      <w:r w:rsidR="007D2F1B" w:rsidRPr="00A55C25">
        <w:t xml:space="preserve">the current </w:t>
      </w:r>
      <w:r w:rsidR="00531F97" w:rsidRPr="00A55C25">
        <w:t>treatment patterns for previously untreated CLL/SLL are unclear, reflecting an immature and evolving market.</w:t>
      </w:r>
      <w:r w:rsidR="00A83FA3" w:rsidRPr="00A55C25">
        <w:t xml:space="preserve"> </w:t>
      </w:r>
    </w:p>
    <w:p w14:paraId="362E634C" w14:textId="473BB437" w:rsidR="00A83FA3" w:rsidRPr="00A55C25" w:rsidRDefault="00346E2F" w:rsidP="00A83FA3">
      <w:pPr>
        <w:pStyle w:val="3-BodyText"/>
        <w:numPr>
          <w:ilvl w:val="1"/>
          <w:numId w:val="1"/>
        </w:numPr>
      </w:pPr>
      <w:r w:rsidRPr="00A55C25">
        <w:t xml:space="preserve">In the context of the cost-minimisation approach taken by the submission, a further consideration for PBAC is that, under Section 101(3B) of the </w:t>
      </w:r>
      <w:r w:rsidRPr="00821EB7">
        <w:rPr>
          <w:i/>
          <w:iCs/>
        </w:rPr>
        <w:t>National Health Act 1953</w:t>
      </w:r>
      <w:r w:rsidRPr="00A55C25">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For the requested population, both the FD treatments (IV and VO) and the TTP treatments (zanubrutinib and A</w:t>
      </w:r>
      <w:r w:rsidRPr="00A55C25">
        <w:rPr>
          <w:rFonts w:cs="Calibri"/>
        </w:rPr>
        <w:t xml:space="preserve">±O) </w:t>
      </w:r>
      <w:r w:rsidRPr="00A55C25">
        <w:t>may be considered alternative therapies because they could be replaced in practice. A comparison of costs between all four of the alternative therapies was conducted during the evaluation</w:t>
      </w:r>
      <w:r w:rsidR="00702319">
        <w:t>.</w:t>
      </w:r>
      <w:r w:rsidRPr="00A55C25">
        <w:t xml:space="preserve"> </w:t>
      </w:r>
    </w:p>
    <w:p w14:paraId="02C8863B" w14:textId="72359361" w:rsidR="00446E71" w:rsidRDefault="00446E71" w:rsidP="00A83FA3">
      <w:pPr>
        <w:pStyle w:val="3-BodyText"/>
        <w:numPr>
          <w:ilvl w:val="1"/>
          <w:numId w:val="1"/>
        </w:numPr>
      </w:pPr>
      <w:r w:rsidRPr="00A55C25">
        <w:t>Recently published abstracts found zanubrutinib had a favourable progression free survival (PFS) over AV (via network meta-analysis (Shadman et al., 2025): HR 0.41, 95% CI 0.25-0.67; via matching-adjusted indirect treatment comparison</w:t>
      </w:r>
      <w:r w:rsidR="00D61411">
        <w:t xml:space="preserve"> (MAIC)</w:t>
      </w:r>
      <w:r w:rsidRPr="00A55C25">
        <w:t xml:space="preserve"> (Munir et al., 2025): HR 0.23, 95% CI 0.12-0.48). These results should be interpreted </w:t>
      </w:r>
      <w:r w:rsidR="00BB73B3" w:rsidRPr="00A55C25">
        <w:t xml:space="preserve">with caution </w:t>
      </w:r>
      <w:r w:rsidRPr="00A55C25">
        <w:t>considering the limitations and assumptions of NMA and MAIC methodologies, noting the studies have not been published in full peer-reviewed form.</w:t>
      </w:r>
    </w:p>
    <w:p w14:paraId="138E529F" w14:textId="77777777" w:rsidR="00DD26A1" w:rsidRPr="00DD26A1" w:rsidRDefault="00DD26A1" w:rsidP="00DD26A1">
      <w:pPr>
        <w:pStyle w:val="ListParagraph"/>
        <w:numPr>
          <w:ilvl w:val="0"/>
          <w:numId w:val="0"/>
        </w:numPr>
        <w:ind w:left="720"/>
        <w:rPr>
          <w:i/>
        </w:rPr>
      </w:pPr>
      <w:r w:rsidRPr="00DD26A1">
        <w:rPr>
          <w:i/>
        </w:rPr>
        <w:t>For more detail on PBAC’s view, see section 7 PBAC outcome.</w:t>
      </w:r>
    </w:p>
    <w:p w14:paraId="08305679" w14:textId="2E4A955F" w:rsidR="00346E2F" w:rsidRPr="00A55C25" w:rsidRDefault="00346E2F" w:rsidP="00A83FA3">
      <w:pPr>
        <w:pStyle w:val="2-SectionHeading"/>
        <w:numPr>
          <w:ilvl w:val="0"/>
          <w:numId w:val="1"/>
        </w:numPr>
      </w:pPr>
      <w:bookmarkStart w:id="16" w:name="_Toc207957914"/>
      <w:bookmarkStart w:id="17" w:name="_Toc22897640"/>
      <w:r w:rsidRPr="00A55C25">
        <w:t>Consideration of the evidence</w:t>
      </w:r>
      <w:bookmarkEnd w:id="16"/>
    </w:p>
    <w:p w14:paraId="2B16329F" w14:textId="77777777" w:rsidR="003A4081" w:rsidRPr="006E1229" w:rsidRDefault="003A4081" w:rsidP="00EC7ECF">
      <w:pPr>
        <w:pStyle w:val="4-SubsectionHeading"/>
      </w:pPr>
      <w:bookmarkStart w:id="18" w:name="_Hlk76375935"/>
      <w:bookmarkStart w:id="19" w:name="_Toc207957915"/>
      <w:r w:rsidRPr="006E1229">
        <w:t>Sponsor hearing</w:t>
      </w:r>
    </w:p>
    <w:p w14:paraId="69FE3458" w14:textId="005D2543" w:rsidR="003A4081" w:rsidRPr="00F91542" w:rsidRDefault="003A4081" w:rsidP="003A4081">
      <w:pPr>
        <w:widowControl w:val="0"/>
        <w:numPr>
          <w:ilvl w:val="1"/>
          <w:numId w:val="1"/>
        </w:numPr>
        <w:spacing w:after="120"/>
        <w:rPr>
          <w:rFonts w:cs="Calibri"/>
          <w:bCs/>
          <w:snapToGrid w:val="0"/>
        </w:rPr>
      </w:pPr>
      <w:r w:rsidRPr="00F91542">
        <w:rPr>
          <w:rFonts w:cs="Calibri"/>
          <w:bCs/>
          <w:snapToGrid w:val="0"/>
        </w:rPr>
        <w:t>There was no hearing for this item.</w:t>
      </w:r>
    </w:p>
    <w:p w14:paraId="07727081" w14:textId="77777777" w:rsidR="003A4081" w:rsidRPr="006E1229" w:rsidRDefault="003A4081" w:rsidP="00EC7ECF">
      <w:pPr>
        <w:pStyle w:val="4-SubsectionHeading"/>
      </w:pPr>
      <w:r w:rsidRPr="006E1229">
        <w:lastRenderedPageBreak/>
        <w:t>Consumer comments</w:t>
      </w:r>
    </w:p>
    <w:p w14:paraId="4C52C5D3" w14:textId="0E726D03" w:rsidR="001802ED" w:rsidRPr="00836F75" w:rsidRDefault="003A4081" w:rsidP="001802ED">
      <w:pPr>
        <w:widowControl w:val="0"/>
        <w:numPr>
          <w:ilvl w:val="1"/>
          <w:numId w:val="1"/>
        </w:numPr>
        <w:spacing w:after="120"/>
        <w:rPr>
          <w:rFonts w:asciiTheme="minorHAnsi" w:hAnsiTheme="minorHAnsi"/>
          <w:bCs/>
          <w:snapToGrid w:val="0"/>
        </w:rPr>
      </w:pPr>
      <w:bookmarkStart w:id="20" w:name="_Hlk76382618"/>
      <w:r w:rsidRPr="00836F75">
        <w:rPr>
          <w:rFonts w:asciiTheme="minorHAnsi" w:hAnsiTheme="minorHAnsi"/>
          <w:bCs/>
          <w:snapToGrid w:val="0"/>
        </w:rPr>
        <w:t xml:space="preserve">The PBAC noted and welcomed the input from </w:t>
      </w:r>
      <w:r w:rsidR="005E1B4F">
        <w:rPr>
          <w:rFonts w:asciiTheme="minorHAnsi" w:hAnsiTheme="minorHAnsi"/>
          <w:bCs/>
          <w:snapToGrid w:val="0"/>
        </w:rPr>
        <w:t>L</w:t>
      </w:r>
      <w:r w:rsidR="002C1265">
        <w:rPr>
          <w:rFonts w:asciiTheme="minorHAnsi" w:hAnsiTheme="minorHAnsi"/>
          <w:bCs/>
          <w:snapToGrid w:val="0"/>
        </w:rPr>
        <w:t xml:space="preserve">ymphoma Australia and </w:t>
      </w:r>
      <w:r w:rsidR="005E1B4F">
        <w:rPr>
          <w:rFonts w:asciiTheme="minorHAnsi" w:hAnsiTheme="minorHAnsi"/>
          <w:bCs/>
          <w:snapToGrid w:val="0"/>
        </w:rPr>
        <w:t>Rare Cancers Australia</w:t>
      </w:r>
      <w:r w:rsidRPr="00836F75">
        <w:rPr>
          <w:rFonts w:asciiTheme="minorHAnsi" w:hAnsiTheme="minorHAnsi"/>
          <w:bCs/>
          <w:snapToGrid w:val="0"/>
        </w:rPr>
        <w:t xml:space="preserve"> via the Consumer Comments facility on the PBS website.  The comments</w:t>
      </w:r>
      <w:r w:rsidR="001802ED">
        <w:rPr>
          <w:rFonts w:asciiTheme="minorHAnsi" w:hAnsiTheme="minorHAnsi"/>
          <w:bCs/>
          <w:snapToGrid w:val="0"/>
        </w:rPr>
        <w:t xml:space="preserve"> </w:t>
      </w:r>
      <w:r w:rsidR="006E206B">
        <w:rPr>
          <w:rFonts w:asciiTheme="minorHAnsi" w:hAnsiTheme="minorHAnsi"/>
          <w:bCs/>
          <w:snapToGrid w:val="0"/>
        </w:rPr>
        <w:t>were supportive of listing, stating that</w:t>
      </w:r>
      <w:r w:rsidR="00335C4A">
        <w:rPr>
          <w:rFonts w:asciiTheme="minorHAnsi" w:hAnsiTheme="minorHAnsi"/>
          <w:bCs/>
          <w:snapToGrid w:val="0"/>
        </w:rPr>
        <w:t xml:space="preserve"> the</w:t>
      </w:r>
      <w:r w:rsidR="005B5281">
        <w:rPr>
          <w:rFonts w:asciiTheme="minorHAnsi" w:hAnsiTheme="minorHAnsi"/>
          <w:bCs/>
          <w:snapToGrid w:val="0"/>
        </w:rPr>
        <w:t xml:space="preserve">re is </w:t>
      </w:r>
      <w:r w:rsidR="00335C4A">
        <w:rPr>
          <w:rFonts w:asciiTheme="minorHAnsi" w:hAnsiTheme="minorHAnsi"/>
          <w:bCs/>
          <w:snapToGrid w:val="0"/>
        </w:rPr>
        <w:t>patient preference for targeted time-limited therapies.</w:t>
      </w:r>
    </w:p>
    <w:bookmarkEnd w:id="18"/>
    <w:bookmarkEnd w:id="20"/>
    <w:p w14:paraId="41721E39" w14:textId="77777777" w:rsidR="00346E2F" w:rsidRPr="00223F7C" w:rsidRDefault="00346E2F" w:rsidP="00346E2F">
      <w:pPr>
        <w:pStyle w:val="4-SubsectionHeading"/>
        <w:rPr>
          <w:iCs/>
        </w:rPr>
      </w:pPr>
      <w:r w:rsidRPr="00223F7C">
        <w:rPr>
          <w:iCs/>
        </w:rPr>
        <w:t>Clinical trials</w:t>
      </w:r>
      <w:bookmarkEnd w:id="17"/>
      <w:bookmarkEnd w:id="19"/>
    </w:p>
    <w:p w14:paraId="02B78B1E" w14:textId="444CE2A5" w:rsidR="005137AF" w:rsidRPr="00A55C25" w:rsidRDefault="00346E2F" w:rsidP="00346E2F">
      <w:pPr>
        <w:pStyle w:val="3-BodyText"/>
        <w:numPr>
          <w:ilvl w:val="1"/>
          <w:numId w:val="1"/>
        </w:numPr>
      </w:pPr>
      <w:r w:rsidRPr="00A55C25">
        <w:t xml:space="preserve">No head-to-head trials comparing AV to the nominated comparators </w:t>
      </w:r>
      <w:r w:rsidR="002C4AAE" w:rsidRPr="00A55C25">
        <w:t xml:space="preserve">in the proposed population </w:t>
      </w:r>
      <w:r w:rsidRPr="00A55C25">
        <w:t>were identified</w:t>
      </w:r>
      <w:r w:rsidR="002C4AAE" w:rsidRPr="00A55C25">
        <w:t>.</w:t>
      </w:r>
      <w:r w:rsidR="005137AF" w:rsidRPr="00A55C25">
        <w:t xml:space="preserve"> In the absence of head-to-head evidence, the submission was based on indirect evidence from </w:t>
      </w:r>
      <w:r w:rsidR="00C54FEC" w:rsidRPr="00A55C25">
        <w:t>six trials/studies:</w:t>
      </w:r>
    </w:p>
    <w:p w14:paraId="740E5F7A" w14:textId="43270553" w:rsidR="00C54FEC" w:rsidRPr="00A55C25" w:rsidRDefault="00C54FEC" w:rsidP="00A900A7">
      <w:pPr>
        <w:pStyle w:val="3-BodyText"/>
        <w:numPr>
          <w:ilvl w:val="0"/>
          <w:numId w:val="6"/>
        </w:numPr>
      </w:pPr>
      <w:r w:rsidRPr="00A55C25">
        <w:t>One RCT comparing AV vs fludarabine, cyclophosphamide and rituximab (FCR)/</w:t>
      </w:r>
      <w:r w:rsidR="000E7AB9" w:rsidRPr="00A55C25">
        <w:t xml:space="preserve"> </w:t>
      </w:r>
      <w:r w:rsidRPr="00A55C25">
        <w:t xml:space="preserve">bendamustine and rituximab (BR) in </w:t>
      </w:r>
      <w:r w:rsidR="00ED6C73" w:rsidRPr="00A55C25">
        <w:t>‘</w:t>
      </w:r>
      <w:r w:rsidRPr="00A55C25">
        <w:t>fit</w:t>
      </w:r>
      <w:r w:rsidR="00ED6C73" w:rsidRPr="00A55C25">
        <w:t>’</w:t>
      </w:r>
      <w:r w:rsidRPr="00A55C25">
        <w:t xml:space="preserve"> patients (AMPLIFY)</w:t>
      </w:r>
    </w:p>
    <w:p w14:paraId="0F4C240D" w14:textId="2CF2568C" w:rsidR="00C54FEC" w:rsidRPr="00A55C25" w:rsidRDefault="00C54FEC" w:rsidP="00A900A7">
      <w:pPr>
        <w:pStyle w:val="3-BodyText"/>
        <w:numPr>
          <w:ilvl w:val="0"/>
          <w:numId w:val="6"/>
        </w:numPr>
      </w:pPr>
      <w:r w:rsidRPr="00A55C25">
        <w:t xml:space="preserve">Two RCTs comparing VO </w:t>
      </w:r>
      <w:r w:rsidR="00F1007A" w:rsidRPr="00A55C25">
        <w:t>vs</w:t>
      </w:r>
      <w:r w:rsidRPr="00A55C25">
        <w:t xml:space="preserve"> FCR/BR in </w:t>
      </w:r>
      <w:r w:rsidR="00ED6C73" w:rsidRPr="00A55C25">
        <w:t>‘</w:t>
      </w:r>
      <w:r w:rsidRPr="00A55C25">
        <w:t>fit</w:t>
      </w:r>
      <w:r w:rsidR="00ED6C73" w:rsidRPr="00A55C25">
        <w:t>’</w:t>
      </w:r>
      <w:r w:rsidRPr="00A55C25">
        <w:t xml:space="preserve"> patients (CLL13 and CRISTALLO)</w:t>
      </w:r>
    </w:p>
    <w:p w14:paraId="37620FDF" w14:textId="6B43EDFC" w:rsidR="00C54FEC" w:rsidRPr="00A55C25" w:rsidRDefault="00C54FEC" w:rsidP="00A900A7">
      <w:pPr>
        <w:pStyle w:val="3-BodyText"/>
        <w:numPr>
          <w:ilvl w:val="0"/>
          <w:numId w:val="6"/>
        </w:numPr>
      </w:pPr>
      <w:r w:rsidRPr="00A55C25">
        <w:t xml:space="preserve">One RCT comparing VO </w:t>
      </w:r>
      <w:r w:rsidR="00F1007A" w:rsidRPr="00A55C25">
        <w:t>vs</w:t>
      </w:r>
      <w:r w:rsidR="00601A74" w:rsidRPr="00A55C25">
        <w:t xml:space="preserve"> chlorambucil and obinutuzumab</w:t>
      </w:r>
      <w:r w:rsidRPr="00A55C25">
        <w:t xml:space="preserve"> </w:t>
      </w:r>
      <w:r w:rsidR="00601A74" w:rsidRPr="00A55C25">
        <w:t>(</w:t>
      </w:r>
      <w:r w:rsidR="00F1007A" w:rsidRPr="00A55C25">
        <w:t>ChIO</w:t>
      </w:r>
      <w:r w:rsidR="00601A74" w:rsidRPr="00A55C25">
        <w:t>)</w:t>
      </w:r>
      <w:r w:rsidRPr="00A55C25">
        <w:t xml:space="preserve"> in </w:t>
      </w:r>
      <w:r w:rsidR="00ED6C73" w:rsidRPr="00A55C25">
        <w:t>‘</w:t>
      </w:r>
      <w:r w:rsidR="00B14248" w:rsidRPr="00A55C25">
        <w:t>unfit</w:t>
      </w:r>
      <w:r w:rsidR="00ED6C73" w:rsidRPr="00A55C25">
        <w:t>’</w:t>
      </w:r>
      <w:r w:rsidRPr="00A55C25">
        <w:t xml:space="preserve"> patients (CLL14)</w:t>
      </w:r>
    </w:p>
    <w:p w14:paraId="4AF6AE34" w14:textId="7446B81B" w:rsidR="00C54FEC" w:rsidRPr="00A55C25" w:rsidRDefault="00C54FEC" w:rsidP="00A900A7">
      <w:pPr>
        <w:pStyle w:val="3-BodyText"/>
        <w:numPr>
          <w:ilvl w:val="0"/>
          <w:numId w:val="6"/>
        </w:numPr>
      </w:pPr>
      <w:r w:rsidRPr="00A55C25">
        <w:t xml:space="preserve">One RCT comparing IV to </w:t>
      </w:r>
      <w:r w:rsidR="00F1007A" w:rsidRPr="00A55C25">
        <w:t>ChIO</w:t>
      </w:r>
      <w:r w:rsidRPr="00A55C25">
        <w:t xml:space="preserve"> in </w:t>
      </w:r>
      <w:r w:rsidR="00ED6C73" w:rsidRPr="00A55C25">
        <w:t>‘</w:t>
      </w:r>
      <w:r w:rsidR="00B14248" w:rsidRPr="00A55C25">
        <w:t>unfit</w:t>
      </w:r>
      <w:r w:rsidR="00ED6C73" w:rsidRPr="00A55C25">
        <w:t>’</w:t>
      </w:r>
      <w:r w:rsidRPr="00A55C25">
        <w:t xml:space="preserve"> patients (GLOW)</w:t>
      </w:r>
    </w:p>
    <w:p w14:paraId="267E9D9E" w14:textId="00F21839" w:rsidR="00C54FEC" w:rsidRPr="00A55C25" w:rsidRDefault="00C54FEC" w:rsidP="00A900A7">
      <w:pPr>
        <w:pStyle w:val="3-BodyText"/>
        <w:numPr>
          <w:ilvl w:val="0"/>
          <w:numId w:val="6"/>
        </w:numPr>
      </w:pPr>
      <w:r w:rsidRPr="00A55C25">
        <w:t xml:space="preserve">One single arm study of IV in </w:t>
      </w:r>
      <w:r w:rsidR="00ED6C73" w:rsidRPr="00A55C25">
        <w:t>‘</w:t>
      </w:r>
      <w:r w:rsidR="00B14248" w:rsidRPr="00A55C25">
        <w:t>fit</w:t>
      </w:r>
      <w:r w:rsidR="00ED6C73" w:rsidRPr="00A55C25">
        <w:t>’</w:t>
      </w:r>
      <w:r w:rsidRPr="00A55C25">
        <w:t xml:space="preserve"> patients (CAPTIVATE)</w:t>
      </w:r>
    </w:p>
    <w:p w14:paraId="51FE485F" w14:textId="5739C349" w:rsidR="00346E2F" w:rsidRPr="00A55C25" w:rsidRDefault="005137AF" w:rsidP="00346E2F">
      <w:pPr>
        <w:pStyle w:val="3-BodyText"/>
        <w:numPr>
          <w:ilvl w:val="1"/>
          <w:numId w:val="1"/>
        </w:numPr>
      </w:pPr>
      <w:r w:rsidRPr="00A55C25">
        <w:t xml:space="preserve">The main analysis presented in the submission was an </w:t>
      </w:r>
      <w:r w:rsidR="002C4AAE" w:rsidRPr="00A55C25">
        <w:t>anchored indirect comparison of AV (AMPLIFY) versus VO (CLL13 and CRISTALLO) using FCR/BR as the common comparator in a ‘fit’ population. AMPLIFY and CLL13 formed the primary evidence base, as limited data was available from CRISTALLO (abstract only publication). This approach provided the most robust and reliable comparison given the evidence available, which was for a subset of the proposed PBS population.</w:t>
      </w:r>
    </w:p>
    <w:p w14:paraId="698149FD" w14:textId="5180D0CD" w:rsidR="00E53735" w:rsidRPr="00A55C25" w:rsidRDefault="00633B48" w:rsidP="00346E2F">
      <w:pPr>
        <w:pStyle w:val="3-BodyText"/>
        <w:numPr>
          <w:ilvl w:val="1"/>
          <w:numId w:val="1"/>
        </w:numPr>
      </w:pPr>
      <w:r w:rsidRPr="00A55C25">
        <w:t xml:space="preserve">To provide comparison between AV versus VO as well as IV, in a broader population aligned with the proposed PBS restriction (i.e. ‘unfit’ and ‘fit’ patients), the submission also presented </w:t>
      </w:r>
      <w:r w:rsidR="005137AF" w:rsidRPr="00A55C25">
        <w:t xml:space="preserve">as supportive </w:t>
      </w:r>
      <w:r w:rsidR="00F1007A" w:rsidRPr="00A55C25">
        <w:t>analyses</w:t>
      </w:r>
      <w:r w:rsidR="005137AF" w:rsidRPr="00A55C25">
        <w:t xml:space="preserve">: </w:t>
      </w:r>
      <w:r w:rsidR="00E53735" w:rsidRPr="00A55C25">
        <w:t>(i) an unanchored (naïve) indirect comparison and (ii) an unanchored simulated treatment comparison (STC). Both methods compared efficacy outcomes between AV (AMPLIFY) versus IV (GLOW and CAPTIVATE), and versus VO (CLL14). While the unanchored (naïve) indirect comparison d</w:t>
      </w:r>
      <w:r w:rsidR="006B22BE" w:rsidRPr="00A55C25">
        <w:t>id</w:t>
      </w:r>
      <w:r w:rsidR="00E53735" w:rsidRPr="00A55C25">
        <w:t xml:space="preserve"> not account for differences between the trials that may explain differences in outcomes, the unanchored STC attempt</w:t>
      </w:r>
      <w:r w:rsidR="005A1AB2" w:rsidRPr="00A55C25">
        <w:t>ed</w:t>
      </w:r>
      <w:r w:rsidR="00E53735" w:rsidRPr="00A55C25">
        <w:t xml:space="preserve"> to adjust for differences in baseline characteristics but relie</w:t>
      </w:r>
      <w:r w:rsidR="004D419F" w:rsidRPr="00A55C25">
        <w:t>d</w:t>
      </w:r>
      <w:r w:rsidR="00E53735" w:rsidRPr="00A55C25">
        <w:t xml:space="preserve"> on strong assumptions including no unmeasured confounding</w:t>
      </w:r>
      <w:r w:rsidR="005C204C" w:rsidRPr="00A55C25">
        <w:t xml:space="preserve"> and out-of-sample extrapolation</w:t>
      </w:r>
      <w:r w:rsidR="00E53735" w:rsidRPr="00A55C25">
        <w:t>. The submission stated that a MAIC was not feasible due to limited overlap between AMPLIFY and supplementary trial populations.</w:t>
      </w:r>
    </w:p>
    <w:p w14:paraId="5835194B" w14:textId="7BB71C4B" w:rsidR="00346E2F" w:rsidRDefault="00346E2F" w:rsidP="00346E2F">
      <w:pPr>
        <w:pStyle w:val="3-BodyText"/>
        <w:numPr>
          <w:ilvl w:val="1"/>
          <w:numId w:val="1"/>
        </w:numPr>
      </w:pPr>
      <w:r w:rsidRPr="00A55C25">
        <w:t xml:space="preserve">Details of the trial reports presented in the submission are provided in </w:t>
      </w:r>
      <w:r w:rsidRPr="00A55C25">
        <w:fldChar w:fldCharType="begin"/>
      </w:r>
      <w:r w:rsidRPr="00A55C25">
        <w:instrText xml:space="preserve"> REF _Ref104803956 \h </w:instrText>
      </w:r>
      <w:r w:rsidRPr="00A55C25">
        <w:fldChar w:fldCharType="separate"/>
      </w:r>
      <w:r w:rsidR="00717804" w:rsidRPr="004019D3">
        <w:rPr>
          <w:rFonts w:ascii="Arial Narrow" w:hAnsi="Arial Narrow"/>
          <w:b/>
          <w:bCs/>
          <w:sz w:val="20"/>
          <w:szCs w:val="20"/>
        </w:rPr>
        <w:t xml:space="preserve">Table </w:t>
      </w:r>
      <w:r w:rsidR="00717804">
        <w:rPr>
          <w:rFonts w:ascii="Arial Narrow" w:hAnsi="Arial Narrow"/>
          <w:b/>
          <w:bCs/>
          <w:noProof/>
          <w:sz w:val="20"/>
          <w:szCs w:val="20"/>
        </w:rPr>
        <w:t>2</w:t>
      </w:r>
      <w:r w:rsidRPr="00A55C25">
        <w:fldChar w:fldCharType="end"/>
      </w:r>
      <w:r w:rsidRPr="00A55C25">
        <w:t xml:space="preserve">. </w:t>
      </w:r>
    </w:p>
    <w:p w14:paraId="08183455" w14:textId="29591E2D" w:rsidR="00346E2F" w:rsidRPr="00A55C25" w:rsidRDefault="00346E2F" w:rsidP="00350FC3">
      <w:pPr>
        <w:keepNext/>
        <w:keepLines/>
        <w:jc w:val="left"/>
        <w:rPr>
          <w:rStyle w:val="CommentReference"/>
          <w:b w:val="0"/>
          <w:szCs w:val="24"/>
        </w:rPr>
      </w:pPr>
      <w:bookmarkStart w:id="21" w:name="_Ref104803956"/>
      <w:r w:rsidRPr="004019D3">
        <w:rPr>
          <w:rFonts w:ascii="Arial Narrow" w:hAnsi="Arial Narrow"/>
          <w:b/>
          <w:bCs/>
          <w:sz w:val="20"/>
          <w:szCs w:val="20"/>
        </w:rPr>
        <w:lastRenderedPageBreak/>
        <w:t xml:space="preserve">Table </w:t>
      </w:r>
      <w:r w:rsidR="000E7AB9" w:rsidRPr="004019D3">
        <w:rPr>
          <w:rFonts w:ascii="Arial Narrow" w:hAnsi="Arial Narrow"/>
          <w:b/>
          <w:bCs/>
          <w:sz w:val="20"/>
          <w:szCs w:val="20"/>
        </w:rPr>
        <w:fldChar w:fldCharType="begin"/>
      </w:r>
      <w:r w:rsidR="000E7AB9" w:rsidRPr="004019D3">
        <w:rPr>
          <w:rFonts w:ascii="Arial Narrow" w:hAnsi="Arial Narrow"/>
          <w:b/>
          <w:bCs/>
          <w:sz w:val="20"/>
          <w:szCs w:val="20"/>
        </w:rPr>
        <w:instrText xml:space="preserve"> SEQ Table \* ARABIC </w:instrText>
      </w:r>
      <w:r w:rsidR="000E7AB9" w:rsidRPr="004019D3">
        <w:rPr>
          <w:rFonts w:ascii="Arial Narrow" w:hAnsi="Arial Narrow"/>
          <w:b/>
          <w:bCs/>
          <w:sz w:val="20"/>
          <w:szCs w:val="20"/>
        </w:rPr>
        <w:fldChar w:fldCharType="separate"/>
      </w:r>
      <w:r w:rsidR="00717804">
        <w:rPr>
          <w:rFonts w:ascii="Arial Narrow" w:hAnsi="Arial Narrow"/>
          <w:b/>
          <w:bCs/>
          <w:noProof/>
          <w:sz w:val="20"/>
          <w:szCs w:val="20"/>
        </w:rPr>
        <w:t>2</w:t>
      </w:r>
      <w:r w:rsidR="000E7AB9" w:rsidRPr="004019D3">
        <w:rPr>
          <w:rFonts w:ascii="Arial Narrow" w:hAnsi="Arial Narrow"/>
          <w:b/>
          <w:bCs/>
          <w:sz w:val="20"/>
          <w:szCs w:val="20"/>
        </w:rPr>
        <w:fldChar w:fldCharType="end"/>
      </w:r>
      <w:bookmarkEnd w:id="21"/>
      <w:r w:rsidRPr="004019D3">
        <w:rPr>
          <w:rFonts w:ascii="Arial Narrow" w:hAnsi="Arial Narrow"/>
          <w:b/>
          <w:bCs/>
          <w:sz w:val="20"/>
          <w:szCs w:val="20"/>
        </w:rPr>
        <w:t>:</w:t>
      </w:r>
      <w:r w:rsidRPr="00A55C25">
        <w:rPr>
          <w:rStyle w:val="CommentReference"/>
          <w:szCs w:val="24"/>
        </w:rPr>
        <w:t xml:space="preserve"> Trials and </w:t>
      </w:r>
      <w:r w:rsidR="00851875" w:rsidRPr="00A55C25">
        <w:rPr>
          <w:rStyle w:val="CommentReference"/>
          <w:szCs w:val="24"/>
        </w:rPr>
        <w:t xml:space="preserve">key </w:t>
      </w:r>
      <w:r w:rsidRPr="00A55C25">
        <w:rPr>
          <w:rStyle w:val="CommentReference"/>
          <w:szCs w:val="24"/>
        </w:rPr>
        <w:t>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key associated reports presented in the submission"/>
      </w:tblPr>
      <w:tblGrid>
        <w:gridCol w:w="1760"/>
        <w:gridCol w:w="4958"/>
        <w:gridCol w:w="2299"/>
      </w:tblGrid>
      <w:tr w:rsidR="00346E2F" w:rsidRPr="00A55C25" w14:paraId="6CA9B13F" w14:textId="77777777" w:rsidTr="003B444D">
        <w:trPr>
          <w:tblHeader/>
        </w:trPr>
        <w:tc>
          <w:tcPr>
            <w:tcW w:w="976" w:type="pct"/>
            <w:vAlign w:val="center"/>
          </w:tcPr>
          <w:p w14:paraId="239C4B71" w14:textId="77777777" w:rsidR="00346E2F" w:rsidRPr="00A55C25" w:rsidRDefault="00346E2F" w:rsidP="00350FC3">
            <w:pPr>
              <w:pStyle w:val="In-tableHeading"/>
              <w:widowControl w:val="0"/>
              <w:rPr>
                <w:lang w:val="en-AU"/>
              </w:rPr>
            </w:pPr>
            <w:r w:rsidRPr="00A55C25">
              <w:rPr>
                <w:lang w:val="en-AU"/>
              </w:rPr>
              <w:t>Trial ID</w:t>
            </w:r>
          </w:p>
        </w:tc>
        <w:tc>
          <w:tcPr>
            <w:tcW w:w="2749" w:type="pct"/>
            <w:vAlign w:val="center"/>
          </w:tcPr>
          <w:p w14:paraId="3E06E81F" w14:textId="77777777" w:rsidR="00346E2F" w:rsidRPr="00A55C25" w:rsidRDefault="00346E2F" w:rsidP="00350FC3">
            <w:pPr>
              <w:pStyle w:val="In-tableHeading"/>
              <w:widowControl w:val="0"/>
              <w:rPr>
                <w:lang w:val="en-AU"/>
              </w:rPr>
            </w:pPr>
            <w:r w:rsidRPr="00A55C25">
              <w:rPr>
                <w:lang w:val="en-AU"/>
              </w:rPr>
              <w:t>Protocol title/ Publication title</w:t>
            </w:r>
          </w:p>
        </w:tc>
        <w:tc>
          <w:tcPr>
            <w:tcW w:w="1275" w:type="pct"/>
            <w:vAlign w:val="center"/>
          </w:tcPr>
          <w:p w14:paraId="2A03BE56" w14:textId="77777777" w:rsidR="00346E2F" w:rsidRPr="00A55C25" w:rsidRDefault="00346E2F" w:rsidP="00350FC3">
            <w:pPr>
              <w:pStyle w:val="In-tableHeading"/>
              <w:widowControl w:val="0"/>
              <w:rPr>
                <w:lang w:val="en-AU"/>
              </w:rPr>
            </w:pPr>
            <w:r w:rsidRPr="00A55C25">
              <w:rPr>
                <w:lang w:val="en-AU"/>
              </w:rPr>
              <w:t>Publication citation</w:t>
            </w:r>
          </w:p>
        </w:tc>
      </w:tr>
      <w:tr w:rsidR="00346E2F" w:rsidRPr="00A55C25" w14:paraId="40028774" w14:textId="77777777" w:rsidTr="003B444D">
        <w:tc>
          <w:tcPr>
            <w:tcW w:w="976" w:type="pct"/>
            <w:tcBorders>
              <w:bottom w:val="nil"/>
            </w:tcBorders>
            <w:vAlign w:val="center"/>
          </w:tcPr>
          <w:p w14:paraId="4501AD15" w14:textId="77777777" w:rsidR="00346E2F" w:rsidRPr="00A55C25" w:rsidRDefault="00346E2F" w:rsidP="00350FC3">
            <w:pPr>
              <w:pStyle w:val="TableText0"/>
              <w:widowControl w:val="0"/>
            </w:pPr>
            <w:r w:rsidRPr="00A55C25">
              <w:t>AMPLIFY</w:t>
            </w:r>
          </w:p>
          <w:p w14:paraId="6C59C762" w14:textId="77777777" w:rsidR="00346E2F" w:rsidRPr="00A55C25" w:rsidRDefault="00346E2F" w:rsidP="00350FC3">
            <w:pPr>
              <w:pStyle w:val="TableText0"/>
              <w:widowControl w:val="0"/>
            </w:pPr>
            <w:r w:rsidRPr="00A55C25">
              <w:t>(NCT03836261)</w:t>
            </w:r>
          </w:p>
        </w:tc>
        <w:tc>
          <w:tcPr>
            <w:tcW w:w="2749" w:type="pct"/>
            <w:tcBorders>
              <w:bottom w:val="nil"/>
            </w:tcBorders>
            <w:vAlign w:val="center"/>
          </w:tcPr>
          <w:p w14:paraId="4B42E2C0" w14:textId="77777777" w:rsidR="00346E2F" w:rsidRPr="00A55C25" w:rsidRDefault="00346E2F" w:rsidP="00350FC3">
            <w:pPr>
              <w:pStyle w:val="TableText0"/>
              <w:widowControl w:val="0"/>
              <w:rPr>
                <w:szCs w:val="18"/>
              </w:rPr>
            </w:pPr>
            <w:r w:rsidRPr="00A55C25">
              <w:rPr>
                <w:szCs w:val="18"/>
              </w:rPr>
              <w:t>AMPLIFY (ACE-CL-311) Interim CSR. 16 September 2024. A Randomized, Multicentre, Open-Label, Phase 3 Study to Compare the Efficacy and Safety of Acalabrutinib (ACP-196) in Combination with Venetoclax with and without Obinutuzumab Compared to Investigator’s Choice of Chemoimmunotherapy in Subjects with Previously Untreated Chronic Lymphocytic Leukemia Without del(17p) or TP53 Mutation (AMPLIFY)</w:t>
            </w:r>
          </w:p>
        </w:tc>
        <w:tc>
          <w:tcPr>
            <w:tcW w:w="1275" w:type="pct"/>
            <w:tcBorders>
              <w:bottom w:val="nil"/>
            </w:tcBorders>
            <w:vAlign w:val="center"/>
          </w:tcPr>
          <w:p w14:paraId="6001CC2B" w14:textId="77777777" w:rsidR="00346E2F" w:rsidRPr="00A55C25" w:rsidRDefault="00346E2F" w:rsidP="00350FC3">
            <w:pPr>
              <w:pStyle w:val="TableText0"/>
              <w:widowControl w:val="0"/>
            </w:pPr>
            <w:r w:rsidRPr="00A55C25">
              <w:t>September 2024</w:t>
            </w:r>
          </w:p>
        </w:tc>
      </w:tr>
      <w:tr w:rsidR="00346E2F" w:rsidRPr="00A55C25" w14:paraId="21F27A99" w14:textId="77777777" w:rsidTr="003B444D">
        <w:tc>
          <w:tcPr>
            <w:tcW w:w="976" w:type="pct"/>
            <w:tcBorders>
              <w:top w:val="nil"/>
              <w:bottom w:val="single" w:sz="4" w:space="0" w:color="auto"/>
            </w:tcBorders>
            <w:vAlign w:val="center"/>
          </w:tcPr>
          <w:p w14:paraId="3C135451" w14:textId="77777777" w:rsidR="00346E2F" w:rsidRPr="00A55C25" w:rsidRDefault="00346E2F" w:rsidP="00350FC3">
            <w:pPr>
              <w:pStyle w:val="TableText0"/>
              <w:widowControl w:val="0"/>
            </w:pPr>
          </w:p>
        </w:tc>
        <w:tc>
          <w:tcPr>
            <w:tcW w:w="2749" w:type="pct"/>
            <w:tcBorders>
              <w:top w:val="nil"/>
              <w:bottom w:val="single" w:sz="4" w:space="0" w:color="auto"/>
            </w:tcBorders>
            <w:vAlign w:val="center"/>
          </w:tcPr>
          <w:p w14:paraId="4C9685D6" w14:textId="77777777" w:rsidR="00346E2F" w:rsidRPr="00A55C25" w:rsidRDefault="00346E2F" w:rsidP="00350FC3">
            <w:pPr>
              <w:pStyle w:val="TableText0"/>
              <w:widowControl w:val="0"/>
              <w:rPr>
                <w:szCs w:val="18"/>
              </w:rPr>
            </w:pPr>
            <w:r w:rsidRPr="00A55C25">
              <w:rPr>
                <w:szCs w:val="18"/>
              </w:rPr>
              <w:t>Brown JR, Seymour JF, Jurczak W et al. Fixed-Duration Acalabrutinib Combinations in Untreated Chronic Lymphocytic Leukemia.</w:t>
            </w:r>
          </w:p>
        </w:tc>
        <w:tc>
          <w:tcPr>
            <w:tcW w:w="1275" w:type="pct"/>
            <w:tcBorders>
              <w:top w:val="nil"/>
              <w:bottom w:val="single" w:sz="4" w:space="0" w:color="auto"/>
            </w:tcBorders>
            <w:vAlign w:val="center"/>
          </w:tcPr>
          <w:p w14:paraId="4599377C" w14:textId="77777777" w:rsidR="00346E2F" w:rsidRPr="00A55C25" w:rsidRDefault="00346E2F" w:rsidP="00350FC3">
            <w:pPr>
              <w:pStyle w:val="TableText0"/>
              <w:widowControl w:val="0"/>
              <w:rPr>
                <w:szCs w:val="18"/>
              </w:rPr>
            </w:pPr>
            <w:r w:rsidRPr="00A55C25">
              <w:rPr>
                <w:szCs w:val="18"/>
              </w:rPr>
              <w:t>NEJM 2025; 392(8): 748-762.</w:t>
            </w:r>
          </w:p>
        </w:tc>
      </w:tr>
      <w:tr w:rsidR="00346E2F" w:rsidRPr="00A55C25" w14:paraId="7CEBD829" w14:textId="77777777" w:rsidTr="003B444D">
        <w:tc>
          <w:tcPr>
            <w:tcW w:w="976" w:type="pct"/>
            <w:tcBorders>
              <w:top w:val="single" w:sz="4" w:space="0" w:color="auto"/>
              <w:bottom w:val="nil"/>
            </w:tcBorders>
            <w:vAlign w:val="center"/>
          </w:tcPr>
          <w:p w14:paraId="6E55FE4B" w14:textId="77777777" w:rsidR="00346E2F" w:rsidRPr="00A55C25" w:rsidRDefault="00346E2F" w:rsidP="00350FC3">
            <w:pPr>
              <w:pStyle w:val="TableText0"/>
              <w:widowControl w:val="0"/>
            </w:pPr>
            <w:r w:rsidRPr="00A55C25">
              <w:t>CLL13</w:t>
            </w:r>
          </w:p>
          <w:p w14:paraId="740984B8" w14:textId="77777777" w:rsidR="00346E2F" w:rsidRPr="00A55C25" w:rsidRDefault="00346E2F" w:rsidP="00350FC3">
            <w:pPr>
              <w:pStyle w:val="TableText0"/>
              <w:widowControl w:val="0"/>
            </w:pPr>
            <w:r w:rsidRPr="00A55C25">
              <w:t>(NCT02950051)</w:t>
            </w:r>
          </w:p>
        </w:tc>
        <w:tc>
          <w:tcPr>
            <w:tcW w:w="2749" w:type="pct"/>
            <w:tcBorders>
              <w:top w:val="single" w:sz="4" w:space="0" w:color="auto"/>
              <w:bottom w:val="nil"/>
            </w:tcBorders>
            <w:vAlign w:val="center"/>
          </w:tcPr>
          <w:p w14:paraId="2C358241" w14:textId="77777777" w:rsidR="00346E2F" w:rsidRPr="00A55C25" w:rsidRDefault="00346E2F" w:rsidP="00350FC3">
            <w:pPr>
              <w:pStyle w:val="TableText0"/>
              <w:widowControl w:val="0"/>
              <w:rPr>
                <w:szCs w:val="18"/>
              </w:rPr>
            </w:pPr>
            <w:r w:rsidRPr="00A55C25">
              <w:rPr>
                <w:szCs w:val="18"/>
              </w:rPr>
              <w:t>Eichhorst, B., C.U. Niemann, A.P. Kater, et al., First-Line Venetoclax Combinations in Chronic Lymphocytic Leukemia.</w:t>
            </w:r>
          </w:p>
        </w:tc>
        <w:tc>
          <w:tcPr>
            <w:tcW w:w="1275" w:type="pct"/>
            <w:tcBorders>
              <w:top w:val="single" w:sz="4" w:space="0" w:color="auto"/>
              <w:bottom w:val="nil"/>
            </w:tcBorders>
            <w:vAlign w:val="center"/>
          </w:tcPr>
          <w:p w14:paraId="1BD2B163" w14:textId="77777777" w:rsidR="00346E2F" w:rsidRPr="00A55C25" w:rsidRDefault="00346E2F" w:rsidP="00350FC3">
            <w:pPr>
              <w:pStyle w:val="TableText0"/>
              <w:widowControl w:val="0"/>
              <w:rPr>
                <w:szCs w:val="18"/>
              </w:rPr>
            </w:pPr>
            <w:r w:rsidRPr="00A55C25">
              <w:t>NEJM 2023; 388(19): 1739-1754.</w:t>
            </w:r>
          </w:p>
        </w:tc>
      </w:tr>
      <w:tr w:rsidR="00346E2F" w:rsidRPr="00A55C25" w14:paraId="6028E3B6" w14:textId="77777777" w:rsidTr="003B444D">
        <w:tc>
          <w:tcPr>
            <w:tcW w:w="976" w:type="pct"/>
            <w:tcBorders>
              <w:top w:val="single" w:sz="4" w:space="0" w:color="auto"/>
              <w:bottom w:val="single" w:sz="4" w:space="0" w:color="auto"/>
            </w:tcBorders>
            <w:vAlign w:val="center"/>
          </w:tcPr>
          <w:p w14:paraId="176E9CD4" w14:textId="77777777" w:rsidR="00346E2F" w:rsidRPr="00A55C25" w:rsidRDefault="00346E2F" w:rsidP="00350FC3">
            <w:pPr>
              <w:pStyle w:val="TableText0"/>
              <w:widowControl w:val="0"/>
            </w:pPr>
            <w:r w:rsidRPr="00A55C25">
              <w:t>CRISTALLO</w:t>
            </w:r>
          </w:p>
          <w:p w14:paraId="0983334A" w14:textId="77777777" w:rsidR="00346E2F" w:rsidRPr="00A55C25" w:rsidRDefault="00346E2F" w:rsidP="00350FC3">
            <w:pPr>
              <w:pStyle w:val="TableText0"/>
              <w:widowControl w:val="0"/>
            </w:pPr>
            <w:r w:rsidRPr="00A55C25">
              <w:t>(NCT04285567)</w:t>
            </w:r>
          </w:p>
        </w:tc>
        <w:tc>
          <w:tcPr>
            <w:tcW w:w="2749" w:type="pct"/>
            <w:tcBorders>
              <w:top w:val="single" w:sz="4" w:space="0" w:color="auto"/>
              <w:bottom w:val="single" w:sz="4" w:space="0" w:color="auto"/>
            </w:tcBorders>
            <w:vAlign w:val="center"/>
          </w:tcPr>
          <w:p w14:paraId="09534FEB" w14:textId="77777777" w:rsidR="00346E2F" w:rsidRPr="00A55C25" w:rsidRDefault="00346E2F" w:rsidP="00350FC3">
            <w:pPr>
              <w:pStyle w:val="TableText0"/>
              <w:widowControl w:val="0"/>
              <w:rPr>
                <w:szCs w:val="18"/>
              </w:rPr>
            </w:pPr>
            <w:r w:rsidRPr="00A55C25">
              <w:rPr>
                <w:szCs w:val="18"/>
              </w:rPr>
              <w:t>Sharman, J.P., L. Laurenti, E. Ferrant, et al., CRISTALLO: Results from a Phase III Trial of Venetoclax-Obinutuzumab Versus Fludarabine, Cyclophosphamide and Rituximab or Bendamustine–Rituximab in Patients with Untreated Chronic Lymphocytic Leukemia without Del(17p) or TP53 Mutations</w:t>
            </w:r>
          </w:p>
        </w:tc>
        <w:tc>
          <w:tcPr>
            <w:tcW w:w="1275" w:type="pct"/>
            <w:tcBorders>
              <w:top w:val="single" w:sz="4" w:space="0" w:color="auto"/>
              <w:bottom w:val="single" w:sz="4" w:space="0" w:color="auto"/>
            </w:tcBorders>
            <w:vAlign w:val="center"/>
          </w:tcPr>
          <w:p w14:paraId="5C2DB295" w14:textId="77777777" w:rsidR="00346E2F" w:rsidRPr="00A55C25" w:rsidRDefault="00346E2F" w:rsidP="00350FC3">
            <w:pPr>
              <w:pStyle w:val="TableText0"/>
              <w:widowControl w:val="0"/>
              <w:rPr>
                <w:szCs w:val="18"/>
              </w:rPr>
            </w:pPr>
            <w:r w:rsidRPr="00A55C25">
              <w:rPr>
                <w:szCs w:val="18"/>
              </w:rPr>
              <w:t>Blood 2024; 144 (Supplement 1): 3237.</w:t>
            </w:r>
          </w:p>
        </w:tc>
      </w:tr>
      <w:tr w:rsidR="00346E2F" w:rsidRPr="00A55C25" w14:paraId="7AA172C3" w14:textId="77777777" w:rsidTr="003B444D">
        <w:tc>
          <w:tcPr>
            <w:tcW w:w="976" w:type="pct"/>
            <w:tcBorders>
              <w:top w:val="single" w:sz="4" w:space="0" w:color="auto"/>
              <w:bottom w:val="nil"/>
            </w:tcBorders>
            <w:vAlign w:val="center"/>
          </w:tcPr>
          <w:p w14:paraId="1BB4AA84" w14:textId="77777777" w:rsidR="00346E2F" w:rsidRPr="00A55C25" w:rsidRDefault="00346E2F" w:rsidP="00350FC3">
            <w:pPr>
              <w:pStyle w:val="TableText0"/>
              <w:widowControl w:val="0"/>
            </w:pPr>
            <w:r w:rsidRPr="00A55C25">
              <w:t>CLL14</w:t>
            </w:r>
          </w:p>
          <w:p w14:paraId="7CFE44EB" w14:textId="77777777" w:rsidR="00346E2F" w:rsidRPr="00A55C25" w:rsidRDefault="00346E2F" w:rsidP="00350FC3">
            <w:pPr>
              <w:pStyle w:val="TableText0"/>
              <w:widowControl w:val="0"/>
            </w:pPr>
            <w:r w:rsidRPr="00A55C25">
              <w:t>(NCT02242942)</w:t>
            </w:r>
          </w:p>
        </w:tc>
        <w:tc>
          <w:tcPr>
            <w:tcW w:w="2749" w:type="pct"/>
            <w:tcBorders>
              <w:top w:val="single" w:sz="4" w:space="0" w:color="auto"/>
              <w:bottom w:val="nil"/>
            </w:tcBorders>
            <w:vAlign w:val="center"/>
          </w:tcPr>
          <w:p w14:paraId="41A6E9B3" w14:textId="77777777" w:rsidR="00346E2F" w:rsidRPr="00A55C25" w:rsidRDefault="00346E2F" w:rsidP="00350FC3">
            <w:pPr>
              <w:pStyle w:val="TableText0"/>
              <w:widowControl w:val="0"/>
            </w:pPr>
            <w:r w:rsidRPr="00A55C25">
              <w:t>Fischer, K., O. Al-</w:t>
            </w:r>
            <w:proofErr w:type="spellStart"/>
            <w:r w:rsidRPr="00A55C25">
              <w:t>Sawaf</w:t>
            </w:r>
            <w:proofErr w:type="spellEnd"/>
            <w:r w:rsidRPr="00A55C25">
              <w:t>, J. Bahlo, et al., Venetoclax and obinutuzumab in patients with CLL and coexisting conditions.</w:t>
            </w:r>
          </w:p>
        </w:tc>
        <w:tc>
          <w:tcPr>
            <w:tcW w:w="1275" w:type="pct"/>
            <w:tcBorders>
              <w:top w:val="single" w:sz="4" w:space="0" w:color="auto"/>
              <w:bottom w:val="nil"/>
            </w:tcBorders>
            <w:vAlign w:val="center"/>
          </w:tcPr>
          <w:p w14:paraId="3B605B75" w14:textId="77777777" w:rsidR="00346E2F" w:rsidRPr="00A55C25" w:rsidRDefault="00346E2F" w:rsidP="00350FC3">
            <w:pPr>
              <w:pStyle w:val="TableText0"/>
              <w:widowControl w:val="0"/>
            </w:pPr>
            <w:r w:rsidRPr="00A55C25">
              <w:t>NEJM 2019; 380(23): 2225-2236.</w:t>
            </w:r>
          </w:p>
        </w:tc>
      </w:tr>
      <w:tr w:rsidR="00346E2F" w:rsidRPr="00A55C25" w14:paraId="22AEF551" w14:textId="77777777" w:rsidTr="003B444D">
        <w:tc>
          <w:tcPr>
            <w:tcW w:w="976" w:type="pct"/>
            <w:tcBorders>
              <w:bottom w:val="single" w:sz="4" w:space="0" w:color="auto"/>
            </w:tcBorders>
            <w:vAlign w:val="center"/>
          </w:tcPr>
          <w:p w14:paraId="3198D23C" w14:textId="77777777" w:rsidR="00346E2F" w:rsidRPr="00A55C25" w:rsidRDefault="00346E2F" w:rsidP="00350FC3">
            <w:pPr>
              <w:pStyle w:val="PBACTabletext"/>
              <w:widowControl w:val="0"/>
              <w:suppressLineNumbers w:val="0"/>
              <w:spacing w:after="0"/>
            </w:pPr>
            <w:r w:rsidRPr="00A55C25">
              <w:t>GLOW</w:t>
            </w:r>
          </w:p>
          <w:p w14:paraId="4EC62528" w14:textId="77777777" w:rsidR="00346E2F" w:rsidRPr="00A55C25" w:rsidRDefault="00346E2F" w:rsidP="00350FC3">
            <w:pPr>
              <w:pStyle w:val="TableText0"/>
              <w:widowControl w:val="0"/>
            </w:pPr>
            <w:r w:rsidRPr="00A55C25">
              <w:t>(NCT03462719)</w:t>
            </w:r>
          </w:p>
        </w:tc>
        <w:tc>
          <w:tcPr>
            <w:tcW w:w="2749" w:type="pct"/>
            <w:tcBorders>
              <w:bottom w:val="single" w:sz="4" w:space="0" w:color="auto"/>
            </w:tcBorders>
            <w:vAlign w:val="center"/>
          </w:tcPr>
          <w:p w14:paraId="228C55CF" w14:textId="77777777" w:rsidR="00346E2F" w:rsidRPr="00A55C25" w:rsidRDefault="00346E2F" w:rsidP="00350FC3">
            <w:pPr>
              <w:pStyle w:val="TableText0"/>
              <w:widowControl w:val="0"/>
            </w:pPr>
            <w:r w:rsidRPr="00A55C25">
              <w:t>Kater, A.P., C. Owen, C. Moreno, et al., Fixed-Duration Ibrutinib-Venetoclax in Patients with Chronic Lymphocytic Leukemia and Comorbidities.</w:t>
            </w:r>
          </w:p>
        </w:tc>
        <w:tc>
          <w:tcPr>
            <w:tcW w:w="1275" w:type="pct"/>
            <w:tcBorders>
              <w:bottom w:val="single" w:sz="4" w:space="0" w:color="auto"/>
            </w:tcBorders>
            <w:vAlign w:val="center"/>
          </w:tcPr>
          <w:p w14:paraId="7CC4BDB6" w14:textId="77777777" w:rsidR="00346E2F" w:rsidRPr="00A55C25" w:rsidRDefault="00346E2F" w:rsidP="00350FC3">
            <w:pPr>
              <w:pStyle w:val="TableText0"/>
              <w:widowControl w:val="0"/>
            </w:pPr>
            <w:r w:rsidRPr="00A55C25">
              <w:t>NEJM Evid 2022; 1(7).</w:t>
            </w:r>
          </w:p>
        </w:tc>
      </w:tr>
      <w:tr w:rsidR="00346E2F" w:rsidRPr="00A55C25" w14:paraId="7C16AC10" w14:textId="77777777" w:rsidTr="003B444D">
        <w:tc>
          <w:tcPr>
            <w:tcW w:w="976" w:type="pct"/>
            <w:tcBorders>
              <w:top w:val="single" w:sz="4" w:space="0" w:color="auto"/>
              <w:bottom w:val="single" w:sz="4" w:space="0" w:color="auto"/>
            </w:tcBorders>
            <w:vAlign w:val="center"/>
          </w:tcPr>
          <w:p w14:paraId="47EAD8B3" w14:textId="77777777" w:rsidR="00346E2F" w:rsidRPr="00A55C25" w:rsidRDefault="00346E2F" w:rsidP="00350FC3">
            <w:pPr>
              <w:pStyle w:val="TableText0"/>
              <w:widowControl w:val="0"/>
            </w:pPr>
            <w:r w:rsidRPr="00A55C25">
              <w:t>CAPTIVATE</w:t>
            </w:r>
          </w:p>
          <w:p w14:paraId="17882DC9" w14:textId="77777777" w:rsidR="00346E2F" w:rsidRPr="00A55C25" w:rsidRDefault="00346E2F" w:rsidP="00350FC3">
            <w:pPr>
              <w:pStyle w:val="TableText0"/>
              <w:widowControl w:val="0"/>
            </w:pPr>
            <w:r w:rsidRPr="00A55C25">
              <w:t>(NCT02910583)</w:t>
            </w:r>
          </w:p>
        </w:tc>
        <w:tc>
          <w:tcPr>
            <w:tcW w:w="2749" w:type="pct"/>
            <w:tcBorders>
              <w:top w:val="single" w:sz="4" w:space="0" w:color="auto"/>
              <w:bottom w:val="single" w:sz="4" w:space="0" w:color="auto"/>
            </w:tcBorders>
            <w:vAlign w:val="center"/>
          </w:tcPr>
          <w:p w14:paraId="5E513AEE" w14:textId="77777777" w:rsidR="00346E2F" w:rsidRPr="00A55C25" w:rsidRDefault="00346E2F" w:rsidP="00350FC3">
            <w:pPr>
              <w:pStyle w:val="TableText0"/>
              <w:widowControl w:val="0"/>
              <w:rPr>
                <w:szCs w:val="18"/>
              </w:rPr>
            </w:pPr>
            <w:r w:rsidRPr="00A55C25">
              <w:rPr>
                <w:szCs w:val="18"/>
              </w:rPr>
              <w:t>Tam, C.S., J.N. Allan, T. Siddiqi, et al., Fixed-duration ibrutinib plus venetoclax for first-line treatment of CLL: primary analysis of the CAPTIVATE FD cohort.</w:t>
            </w:r>
          </w:p>
        </w:tc>
        <w:tc>
          <w:tcPr>
            <w:tcW w:w="1275" w:type="pct"/>
            <w:tcBorders>
              <w:top w:val="single" w:sz="4" w:space="0" w:color="auto"/>
              <w:bottom w:val="single" w:sz="4" w:space="0" w:color="auto"/>
            </w:tcBorders>
            <w:vAlign w:val="center"/>
          </w:tcPr>
          <w:p w14:paraId="6D4E9E2A" w14:textId="77777777" w:rsidR="00346E2F" w:rsidRPr="00A55C25" w:rsidRDefault="00346E2F" w:rsidP="00350FC3">
            <w:pPr>
              <w:pStyle w:val="TableText0"/>
              <w:widowControl w:val="0"/>
            </w:pPr>
            <w:r w:rsidRPr="00A55C25">
              <w:t>Blood 2022; 139(22): 3278-3289.</w:t>
            </w:r>
          </w:p>
        </w:tc>
      </w:tr>
    </w:tbl>
    <w:p w14:paraId="2A0F3D8E" w14:textId="77777777" w:rsidR="00346E2F" w:rsidRPr="00A55C25" w:rsidRDefault="00346E2F" w:rsidP="00350FC3">
      <w:pPr>
        <w:pStyle w:val="TableFigureFooter"/>
        <w:keepNext/>
        <w:spacing w:after="0"/>
      </w:pPr>
      <w:r w:rsidRPr="00A55C25">
        <w:t>Source: Table 2-7, pp45-46 of the submission.</w:t>
      </w:r>
    </w:p>
    <w:p w14:paraId="25B94BED" w14:textId="057500B0" w:rsidR="00346E2F" w:rsidRPr="00A55C25" w:rsidRDefault="00346E2F" w:rsidP="00346E2F">
      <w:pPr>
        <w:pStyle w:val="3-BodyText"/>
        <w:numPr>
          <w:ilvl w:val="1"/>
          <w:numId w:val="1"/>
        </w:numPr>
      </w:pPr>
      <w:r w:rsidRPr="00A55C25">
        <w:t xml:space="preserve">The key features of the AMPLIFY, CLL13, CRISTALLO, CLL14, GLOW and CAPTIVATE are summarised in </w:t>
      </w:r>
      <w:r w:rsidRPr="00A55C25">
        <w:fldChar w:fldCharType="begin"/>
      </w:r>
      <w:r w:rsidRPr="00A55C25">
        <w:instrText xml:space="preserve"> REF _Ref104804098 \h  \* MERGEFORMAT </w:instrText>
      </w:r>
      <w:r w:rsidRPr="00A55C25">
        <w:fldChar w:fldCharType="separate"/>
      </w:r>
      <w:r w:rsidR="00717804" w:rsidRPr="00717804">
        <w:t>Table 3</w:t>
      </w:r>
      <w:r w:rsidRPr="00A55C25">
        <w:fldChar w:fldCharType="end"/>
      </w:r>
      <w:r w:rsidRPr="00A55C25">
        <w:t>.</w:t>
      </w:r>
    </w:p>
    <w:p w14:paraId="50A286AF" w14:textId="0E52DF5B" w:rsidR="00346E2F" w:rsidRPr="00A55C25" w:rsidRDefault="00346E2F" w:rsidP="00446EFC">
      <w:pPr>
        <w:pStyle w:val="Caption"/>
        <w:rPr>
          <w:rStyle w:val="CommentReference"/>
          <w:rFonts w:eastAsiaTheme="majorEastAsia" w:cstheme="majorBidi"/>
          <w:b/>
          <w:szCs w:val="24"/>
        </w:rPr>
      </w:pPr>
      <w:bookmarkStart w:id="22" w:name="_Ref104804098"/>
      <w:r w:rsidRPr="00A55C25">
        <w:rPr>
          <w:rStyle w:val="CommentReference"/>
          <w:rFonts w:eastAsiaTheme="majorEastAsia" w:cstheme="majorBidi"/>
          <w:b/>
          <w:szCs w:val="24"/>
        </w:rPr>
        <w:lastRenderedPageBreak/>
        <w:t xml:space="preserve">Table </w:t>
      </w:r>
      <w:r w:rsidRPr="00A55C25">
        <w:rPr>
          <w:rStyle w:val="CommentReference"/>
          <w:rFonts w:eastAsiaTheme="majorEastAsia" w:cstheme="majorBidi"/>
          <w:b/>
          <w:szCs w:val="24"/>
        </w:rPr>
        <w:fldChar w:fldCharType="begin"/>
      </w:r>
      <w:r w:rsidRPr="00A55C25">
        <w:rPr>
          <w:rStyle w:val="CommentReference"/>
          <w:rFonts w:eastAsiaTheme="majorEastAsia" w:cstheme="majorBidi"/>
          <w:b/>
          <w:szCs w:val="24"/>
        </w:rPr>
        <w:instrText xml:space="preserve"> SEQ Table \* ARABIC </w:instrText>
      </w:r>
      <w:r w:rsidRPr="00A55C25">
        <w:rPr>
          <w:rStyle w:val="CommentReference"/>
          <w:rFonts w:eastAsiaTheme="majorEastAsia" w:cstheme="majorBidi"/>
          <w:b/>
          <w:szCs w:val="24"/>
        </w:rPr>
        <w:fldChar w:fldCharType="separate"/>
      </w:r>
      <w:r w:rsidR="00717804">
        <w:rPr>
          <w:rStyle w:val="CommentReference"/>
          <w:rFonts w:eastAsiaTheme="majorEastAsia" w:cstheme="majorBidi"/>
          <w:b/>
          <w:noProof/>
          <w:szCs w:val="24"/>
        </w:rPr>
        <w:t>3</w:t>
      </w:r>
      <w:r w:rsidRPr="00A55C25">
        <w:rPr>
          <w:rStyle w:val="CommentReference"/>
          <w:rFonts w:eastAsiaTheme="majorEastAsia" w:cstheme="majorBidi"/>
          <w:b/>
          <w:szCs w:val="24"/>
        </w:rPr>
        <w:fldChar w:fldCharType="end"/>
      </w:r>
      <w:bookmarkEnd w:id="22"/>
      <w:r w:rsidRPr="00A55C25">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969"/>
        <w:gridCol w:w="444"/>
        <w:gridCol w:w="1183"/>
        <w:gridCol w:w="804"/>
        <w:gridCol w:w="3399"/>
        <w:gridCol w:w="2218"/>
      </w:tblGrid>
      <w:tr w:rsidR="00346E2F" w:rsidRPr="003B444D" w14:paraId="78857EEE" w14:textId="77777777" w:rsidTr="003B444D">
        <w:trPr>
          <w:cantSplit/>
          <w:tblHeader/>
        </w:trPr>
        <w:tc>
          <w:tcPr>
            <w:tcW w:w="537" w:type="pct"/>
            <w:vAlign w:val="center"/>
          </w:tcPr>
          <w:p w14:paraId="0615BB46" w14:textId="77777777" w:rsidR="00346E2F" w:rsidRPr="003B444D" w:rsidRDefault="00346E2F" w:rsidP="00446EFC">
            <w:pPr>
              <w:pStyle w:val="In-tableHeading"/>
              <w:rPr>
                <w:szCs w:val="20"/>
                <w:lang w:val="en-AU"/>
              </w:rPr>
            </w:pPr>
            <w:r w:rsidRPr="003B444D">
              <w:rPr>
                <w:szCs w:val="20"/>
                <w:lang w:val="en-AU"/>
              </w:rPr>
              <w:t>Trial (date range)</w:t>
            </w:r>
            <w:r w:rsidRPr="003B444D">
              <w:rPr>
                <w:szCs w:val="20"/>
                <w:vertAlign w:val="superscript"/>
                <w:lang w:val="en-AU"/>
              </w:rPr>
              <w:t>a</w:t>
            </w:r>
          </w:p>
        </w:tc>
        <w:tc>
          <w:tcPr>
            <w:tcW w:w="246" w:type="pct"/>
            <w:vAlign w:val="center"/>
          </w:tcPr>
          <w:p w14:paraId="0ABE1BCA" w14:textId="77777777" w:rsidR="00346E2F" w:rsidRPr="003B444D" w:rsidRDefault="00346E2F" w:rsidP="00446EFC">
            <w:pPr>
              <w:pStyle w:val="In-tableHeading"/>
              <w:jc w:val="center"/>
              <w:rPr>
                <w:szCs w:val="20"/>
                <w:lang w:val="en-AU"/>
              </w:rPr>
            </w:pPr>
            <w:r w:rsidRPr="003B444D">
              <w:rPr>
                <w:szCs w:val="20"/>
                <w:lang w:val="en-AU"/>
              </w:rPr>
              <w:t>N</w:t>
            </w:r>
            <w:r w:rsidRPr="003B444D">
              <w:rPr>
                <w:szCs w:val="20"/>
                <w:vertAlign w:val="superscript"/>
                <w:lang w:val="en-AU"/>
              </w:rPr>
              <w:t>b</w:t>
            </w:r>
          </w:p>
        </w:tc>
        <w:tc>
          <w:tcPr>
            <w:tcW w:w="656" w:type="pct"/>
            <w:vAlign w:val="center"/>
          </w:tcPr>
          <w:p w14:paraId="3A3CC011" w14:textId="77777777" w:rsidR="00346E2F" w:rsidRPr="003B444D" w:rsidRDefault="00346E2F" w:rsidP="00446EFC">
            <w:pPr>
              <w:pStyle w:val="In-tableHeading"/>
              <w:jc w:val="center"/>
              <w:rPr>
                <w:szCs w:val="20"/>
                <w:lang w:val="en-AU"/>
              </w:rPr>
            </w:pPr>
            <w:r w:rsidRPr="003B444D">
              <w:rPr>
                <w:szCs w:val="20"/>
                <w:lang w:val="en-AU"/>
              </w:rPr>
              <w:t>Design/ duration</w:t>
            </w:r>
          </w:p>
        </w:tc>
        <w:tc>
          <w:tcPr>
            <w:tcW w:w="446" w:type="pct"/>
            <w:vAlign w:val="center"/>
          </w:tcPr>
          <w:p w14:paraId="47A1220B" w14:textId="77777777" w:rsidR="00346E2F" w:rsidRPr="003B444D" w:rsidRDefault="00346E2F" w:rsidP="00446EFC">
            <w:pPr>
              <w:pStyle w:val="In-tableHeading"/>
              <w:jc w:val="center"/>
              <w:rPr>
                <w:szCs w:val="20"/>
                <w:lang w:val="en-AU"/>
              </w:rPr>
            </w:pPr>
            <w:r w:rsidRPr="003B444D">
              <w:rPr>
                <w:szCs w:val="20"/>
                <w:lang w:val="en-AU"/>
              </w:rPr>
              <w:t>Risk of bias</w:t>
            </w:r>
          </w:p>
        </w:tc>
        <w:tc>
          <w:tcPr>
            <w:tcW w:w="1885" w:type="pct"/>
            <w:vAlign w:val="center"/>
          </w:tcPr>
          <w:p w14:paraId="0BA3DFFC" w14:textId="77777777" w:rsidR="00346E2F" w:rsidRPr="003B444D" w:rsidRDefault="00346E2F" w:rsidP="00446EFC">
            <w:pPr>
              <w:pStyle w:val="In-tableHeading"/>
              <w:jc w:val="center"/>
              <w:rPr>
                <w:szCs w:val="20"/>
                <w:lang w:val="en-AU"/>
              </w:rPr>
            </w:pPr>
            <w:r w:rsidRPr="003B444D">
              <w:rPr>
                <w:szCs w:val="20"/>
                <w:lang w:val="en-AU"/>
              </w:rPr>
              <w:t>Patient population</w:t>
            </w:r>
          </w:p>
        </w:tc>
        <w:tc>
          <w:tcPr>
            <w:tcW w:w="1230" w:type="pct"/>
            <w:vAlign w:val="center"/>
          </w:tcPr>
          <w:p w14:paraId="28D46DD0" w14:textId="77777777" w:rsidR="00346E2F" w:rsidRPr="003B444D" w:rsidRDefault="00346E2F" w:rsidP="00446EFC">
            <w:pPr>
              <w:pStyle w:val="In-tableHeading"/>
              <w:jc w:val="center"/>
              <w:rPr>
                <w:szCs w:val="20"/>
                <w:lang w:val="en-AU"/>
              </w:rPr>
            </w:pPr>
            <w:r w:rsidRPr="003B444D">
              <w:rPr>
                <w:szCs w:val="20"/>
                <w:lang w:val="en-AU"/>
              </w:rPr>
              <w:t>Outcome(s)</w:t>
            </w:r>
          </w:p>
        </w:tc>
      </w:tr>
      <w:tr w:rsidR="00346E2F" w:rsidRPr="003B444D" w14:paraId="63033CD0" w14:textId="77777777" w:rsidTr="003B444D">
        <w:trPr>
          <w:cantSplit/>
        </w:trPr>
        <w:tc>
          <w:tcPr>
            <w:tcW w:w="5000" w:type="pct"/>
            <w:gridSpan w:val="6"/>
            <w:vAlign w:val="center"/>
          </w:tcPr>
          <w:p w14:paraId="34635D68" w14:textId="77777777" w:rsidR="00346E2F" w:rsidRPr="003B444D" w:rsidRDefault="00346E2F" w:rsidP="00446EFC">
            <w:pPr>
              <w:pStyle w:val="In-tableHeading"/>
              <w:rPr>
                <w:szCs w:val="20"/>
                <w:lang w:val="en-AU"/>
              </w:rPr>
            </w:pPr>
            <w:r w:rsidRPr="003B444D">
              <w:rPr>
                <w:szCs w:val="20"/>
                <w:lang w:val="en-AU"/>
              </w:rPr>
              <w:t>AV vs FCR/BR</w:t>
            </w:r>
          </w:p>
        </w:tc>
      </w:tr>
      <w:tr w:rsidR="00346E2F" w:rsidRPr="003B444D" w14:paraId="2EB6FBD7" w14:textId="77777777" w:rsidTr="003B444D">
        <w:trPr>
          <w:cantSplit/>
        </w:trPr>
        <w:tc>
          <w:tcPr>
            <w:tcW w:w="537" w:type="pct"/>
            <w:vAlign w:val="center"/>
          </w:tcPr>
          <w:p w14:paraId="0E40F632" w14:textId="77777777" w:rsidR="00346E2F" w:rsidRPr="003B444D" w:rsidRDefault="00346E2F" w:rsidP="00446EFC">
            <w:pPr>
              <w:pStyle w:val="TableText0"/>
              <w:rPr>
                <w:szCs w:val="20"/>
              </w:rPr>
            </w:pPr>
            <w:r w:rsidRPr="003B444D">
              <w:rPr>
                <w:szCs w:val="20"/>
              </w:rPr>
              <w:t>AMPLIFY</w:t>
            </w:r>
          </w:p>
          <w:p w14:paraId="6D318E97" w14:textId="77777777" w:rsidR="00346E2F" w:rsidRPr="003B444D" w:rsidRDefault="00346E2F" w:rsidP="00446EFC">
            <w:pPr>
              <w:pStyle w:val="TableText0"/>
              <w:rPr>
                <w:szCs w:val="20"/>
              </w:rPr>
            </w:pPr>
            <w:r w:rsidRPr="003B444D">
              <w:rPr>
                <w:szCs w:val="20"/>
              </w:rPr>
              <w:t>(2019-2024)</w:t>
            </w:r>
          </w:p>
        </w:tc>
        <w:tc>
          <w:tcPr>
            <w:tcW w:w="246" w:type="pct"/>
            <w:vAlign w:val="center"/>
          </w:tcPr>
          <w:p w14:paraId="21381A10" w14:textId="77777777" w:rsidR="00346E2F" w:rsidRPr="003B444D" w:rsidRDefault="00346E2F" w:rsidP="00446EFC">
            <w:pPr>
              <w:pStyle w:val="TableText0"/>
              <w:jc w:val="center"/>
              <w:rPr>
                <w:szCs w:val="20"/>
              </w:rPr>
            </w:pPr>
            <w:r w:rsidRPr="003B444D">
              <w:rPr>
                <w:szCs w:val="20"/>
              </w:rPr>
              <w:t>581</w:t>
            </w:r>
          </w:p>
        </w:tc>
        <w:tc>
          <w:tcPr>
            <w:tcW w:w="656" w:type="pct"/>
            <w:vAlign w:val="center"/>
          </w:tcPr>
          <w:p w14:paraId="004C9E2D" w14:textId="77777777" w:rsidR="00346E2F" w:rsidRPr="003B444D" w:rsidRDefault="00346E2F" w:rsidP="00446EFC">
            <w:pPr>
              <w:pStyle w:val="TableText0"/>
              <w:jc w:val="center"/>
              <w:rPr>
                <w:szCs w:val="20"/>
              </w:rPr>
            </w:pPr>
            <w:r w:rsidRPr="003B444D">
              <w:rPr>
                <w:szCs w:val="20"/>
              </w:rPr>
              <w:t>PIII, R, MC, OL</w:t>
            </w:r>
          </w:p>
          <w:p w14:paraId="165CC6F8" w14:textId="77777777" w:rsidR="00346E2F" w:rsidRPr="003B444D" w:rsidRDefault="00346E2F" w:rsidP="00446EFC">
            <w:pPr>
              <w:pStyle w:val="TableText0"/>
              <w:jc w:val="center"/>
              <w:rPr>
                <w:szCs w:val="20"/>
              </w:rPr>
            </w:pPr>
            <w:r w:rsidRPr="003B444D">
              <w:rPr>
                <w:szCs w:val="20"/>
              </w:rPr>
              <w:t xml:space="preserve">24-56 </w:t>
            </w:r>
            <w:proofErr w:type="spellStart"/>
            <w:r w:rsidRPr="003B444D">
              <w:rPr>
                <w:szCs w:val="20"/>
              </w:rPr>
              <w:t>wks</w:t>
            </w:r>
            <w:proofErr w:type="spellEnd"/>
          </w:p>
        </w:tc>
        <w:tc>
          <w:tcPr>
            <w:tcW w:w="446" w:type="pct"/>
            <w:vAlign w:val="center"/>
          </w:tcPr>
          <w:p w14:paraId="0049C86E" w14:textId="77777777" w:rsidR="00346E2F" w:rsidRPr="003B444D" w:rsidRDefault="00346E2F" w:rsidP="00446EFC">
            <w:pPr>
              <w:pStyle w:val="TableText0"/>
              <w:jc w:val="center"/>
              <w:rPr>
                <w:szCs w:val="20"/>
              </w:rPr>
            </w:pPr>
            <w:r w:rsidRPr="003B444D">
              <w:rPr>
                <w:szCs w:val="20"/>
              </w:rPr>
              <w:t>Unclear</w:t>
            </w:r>
          </w:p>
        </w:tc>
        <w:tc>
          <w:tcPr>
            <w:tcW w:w="1885" w:type="pct"/>
            <w:vAlign w:val="center"/>
          </w:tcPr>
          <w:p w14:paraId="299AC583" w14:textId="77777777" w:rsidR="00346E2F" w:rsidRPr="003B444D" w:rsidRDefault="00346E2F" w:rsidP="00446EFC">
            <w:pPr>
              <w:pStyle w:val="TableText0"/>
              <w:jc w:val="center"/>
              <w:rPr>
                <w:szCs w:val="20"/>
              </w:rPr>
            </w:pPr>
            <w:r w:rsidRPr="003B444D">
              <w:rPr>
                <w:szCs w:val="20"/>
              </w:rPr>
              <w:t xml:space="preserve">1L CLL, without del(17p) or TP53 mutation, ≥18 </w:t>
            </w:r>
            <w:proofErr w:type="spellStart"/>
            <w:r w:rsidRPr="003B444D">
              <w:rPr>
                <w:szCs w:val="20"/>
              </w:rPr>
              <w:t>yo</w:t>
            </w:r>
            <w:proofErr w:type="spellEnd"/>
            <w:r w:rsidRPr="003B444D">
              <w:rPr>
                <w:szCs w:val="20"/>
              </w:rPr>
              <w:t>, ECOG≤2, CIRS&lt;6, CrCl≥50 mL/min</w:t>
            </w:r>
          </w:p>
        </w:tc>
        <w:tc>
          <w:tcPr>
            <w:tcW w:w="1230" w:type="pct"/>
            <w:vAlign w:val="center"/>
          </w:tcPr>
          <w:p w14:paraId="3197FC4E" w14:textId="77777777" w:rsidR="00346E2F" w:rsidRPr="003B444D" w:rsidRDefault="00346E2F" w:rsidP="00446EFC">
            <w:pPr>
              <w:pStyle w:val="TableText0"/>
              <w:jc w:val="center"/>
              <w:rPr>
                <w:szCs w:val="20"/>
              </w:rPr>
            </w:pPr>
            <w:r w:rsidRPr="003B444D">
              <w:rPr>
                <w:szCs w:val="20"/>
              </w:rPr>
              <w:t>1</w:t>
            </w:r>
            <w:r w:rsidRPr="003B444D">
              <w:rPr>
                <w:rFonts w:cs="Arial"/>
                <w:szCs w:val="20"/>
              </w:rPr>
              <w:t>º</w:t>
            </w:r>
            <w:r w:rsidRPr="003B444D">
              <w:rPr>
                <w:szCs w:val="20"/>
              </w:rPr>
              <w:t>: PFS-IRC; 2</w:t>
            </w:r>
            <w:r w:rsidRPr="003B444D">
              <w:rPr>
                <w:rFonts w:cs="Arial"/>
                <w:szCs w:val="20"/>
              </w:rPr>
              <w:t xml:space="preserve">º: MRD negativity, </w:t>
            </w:r>
            <w:r w:rsidRPr="003B444D">
              <w:rPr>
                <w:szCs w:val="20"/>
              </w:rPr>
              <w:t>OS, ORR, TTNT</w:t>
            </w:r>
          </w:p>
        </w:tc>
      </w:tr>
      <w:tr w:rsidR="00346E2F" w:rsidRPr="003B444D" w14:paraId="31D8CAA4" w14:textId="77777777" w:rsidTr="003B444D">
        <w:trPr>
          <w:cantSplit/>
        </w:trPr>
        <w:tc>
          <w:tcPr>
            <w:tcW w:w="5000" w:type="pct"/>
            <w:gridSpan w:val="6"/>
            <w:vAlign w:val="center"/>
          </w:tcPr>
          <w:p w14:paraId="3CE82B7A" w14:textId="77777777" w:rsidR="00346E2F" w:rsidRPr="003B444D" w:rsidRDefault="00346E2F" w:rsidP="00446EFC">
            <w:pPr>
              <w:pStyle w:val="TableText0"/>
              <w:rPr>
                <w:b/>
                <w:bCs w:val="0"/>
                <w:szCs w:val="20"/>
              </w:rPr>
            </w:pPr>
            <w:r w:rsidRPr="003B444D">
              <w:rPr>
                <w:b/>
                <w:bCs w:val="0"/>
                <w:szCs w:val="20"/>
              </w:rPr>
              <w:t>VO vs FCR/BR</w:t>
            </w:r>
          </w:p>
        </w:tc>
      </w:tr>
      <w:tr w:rsidR="00346E2F" w:rsidRPr="003B444D" w14:paraId="62945E9A" w14:textId="77777777" w:rsidTr="003B444D">
        <w:trPr>
          <w:cantSplit/>
        </w:trPr>
        <w:tc>
          <w:tcPr>
            <w:tcW w:w="537" w:type="pct"/>
            <w:vAlign w:val="center"/>
          </w:tcPr>
          <w:p w14:paraId="64E2B32B" w14:textId="77777777" w:rsidR="00346E2F" w:rsidRPr="003B444D" w:rsidRDefault="00346E2F" w:rsidP="00446EFC">
            <w:pPr>
              <w:pStyle w:val="TableText0"/>
              <w:rPr>
                <w:szCs w:val="20"/>
              </w:rPr>
            </w:pPr>
            <w:r w:rsidRPr="003B444D">
              <w:rPr>
                <w:szCs w:val="20"/>
              </w:rPr>
              <w:t>CLL13</w:t>
            </w:r>
          </w:p>
          <w:p w14:paraId="68005E4C" w14:textId="77777777" w:rsidR="00346E2F" w:rsidRPr="003B444D" w:rsidRDefault="00346E2F" w:rsidP="00446EFC">
            <w:pPr>
              <w:pStyle w:val="TableText0"/>
              <w:rPr>
                <w:szCs w:val="20"/>
              </w:rPr>
            </w:pPr>
            <w:r w:rsidRPr="003B444D">
              <w:rPr>
                <w:szCs w:val="20"/>
              </w:rPr>
              <w:t>(2016-2023)</w:t>
            </w:r>
          </w:p>
        </w:tc>
        <w:tc>
          <w:tcPr>
            <w:tcW w:w="246" w:type="pct"/>
            <w:vAlign w:val="center"/>
          </w:tcPr>
          <w:p w14:paraId="712E761A" w14:textId="77777777" w:rsidR="00346E2F" w:rsidRPr="003B444D" w:rsidRDefault="00346E2F" w:rsidP="00446EFC">
            <w:pPr>
              <w:pStyle w:val="TableText0"/>
              <w:jc w:val="center"/>
              <w:rPr>
                <w:szCs w:val="20"/>
              </w:rPr>
            </w:pPr>
            <w:r w:rsidRPr="003B444D">
              <w:rPr>
                <w:szCs w:val="20"/>
              </w:rPr>
              <w:t>458</w:t>
            </w:r>
          </w:p>
        </w:tc>
        <w:tc>
          <w:tcPr>
            <w:tcW w:w="656" w:type="pct"/>
            <w:vAlign w:val="center"/>
          </w:tcPr>
          <w:p w14:paraId="1E75C440" w14:textId="77777777" w:rsidR="00346E2F" w:rsidRPr="003B444D" w:rsidRDefault="00346E2F" w:rsidP="00446EFC">
            <w:pPr>
              <w:pStyle w:val="TableText0"/>
              <w:jc w:val="center"/>
              <w:rPr>
                <w:szCs w:val="20"/>
              </w:rPr>
            </w:pPr>
            <w:r w:rsidRPr="003B444D">
              <w:rPr>
                <w:szCs w:val="20"/>
              </w:rPr>
              <w:t>PIII, R, MC, OL</w:t>
            </w:r>
          </w:p>
          <w:p w14:paraId="26F68805" w14:textId="77777777" w:rsidR="00346E2F" w:rsidRPr="003B444D" w:rsidRDefault="00346E2F" w:rsidP="00446EFC">
            <w:pPr>
              <w:pStyle w:val="TableText0"/>
              <w:jc w:val="center"/>
              <w:rPr>
                <w:szCs w:val="20"/>
              </w:rPr>
            </w:pPr>
            <w:r w:rsidRPr="003B444D">
              <w:rPr>
                <w:szCs w:val="20"/>
              </w:rPr>
              <w:t xml:space="preserve">24-144 </w:t>
            </w:r>
            <w:proofErr w:type="spellStart"/>
            <w:r w:rsidRPr="003B444D">
              <w:rPr>
                <w:szCs w:val="20"/>
              </w:rPr>
              <w:t>wks</w:t>
            </w:r>
            <w:proofErr w:type="spellEnd"/>
          </w:p>
        </w:tc>
        <w:tc>
          <w:tcPr>
            <w:tcW w:w="446" w:type="pct"/>
            <w:vAlign w:val="center"/>
          </w:tcPr>
          <w:p w14:paraId="5ACCE734" w14:textId="77777777" w:rsidR="00346E2F" w:rsidRPr="003B444D" w:rsidRDefault="00346E2F" w:rsidP="00446EFC">
            <w:pPr>
              <w:pStyle w:val="TableText0"/>
              <w:jc w:val="center"/>
              <w:rPr>
                <w:szCs w:val="20"/>
              </w:rPr>
            </w:pPr>
            <w:r w:rsidRPr="003B444D">
              <w:rPr>
                <w:szCs w:val="20"/>
              </w:rPr>
              <w:t>Unclear</w:t>
            </w:r>
          </w:p>
        </w:tc>
        <w:tc>
          <w:tcPr>
            <w:tcW w:w="1885" w:type="pct"/>
            <w:vAlign w:val="center"/>
          </w:tcPr>
          <w:p w14:paraId="01CEA95C" w14:textId="77777777" w:rsidR="00346E2F" w:rsidRPr="003B444D" w:rsidRDefault="00346E2F" w:rsidP="00446EFC">
            <w:pPr>
              <w:pStyle w:val="TableText0"/>
              <w:jc w:val="center"/>
              <w:rPr>
                <w:szCs w:val="20"/>
              </w:rPr>
            </w:pPr>
            <w:r w:rsidRPr="003B444D">
              <w:rPr>
                <w:szCs w:val="20"/>
              </w:rPr>
              <w:t xml:space="preserve">1L CLL, without del(17p) or </w:t>
            </w:r>
            <w:r w:rsidRPr="003B444D">
              <w:rPr>
                <w:i/>
                <w:iCs/>
                <w:szCs w:val="20"/>
              </w:rPr>
              <w:t>TP53</w:t>
            </w:r>
            <w:r w:rsidRPr="003B444D">
              <w:rPr>
                <w:szCs w:val="20"/>
              </w:rPr>
              <w:t xml:space="preserve"> mutation, ≥18 </w:t>
            </w:r>
            <w:proofErr w:type="spellStart"/>
            <w:r w:rsidRPr="003B444D">
              <w:rPr>
                <w:szCs w:val="20"/>
              </w:rPr>
              <w:t>yo</w:t>
            </w:r>
            <w:proofErr w:type="spellEnd"/>
            <w:r w:rsidRPr="003B444D">
              <w:rPr>
                <w:szCs w:val="20"/>
              </w:rPr>
              <w:t>, ECOG≤2, CIRS&lt;6, CrCl≥70 mL/min</w:t>
            </w:r>
          </w:p>
        </w:tc>
        <w:tc>
          <w:tcPr>
            <w:tcW w:w="1230" w:type="pct"/>
            <w:vAlign w:val="center"/>
          </w:tcPr>
          <w:p w14:paraId="7043DE60" w14:textId="77777777" w:rsidR="00346E2F" w:rsidRPr="003B444D" w:rsidRDefault="00346E2F" w:rsidP="00446EFC">
            <w:pPr>
              <w:pStyle w:val="TableText0"/>
              <w:jc w:val="center"/>
              <w:rPr>
                <w:szCs w:val="20"/>
                <w:lang w:val="de-DE"/>
              </w:rPr>
            </w:pPr>
            <w:r w:rsidRPr="003B444D">
              <w:rPr>
                <w:szCs w:val="20"/>
                <w:lang w:val="de-DE"/>
              </w:rPr>
              <w:t>1</w:t>
            </w:r>
            <w:r w:rsidRPr="003B444D">
              <w:rPr>
                <w:rFonts w:cs="Arial"/>
                <w:szCs w:val="20"/>
                <w:lang w:val="de-DE"/>
              </w:rPr>
              <w:t>º</w:t>
            </w:r>
            <w:r w:rsidRPr="003B444D">
              <w:rPr>
                <w:szCs w:val="20"/>
                <w:lang w:val="de-DE"/>
              </w:rPr>
              <w:t xml:space="preserve">: MRD, PFS; </w:t>
            </w:r>
          </w:p>
          <w:p w14:paraId="76B6EC4E" w14:textId="77777777" w:rsidR="00346E2F" w:rsidRPr="003B444D" w:rsidRDefault="00346E2F" w:rsidP="00446EFC">
            <w:pPr>
              <w:pStyle w:val="TableText0"/>
              <w:jc w:val="center"/>
              <w:rPr>
                <w:szCs w:val="20"/>
                <w:lang w:val="de-DE"/>
              </w:rPr>
            </w:pPr>
            <w:r w:rsidRPr="003B444D">
              <w:rPr>
                <w:szCs w:val="20"/>
                <w:lang w:val="de-DE"/>
              </w:rPr>
              <w:t>2</w:t>
            </w:r>
            <w:r w:rsidRPr="003B444D">
              <w:rPr>
                <w:rFonts w:cs="Arial"/>
                <w:szCs w:val="20"/>
                <w:lang w:val="de-DE"/>
              </w:rPr>
              <w:t>º</w:t>
            </w:r>
            <w:r w:rsidRPr="003B444D">
              <w:rPr>
                <w:szCs w:val="20"/>
                <w:lang w:val="de-DE"/>
              </w:rPr>
              <w:t>: CR, TTNT, OS</w:t>
            </w:r>
          </w:p>
        </w:tc>
      </w:tr>
      <w:tr w:rsidR="00346E2F" w:rsidRPr="003B444D" w14:paraId="6F07EEC5" w14:textId="77777777" w:rsidTr="003B444D">
        <w:trPr>
          <w:cantSplit/>
        </w:trPr>
        <w:tc>
          <w:tcPr>
            <w:tcW w:w="537" w:type="pct"/>
            <w:vAlign w:val="center"/>
          </w:tcPr>
          <w:p w14:paraId="70FE13EE" w14:textId="77777777" w:rsidR="00346E2F" w:rsidRPr="003B444D" w:rsidRDefault="00346E2F" w:rsidP="00446EFC">
            <w:pPr>
              <w:pStyle w:val="TableText0"/>
              <w:rPr>
                <w:szCs w:val="20"/>
              </w:rPr>
            </w:pPr>
            <w:r w:rsidRPr="003B444D">
              <w:rPr>
                <w:szCs w:val="20"/>
              </w:rPr>
              <w:t>CRISTALLO</w:t>
            </w:r>
          </w:p>
          <w:p w14:paraId="5E4F976E" w14:textId="77777777" w:rsidR="00346E2F" w:rsidRPr="003B444D" w:rsidRDefault="00346E2F" w:rsidP="00446EFC">
            <w:pPr>
              <w:pStyle w:val="TableText0"/>
              <w:rPr>
                <w:szCs w:val="20"/>
              </w:rPr>
            </w:pPr>
            <w:r w:rsidRPr="003B444D">
              <w:rPr>
                <w:szCs w:val="20"/>
              </w:rPr>
              <w:t>(2020-2024)</w:t>
            </w:r>
          </w:p>
        </w:tc>
        <w:tc>
          <w:tcPr>
            <w:tcW w:w="246" w:type="pct"/>
            <w:vAlign w:val="center"/>
          </w:tcPr>
          <w:p w14:paraId="2E714E79" w14:textId="77777777" w:rsidR="00346E2F" w:rsidRPr="003B444D" w:rsidRDefault="00346E2F" w:rsidP="00446EFC">
            <w:pPr>
              <w:pStyle w:val="TableText0"/>
              <w:jc w:val="center"/>
              <w:rPr>
                <w:szCs w:val="20"/>
              </w:rPr>
            </w:pPr>
            <w:r w:rsidRPr="003B444D">
              <w:rPr>
                <w:szCs w:val="20"/>
              </w:rPr>
              <w:t>166</w:t>
            </w:r>
          </w:p>
        </w:tc>
        <w:tc>
          <w:tcPr>
            <w:tcW w:w="656" w:type="pct"/>
            <w:vAlign w:val="center"/>
          </w:tcPr>
          <w:p w14:paraId="4BDC46EE" w14:textId="77777777" w:rsidR="00346E2F" w:rsidRPr="003B444D" w:rsidRDefault="00346E2F" w:rsidP="00446EFC">
            <w:pPr>
              <w:pStyle w:val="TableText0"/>
              <w:jc w:val="center"/>
              <w:rPr>
                <w:szCs w:val="20"/>
              </w:rPr>
            </w:pPr>
            <w:r w:rsidRPr="003B444D">
              <w:rPr>
                <w:szCs w:val="20"/>
              </w:rPr>
              <w:t>PIII, R, MC, OL</w:t>
            </w:r>
          </w:p>
          <w:p w14:paraId="5C9A0388" w14:textId="77777777" w:rsidR="00346E2F" w:rsidRPr="003B444D" w:rsidRDefault="00346E2F" w:rsidP="00446EFC">
            <w:pPr>
              <w:pStyle w:val="TableText0"/>
              <w:jc w:val="center"/>
              <w:rPr>
                <w:szCs w:val="20"/>
              </w:rPr>
            </w:pPr>
            <w:r w:rsidRPr="003B444D">
              <w:rPr>
                <w:szCs w:val="20"/>
              </w:rPr>
              <w:t xml:space="preserve">24 </w:t>
            </w:r>
            <w:proofErr w:type="spellStart"/>
            <w:r w:rsidRPr="003B444D">
              <w:rPr>
                <w:szCs w:val="20"/>
              </w:rPr>
              <w:t>wks</w:t>
            </w:r>
            <w:proofErr w:type="spellEnd"/>
          </w:p>
        </w:tc>
        <w:tc>
          <w:tcPr>
            <w:tcW w:w="446" w:type="pct"/>
            <w:vAlign w:val="center"/>
          </w:tcPr>
          <w:p w14:paraId="1B8667E7" w14:textId="77777777" w:rsidR="00346E2F" w:rsidRPr="003B444D" w:rsidRDefault="00346E2F" w:rsidP="00446EFC">
            <w:pPr>
              <w:pStyle w:val="TableText0"/>
              <w:jc w:val="center"/>
              <w:rPr>
                <w:szCs w:val="20"/>
              </w:rPr>
            </w:pPr>
            <w:r w:rsidRPr="003B444D">
              <w:rPr>
                <w:szCs w:val="20"/>
              </w:rPr>
              <w:t>Unclear</w:t>
            </w:r>
          </w:p>
        </w:tc>
        <w:tc>
          <w:tcPr>
            <w:tcW w:w="1885" w:type="pct"/>
            <w:vAlign w:val="center"/>
          </w:tcPr>
          <w:p w14:paraId="0E4CC730" w14:textId="77777777" w:rsidR="00346E2F" w:rsidRPr="003B444D" w:rsidRDefault="00346E2F" w:rsidP="00446EFC">
            <w:pPr>
              <w:pStyle w:val="TableText0"/>
              <w:jc w:val="center"/>
              <w:rPr>
                <w:szCs w:val="20"/>
              </w:rPr>
            </w:pPr>
            <w:r w:rsidRPr="003B444D">
              <w:rPr>
                <w:szCs w:val="20"/>
              </w:rPr>
              <w:t xml:space="preserve">1L CLL, without del(17p) or </w:t>
            </w:r>
            <w:r w:rsidRPr="003B444D">
              <w:rPr>
                <w:i/>
                <w:iCs/>
                <w:szCs w:val="20"/>
              </w:rPr>
              <w:t>TP53</w:t>
            </w:r>
            <w:r w:rsidRPr="003B444D">
              <w:rPr>
                <w:szCs w:val="20"/>
              </w:rPr>
              <w:t xml:space="preserve"> mutation, ≥18 </w:t>
            </w:r>
            <w:proofErr w:type="spellStart"/>
            <w:r w:rsidRPr="003B444D">
              <w:rPr>
                <w:szCs w:val="20"/>
              </w:rPr>
              <w:t>yo</w:t>
            </w:r>
            <w:proofErr w:type="spellEnd"/>
            <w:r w:rsidRPr="003B444D">
              <w:rPr>
                <w:szCs w:val="20"/>
              </w:rPr>
              <w:t>, CIRS≤6, CrCl≥70 mL/min</w:t>
            </w:r>
          </w:p>
        </w:tc>
        <w:tc>
          <w:tcPr>
            <w:tcW w:w="1230" w:type="pct"/>
            <w:vAlign w:val="center"/>
          </w:tcPr>
          <w:p w14:paraId="32822DBE" w14:textId="77777777" w:rsidR="00346E2F" w:rsidRPr="003B444D" w:rsidRDefault="00346E2F" w:rsidP="00446EFC">
            <w:pPr>
              <w:pStyle w:val="TableText0"/>
              <w:jc w:val="center"/>
              <w:rPr>
                <w:szCs w:val="20"/>
                <w:lang w:val="de-DE"/>
              </w:rPr>
            </w:pPr>
            <w:r w:rsidRPr="003B444D">
              <w:rPr>
                <w:szCs w:val="20"/>
                <w:lang w:val="de-DE"/>
              </w:rPr>
              <w:t>1</w:t>
            </w:r>
            <w:r w:rsidRPr="003B444D">
              <w:rPr>
                <w:rFonts w:cs="Arial"/>
                <w:szCs w:val="20"/>
                <w:lang w:val="de-DE"/>
              </w:rPr>
              <w:t>º</w:t>
            </w:r>
            <w:r w:rsidRPr="003B444D">
              <w:rPr>
                <w:szCs w:val="20"/>
                <w:lang w:val="de-DE"/>
              </w:rPr>
              <w:t xml:space="preserve">: MRD; </w:t>
            </w:r>
          </w:p>
          <w:p w14:paraId="4721996E" w14:textId="77777777" w:rsidR="00346E2F" w:rsidRPr="003B444D" w:rsidRDefault="00346E2F" w:rsidP="00446EFC">
            <w:pPr>
              <w:pStyle w:val="TableText0"/>
              <w:jc w:val="center"/>
              <w:rPr>
                <w:szCs w:val="20"/>
                <w:lang w:val="de-DE"/>
              </w:rPr>
            </w:pPr>
            <w:r w:rsidRPr="003B444D">
              <w:rPr>
                <w:szCs w:val="20"/>
                <w:lang w:val="de-DE"/>
              </w:rPr>
              <w:t>2</w:t>
            </w:r>
            <w:r w:rsidRPr="003B444D">
              <w:rPr>
                <w:rFonts w:cs="Arial"/>
                <w:szCs w:val="20"/>
                <w:lang w:val="de-DE"/>
              </w:rPr>
              <w:t>º</w:t>
            </w:r>
            <w:r w:rsidRPr="003B444D">
              <w:rPr>
                <w:szCs w:val="20"/>
                <w:lang w:val="de-DE"/>
              </w:rPr>
              <w:t>: PFS, CR</w:t>
            </w:r>
          </w:p>
        </w:tc>
      </w:tr>
      <w:tr w:rsidR="00346E2F" w:rsidRPr="003B444D" w14:paraId="5FEC2D1C" w14:textId="77777777" w:rsidTr="003B444D">
        <w:trPr>
          <w:cantSplit/>
        </w:trPr>
        <w:tc>
          <w:tcPr>
            <w:tcW w:w="5000" w:type="pct"/>
            <w:gridSpan w:val="6"/>
            <w:vAlign w:val="center"/>
          </w:tcPr>
          <w:p w14:paraId="1E5FE54B" w14:textId="77777777" w:rsidR="00346E2F" w:rsidRPr="003B444D" w:rsidRDefault="00346E2F" w:rsidP="00446EFC">
            <w:pPr>
              <w:pStyle w:val="TableText0"/>
              <w:rPr>
                <w:b/>
                <w:bCs w:val="0"/>
                <w:szCs w:val="20"/>
              </w:rPr>
            </w:pPr>
            <w:r w:rsidRPr="003B444D">
              <w:rPr>
                <w:b/>
                <w:bCs w:val="0"/>
                <w:szCs w:val="20"/>
              </w:rPr>
              <w:t xml:space="preserve">VO vs </w:t>
            </w:r>
            <w:proofErr w:type="spellStart"/>
            <w:r w:rsidRPr="003B444D">
              <w:rPr>
                <w:b/>
                <w:bCs w:val="0"/>
                <w:szCs w:val="20"/>
              </w:rPr>
              <w:t>ChlO</w:t>
            </w:r>
            <w:proofErr w:type="spellEnd"/>
          </w:p>
        </w:tc>
      </w:tr>
      <w:tr w:rsidR="00346E2F" w:rsidRPr="003B444D" w14:paraId="4447488C" w14:textId="77777777" w:rsidTr="003B444D">
        <w:trPr>
          <w:cantSplit/>
        </w:trPr>
        <w:tc>
          <w:tcPr>
            <w:tcW w:w="537" w:type="pct"/>
            <w:vAlign w:val="center"/>
          </w:tcPr>
          <w:p w14:paraId="028B743A" w14:textId="77777777" w:rsidR="00346E2F" w:rsidRPr="003B444D" w:rsidRDefault="00346E2F" w:rsidP="00446EFC">
            <w:pPr>
              <w:pStyle w:val="TableText0"/>
              <w:rPr>
                <w:szCs w:val="20"/>
              </w:rPr>
            </w:pPr>
            <w:r w:rsidRPr="003B444D">
              <w:rPr>
                <w:szCs w:val="20"/>
              </w:rPr>
              <w:t>CLL14</w:t>
            </w:r>
          </w:p>
          <w:p w14:paraId="3AF67B82" w14:textId="77777777" w:rsidR="00346E2F" w:rsidRPr="003B444D" w:rsidRDefault="00346E2F" w:rsidP="00446EFC">
            <w:pPr>
              <w:pStyle w:val="TableText0"/>
              <w:rPr>
                <w:szCs w:val="20"/>
              </w:rPr>
            </w:pPr>
            <w:r w:rsidRPr="003B444D">
              <w:rPr>
                <w:szCs w:val="20"/>
              </w:rPr>
              <w:t>(2014-2022)</w:t>
            </w:r>
          </w:p>
        </w:tc>
        <w:tc>
          <w:tcPr>
            <w:tcW w:w="246" w:type="pct"/>
            <w:vAlign w:val="center"/>
          </w:tcPr>
          <w:p w14:paraId="1CED0B0A" w14:textId="77777777" w:rsidR="00346E2F" w:rsidRPr="003B444D" w:rsidRDefault="00346E2F" w:rsidP="00446EFC">
            <w:pPr>
              <w:pStyle w:val="TableText0"/>
              <w:jc w:val="center"/>
              <w:rPr>
                <w:szCs w:val="20"/>
              </w:rPr>
            </w:pPr>
            <w:r w:rsidRPr="003B444D">
              <w:rPr>
                <w:szCs w:val="20"/>
              </w:rPr>
              <w:t>432</w:t>
            </w:r>
          </w:p>
        </w:tc>
        <w:tc>
          <w:tcPr>
            <w:tcW w:w="656" w:type="pct"/>
            <w:vAlign w:val="center"/>
          </w:tcPr>
          <w:p w14:paraId="4CCD3CD3" w14:textId="77777777" w:rsidR="00346E2F" w:rsidRPr="003B444D" w:rsidRDefault="00346E2F" w:rsidP="00446EFC">
            <w:pPr>
              <w:pStyle w:val="TableText0"/>
              <w:jc w:val="center"/>
              <w:rPr>
                <w:szCs w:val="20"/>
              </w:rPr>
            </w:pPr>
            <w:r w:rsidRPr="003B444D">
              <w:rPr>
                <w:szCs w:val="20"/>
              </w:rPr>
              <w:t>PIII, R, MC, OL</w:t>
            </w:r>
          </w:p>
          <w:p w14:paraId="78A33B59" w14:textId="77777777" w:rsidR="00346E2F" w:rsidRPr="003B444D" w:rsidRDefault="00346E2F" w:rsidP="00446EFC">
            <w:pPr>
              <w:pStyle w:val="TableText0"/>
              <w:jc w:val="center"/>
              <w:rPr>
                <w:szCs w:val="20"/>
              </w:rPr>
            </w:pPr>
            <w:r w:rsidRPr="003B444D">
              <w:rPr>
                <w:szCs w:val="20"/>
              </w:rPr>
              <w:t xml:space="preserve">48 </w:t>
            </w:r>
            <w:proofErr w:type="spellStart"/>
            <w:r w:rsidRPr="003B444D">
              <w:rPr>
                <w:szCs w:val="20"/>
              </w:rPr>
              <w:t>wks</w:t>
            </w:r>
            <w:proofErr w:type="spellEnd"/>
          </w:p>
        </w:tc>
        <w:tc>
          <w:tcPr>
            <w:tcW w:w="446" w:type="pct"/>
            <w:vAlign w:val="center"/>
          </w:tcPr>
          <w:p w14:paraId="2928B73A" w14:textId="77777777" w:rsidR="00346E2F" w:rsidRPr="003B444D" w:rsidRDefault="00346E2F" w:rsidP="00446EFC">
            <w:pPr>
              <w:pStyle w:val="TableText0"/>
              <w:jc w:val="center"/>
              <w:rPr>
                <w:szCs w:val="20"/>
              </w:rPr>
            </w:pPr>
            <w:r w:rsidRPr="003B444D">
              <w:rPr>
                <w:szCs w:val="20"/>
              </w:rPr>
              <w:t>Unclear</w:t>
            </w:r>
          </w:p>
        </w:tc>
        <w:tc>
          <w:tcPr>
            <w:tcW w:w="1885" w:type="pct"/>
            <w:vAlign w:val="center"/>
          </w:tcPr>
          <w:p w14:paraId="1A09E325" w14:textId="77777777" w:rsidR="00346E2F" w:rsidRPr="003B444D" w:rsidRDefault="00346E2F" w:rsidP="00446EFC">
            <w:pPr>
              <w:pStyle w:val="TableText0"/>
              <w:jc w:val="center"/>
              <w:rPr>
                <w:szCs w:val="20"/>
              </w:rPr>
            </w:pPr>
            <w:r w:rsidRPr="003B444D">
              <w:rPr>
                <w:szCs w:val="20"/>
              </w:rPr>
              <w:t>1L CLL, coexisting medical conditions, CIRS&gt;6 or CrCl&lt;70 mL/min</w:t>
            </w:r>
          </w:p>
        </w:tc>
        <w:tc>
          <w:tcPr>
            <w:tcW w:w="1230" w:type="pct"/>
            <w:vAlign w:val="center"/>
          </w:tcPr>
          <w:p w14:paraId="085BC954" w14:textId="77777777" w:rsidR="00346E2F" w:rsidRPr="003B444D" w:rsidRDefault="00346E2F" w:rsidP="00446EFC">
            <w:pPr>
              <w:pStyle w:val="TableText0"/>
              <w:jc w:val="center"/>
              <w:rPr>
                <w:szCs w:val="20"/>
              </w:rPr>
            </w:pPr>
            <w:r w:rsidRPr="003B444D">
              <w:rPr>
                <w:szCs w:val="20"/>
              </w:rPr>
              <w:t>1</w:t>
            </w:r>
            <w:r w:rsidRPr="003B444D">
              <w:rPr>
                <w:rFonts w:cs="Arial"/>
                <w:szCs w:val="20"/>
              </w:rPr>
              <w:t>º</w:t>
            </w:r>
            <w:r w:rsidRPr="003B444D">
              <w:rPr>
                <w:szCs w:val="20"/>
              </w:rPr>
              <w:t>: PFS-IA; 2</w:t>
            </w:r>
            <w:r w:rsidRPr="003B444D">
              <w:rPr>
                <w:rFonts w:cs="Arial"/>
                <w:szCs w:val="20"/>
              </w:rPr>
              <w:t>º</w:t>
            </w:r>
            <w:r w:rsidRPr="003B444D">
              <w:rPr>
                <w:szCs w:val="20"/>
              </w:rPr>
              <w:t>: PFS-IRC, OS, CR, TTNT, MRD negativity</w:t>
            </w:r>
          </w:p>
        </w:tc>
      </w:tr>
      <w:tr w:rsidR="00346E2F" w:rsidRPr="003B444D" w14:paraId="70FD85B4" w14:textId="77777777" w:rsidTr="003B444D">
        <w:trPr>
          <w:cantSplit/>
        </w:trPr>
        <w:tc>
          <w:tcPr>
            <w:tcW w:w="5000" w:type="pct"/>
            <w:gridSpan w:val="6"/>
            <w:vAlign w:val="center"/>
          </w:tcPr>
          <w:p w14:paraId="7DB70310" w14:textId="77777777" w:rsidR="00346E2F" w:rsidRPr="003B444D" w:rsidRDefault="00346E2F" w:rsidP="00446EFC">
            <w:pPr>
              <w:pStyle w:val="TableText0"/>
              <w:rPr>
                <w:b/>
                <w:bCs w:val="0"/>
                <w:szCs w:val="20"/>
              </w:rPr>
            </w:pPr>
            <w:r w:rsidRPr="003B444D">
              <w:rPr>
                <w:b/>
                <w:bCs w:val="0"/>
                <w:szCs w:val="20"/>
              </w:rPr>
              <w:t xml:space="preserve">IV vs </w:t>
            </w:r>
            <w:proofErr w:type="spellStart"/>
            <w:r w:rsidRPr="003B444D">
              <w:rPr>
                <w:b/>
                <w:bCs w:val="0"/>
                <w:szCs w:val="20"/>
              </w:rPr>
              <w:t>ChlO</w:t>
            </w:r>
            <w:proofErr w:type="spellEnd"/>
          </w:p>
        </w:tc>
      </w:tr>
      <w:tr w:rsidR="00346E2F" w:rsidRPr="003B444D" w14:paraId="73966363" w14:textId="77777777" w:rsidTr="003B444D">
        <w:trPr>
          <w:cantSplit/>
        </w:trPr>
        <w:tc>
          <w:tcPr>
            <w:tcW w:w="537" w:type="pct"/>
            <w:vAlign w:val="center"/>
          </w:tcPr>
          <w:p w14:paraId="48FF4533" w14:textId="77777777" w:rsidR="00346E2F" w:rsidRPr="003B444D" w:rsidRDefault="00346E2F" w:rsidP="00446EFC">
            <w:pPr>
              <w:pStyle w:val="TableText0"/>
              <w:rPr>
                <w:szCs w:val="20"/>
              </w:rPr>
            </w:pPr>
            <w:r w:rsidRPr="003B444D">
              <w:rPr>
                <w:szCs w:val="20"/>
              </w:rPr>
              <w:t>GLOW</w:t>
            </w:r>
          </w:p>
          <w:p w14:paraId="040E8448" w14:textId="77777777" w:rsidR="00346E2F" w:rsidRPr="003B444D" w:rsidRDefault="00346E2F" w:rsidP="00446EFC">
            <w:pPr>
              <w:pStyle w:val="TableText0"/>
              <w:rPr>
                <w:szCs w:val="20"/>
              </w:rPr>
            </w:pPr>
            <w:r w:rsidRPr="003B444D">
              <w:rPr>
                <w:szCs w:val="20"/>
              </w:rPr>
              <w:t>(2018-2023)</w:t>
            </w:r>
          </w:p>
        </w:tc>
        <w:tc>
          <w:tcPr>
            <w:tcW w:w="246" w:type="pct"/>
            <w:vAlign w:val="center"/>
          </w:tcPr>
          <w:p w14:paraId="3BF56DF6" w14:textId="77777777" w:rsidR="00346E2F" w:rsidRPr="003B444D" w:rsidRDefault="00346E2F" w:rsidP="00446EFC">
            <w:pPr>
              <w:pStyle w:val="TableText0"/>
              <w:jc w:val="center"/>
              <w:rPr>
                <w:szCs w:val="20"/>
              </w:rPr>
            </w:pPr>
            <w:r w:rsidRPr="003B444D">
              <w:rPr>
                <w:szCs w:val="20"/>
              </w:rPr>
              <w:t>211</w:t>
            </w:r>
          </w:p>
        </w:tc>
        <w:tc>
          <w:tcPr>
            <w:tcW w:w="656" w:type="pct"/>
            <w:vAlign w:val="center"/>
          </w:tcPr>
          <w:p w14:paraId="51884BDC" w14:textId="77777777" w:rsidR="00346E2F" w:rsidRPr="003B444D" w:rsidRDefault="00346E2F" w:rsidP="00446EFC">
            <w:pPr>
              <w:pStyle w:val="TableText0"/>
              <w:jc w:val="center"/>
              <w:rPr>
                <w:szCs w:val="20"/>
              </w:rPr>
            </w:pPr>
            <w:r w:rsidRPr="003B444D">
              <w:rPr>
                <w:szCs w:val="20"/>
              </w:rPr>
              <w:t>PIII, R, MC, OL</w:t>
            </w:r>
          </w:p>
          <w:p w14:paraId="74D31A6C" w14:textId="77777777" w:rsidR="00346E2F" w:rsidRPr="003B444D" w:rsidRDefault="00346E2F" w:rsidP="00446EFC">
            <w:pPr>
              <w:pStyle w:val="TableText0"/>
              <w:jc w:val="center"/>
              <w:rPr>
                <w:szCs w:val="20"/>
              </w:rPr>
            </w:pPr>
            <w:r w:rsidRPr="003B444D">
              <w:rPr>
                <w:szCs w:val="20"/>
              </w:rPr>
              <w:t xml:space="preserve">24-60 </w:t>
            </w:r>
            <w:proofErr w:type="spellStart"/>
            <w:r w:rsidRPr="003B444D">
              <w:rPr>
                <w:szCs w:val="20"/>
              </w:rPr>
              <w:t>wks</w:t>
            </w:r>
            <w:proofErr w:type="spellEnd"/>
          </w:p>
        </w:tc>
        <w:tc>
          <w:tcPr>
            <w:tcW w:w="446" w:type="pct"/>
            <w:vAlign w:val="center"/>
          </w:tcPr>
          <w:p w14:paraId="61A9A9D4" w14:textId="77777777" w:rsidR="00346E2F" w:rsidRPr="003B444D" w:rsidRDefault="00346E2F" w:rsidP="00446EFC">
            <w:pPr>
              <w:pStyle w:val="TableText0"/>
              <w:jc w:val="center"/>
              <w:rPr>
                <w:szCs w:val="20"/>
              </w:rPr>
            </w:pPr>
            <w:r w:rsidRPr="003B444D">
              <w:rPr>
                <w:szCs w:val="20"/>
              </w:rPr>
              <w:t>Unclear</w:t>
            </w:r>
          </w:p>
        </w:tc>
        <w:tc>
          <w:tcPr>
            <w:tcW w:w="1885" w:type="pct"/>
            <w:vAlign w:val="center"/>
          </w:tcPr>
          <w:p w14:paraId="44E508F3" w14:textId="77777777" w:rsidR="00346E2F" w:rsidRPr="003B444D" w:rsidRDefault="00346E2F" w:rsidP="00446EFC">
            <w:pPr>
              <w:pStyle w:val="TableText0"/>
              <w:jc w:val="center"/>
              <w:rPr>
                <w:szCs w:val="20"/>
              </w:rPr>
            </w:pPr>
            <w:r w:rsidRPr="003B444D">
              <w:rPr>
                <w:szCs w:val="20"/>
              </w:rPr>
              <w:t xml:space="preserve">1L CLL, ≥65 </w:t>
            </w:r>
            <w:proofErr w:type="spellStart"/>
            <w:r w:rsidRPr="003B444D">
              <w:rPr>
                <w:szCs w:val="20"/>
              </w:rPr>
              <w:t>yo</w:t>
            </w:r>
            <w:proofErr w:type="spellEnd"/>
            <w:r w:rsidRPr="003B444D">
              <w:rPr>
                <w:szCs w:val="20"/>
              </w:rPr>
              <w:t xml:space="preserve"> or 18–64 </w:t>
            </w:r>
            <w:proofErr w:type="spellStart"/>
            <w:r w:rsidRPr="003B444D">
              <w:rPr>
                <w:szCs w:val="20"/>
              </w:rPr>
              <w:t>yo</w:t>
            </w:r>
            <w:proofErr w:type="spellEnd"/>
            <w:r w:rsidRPr="003B444D">
              <w:rPr>
                <w:szCs w:val="20"/>
              </w:rPr>
              <w:t xml:space="preserve"> with comorbidities, without del(17p) or </w:t>
            </w:r>
            <w:r w:rsidRPr="003B444D">
              <w:rPr>
                <w:i/>
                <w:iCs/>
                <w:szCs w:val="20"/>
              </w:rPr>
              <w:t>TP53</w:t>
            </w:r>
            <w:r w:rsidRPr="003B444D">
              <w:rPr>
                <w:szCs w:val="20"/>
              </w:rPr>
              <w:t xml:space="preserve"> mutation</w:t>
            </w:r>
          </w:p>
        </w:tc>
        <w:tc>
          <w:tcPr>
            <w:tcW w:w="1230" w:type="pct"/>
            <w:vAlign w:val="center"/>
          </w:tcPr>
          <w:p w14:paraId="21953170" w14:textId="77777777" w:rsidR="00346E2F" w:rsidRPr="003B444D" w:rsidRDefault="00346E2F" w:rsidP="00446EFC">
            <w:pPr>
              <w:pStyle w:val="TableText0"/>
              <w:jc w:val="center"/>
              <w:rPr>
                <w:szCs w:val="20"/>
              </w:rPr>
            </w:pPr>
            <w:r w:rsidRPr="003B444D">
              <w:rPr>
                <w:szCs w:val="20"/>
              </w:rPr>
              <w:t>1</w:t>
            </w:r>
            <w:r w:rsidRPr="003B444D">
              <w:rPr>
                <w:rFonts w:cs="Arial"/>
                <w:szCs w:val="20"/>
              </w:rPr>
              <w:t>º</w:t>
            </w:r>
            <w:r w:rsidRPr="003B444D">
              <w:rPr>
                <w:szCs w:val="20"/>
              </w:rPr>
              <w:t>: PFS-IRC; 2</w:t>
            </w:r>
            <w:r w:rsidRPr="003B444D">
              <w:rPr>
                <w:rFonts w:cs="Arial"/>
                <w:szCs w:val="20"/>
              </w:rPr>
              <w:t>º</w:t>
            </w:r>
            <w:r w:rsidRPr="003B444D">
              <w:rPr>
                <w:szCs w:val="20"/>
              </w:rPr>
              <w:t>: MRD negativity, CRR, ORR, OS, TTNT</w:t>
            </w:r>
          </w:p>
        </w:tc>
      </w:tr>
      <w:tr w:rsidR="00346E2F" w:rsidRPr="003B444D" w14:paraId="3772C695" w14:textId="77777777" w:rsidTr="003B444D">
        <w:trPr>
          <w:cantSplit/>
        </w:trPr>
        <w:tc>
          <w:tcPr>
            <w:tcW w:w="5000" w:type="pct"/>
            <w:gridSpan w:val="6"/>
            <w:vAlign w:val="center"/>
          </w:tcPr>
          <w:p w14:paraId="6B6FB4AA" w14:textId="77777777" w:rsidR="00346E2F" w:rsidRPr="003B444D" w:rsidRDefault="00346E2F" w:rsidP="00446EFC">
            <w:pPr>
              <w:pStyle w:val="TableText0"/>
              <w:rPr>
                <w:b/>
                <w:bCs w:val="0"/>
                <w:szCs w:val="20"/>
              </w:rPr>
            </w:pPr>
            <w:r w:rsidRPr="003B444D">
              <w:rPr>
                <w:b/>
                <w:bCs w:val="0"/>
                <w:szCs w:val="20"/>
              </w:rPr>
              <w:t>IV</w:t>
            </w:r>
          </w:p>
        </w:tc>
      </w:tr>
      <w:tr w:rsidR="00346E2F" w:rsidRPr="003B444D" w14:paraId="218C7744" w14:textId="77777777" w:rsidTr="003B444D">
        <w:trPr>
          <w:cantSplit/>
        </w:trPr>
        <w:tc>
          <w:tcPr>
            <w:tcW w:w="537" w:type="pct"/>
            <w:vAlign w:val="center"/>
          </w:tcPr>
          <w:p w14:paraId="49392077" w14:textId="77777777" w:rsidR="00346E2F" w:rsidRPr="003B444D" w:rsidRDefault="00346E2F" w:rsidP="00446EFC">
            <w:pPr>
              <w:pStyle w:val="TableText0"/>
              <w:rPr>
                <w:szCs w:val="20"/>
              </w:rPr>
            </w:pPr>
            <w:r w:rsidRPr="003B444D">
              <w:rPr>
                <w:szCs w:val="20"/>
              </w:rPr>
              <w:t>CAPTIVATE</w:t>
            </w:r>
          </w:p>
          <w:p w14:paraId="2F9F4302" w14:textId="77777777" w:rsidR="00346E2F" w:rsidRPr="003B444D" w:rsidRDefault="00346E2F" w:rsidP="00446EFC">
            <w:pPr>
              <w:pStyle w:val="TableText0"/>
              <w:rPr>
                <w:szCs w:val="20"/>
              </w:rPr>
            </w:pPr>
            <w:r w:rsidRPr="003B444D">
              <w:rPr>
                <w:szCs w:val="20"/>
              </w:rPr>
              <w:t>(2016-2023)</w:t>
            </w:r>
          </w:p>
        </w:tc>
        <w:tc>
          <w:tcPr>
            <w:tcW w:w="246" w:type="pct"/>
            <w:vAlign w:val="center"/>
          </w:tcPr>
          <w:p w14:paraId="0BDA6C09" w14:textId="77777777" w:rsidR="00346E2F" w:rsidRPr="003B444D" w:rsidRDefault="00346E2F" w:rsidP="00446EFC">
            <w:pPr>
              <w:pStyle w:val="TableText0"/>
              <w:jc w:val="center"/>
              <w:rPr>
                <w:szCs w:val="20"/>
              </w:rPr>
            </w:pPr>
            <w:r w:rsidRPr="003B444D">
              <w:rPr>
                <w:szCs w:val="20"/>
              </w:rPr>
              <w:t>159</w:t>
            </w:r>
          </w:p>
        </w:tc>
        <w:tc>
          <w:tcPr>
            <w:tcW w:w="656" w:type="pct"/>
            <w:vAlign w:val="center"/>
          </w:tcPr>
          <w:p w14:paraId="556F539C" w14:textId="77777777" w:rsidR="00346E2F" w:rsidRPr="003B444D" w:rsidRDefault="00346E2F" w:rsidP="00446EFC">
            <w:pPr>
              <w:pStyle w:val="TableText0"/>
              <w:jc w:val="center"/>
              <w:rPr>
                <w:szCs w:val="20"/>
              </w:rPr>
            </w:pPr>
            <w:r w:rsidRPr="003B444D">
              <w:rPr>
                <w:szCs w:val="20"/>
              </w:rPr>
              <w:t>PII, OL</w:t>
            </w:r>
          </w:p>
          <w:p w14:paraId="2AE7664F" w14:textId="77777777" w:rsidR="00346E2F" w:rsidRPr="003B444D" w:rsidRDefault="00346E2F" w:rsidP="00446EFC">
            <w:pPr>
              <w:pStyle w:val="TableText0"/>
              <w:jc w:val="center"/>
              <w:rPr>
                <w:szCs w:val="20"/>
              </w:rPr>
            </w:pPr>
            <w:r w:rsidRPr="003B444D">
              <w:rPr>
                <w:szCs w:val="20"/>
              </w:rPr>
              <w:t xml:space="preserve">60 </w:t>
            </w:r>
            <w:proofErr w:type="spellStart"/>
            <w:r w:rsidRPr="003B444D">
              <w:rPr>
                <w:szCs w:val="20"/>
              </w:rPr>
              <w:t>wks</w:t>
            </w:r>
            <w:proofErr w:type="spellEnd"/>
          </w:p>
        </w:tc>
        <w:tc>
          <w:tcPr>
            <w:tcW w:w="446" w:type="pct"/>
            <w:vAlign w:val="center"/>
          </w:tcPr>
          <w:p w14:paraId="0A4CA7FD" w14:textId="77777777" w:rsidR="00346E2F" w:rsidRPr="003B444D" w:rsidRDefault="00346E2F" w:rsidP="00446EFC">
            <w:pPr>
              <w:pStyle w:val="TableText0"/>
              <w:jc w:val="center"/>
              <w:rPr>
                <w:szCs w:val="20"/>
              </w:rPr>
            </w:pPr>
            <w:r w:rsidRPr="003B444D">
              <w:rPr>
                <w:szCs w:val="20"/>
              </w:rPr>
              <w:t>High</w:t>
            </w:r>
          </w:p>
        </w:tc>
        <w:tc>
          <w:tcPr>
            <w:tcW w:w="1885" w:type="pct"/>
            <w:vAlign w:val="center"/>
          </w:tcPr>
          <w:p w14:paraId="39D54CBC" w14:textId="77777777" w:rsidR="00346E2F" w:rsidRPr="003B444D" w:rsidRDefault="00346E2F" w:rsidP="00446EFC">
            <w:pPr>
              <w:pStyle w:val="TableText0"/>
              <w:jc w:val="center"/>
              <w:rPr>
                <w:szCs w:val="20"/>
              </w:rPr>
            </w:pPr>
            <w:r w:rsidRPr="003B444D">
              <w:rPr>
                <w:szCs w:val="20"/>
                <w:lang w:eastAsia="zh-CN"/>
              </w:rPr>
              <w:t xml:space="preserve">1L CLL, ≤70 </w:t>
            </w:r>
            <w:proofErr w:type="spellStart"/>
            <w:r w:rsidRPr="003B444D">
              <w:rPr>
                <w:szCs w:val="20"/>
                <w:lang w:eastAsia="zh-CN"/>
              </w:rPr>
              <w:t>yo</w:t>
            </w:r>
            <w:proofErr w:type="spellEnd"/>
            <w:r w:rsidRPr="003B444D">
              <w:rPr>
                <w:szCs w:val="20"/>
                <w:lang w:eastAsia="zh-CN"/>
              </w:rPr>
              <w:t>, ECOG≤2, adequate renal function</w:t>
            </w:r>
          </w:p>
        </w:tc>
        <w:tc>
          <w:tcPr>
            <w:tcW w:w="1230" w:type="pct"/>
            <w:vAlign w:val="center"/>
          </w:tcPr>
          <w:p w14:paraId="46ED8823" w14:textId="77777777" w:rsidR="00346E2F" w:rsidRPr="003B444D" w:rsidRDefault="00346E2F" w:rsidP="00446EFC">
            <w:pPr>
              <w:pStyle w:val="TableText0"/>
              <w:jc w:val="center"/>
              <w:rPr>
                <w:szCs w:val="20"/>
                <w:lang w:val="de-DE"/>
              </w:rPr>
            </w:pPr>
            <w:r w:rsidRPr="003B444D">
              <w:rPr>
                <w:szCs w:val="20"/>
                <w:lang w:val="de-DE"/>
              </w:rPr>
              <w:t>CR, PFS, OS, ORR, MRD negativity</w:t>
            </w:r>
          </w:p>
        </w:tc>
      </w:tr>
    </w:tbl>
    <w:p w14:paraId="24C8294C" w14:textId="77777777" w:rsidR="00346E2F" w:rsidRPr="00A55C25" w:rsidRDefault="00346E2F" w:rsidP="00446EFC">
      <w:pPr>
        <w:pStyle w:val="TableFigureFooter"/>
        <w:keepNext/>
      </w:pPr>
      <w:r w:rsidRPr="00A55C25">
        <w:t>Source: Table 2-9, p50, Table 2-16, p64 of the submission.</w:t>
      </w:r>
    </w:p>
    <w:p w14:paraId="2DE507ED" w14:textId="6A252749" w:rsidR="00346E2F" w:rsidRPr="00A55C25" w:rsidRDefault="00346E2F" w:rsidP="00446EFC">
      <w:pPr>
        <w:pStyle w:val="TableFigureFooter"/>
        <w:keepNext/>
        <w:spacing w:after="0"/>
        <w:rPr>
          <w:szCs w:val="22"/>
          <w:lang w:eastAsia="en-GB"/>
        </w:rPr>
      </w:pPr>
      <w:r w:rsidRPr="00A55C25">
        <w:t>AV=</w:t>
      </w:r>
      <w:proofErr w:type="spellStart"/>
      <w:r w:rsidRPr="00A55C25">
        <w:t>acalabrutinib+venetoclax</w:t>
      </w:r>
      <w:proofErr w:type="spellEnd"/>
      <w:r w:rsidRPr="00A55C25">
        <w:t>; BR=</w:t>
      </w:r>
      <w:proofErr w:type="spellStart"/>
      <w:r w:rsidRPr="00A55C25">
        <w:t>bendamustine+rituximab</w:t>
      </w:r>
      <w:proofErr w:type="spellEnd"/>
      <w:r w:rsidRPr="00A55C25">
        <w:t xml:space="preserve">; </w:t>
      </w:r>
      <w:proofErr w:type="spellStart"/>
      <w:r w:rsidR="00601A74" w:rsidRPr="00A55C25">
        <w:t>ChlO</w:t>
      </w:r>
      <w:proofErr w:type="spellEnd"/>
      <w:r w:rsidR="00601A74" w:rsidRPr="00A55C25">
        <w:t xml:space="preserve">= </w:t>
      </w:r>
      <w:proofErr w:type="spellStart"/>
      <w:r w:rsidR="00601A74" w:rsidRPr="00A55C25">
        <w:t>chlorambucil+obinutuzumab</w:t>
      </w:r>
      <w:proofErr w:type="spellEnd"/>
      <w:r w:rsidR="00601A74" w:rsidRPr="00A55C25">
        <w:t xml:space="preserve">; </w:t>
      </w:r>
      <w:r w:rsidRPr="00A55C25">
        <w:t>CIRS=</w:t>
      </w:r>
      <w:r w:rsidRPr="00A55C25">
        <w:rPr>
          <w:szCs w:val="22"/>
          <w:lang w:eastAsia="en-GB"/>
        </w:rPr>
        <w:t>Cumulative Illness Rating Scale score</w:t>
      </w:r>
      <w:r w:rsidRPr="00A55C25">
        <w:t xml:space="preserve">; </w:t>
      </w:r>
      <w:r w:rsidRPr="00A55C25">
        <w:rPr>
          <w:rFonts w:eastAsia="MS Gothic"/>
          <w:szCs w:val="22"/>
          <w:lang w:eastAsia="en-GB"/>
        </w:rPr>
        <w:t xml:space="preserve">CLL=chronic lymphocytic leukemia; CR=complete response; </w:t>
      </w:r>
      <w:r w:rsidRPr="00A55C25">
        <w:t xml:space="preserve">CrCl=creatinine clearance; CRR=complete response rate; </w:t>
      </w:r>
      <w:r w:rsidRPr="00A55C25">
        <w:rPr>
          <w:rFonts w:eastAsia="MS Gothic"/>
          <w:szCs w:val="22"/>
          <w:lang w:eastAsia="en-GB"/>
        </w:rPr>
        <w:t>ECOG=</w:t>
      </w:r>
      <w:r w:rsidRPr="00A55C25">
        <w:rPr>
          <w:szCs w:val="22"/>
          <w:lang w:eastAsia="en-GB"/>
        </w:rPr>
        <w:t xml:space="preserve">Eastern Cooperative Oncology Group performance score; </w:t>
      </w:r>
      <w:r w:rsidRPr="00A55C25">
        <w:t xml:space="preserve">FCR=fludarabine + cyclophosphamide + rituximab; IA=investigator assessed; IRC=Independent Review Committee; MC=multi-centre; MRD=minimal residual disease; OL=open label; ORR=overall response rate; OS=overall survival; </w:t>
      </w:r>
      <w:r w:rsidRPr="00A55C25">
        <w:rPr>
          <w:szCs w:val="22"/>
          <w:lang w:eastAsia="en-GB"/>
        </w:rPr>
        <w:t>PII=phase 2; PIII=phase 3; PFS=progression-free survival; R=randomised; TTNT=time to next treatment for CLL; VO=</w:t>
      </w:r>
      <w:proofErr w:type="spellStart"/>
      <w:r w:rsidRPr="00A55C25">
        <w:rPr>
          <w:szCs w:val="22"/>
          <w:lang w:eastAsia="en-GB"/>
        </w:rPr>
        <w:t>venetoclax+</w:t>
      </w:r>
      <w:r w:rsidR="00FC6031" w:rsidRPr="00A55C25">
        <w:rPr>
          <w:szCs w:val="22"/>
          <w:lang w:eastAsia="en-GB"/>
        </w:rPr>
        <w:t>o</w:t>
      </w:r>
      <w:r w:rsidRPr="00A55C25">
        <w:rPr>
          <w:szCs w:val="22"/>
          <w:lang w:eastAsia="en-GB"/>
        </w:rPr>
        <w:t>binutuzumab</w:t>
      </w:r>
      <w:proofErr w:type="spellEnd"/>
      <w:r w:rsidRPr="00A55C25">
        <w:rPr>
          <w:szCs w:val="22"/>
          <w:lang w:eastAsia="en-GB"/>
        </w:rPr>
        <w:t xml:space="preserve">; </w:t>
      </w:r>
      <w:proofErr w:type="spellStart"/>
      <w:r w:rsidRPr="00A55C25">
        <w:rPr>
          <w:szCs w:val="22"/>
          <w:lang w:eastAsia="en-GB"/>
        </w:rPr>
        <w:t>wks</w:t>
      </w:r>
      <w:proofErr w:type="spellEnd"/>
      <w:r w:rsidRPr="00A55C25">
        <w:rPr>
          <w:szCs w:val="22"/>
          <w:lang w:eastAsia="en-GB"/>
        </w:rPr>
        <w:t xml:space="preserve">=weeks; </w:t>
      </w:r>
      <w:proofErr w:type="spellStart"/>
      <w:r w:rsidRPr="00A55C25">
        <w:rPr>
          <w:szCs w:val="22"/>
          <w:lang w:eastAsia="en-GB"/>
        </w:rPr>
        <w:t>yo</w:t>
      </w:r>
      <w:proofErr w:type="spellEnd"/>
      <w:r w:rsidRPr="00A55C25">
        <w:rPr>
          <w:szCs w:val="22"/>
          <w:lang w:eastAsia="en-GB"/>
        </w:rPr>
        <w:t>=years old.</w:t>
      </w:r>
    </w:p>
    <w:p w14:paraId="466DD53B" w14:textId="77777777" w:rsidR="00346E2F" w:rsidRPr="00A55C25" w:rsidRDefault="00346E2F" w:rsidP="00364D48">
      <w:pPr>
        <w:pStyle w:val="TableFigureFooter"/>
        <w:spacing w:after="0"/>
        <w:rPr>
          <w:szCs w:val="22"/>
          <w:lang w:eastAsia="en-GB"/>
        </w:rPr>
      </w:pPr>
      <w:r w:rsidRPr="00A55C25">
        <w:rPr>
          <w:szCs w:val="22"/>
          <w:vertAlign w:val="superscript"/>
          <w:lang w:eastAsia="en-GB"/>
        </w:rPr>
        <w:t>a</w:t>
      </w:r>
      <w:r w:rsidRPr="00A55C25">
        <w:rPr>
          <w:szCs w:val="22"/>
          <w:lang w:eastAsia="en-GB"/>
        </w:rPr>
        <w:t xml:space="preserve"> Date range from trial start to DCO used in the submission.</w:t>
      </w:r>
    </w:p>
    <w:p w14:paraId="7E9A12DE" w14:textId="77777777" w:rsidR="00346E2F" w:rsidRPr="00A55C25" w:rsidRDefault="00346E2F" w:rsidP="00346E2F">
      <w:pPr>
        <w:pStyle w:val="TableFigureFooter"/>
        <w:spacing w:after="0"/>
        <w:rPr>
          <w:szCs w:val="22"/>
          <w:lang w:eastAsia="en-GB"/>
        </w:rPr>
      </w:pPr>
      <w:r w:rsidRPr="00A55C25">
        <w:rPr>
          <w:szCs w:val="22"/>
          <w:vertAlign w:val="superscript"/>
          <w:lang w:eastAsia="en-GB"/>
        </w:rPr>
        <w:t>b</w:t>
      </w:r>
      <w:r w:rsidRPr="00A55C25">
        <w:rPr>
          <w:szCs w:val="22"/>
          <w:lang w:eastAsia="en-GB"/>
        </w:rPr>
        <w:t xml:space="preserve"> N for trial arms relevant to this submission only.</w:t>
      </w:r>
    </w:p>
    <w:p w14:paraId="77D2D810" w14:textId="28F5583F" w:rsidR="00346E2F" w:rsidRPr="00A55C25" w:rsidRDefault="00346E2F" w:rsidP="00346E2F">
      <w:pPr>
        <w:pStyle w:val="3-BodyText"/>
        <w:numPr>
          <w:ilvl w:val="1"/>
          <w:numId w:val="1"/>
        </w:numPr>
      </w:pPr>
      <w:r w:rsidRPr="00A55C25">
        <w:t xml:space="preserve">Overall, the risk of bias </w:t>
      </w:r>
      <w:r w:rsidR="00B14248" w:rsidRPr="00A55C25">
        <w:t xml:space="preserve">of the included trials </w:t>
      </w:r>
      <w:r w:rsidRPr="00A55C25">
        <w:t xml:space="preserve">was unclear due to the open-label nature of the </w:t>
      </w:r>
      <w:r w:rsidR="00B14248" w:rsidRPr="00A55C25">
        <w:t>study designs</w:t>
      </w:r>
      <w:r w:rsidRPr="00A55C25">
        <w:t xml:space="preserve">. Blinding was not feasible due to the differences in modes of administration between study treatments (often oral vs intravenous infusion); however, central randomisation was used to reduce potential bias. The primary outcome was also assessed by a blinded </w:t>
      </w:r>
      <w:r w:rsidR="00B14248" w:rsidRPr="00A55C25">
        <w:t>i</w:t>
      </w:r>
      <w:r w:rsidRPr="00A55C25">
        <w:t>ndependent review committee (IRC) in AMPLIFY and GLOW. There is potential bias when investigators who assess outcomes are aware of treatment assignment, as in CLL13, CLL14 and CAPTIVATE, which may have influenced the treatment of patients in the trial.</w:t>
      </w:r>
    </w:p>
    <w:p w14:paraId="6EB7E31B" w14:textId="77777777" w:rsidR="00346E2F" w:rsidRPr="00A55C25" w:rsidRDefault="00346E2F" w:rsidP="00346E2F">
      <w:pPr>
        <w:pStyle w:val="3-BodyText"/>
        <w:numPr>
          <w:ilvl w:val="1"/>
          <w:numId w:val="1"/>
        </w:numPr>
      </w:pPr>
      <w:r w:rsidRPr="00A55C25">
        <w:t xml:space="preserve">There were differences in eligibility criteria between the trials. AMPLIFY, CLL13, and CRISTALLO were multicentre (AMPLIFY with sites in Australia), randomised, open-label trials that enrolled a ‘fit’ CLL population with few comorbidities (Cumulative Illness Rating Scale (CIRS) score </w:t>
      </w:r>
      <w:r w:rsidRPr="00A55C25">
        <w:rPr>
          <w:rFonts w:cstheme="minorHAnsi"/>
        </w:rPr>
        <w:t>≤</w:t>
      </w:r>
      <w:r w:rsidRPr="00A55C25">
        <w:t xml:space="preserve">6), adequate renal function, and without del(17p) or </w:t>
      </w:r>
      <w:r w:rsidRPr="00A55C25">
        <w:rPr>
          <w:i/>
          <w:iCs/>
        </w:rPr>
        <w:t>TP53</w:t>
      </w:r>
      <w:r w:rsidRPr="00A55C25">
        <w:t xml:space="preserve"> mutations. Similarly, CAPTIVATE enrolled a ‘fit’ population but did not exclude people with del(17p) or </w:t>
      </w:r>
      <w:r w:rsidRPr="00A55C25">
        <w:rPr>
          <w:i/>
          <w:iCs/>
        </w:rPr>
        <w:t>TP53</w:t>
      </w:r>
      <w:r w:rsidRPr="00A55C25">
        <w:t xml:space="preserve"> mutations. CLL14 and GLOW enrolled ‘unfit’ populations who were older with comorbidities or lower renal function. CLL14 did not exclude people with del(17p) or </w:t>
      </w:r>
      <w:r w:rsidRPr="00A55C25">
        <w:rPr>
          <w:i/>
          <w:iCs/>
        </w:rPr>
        <w:t>TP53</w:t>
      </w:r>
      <w:r w:rsidRPr="00A55C25">
        <w:t xml:space="preserve"> mutations, while GLOW did.</w:t>
      </w:r>
    </w:p>
    <w:p w14:paraId="1F908868" w14:textId="1113CD8E" w:rsidR="00346E2F" w:rsidRPr="00A55C25" w:rsidRDefault="00346E2F" w:rsidP="00346E2F">
      <w:pPr>
        <w:pStyle w:val="3-BodyText"/>
        <w:numPr>
          <w:ilvl w:val="1"/>
          <w:numId w:val="1"/>
        </w:numPr>
      </w:pPr>
      <w:r w:rsidRPr="00A55C25">
        <w:t xml:space="preserve">Based on the baseline characteristics, the patients enrolled in AMPLIFY, CLL13 and CRISTALLO were </w:t>
      </w:r>
      <w:r w:rsidR="00CE05E7" w:rsidRPr="00A55C25">
        <w:t xml:space="preserve">generally </w:t>
      </w:r>
      <w:r w:rsidRPr="00A55C25">
        <w:t xml:space="preserve">comparable. AMPLIFY had a smaller proportion of patients over 65 years old (27% vs 35% and 34% for CLL13 and CRISTALLO, respectively) and a </w:t>
      </w:r>
      <w:r w:rsidRPr="00A55C25">
        <w:lastRenderedPageBreak/>
        <w:t>smaller proportion of male patients (62% vs 73% and 68%)</w:t>
      </w:r>
      <w:r w:rsidR="00CE05E7" w:rsidRPr="00A55C25">
        <w:t>, but p</w:t>
      </w:r>
      <w:r w:rsidRPr="00A55C25">
        <w:t>atients were similar in Rai stage, IGHV mutation status, and time from diagnosis to trial entry.</w:t>
      </w:r>
    </w:p>
    <w:p w14:paraId="55901B26" w14:textId="77777777" w:rsidR="00346E2F" w:rsidRPr="00A55C25" w:rsidRDefault="00346E2F" w:rsidP="00346E2F">
      <w:pPr>
        <w:pStyle w:val="4-SubsectionHeading"/>
      </w:pPr>
      <w:bookmarkStart w:id="23" w:name="_Toc22897641"/>
      <w:bookmarkStart w:id="24" w:name="_Toc207957916"/>
      <w:r w:rsidRPr="00A55C25">
        <w:t>Comparative effectiveness</w:t>
      </w:r>
      <w:bookmarkEnd w:id="23"/>
      <w:bookmarkEnd w:id="24"/>
    </w:p>
    <w:p w14:paraId="31028750" w14:textId="03BB0056" w:rsidR="00A83FA3" w:rsidRPr="00A55C25" w:rsidRDefault="00A83FA3" w:rsidP="00A83FA3">
      <w:pPr>
        <w:pStyle w:val="3-BodyText"/>
        <w:rPr>
          <w:b/>
          <w:bCs/>
        </w:rPr>
      </w:pPr>
      <w:r w:rsidRPr="00A55C25">
        <w:rPr>
          <w:b/>
          <w:bCs/>
        </w:rPr>
        <w:t>Anchored (Bucher) ITC: AV versus VO</w:t>
      </w:r>
    </w:p>
    <w:p w14:paraId="4F5A2628" w14:textId="3E19C9A7" w:rsidR="00475C36" w:rsidRDefault="002154E2" w:rsidP="00707E84">
      <w:pPr>
        <w:pStyle w:val="3-BodyText"/>
        <w:numPr>
          <w:ilvl w:val="1"/>
          <w:numId w:val="1"/>
        </w:numPr>
        <w:spacing w:after="240"/>
      </w:pPr>
      <w:r w:rsidRPr="00A55C25">
        <w:rPr>
          <w:i/>
          <w:iCs/>
        </w:rPr>
        <w:fldChar w:fldCharType="begin"/>
      </w:r>
      <w:r w:rsidRPr="00A55C25">
        <w:rPr>
          <w:i/>
          <w:iCs/>
        </w:rPr>
        <w:instrText xml:space="preserve"> REF _Ref207102683 \h </w:instrText>
      </w:r>
      <w:r w:rsidRPr="00A55C25">
        <w:rPr>
          <w:i/>
          <w:iCs/>
        </w:rPr>
      </w:r>
      <w:r w:rsidRPr="00A55C25">
        <w:rPr>
          <w:i/>
          <w:iCs/>
        </w:rPr>
        <w:fldChar w:fldCharType="separate"/>
      </w:r>
      <w:r w:rsidR="00717804" w:rsidRPr="00A55C25">
        <w:t xml:space="preserve">Table </w:t>
      </w:r>
      <w:r w:rsidR="00717804">
        <w:rPr>
          <w:noProof/>
        </w:rPr>
        <w:t>4</w:t>
      </w:r>
      <w:r w:rsidRPr="00A55C25">
        <w:fldChar w:fldCharType="end"/>
      </w:r>
      <w:r w:rsidRPr="00A55C25">
        <w:t xml:space="preserve"> presents the results of the anchored (Bucher) ITC, comparing AV versus VO using FCR/BR as a common comparator in </w:t>
      </w:r>
      <w:r w:rsidR="0042608A" w:rsidRPr="00A55C25">
        <w:t>‘</w:t>
      </w:r>
      <w:r w:rsidRPr="00A55C25">
        <w:t>fit</w:t>
      </w:r>
      <w:r w:rsidR="0042608A" w:rsidRPr="00A55C25">
        <w:t>’</w:t>
      </w:r>
      <w:r w:rsidRPr="00A55C25">
        <w:t xml:space="preserve"> patients with previously untreated CLL/SLL, in terms of </w:t>
      </w:r>
      <w:r w:rsidR="00045918" w:rsidRPr="00A55C25">
        <w:t>investigator-reported progression-free survival (</w:t>
      </w:r>
      <w:r w:rsidRPr="00A55C25">
        <w:t>PFS-IA</w:t>
      </w:r>
      <w:r w:rsidR="00045918" w:rsidRPr="00A55C25">
        <w:t>)</w:t>
      </w:r>
      <w:r w:rsidRPr="00A55C25">
        <w:t xml:space="preserve">, </w:t>
      </w:r>
      <w:r w:rsidR="00045918" w:rsidRPr="00A55C25">
        <w:t>overall survival (</w:t>
      </w:r>
      <w:r w:rsidRPr="00A55C25">
        <w:t>OS</w:t>
      </w:r>
      <w:r w:rsidR="00045918" w:rsidRPr="00A55C25">
        <w:t>)</w:t>
      </w:r>
      <w:r w:rsidRPr="00A55C25">
        <w:t xml:space="preserve">, and </w:t>
      </w:r>
      <w:r w:rsidR="00045918" w:rsidRPr="00A55C25">
        <w:t>time to next treatment (</w:t>
      </w:r>
      <w:r w:rsidRPr="00A55C25">
        <w:t>TTNT</w:t>
      </w:r>
      <w:r w:rsidR="00045918" w:rsidRPr="00A55C25">
        <w:t>)</w:t>
      </w:r>
      <w:r w:rsidRPr="00A55C25">
        <w:t>.</w:t>
      </w:r>
    </w:p>
    <w:p w14:paraId="1412409D" w14:textId="3AC48E7C" w:rsidR="00475C36" w:rsidRPr="00A55C25" w:rsidRDefault="00475C36" w:rsidP="00350FC3">
      <w:pPr>
        <w:pStyle w:val="Caption"/>
        <w:widowControl w:val="0"/>
        <w:rPr>
          <w:rStyle w:val="CommentReference"/>
          <w:b/>
          <w:szCs w:val="18"/>
        </w:rPr>
      </w:pPr>
      <w:bookmarkStart w:id="25" w:name="_Ref206508782"/>
      <w:bookmarkStart w:id="26" w:name="_Ref207102683"/>
      <w:r w:rsidRPr="00A55C25">
        <w:lastRenderedPageBreak/>
        <w:t xml:space="preserve">Table </w:t>
      </w:r>
      <w:r w:rsidR="009406C2">
        <w:fldChar w:fldCharType="begin"/>
      </w:r>
      <w:r w:rsidR="009406C2">
        <w:instrText xml:space="preserve"> SEQ Table \* ARABIC </w:instrText>
      </w:r>
      <w:r w:rsidR="009406C2">
        <w:fldChar w:fldCharType="separate"/>
      </w:r>
      <w:r w:rsidR="00717804">
        <w:rPr>
          <w:noProof/>
        </w:rPr>
        <w:t>4</w:t>
      </w:r>
      <w:r w:rsidR="009406C2">
        <w:fldChar w:fldCharType="end"/>
      </w:r>
      <w:bookmarkEnd w:id="25"/>
      <w:bookmarkEnd w:id="26"/>
      <w:r w:rsidRPr="00A55C25">
        <w:t xml:space="preserve">: </w:t>
      </w:r>
      <w:bookmarkStart w:id="27" w:name="_Hlk207103218"/>
      <w:r w:rsidRPr="00A55C25">
        <w:t xml:space="preserve">Results for the anchored </w:t>
      </w:r>
      <w:bookmarkEnd w:id="27"/>
      <w:r w:rsidR="00622744" w:rsidRPr="00A55C25">
        <w:t xml:space="preserve">(Bucher) </w:t>
      </w:r>
      <w:r w:rsidRPr="00A55C25">
        <w:t>ITC</w:t>
      </w:r>
      <w:r w:rsidR="00622744" w:rsidRPr="00A55C25">
        <w:t>:</w:t>
      </w:r>
      <w:r w:rsidRPr="00A55C25">
        <w:t xml:space="preserve"> </w:t>
      </w:r>
      <w:r w:rsidR="000B5F58" w:rsidRPr="00A55C25">
        <w:t xml:space="preserve">PFS-IA, OS, and TTNT in AMPLIFY (AV, </w:t>
      </w:r>
      <w:r w:rsidR="009D6101" w:rsidRPr="00A55C25">
        <w:t>‘</w:t>
      </w:r>
      <w:r w:rsidR="000B5F58" w:rsidRPr="00A55C25">
        <w:t>fit</w:t>
      </w:r>
      <w:r w:rsidR="009D6101" w:rsidRPr="00A55C25">
        <w:t>’</w:t>
      </w:r>
      <w:r w:rsidR="000B5F58" w:rsidRPr="00A55C25">
        <w:t xml:space="preserve"> patients) vs CLL13 (VO, </w:t>
      </w:r>
      <w:r w:rsidR="009D6101" w:rsidRPr="00A55C25">
        <w:t>‘</w:t>
      </w:r>
      <w:r w:rsidR="000B5F58" w:rsidRPr="00A55C25">
        <w:t>fit</w:t>
      </w:r>
      <w:r w:rsidR="009D6101" w:rsidRPr="00A55C25">
        <w:t>’</w:t>
      </w:r>
      <w:r w:rsidR="000B5F58" w:rsidRPr="00A55C25">
        <w:t xml:space="preserve"> patents), and PFS-IA in AMPLIFY (AV, </w:t>
      </w:r>
      <w:r w:rsidR="009D6101" w:rsidRPr="00A55C25">
        <w:t>‘</w:t>
      </w:r>
      <w:r w:rsidR="000B5F58" w:rsidRPr="00A55C25">
        <w:t>fit</w:t>
      </w:r>
      <w:r w:rsidR="009D6101" w:rsidRPr="00A55C25">
        <w:t>’</w:t>
      </w:r>
      <w:r w:rsidR="000B5F58" w:rsidRPr="00A55C25">
        <w:t xml:space="preserve"> patients) vs CRISTALLO (VO, </w:t>
      </w:r>
      <w:r w:rsidR="009D6101" w:rsidRPr="00A55C25">
        <w:t>‘</w:t>
      </w:r>
      <w:r w:rsidR="000B5F58" w:rsidRPr="00A55C25">
        <w:t>fit</w:t>
      </w:r>
      <w:r w:rsidR="009D6101" w:rsidRPr="00A55C25">
        <w:t>’</w:t>
      </w:r>
      <w:r w:rsidR="000B5F58" w:rsidRPr="00A55C25">
        <w:t xml:space="preserve"> patents)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Results for the anchored (Bucher) ITC: PFS-IA, OS, and TTNT in AMPLIFY (AV, ‘fit’ patients) vs CLL13 (VO, ‘fit’ patents), and PFS-IA in AMPLIFY (AV, ‘fit’ patients) vs CRISTALLO (VO, ‘fit’ patents)"/>
      </w:tblPr>
      <w:tblGrid>
        <w:gridCol w:w="1696"/>
        <w:gridCol w:w="1702"/>
        <w:gridCol w:w="1417"/>
        <w:gridCol w:w="1416"/>
        <w:gridCol w:w="1275"/>
        <w:gridCol w:w="1511"/>
      </w:tblGrid>
      <w:tr w:rsidR="00475C36" w:rsidRPr="00B213CD" w14:paraId="008DE373" w14:textId="77777777" w:rsidTr="00B213CD">
        <w:trPr>
          <w:trHeight w:val="20"/>
          <w:tblHeader/>
        </w:trPr>
        <w:tc>
          <w:tcPr>
            <w:tcW w:w="940" w:type="pct"/>
            <w:vAlign w:val="center"/>
          </w:tcPr>
          <w:p w14:paraId="1B458D52" w14:textId="77777777" w:rsidR="00475C36" w:rsidRPr="00B213CD" w:rsidRDefault="00475C36" w:rsidP="00350FC3">
            <w:pPr>
              <w:pStyle w:val="TableText0"/>
              <w:widowControl w:val="0"/>
              <w:rPr>
                <w:b/>
                <w:bCs w:val="0"/>
                <w:szCs w:val="20"/>
              </w:rPr>
            </w:pPr>
            <w:r w:rsidRPr="00B213CD">
              <w:rPr>
                <w:b/>
                <w:bCs w:val="0"/>
                <w:szCs w:val="20"/>
              </w:rPr>
              <w:t>Trial</w:t>
            </w:r>
          </w:p>
        </w:tc>
        <w:tc>
          <w:tcPr>
            <w:tcW w:w="944" w:type="pct"/>
            <w:vAlign w:val="center"/>
          </w:tcPr>
          <w:p w14:paraId="564B44CD" w14:textId="77777777" w:rsidR="00475C36" w:rsidRPr="00B213CD" w:rsidRDefault="00475C36" w:rsidP="00350FC3">
            <w:pPr>
              <w:pStyle w:val="TableText0"/>
              <w:widowControl w:val="0"/>
              <w:rPr>
                <w:b/>
                <w:bCs w:val="0"/>
                <w:szCs w:val="20"/>
              </w:rPr>
            </w:pPr>
            <w:r w:rsidRPr="00B213CD">
              <w:rPr>
                <w:b/>
                <w:bCs w:val="0"/>
                <w:szCs w:val="20"/>
              </w:rPr>
              <w:t>Outcome</w:t>
            </w:r>
          </w:p>
        </w:tc>
        <w:tc>
          <w:tcPr>
            <w:tcW w:w="786" w:type="pct"/>
            <w:vAlign w:val="center"/>
          </w:tcPr>
          <w:p w14:paraId="209B474A" w14:textId="77777777" w:rsidR="00475C36" w:rsidRPr="00B213CD" w:rsidRDefault="00475C36" w:rsidP="00350FC3">
            <w:pPr>
              <w:pStyle w:val="TableText0"/>
              <w:widowControl w:val="0"/>
              <w:rPr>
                <w:b/>
                <w:bCs w:val="0"/>
                <w:szCs w:val="20"/>
              </w:rPr>
            </w:pPr>
            <w:r w:rsidRPr="00B213CD">
              <w:rPr>
                <w:b/>
                <w:bCs w:val="0"/>
                <w:szCs w:val="20"/>
              </w:rPr>
              <w:t>Intervention (AV/VO) n/N (%)</w:t>
            </w:r>
          </w:p>
        </w:tc>
        <w:tc>
          <w:tcPr>
            <w:tcW w:w="785" w:type="pct"/>
            <w:vAlign w:val="center"/>
          </w:tcPr>
          <w:p w14:paraId="000A9B0F" w14:textId="77777777" w:rsidR="00475C36" w:rsidRPr="00B213CD" w:rsidRDefault="00475C36" w:rsidP="00350FC3">
            <w:pPr>
              <w:pStyle w:val="TableText0"/>
              <w:widowControl w:val="0"/>
              <w:rPr>
                <w:b/>
                <w:bCs w:val="0"/>
                <w:szCs w:val="20"/>
              </w:rPr>
            </w:pPr>
            <w:r w:rsidRPr="00B213CD">
              <w:rPr>
                <w:b/>
                <w:bCs w:val="0"/>
                <w:szCs w:val="20"/>
              </w:rPr>
              <w:t>Comparator (FCR/BR) n/N (%)</w:t>
            </w:r>
          </w:p>
        </w:tc>
        <w:tc>
          <w:tcPr>
            <w:tcW w:w="707" w:type="pct"/>
            <w:vAlign w:val="center"/>
          </w:tcPr>
          <w:p w14:paraId="31EB3244" w14:textId="77777777" w:rsidR="00475C36" w:rsidRPr="00B213CD" w:rsidRDefault="00475C36" w:rsidP="00350FC3">
            <w:pPr>
              <w:pStyle w:val="TableText0"/>
              <w:widowControl w:val="0"/>
              <w:rPr>
                <w:b/>
                <w:bCs w:val="0"/>
                <w:szCs w:val="20"/>
              </w:rPr>
            </w:pPr>
            <w:r w:rsidRPr="00B213CD">
              <w:rPr>
                <w:b/>
                <w:bCs w:val="0"/>
                <w:szCs w:val="20"/>
              </w:rPr>
              <w:t>Absolute difference</w:t>
            </w:r>
          </w:p>
        </w:tc>
        <w:tc>
          <w:tcPr>
            <w:tcW w:w="838" w:type="pct"/>
            <w:vAlign w:val="center"/>
          </w:tcPr>
          <w:p w14:paraId="26F42DCD" w14:textId="77777777" w:rsidR="00475C36" w:rsidRPr="00B213CD" w:rsidRDefault="00475C36" w:rsidP="00350FC3">
            <w:pPr>
              <w:pStyle w:val="TableText0"/>
              <w:widowControl w:val="0"/>
              <w:rPr>
                <w:b/>
                <w:bCs w:val="0"/>
                <w:szCs w:val="20"/>
              </w:rPr>
            </w:pPr>
            <w:r w:rsidRPr="00B213CD">
              <w:rPr>
                <w:b/>
                <w:bCs w:val="0"/>
                <w:szCs w:val="20"/>
              </w:rPr>
              <w:t>HR (95% CI)</w:t>
            </w:r>
          </w:p>
        </w:tc>
      </w:tr>
      <w:tr w:rsidR="00475C36" w:rsidRPr="00B213CD" w14:paraId="71CAF02A" w14:textId="77777777" w:rsidTr="00B213CD">
        <w:trPr>
          <w:trHeight w:val="20"/>
        </w:trPr>
        <w:tc>
          <w:tcPr>
            <w:tcW w:w="5000" w:type="pct"/>
            <w:gridSpan w:val="6"/>
            <w:tcBorders>
              <w:bottom w:val="single" w:sz="4" w:space="0" w:color="auto"/>
            </w:tcBorders>
            <w:vAlign w:val="center"/>
          </w:tcPr>
          <w:p w14:paraId="5E5B5B50" w14:textId="77777777" w:rsidR="00475C36" w:rsidRPr="00B213CD" w:rsidRDefault="00475C36" w:rsidP="00350FC3">
            <w:pPr>
              <w:pStyle w:val="TableText0"/>
              <w:widowControl w:val="0"/>
              <w:rPr>
                <w:b/>
                <w:szCs w:val="20"/>
              </w:rPr>
            </w:pPr>
            <w:r w:rsidRPr="00B213CD">
              <w:rPr>
                <w:b/>
                <w:szCs w:val="20"/>
              </w:rPr>
              <w:t>PFS-IA</w:t>
            </w:r>
          </w:p>
        </w:tc>
      </w:tr>
      <w:tr w:rsidR="00475C36" w:rsidRPr="00B213CD" w14:paraId="79D1B473" w14:textId="77777777" w:rsidTr="00B213CD">
        <w:trPr>
          <w:trHeight w:val="20"/>
        </w:trPr>
        <w:tc>
          <w:tcPr>
            <w:tcW w:w="940" w:type="pct"/>
            <w:vMerge w:val="restart"/>
            <w:vAlign w:val="center"/>
          </w:tcPr>
          <w:p w14:paraId="116C7A57" w14:textId="7557F75A" w:rsidR="00475C36" w:rsidRPr="00B213CD" w:rsidRDefault="00475C36" w:rsidP="00350FC3">
            <w:pPr>
              <w:pStyle w:val="TableText0"/>
              <w:widowControl w:val="0"/>
              <w:rPr>
                <w:szCs w:val="20"/>
              </w:rPr>
            </w:pPr>
            <w:r w:rsidRPr="00B213CD">
              <w:rPr>
                <w:szCs w:val="20"/>
              </w:rPr>
              <w:t>AMPLIFY</w:t>
            </w:r>
            <w:r w:rsidR="00435A2B" w:rsidRPr="00B213CD">
              <w:rPr>
                <w:szCs w:val="20"/>
              </w:rPr>
              <w:t xml:space="preserve"> (Median follow-up: 40.8 </w:t>
            </w:r>
            <w:proofErr w:type="spellStart"/>
            <w:r w:rsidR="00435A2B" w:rsidRPr="00B213CD">
              <w:rPr>
                <w:szCs w:val="20"/>
              </w:rPr>
              <w:t>mths</w:t>
            </w:r>
            <w:proofErr w:type="spellEnd"/>
            <w:r w:rsidR="00435A2B" w:rsidRPr="00B213CD">
              <w:rPr>
                <w:szCs w:val="20"/>
              </w:rPr>
              <w:t>)</w:t>
            </w:r>
          </w:p>
        </w:tc>
        <w:tc>
          <w:tcPr>
            <w:tcW w:w="944" w:type="pct"/>
            <w:tcBorders>
              <w:bottom w:val="nil"/>
            </w:tcBorders>
            <w:vAlign w:val="center"/>
          </w:tcPr>
          <w:p w14:paraId="099E117C" w14:textId="77777777" w:rsidR="00475C36" w:rsidRPr="00B213CD" w:rsidRDefault="00475C36" w:rsidP="00350FC3">
            <w:pPr>
              <w:pStyle w:val="TableText0"/>
              <w:widowControl w:val="0"/>
              <w:rPr>
                <w:szCs w:val="20"/>
              </w:rPr>
            </w:pPr>
            <w:r w:rsidRPr="00B213CD">
              <w:rPr>
                <w:szCs w:val="20"/>
              </w:rPr>
              <w:t>Progressed</w:t>
            </w:r>
          </w:p>
        </w:tc>
        <w:tc>
          <w:tcPr>
            <w:tcW w:w="786" w:type="pct"/>
            <w:tcBorders>
              <w:bottom w:val="nil"/>
            </w:tcBorders>
            <w:vAlign w:val="center"/>
          </w:tcPr>
          <w:p w14:paraId="1011662A" w14:textId="77777777" w:rsidR="00475C36" w:rsidRPr="00B213CD" w:rsidRDefault="00475C36" w:rsidP="00350FC3">
            <w:pPr>
              <w:pStyle w:val="TableText0"/>
              <w:widowControl w:val="0"/>
              <w:rPr>
                <w:szCs w:val="20"/>
              </w:rPr>
            </w:pPr>
            <w:r w:rsidRPr="00B213CD">
              <w:rPr>
                <w:szCs w:val="20"/>
              </w:rPr>
              <w:t>78/291 (26.8)</w:t>
            </w:r>
          </w:p>
        </w:tc>
        <w:tc>
          <w:tcPr>
            <w:tcW w:w="785" w:type="pct"/>
            <w:tcBorders>
              <w:bottom w:val="nil"/>
            </w:tcBorders>
            <w:vAlign w:val="center"/>
          </w:tcPr>
          <w:p w14:paraId="068921DE" w14:textId="77777777" w:rsidR="00475C36" w:rsidRPr="00B213CD" w:rsidRDefault="00475C36" w:rsidP="00350FC3">
            <w:pPr>
              <w:pStyle w:val="TableText0"/>
              <w:widowControl w:val="0"/>
              <w:rPr>
                <w:szCs w:val="20"/>
              </w:rPr>
            </w:pPr>
            <w:r w:rsidRPr="00B213CD">
              <w:rPr>
                <w:szCs w:val="20"/>
              </w:rPr>
              <w:t>95/290 (32.8)</w:t>
            </w:r>
          </w:p>
        </w:tc>
        <w:tc>
          <w:tcPr>
            <w:tcW w:w="707" w:type="pct"/>
            <w:tcBorders>
              <w:bottom w:val="nil"/>
            </w:tcBorders>
            <w:vAlign w:val="center"/>
          </w:tcPr>
          <w:p w14:paraId="55E4F57F" w14:textId="77777777" w:rsidR="00475C36" w:rsidRPr="00B213CD" w:rsidRDefault="00475C36" w:rsidP="00350FC3">
            <w:pPr>
              <w:pStyle w:val="TableText0"/>
              <w:widowControl w:val="0"/>
              <w:rPr>
                <w:szCs w:val="20"/>
              </w:rPr>
            </w:pPr>
            <w:r w:rsidRPr="00B213CD">
              <w:rPr>
                <w:szCs w:val="20"/>
              </w:rPr>
              <w:t>6.0%</w:t>
            </w:r>
          </w:p>
        </w:tc>
        <w:tc>
          <w:tcPr>
            <w:tcW w:w="838" w:type="pct"/>
            <w:vMerge w:val="restart"/>
            <w:vAlign w:val="center"/>
          </w:tcPr>
          <w:p w14:paraId="4BAAFDA6" w14:textId="77777777" w:rsidR="00475C36" w:rsidRPr="00B213CD" w:rsidRDefault="00475C36" w:rsidP="00350FC3">
            <w:pPr>
              <w:pStyle w:val="TableText0"/>
              <w:widowControl w:val="0"/>
              <w:rPr>
                <w:b/>
                <w:szCs w:val="20"/>
              </w:rPr>
            </w:pPr>
            <w:r w:rsidRPr="00B213CD">
              <w:rPr>
                <w:b/>
                <w:szCs w:val="20"/>
              </w:rPr>
              <w:t>0.58 (0.43, 0.78)</w:t>
            </w:r>
          </w:p>
        </w:tc>
      </w:tr>
      <w:tr w:rsidR="00475C36" w:rsidRPr="00B213CD" w14:paraId="13271DF5" w14:textId="77777777" w:rsidTr="00B213CD">
        <w:trPr>
          <w:trHeight w:val="20"/>
        </w:trPr>
        <w:tc>
          <w:tcPr>
            <w:tcW w:w="940" w:type="pct"/>
            <w:vMerge/>
            <w:tcBorders>
              <w:bottom w:val="single" w:sz="4" w:space="0" w:color="auto"/>
            </w:tcBorders>
            <w:vAlign w:val="center"/>
          </w:tcPr>
          <w:p w14:paraId="7D04963C" w14:textId="77777777" w:rsidR="00475C36" w:rsidRPr="00B213CD" w:rsidRDefault="00475C36" w:rsidP="00350FC3">
            <w:pPr>
              <w:pStyle w:val="TableText0"/>
              <w:widowControl w:val="0"/>
              <w:rPr>
                <w:szCs w:val="20"/>
              </w:rPr>
            </w:pPr>
          </w:p>
        </w:tc>
        <w:tc>
          <w:tcPr>
            <w:tcW w:w="944" w:type="pct"/>
            <w:tcBorders>
              <w:top w:val="nil"/>
              <w:bottom w:val="single" w:sz="4" w:space="0" w:color="auto"/>
            </w:tcBorders>
            <w:vAlign w:val="center"/>
          </w:tcPr>
          <w:p w14:paraId="340482BE" w14:textId="77777777" w:rsidR="00475C36" w:rsidRPr="00B213CD" w:rsidRDefault="00475C36" w:rsidP="00350FC3">
            <w:pPr>
              <w:pStyle w:val="TableText0"/>
              <w:widowControl w:val="0"/>
              <w:rPr>
                <w:szCs w:val="20"/>
              </w:rPr>
            </w:pPr>
            <w:r w:rsidRPr="00B213CD">
              <w:rPr>
                <w:szCs w:val="20"/>
              </w:rPr>
              <w:t>Median months PFS</w:t>
            </w:r>
          </w:p>
        </w:tc>
        <w:tc>
          <w:tcPr>
            <w:tcW w:w="786" w:type="pct"/>
            <w:tcBorders>
              <w:top w:val="nil"/>
              <w:bottom w:val="single" w:sz="4" w:space="0" w:color="auto"/>
            </w:tcBorders>
            <w:vAlign w:val="center"/>
          </w:tcPr>
          <w:p w14:paraId="2C18921C" w14:textId="77777777" w:rsidR="00475C36" w:rsidRPr="00B213CD" w:rsidRDefault="00475C36" w:rsidP="00350FC3">
            <w:pPr>
              <w:pStyle w:val="TableText0"/>
              <w:widowControl w:val="0"/>
              <w:rPr>
                <w:szCs w:val="20"/>
              </w:rPr>
            </w:pPr>
            <w:r w:rsidRPr="00B213CD">
              <w:rPr>
                <w:szCs w:val="20"/>
              </w:rPr>
              <w:t>NE (51.6, NE)</w:t>
            </w:r>
          </w:p>
        </w:tc>
        <w:tc>
          <w:tcPr>
            <w:tcW w:w="785" w:type="pct"/>
            <w:tcBorders>
              <w:top w:val="nil"/>
              <w:bottom w:val="single" w:sz="4" w:space="0" w:color="auto"/>
            </w:tcBorders>
            <w:vAlign w:val="center"/>
          </w:tcPr>
          <w:p w14:paraId="45AA02E7" w14:textId="77777777" w:rsidR="00475C36" w:rsidRPr="00B213CD" w:rsidRDefault="00475C36" w:rsidP="00350FC3">
            <w:pPr>
              <w:pStyle w:val="TableText0"/>
              <w:widowControl w:val="0"/>
              <w:rPr>
                <w:szCs w:val="20"/>
              </w:rPr>
            </w:pPr>
            <w:r w:rsidRPr="00B213CD">
              <w:rPr>
                <w:szCs w:val="20"/>
              </w:rPr>
              <w:t>48.8 (43.1, NE)</w:t>
            </w:r>
          </w:p>
        </w:tc>
        <w:tc>
          <w:tcPr>
            <w:tcW w:w="707" w:type="pct"/>
            <w:tcBorders>
              <w:top w:val="nil"/>
              <w:bottom w:val="single" w:sz="4" w:space="0" w:color="auto"/>
            </w:tcBorders>
            <w:vAlign w:val="center"/>
          </w:tcPr>
          <w:p w14:paraId="263E43BE" w14:textId="77777777" w:rsidR="00475C36" w:rsidRPr="00B213CD" w:rsidRDefault="00475C36" w:rsidP="00350FC3">
            <w:pPr>
              <w:pStyle w:val="TableText0"/>
              <w:widowControl w:val="0"/>
              <w:rPr>
                <w:szCs w:val="20"/>
              </w:rPr>
            </w:pPr>
            <w:r w:rsidRPr="00B213CD">
              <w:rPr>
                <w:szCs w:val="20"/>
              </w:rPr>
              <w:t>NE</w:t>
            </w:r>
          </w:p>
        </w:tc>
        <w:tc>
          <w:tcPr>
            <w:tcW w:w="838" w:type="pct"/>
            <w:vMerge/>
            <w:tcBorders>
              <w:bottom w:val="single" w:sz="4" w:space="0" w:color="auto"/>
            </w:tcBorders>
            <w:vAlign w:val="center"/>
          </w:tcPr>
          <w:p w14:paraId="3DB9921C" w14:textId="77777777" w:rsidR="00475C36" w:rsidRPr="00B213CD" w:rsidRDefault="00475C36" w:rsidP="00350FC3">
            <w:pPr>
              <w:pStyle w:val="TableText0"/>
              <w:widowControl w:val="0"/>
              <w:rPr>
                <w:b/>
                <w:szCs w:val="20"/>
              </w:rPr>
            </w:pPr>
          </w:p>
        </w:tc>
      </w:tr>
      <w:tr w:rsidR="00475C36" w:rsidRPr="00B213CD" w14:paraId="0CED8281" w14:textId="77777777" w:rsidTr="00B213CD">
        <w:trPr>
          <w:trHeight w:val="20"/>
        </w:trPr>
        <w:tc>
          <w:tcPr>
            <w:tcW w:w="940" w:type="pct"/>
            <w:vMerge w:val="restart"/>
            <w:tcBorders>
              <w:top w:val="single" w:sz="4" w:space="0" w:color="auto"/>
            </w:tcBorders>
            <w:vAlign w:val="center"/>
          </w:tcPr>
          <w:p w14:paraId="5EB4F50D" w14:textId="2894BAC6" w:rsidR="00475C36" w:rsidRPr="00B213CD" w:rsidRDefault="00475C36" w:rsidP="00350FC3">
            <w:pPr>
              <w:pStyle w:val="TableText0"/>
              <w:widowControl w:val="0"/>
              <w:rPr>
                <w:szCs w:val="20"/>
              </w:rPr>
            </w:pPr>
            <w:r w:rsidRPr="00B213CD">
              <w:rPr>
                <w:szCs w:val="20"/>
              </w:rPr>
              <w:t>CLL13</w:t>
            </w:r>
            <w:r w:rsidR="00435A2B" w:rsidRPr="00B213CD">
              <w:rPr>
                <w:szCs w:val="20"/>
              </w:rPr>
              <w:t xml:space="preserve"> (Median follow-up: 50.7 </w:t>
            </w:r>
            <w:proofErr w:type="spellStart"/>
            <w:r w:rsidR="00435A2B" w:rsidRPr="00B213CD">
              <w:rPr>
                <w:szCs w:val="20"/>
              </w:rPr>
              <w:t>mths</w:t>
            </w:r>
            <w:proofErr w:type="spellEnd"/>
            <w:r w:rsidR="00435A2B" w:rsidRPr="00B213CD">
              <w:rPr>
                <w:szCs w:val="20"/>
              </w:rPr>
              <w:t>)</w:t>
            </w:r>
          </w:p>
        </w:tc>
        <w:tc>
          <w:tcPr>
            <w:tcW w:w="944" w:type="pct"/>
            <w:tcBorders>
              <w:top w:val="single" w:sz="4" w:space="0" w:color="auto"/>
              <w:bottom w:val="nil"/>
            </w:tcBorders>
            <w:vAlign w:val="center"/>
          </w:tcPr>
          <w:p w14:paraId="5F29E4A3" w14:textId="77777777" w:rsidR="00475C36" w:rsidRPr="00B213CD" w:rsidRDefault="00475C36" w:rsidP="00350FC3">
            <w:pPr>
              <w:pStyle w:val="TableText0"/>
              <w:widowControl w:val="0"/>
              <w:rPr>
                <w:szCs w:val="20"/>
              </w:rPr>
            </w:pPr>
            <w:r w:rsidRPr="00B213CD">
              <w:rPr>
                <w:szCs w:val="20"/>
              </w:rPr>
              <w:t>Progressed</w:t>
            </w:r>
          </w:p>
        </w:tc>
        <w:tc>
          <w:tcPr>
            <w:tcW w:w="786" w:type="pct"/>
            <w:tcBorders>
              <w:top w:val="single" w:sz="4" w:space="0" w:color="auto"/>
              <w:bottom w:val="nil"/>
            </w:tcBorders>
            <w:vAlign w:val="center"/>
          </w:tcPr>
          <w:p w14:paraId="65353726" w14:textId="77777777" w:rsidR="00475C36" w:rsidRPr="00B213CD" w:rsidRDefault="00475C36" w:rsidP="00350FC3">
            <w:pPr>
              <w:pStyle w:val="TableText0"/>
              <w:widowControl w:val="0"/>
              <w:rPr>
                <w:szCs w:val="20"/>
              </w:rPr>
            </w:pPr>
            <w:r w:rsidRPr="00B213CD">
              <w:rPr>
                <w:szCs w:val="20"/>
              </w:rPr>
              <w:t>55/229 (24.0)</w:t>
            </w:r>
          </w:p>
        </w:tc>
        <w:tc>
          <w:tcPr>
            <w:tcW w:w="785" w:type="pct"/>
            <w:tcBorders>
              <w:top w:val="single" w:sz="4" w:space="0" w:color="auto"/>
              <w:bottom w:val="nil"/>
            </w:tcBorders>
            <w:vAlign w:val="center"/>
          </w:tcPr>
          <w:p w14:paraId="4591A943" w14:textId="77777777" w:rsidR="00475C36" w:rsidRPr="00B213CD" w:rsidRDefault="00475C36" w:rsidP="00350FC3">
            <w:pPr>
              <w:pStyle w:val="TableText0"/>
              <w:widowControl w:val="0"/>
              <w:rPr>
                <w:szCs w:val="20"/>
              </w:rPr>
            </w:pPr>
            <w:r w:rsidRPr="00B213CD">
              <w:rPr>
                <w:szCs w:val="20"/>
              </w:rPr>
              <w:t>90/229 (39.3)</w:t>
            </w:r>
          </w:p>
        </w:tc>
        <w:tc>
          <w:tcPr>
            <w:tcW w:w="707" w:type="pct"/>
            <w:tcBorders>
              <w:top w:val="single" w:sz="4" w:space="0" w:color="auto"/>
              <w:bottom w:val="nil"/>
            </w:tcBorders>
            <w:vAlign w:val="center"/>
          </w:tcPr>
          <w:p w14:paraId="00173DDE" w14:textId="77777777" w:rsidR="00475C36" w:rsidRPr="00B213CD" w:rsidRDefault="00475C36" w:rsidP="00350FC3">
            <w:pPr>
              <w:pStyle w:val="TableText0"/>
              <w:widowControl w:val="0"/>
              <w:rPr>
                <w:szCs w:val="20"/>
              </w:rPr>
            </w:pPr>
            <w:r w:rsidRPr="00B213CD">
              <w:rPr>
                <w:szCs w:val="20"/>
              </w:rPr>
              <w:t>15.3%</w:t>
            </w:r>
          </w:p>
        </w:tc>
        <w:tc>
          <w:tcPr>
            <w:tcW w:w="838" w:type="pct"/>
            <w:vMerge w:val="restart"/>
            <w:tcBorders>
              <w:top w:val="single" w:sz="4" w:space="0" w:color="auto"/>
            </w:tcBorders>
            <w:vAlign w:val="center"/>
          </w:tcPr>
          <w:p w14:paraId="16AD2EEA" w14:textId="77777777" w:rsidR="00475C36" w:rsidRPr="00B213CD" w:rsidRDefault="00475C36" w:rsidP="00350FC3">
            <w:pPr>
              <w:pStyle w:val="TableText0"/>
              <w:widowControl w:val="0"/>
              <w:rPr>
                <w:szCs w:val="20"/>
              </w:rPr>
            </w:pPr>
            <w:r w:rsidRPr="00B213CD">
              <w:rPr>
                <w:b/>
                <w:szCs w:val="20"/>
              </w:rPr>
              <w:t xml:space="preserve">0.47 (0.34, 0.67) </w:t>
            </w:r>
            <w:r w:rsidRPr="00B213CD">
              <w:rPr>
                <w:b/>
                <w:szCs w:val="20"/>
                <w:vertAlign w:val="superscript"/>
              </w:rPr>
              <w:t>a</w:t>
            </w:r>
          </w:p>
        </w:tc>
      </w:tr>
      <w:tr w:rsidR="00475C36" w:rsidRPr="00B213CD" w14:paraId="2A777C73" w14:textId="77777777" w:rsidTr="00B213CD">
        <w:trPr>
          <w:trHeight w:val="20"/>
        </w:trPr>
        <w:tc>
          <w:tcPr>
            <w:tcW w:w="940" w:type="pct"/>
            <w:vMerge/>
            <w:vAlign w:val="center"/>
          </w:tcPr>
          <w:p w14:paraId="0EB4588A" w14:textId="77777777" w:rsidR="00475C36" w:rsidRPr="00B213CD" w:rsidRDefault="00475C36" w:rsidP="00350FC3">
            <w:pPr>
              <w:pStyle w:val="TableText0"/>
              <w:widowControl w:val="0"/>
              <w:rPr>
                <w:szCs w:val="20"/>
              </w:rPr>
            </w:pPr>
          </w:p>
        </w:tc>
        <w:tc>
          <w:tcPr>
            <w:tcW w:w="944" w:type="pct"/>
            <w:tcBorders>
              <w:top w:val="nil"/>
            </w:tcBorders>
            <w:vAlign w:val="center"/>
          </w:tcPr>
          <w:p w14:paraId="37B566F7" w14:textId="77777777" w:rsidR="00475C36" w:rsidRPr="00B213CD" w:rsidRDefault="00475C36" w:rsidP="00350FC3">
            <w:pPr>
              <w:pStyle w:val="TableText0"/>
              <w:widowControl w:val="0"/>
              <w:rPr>
                <w:szCs w:val="20"/>
              </w:rPr>
            </w:pPr>
            <w:r w:rsidRPr="00B213CD">
              <w:rPr>
                <w:szCs w:val="20"/>
              </w:rPr>
              <w:t>Median months PFS</w:t>
            </w:r>
          </w:p>
        </w:tc>
        <w:tc>
          <w:tcPr>
            <w:tcW w:w="786" w:type="pct"/>
            <w:tcBorders>
              <w:top w:val="nil"/>
            </w:tcBorders>
            <w:vAlign w:val="center"/>
          </w:tcPr>
          <w:p w14:paraId="453BE84B" w14:textId="77777777" w:rsidR="00475C36" w:rsidRPr="00B213CD" w:rsidRDefault="00475C36" w:rsidP="00350FC3">
            <w:pPr>
              <w:pStyle w:val="TableText0"/>
              <w:widowControl w:val="0"/>
              <w:rPr>
                <w:szCs w:val="20"/>
              </w:rPr>
            </w:pPr>
            <w:r w:rsidRPr="00B213CD">
              <w:rPr>
                <w:szCs w:val="20"/>
              </w:rPr>
              <w:t>NE (NE, NE)</w:t>
            </w:r>
          </w:p>
        </w:tc>
        <w:tc>
          <w:tcPr>
            <w:tcW w:w="785" w:type="pct"/>
            <w:tcBorders>
              <w:top w:val="nil"/>
            </w:tcBorders>
            <w:vAlign w:val="center"/>
          </w:tcPr>
          <w:p w14:paraId="264B4F5A" w14:textId="77777777" w:rsidR="00475C36" w:rsidRPr="00B213CD" w:rsidRDefault="00475C36" w:rsidP="00350FC3">
            <w:pPr>
              <w:pStyle w:val="TableText0"/>
              <w:widowControl w:val="0"/>
              <w:rPr>
                <w:szCs w:val="20"/>
              </w:rPr>
            </w:pPr>
            <w:r w:rsidRPr="00B213CD">
              <w:rPr>
                <w:szCs w:val="20"/>
              </w:rPr>
              <w:t>NE (NE, NE)</w:t>
            </w:r>
          </w:p>
        </w:tc>
        <w:tc>
          <w:tcPr>
            <w:tcW w:w="707" w:type="pct"/>
            <w:tcBorders>
              <w:top w:val="nil"/>
            </w:tcBorders>
            <w:vAlign w:val="center"/>
          </w:tcPr>
          <w:p w14:paraId="322FFBD3" w14:textId="77777777" w:rsidR="00475C36" w:rsidRPr="00B213CD" w:rsidRDefault="00475C36" w:rsidP="00350FC3">
            <w:pPr>
              <w:pStyle w:val="TableText0"/>
              <w:widowControl w:val="0"/>
              <w:rPr>
                <w:szCs w:val="20"/>
              </w:rPr>
            </w:pPr>
            <w:r w:rsidRPr="00B213CD">
              <w:rPr>
                <w:szCs w:val="20"/>
              </w:rPr>
              <w:t>NE</w:t>
            </w:r>
          </w:p>
        </w:tc>
        <w:tc>
          <w:tcPr>
            <w:tcW w:w="838" w:type="pct"/>
            <w:vMerge/>
            <w:vAlign w:val="center"/>
          </w:tcPr>
          <w:p w14:paraId="75DC961B" w14:textId="77777777" w:rsidR="00475C36" w:rsidRPr="00B213CD" w:rsidRDefault="00475C36" w:rsidP="00350FC3">
            <w:pPr>
              <w:pStyle w:val="TableText0"/>
              <w:widowControl w:val="0"/>
              <w:rPr>
                <w:b/>
                <w:szCs w:val="20"/>
              </w:rPr>
            </w:pPr>
          </w:p>
        </w:tc>
      </w:tr>
      <w:tr w:rsidR="00475C36" w:rsidRPr="00B213CD" w14:paraId="0B7C63FA" w14:textId="77777777" w:rsidTr="00B213CD">
        <w:trPr>
          <w:trHeight w:val="20"/>
        </w:trPr>
        <w:tc>
          <w:tcPr>
            <w:tcW w:w="940" w:type="pct"/>
            <w:vMerge w:val="restart"/>
            <w:vAlign w:val="center"/>
          </w:tcPr>
          <w:p w14:paraId="44EE1E52" w14:textId="360039F1" w:rsidR="00475C36" w:rsidRPr="00B213CD" w:rsidRDefault="00475C36" w:rsidP="00350FC3">
            <w:pPr>
              <w:pStyle w:val="TableText0"/>
              <w:widowControl w:val="0"/>
              <w:rPr>
                <w:szCs w:val="20"/>
              </w:rPr>
            </w:pPr>
            <w:r w:rsidRPr="00B213CD">
              <w:rPr>
                <w:szCs w:val="20"/>
              </w:rPr>
              <w:t>CRISTALLO</w:t>
            </w:r>
            <w:r w:rsidR="00435A2B" w:rsidRPr="00B213CD">
              <w:rPr>
                <w:szCs w:val="20"/>
              </w:rPr>
              <w:t xml:space="preserve"> (Median follow-up: 32.0 </w:t>
            </w:r>
            <w:proofErr w:type="spellStart"/>
            <w:r w:rsidR="00435A2B" w:rsidRPr="00B213CD">
              <w:rPr>
                <w:szCs w:val="20"/>
              </w:rPr>
              <w:t>mths</w:t>
            </w:r>
            <w:proofErr w:type="spellEnd"/>
            <w:r w:rsidR="00435A2B" w:rsidRPr="00B213CD">
              <w:rPr>
                <w:szCs w:val="20"/>
              </w:rPr>
              <w:t>)</w:t>
            </w:r>
            <w:r w:rsidR="00562186" w:rsidRPr="00B213CD">
              <w:rPr>
                <w:szCs w:val="20"/>
              </w:rPr>
              <w:t xml:space="preserve"> </w:t>
            </w:r>
            <w:r w:rsidR="00562186" w:rsidRPr="00B213CD">
              <w:rPr>
                <w:szCs w:val="20"/>
                <w:vertAlign w:val="superscript"/>
              </w:rPr>
              <w:t>b</w:t>
            </w:r>
          </w:p>
        </w:tc>
        <w:tc>
          <w:tcPr>
            <w:tcW w:w="944" w:type="pct"/>
            <w:tcBorders>
              <w:bottom w:val="nil"/>
            </w:tcBorders>
            <w:vAlign w:val="center"/>
          </w:tcPr>
          <w:p w14:paraId="7E0E01C2" w14:textId="5260CA54" w:rsidR="00475C36" w:rsidRPr="00B213CD" w:rsidRDefault="00475C36" w:rsidP="00350FC3">
            <w:pPr>
              <w:pStyle w:val="TableText0"/>
              <w:widowControl w:val="0"/>
              <w:rPr>
                <w:szCs w:val="20"/>
              </w:rPr>
            </w:pPr>
            <w:r w:rsidRPr="00B213CD">
              <w:rPr>
                <w:szCs w:val="20"/>
              </w:rPr>
              <w:t>Progressed</w:t>
            </w:r>
            <w:r w:rsidR="002B32F3" w:rsidRPr="00B213CD">
              <w:rPr>
                <w:szCs w:val="20"/>
              </w:rPr>
              <w:t xml:space="preserve"> </w:t>
            </w:r>
          </w:p>
        </w:tc>
        <w:tc>
          <w:tcPr>
            <w:tcW w:w="786" w:type="pct"/>
            <w:tcBorders>
              <w:bottom w:val="nil"/>
            </w:tcBorders>
            <w:vAlign w:val="center"/>
          </w:tcPr>
          <w:p w14:paraId="7A6664BC" w14:textId="28264162" w:rsidR="00475C36" w:rsidRPr="00B213CD" w:rsidRDefault="002B32F3" w:rsidP="00350FC3">
            <w:pPr>
              <w:pStyle w:val="TableText0"/>
              <w:widowControl w:val="0"/>
              <w:rPr>
                <w:szCs w:val="20"/>
              </w:rPr>
            </w:pPr>
            <w:r w:rsidRPr="00B213CD">
              <w:rPr>
                <w:szCs w:val="20"/>
              </w:rPr>
              <w:t>NR</w:t>
            </w:r>
          </w:p>
        </w:tc>
        <w:tc>
          <w:tcPr>
            <w:tcW w:w="785" w:type="pct"/>
            <w:tcBorders>
              <w:bottom w:val="nil"/>
            </w:tcBorders>
            <w:vAlign w:val="center"/>
          </w:tcPr>
          <w:p w14:paraId="45338AD7" w14:textId="1D2E3C65" w:rsidR="00475C36" w:rsidRPr="00B213CD" w:rsidRDefault="002B32F3" w:rsidP="00350FC3">
            <w:pPr>
              <w:pStyle w:val="TableText0"/>
              <w:widowControl w:val="0"/>
              <w:rPr>
                <w:szCs w:val="20"/>
              </w:rPr>
            </w:pPr>
            <w:r w:rsidRPr="00B213CD">
              <w:rPr>
                <w:szCs w:val="20"/>
              </w:rPr>
              <w:t>NR</w:t>
            </w:r>
          </w:p>
        </w:tc>
        <w:tc>
          <w:tcPr>
            <w:tcW w:w="707" w:type="pct"/>
            <w:tcBorders>
              <w:bottom w:val="nil"/>
            </w:tcBorders>
            <w:vAlign w:val="center"/>
          </w:tcPr>
          <w:p w14:paraId="65622E66" w14:textId="11CFA910" w:rsidR="00475C36" w:rsidRPr="00B213CD" w:rsidRDefault="002B32F3" w:rsidP="00350FC3">
            <w:pPr>
              <w:pStyle w:val="TableText0"/>
              <w:widowControl w:val="0"/>
              <w:rPr>
                <w:szCs w:val="20"/>
              </w:rPr>
            </w:pPr>
            <w:r w:rsidRPr="00B213CD">
              <w:rPr>
                <w:szCs w:val="20"/>
              </w:rPr>
              <w:t>-</w:t>
            </w:r>
          </w:p>
        </w:tc>
        <w:tc>
          <w:tcPr>
            <w:tcW w:w="838" w:type="pct"/>
            <w:vMerge w:val="restart"/>
            <w:vAlign w:val="center"/>
          </w:tcPr>
          <w:p w14:paraId="029AE629" w14:textId="77777777" w:rsidR="00475C36" w:rsidRPr="00B213CD" w:rsidRDefault="00475C36" w:rsidP="00350FC3">
            <w:pPr>
              <w:pStyle w:val="TableText0"/>
              <w:widowControl w:val="0"/>
              <w:rPr>
                <w:bCs w:val="0"/>
                <w:szCs w:val="20"/>
              </w:rPr>
            </w:pPr>
            <w:r w:rsidRPr="00B213CD">
              <w:rPr>
                <w:bCs w:val="0"/>
                <w:szCs w:val="20"/>
              </w:rPr>
              <w:t>0.49 (0.20, 1.30)</w:t>
            </w:r>
          </w:p>
        </w:tc>
      </w:tr>
      <w:tr w:rsidR="00475C36" w:rsidRPr="00B213CD" w14:paraId="3A5F69D0" w14:textId="77777777" w:rsidTr="00B213CD">
        <w:trPr>
          <w:trHeight w:val="20"/>
        </w:trPr>
        <w:tc>
          <w:tcPr>
            <w:tcW w:w="940" w:type="pct"/>
            <w:vMerge/>
            <w:tcBorders>
              <w:bottom w:val="single" w:sz="4" w:space="0" w:color="auto"/>
            </w:tcBorders>
            <w:vAlign w:val="center"/>
          </w:tcPr>
          <w:p w14:paraId="3E142053" w14:textId="77777777" w:rsidR="00475C36" w:rsidRPr="00B213CD" w:rsidRDefault="00475C36" w:rsidP="00350FC3">
            <w:pPr>
              <w:pStyle w:val="TableText0"/>
              <w:widowControl w:val="0"/>
              <w:rPr>
                <w:szCs w:val="20"/>
              </w:rPr>
            </w:pPr>
          </w:p>
        </w:tc>
        <w:tc>
          <w:tcPr>
            <w:tcW w:w="944" w:type="pct"/>
            <w:tcBorders>
              <w:top w:val="nil"/>
              <w:bottom w:val="single" w:sz="4" w:space="0" w:color="auto"/>
            </w:tcBorders>
            <w:vAlign w:val="center"/>
          </w:tcPr>
          <w:p w14:paraId="2528EAF5" w14:textId="77777777" w:rsidR="00475C36" w:rsidRPr="00B213CD" w:rsidRDefault="00475C36" w:rsidP="00350FC3">
            <w:pPr>
              <w:pStyle w:val="TableText0"/>
              <w:widowControl w:val="0"/>
              <w:rPr>
                <w:szCs w:val="20"/>
              </w:rPr>
            </w:pPr>
            <w:r w:rsidRPr="00B213CD">
              <w:rPr>
                <w:szCs w:val="20"/>
              </w:rPr>
              <w:t>Median months PFS</w:t>
            </w:r>
          </w:p>
        </w:tc>
        <w:tc>
          <w:tcPr>
            <w:tcW w:w="786" w:type="pct"/>
            <w:tcBorders>
              <w:top w:val="nil"/>
              <w:bottom w:val="single" w:sz="4" w:space="0" w:color="auto"/>
            </w:tcBorders>
            <w:vAlign w:val="center"/>
          </w:tcPr>
          <w:p w14:paraId="2DCA8941" w14:textId="77777777" w:rsidR="00475C36" w:rsidRPr="00B213CD" w:rsidRDefault="00475C36" w:rsidP="00350FC3">
            <w:pPr>
              <w:pStyle w:val="TableText0"/>
              <w:widowControl w:val="0"/>
              <w:rPr>
                <w:szCs w:val="20"/>
              </w:rPr>
            </w:pPr>
            <w:r w:rsidRPr="00B213CD">
              <w:rPr>
                <w:szCs w:val="20"/>
              </w:rPr>
              <w:t>NE (NE, NE)</w:t>
            </w:r>
          </w:p>
        </w:tc>
        <w:tc>
          <w:tcPr>
            <w:tcW w:w="785" w:type="pct"/>
            <w:tcBorders>
              <w:top w:val="nil"/>
              <w:bottom w:val="single" w:sz="4" w:space="0" w:color="auto"/>
            </w:tcBorders>
            <w:vAlign w:val="center"/>
          </w:tcPr>
          <w:p w14:paraId="4E004AB2" w14:textId="77777777" w:rsidR="00475C36" w:rsidRPr="00B213CD" w:rsidRDefault="00475C36" w:rsidP="00350FC3">
            <w:pPr>
              <w:pStyle w:val="TableText0"/>
              <w:widowControl w:val="0"/>
              <w:rPr>
                <w:szCs w:val="20"/>
              </w:rPr>
            </w:pPr>
            <w:r w:rsidRPr="00B213CD">
              <w:rPr>
                <w:szCs w:val="20"/>
              </w:rPr>
              <w:t>NE (NE, NE)</w:t>
            </w:r>
          </w:p>
        </w:tc>
        <w:tc>
          <w:tcPr>
            <w:tcW w:w="707" w:type="pct"/>
            <w:tcBorders>
              <w:top w:val="nil"/>
              <w:bottom w:val="single" w:sz="4" w:space="0" w:color="auto"/>
            </w:tcBorders>
            <w:vAlign w:val="center"/>
          </w:tcPr>
          <w:p w14:paraId="7C3E5E76" w14:textId="77777777" w:rsidR="00475C36" w:rsidRPr="00B213CD" w:rsidRDefault="00475C36" w:rsidP="00350FC3">
            <w:pPr>
              <w:pStyle w:val="TableText0"/>
              <w:widowControl w:val="0"/>
              <w:rPr>
                <w:szCs w:val="20"/>
              </w:rPr>
            </w:pPr>
            <w:r w:rsidRPr="00B213CD">
              <w:rPr>
                <w:szCs w:val="20"/>
              </w:rPr>
              <w:t>NE</w:t>
            </w:r>
          </w:p>
        </w:tc>
        <w:tc>
          <w:tcPr>
            <w:tcW w:w="838" w:type="pct"/>
            <w:vMerge/>
            <w:tcBorders>
              <w:bottom w:val="single" w:sz="4" w:space="0" w:color="auto"/>
            </w:tcBorders>
            <w:vAlign w:val="center"/>
          </w:tcPr>
          <w:p w14:paraId="7FBABFDC" w14:textId="77777777" w:rsidR="00475C36" w:rsidRPr="00B213CD" w:rsidRDefault="00475C36" w:rsidP="00350FC3">
            <w:pPr>
              <w:pStyle w:val="TableText0"/>
              <w:widowControl w:val="0"/>
              <w:rPr>
                <w:szCs w:val="20"/>
              </w:rPr>
            </w:pPr>
          </w:p>
        </w:tc>
      </w:tr>
      <w:tr w:rsidR="00475C36" w:rsidRPr="00B213CD" w14:paraId="094ED503" w14:textId="77777777" w:rsidTr="00B213CD">
        <w:trPr>
          <w:trHeight w:val="20"/>
        </w:trPr>
        <w:tc>
          <w:tcPr>
            <w:tcW w:w="4162" w:type="pct"/>
            <w:gridSpan w:val="5"/>
            <w:tcBorders>
              <w:top w:val="single" w:sz="4" w:space="0" w:color="auto"/>
              <w:bottom w:val="nil"/>
            </w:tcBorders>
            <w:vAlign w:val="center"/>
          </w:tcPr>
          <w:p w14:paraId="796B1305" w14:textId="77777777" w:rsidR="00475C36" w:rsidRPr="00B213CD" w:rsidRDefault="00475C36" w:rsidP="00350FC3">
            <w:pPr>
              <w:pStyle w:val="TableText0"/>
              <w:widowControl w:val="0"/>
              <w:ind w:left="169"/>
              <w:rPr>
                <w:szCs w:val="20"/>
              </w:rPr>
            </w:pPr>
            <w:r w:rsidRPr="00B213CD">
              <w:rPr>
                <w:szCs w:val="20"/>
              </w:rPr>
              <w:t>ITC: AV (AMPLIFY) vs. VO (CRISTALLO)</w:t>
            </w:r>
          </w:p>
        </w:tc>
        <w:tc>
          <w:tcPr>
            <w:tcW w:w="838" w:type="pct"/>
            <w:tcBorders>
              <w:top w:val="single" w:sz="4" w:space="0" w:color="auto"/>
              <w:bottom w:val="nil"/>
            </w:tcBorders>
            <w:vAlign w:val="center"/>
          </w:tcPr>
          <w:p w14:paraId="1BC5AB71" w14:textId="77777777" w:rsidR="00475C36" w:rsidRPr="00B213CD" w:rsidRDefault="00475C36" w:rsidP="00350FC3">
            <w:pPr>
              <w:pStyle w:val="TableText0"/>
              <w:widowControl w:val="0"/>
              <w:rPr>
                <w:szCs w:val="20"/>
              </w:rPr>
            </w:pPr>
            <w:r w:rsidRPr="00B213CD">
              <w:rPr>
                <w:szCs w:val="20"/>
              </w:rPr>
              <w:t>1.18 (0.</w:t>
            </w:r>
            <w:r w:rsidRPr="00B213CD">
              <w:rPr>
                <w:bCs w:val="0"/>
                <w:szCs w:val="20"/>
              </w:rPr>
              <w:t>44, 3.16</w:t>
            </w:r>
            <w:r w:rsidRPr="00B213CD">
              <w:rPr>
                <w:szCs w:val="20"/>
              </w:rPr>
              <w:t>)</w:t>
            </w:r>
          </w:p>
        </w:tc>
      </w:tr>
      <w:tr w:rsidR="00475C36" w:rsidRPr="00B213CD" w14:paraId="3BAEEFF5" w14:textId="77777777" w:rsidTr="00B213CD">
        <w:trPr>
          <w:trHeight w:val="20"/>
        </w:trPr>
        <w:tc>
          <w:tcPr>
            <w:tcW w:w="4162" w:type="pct"/>
            <w:gridSpan w:val="5"/>
            <w:tcBorders>
              <w:top w:val="nil"/>
            </w:tcBorders>
            <w:vAlign w:val="center"/>
          </w:tcPr>
          <w:p w14:paraId="304E8817" w14:textId="77777777" w:rsidR="00475C36" w:rsidRPr="00B213CD" w:rsidRDefault="00475C36" w:rsidP="00350FC3">
            <w:pPr>
              <w:pStyle w:val="TableText0"/>
              <w:widowControl w:val="0"/>
              <w:ind w:left="169"/>
              <w:rPr>
                <w:szCs w:val="20"/>
              </w:rPr>
            </w:pPr>
            <w:r w:rsidRPr="00B213CD">
              <w:rPr>
                <w:szCs w:val="20"/>
              </w:rPr>
              <w:t>ITC: AV (AMPLIFY) vs. VO (CLL13)</w:t>
            </w:r>
          </w:p>
        </w:tc>
        <w:tc>
          <w:tcPr>
            <w:tcW w:w="838" w:type="pct"/>
            <w:tcBorders>
              <w:top w:val="nil"/>
            </w:tcBorders>
            <w:vAlign w:val="center"/>
          </w:tcPr>
          <w:p w14:paraId="4FC7B671" w14:textId="77777777" w:rsidR="00475C36" w:rsidRPr="00B213CD" w:rsidRDefault="00475C36" w:rsidP="00350FC3">
            <w:pPr>
              <w:pStyle w:val="TableText0"/>
              <w:widowControl w:val="0"/>
              <w:rPr>
                <w:szCs w:val="20"/>
              </w:rPr>
            </w:pPr>
            <w:r w:rsidRPr="00B213CD">
              <w:rPr>
                <w:szCs w:val="20"/>
              </w:rPr>
              <w:t>1.23 (0.81, 1.88)</w:t>
            </w:r>
          </w:p>
        </w:tc>
      </w:tr>
      <w:tr w:rsidR="00475C36" w:rsidRPr="00B213CD" w14:paraId="2A0236A9" w14:textId="77777777" w:rsidTr="00B213CD">
        <w:trPr>
          <w:trHeight w:val="20"/>
        </w:trPr>
        <w:tc>
          <w:tcPr>
            <w:tcW w:w="5000" w:type="pct"/>
            <w:gridSpan w:val="6"/>
            <w:vAlign w:val="center"/>
          </w:tcPr>
          <w:p w14:paraId="41385ADA" w14:textId="77777777" w:rsidR="00475C36" w:rsidRPr="00B213CD" w:rsidRDefault="00475C36" w:rsidP="00350FC3">
            <w:pPr>
              <w:pStyle w:val="TableText0"/>
              <w:widowControl w:val="0"/>
              <w:rPr>
                <w:b/>
                <w:bCs w:val="0"/>
                <w:szCs w:val="20"/>
              </w:rPr>
            </w:pPr>
            <w:r w:rsidRPr="00B213CD">
              <w:rPr>
                <w:b/>
                <w:bCs w:val="0"/>
                <w:szCs w:val="20"/>
              </w:rPr>
              <w:t>OS</w:t>
            </w:r>
          </w:p>
        </w:tc>
      </w:tr>
      <w:tr w:rsidR="00475C36" w:rsidRPr="00B213CD" w14:paraId="794EF765" w14:textId="77777777" w:rsidTr="00B213CD">
        <w:trPr>
          <w:trHeight w:val="20"/>
        </w:trPr>
        <w:tc>
          <w:tcPr>
            <w:tcW w:w="940" w:type="pct"/>
            <w:vMerge w:val="restart"/>
            <w:vAlign w:val="center"/>
          </w:tcPr>
          <w:p w14:paraId="31F7C697" w14:textId="2EAA1D24" w:rsidR="00475C36" w:rsidRPr="00B213CD" w:rsidRDefault="00475C36" w:rsidP="00350FC3">
            <w:pPr>
              <w:pStyle w:val="TableText0"/>
              <w:widowControl w:val="0"/>
              <w:rPr>
                <w:szCs w:val="20"/>
              </w:rPr>
            </w:pPr>
            <w:r w:rsidRPr="00B213CD">
              <w:rPr>
                <w:szCs w:val="20"/>
              </w:rPr>
              <w:t>AMPLIFY</w:t>
            </w:r>
            <w:r w:rsidR="00435A2B" w:rsidRPr="00B213CD">
              <w:rPr>
                <w:szCs w:val="20"/>
              </w:rPr>
              <w:t xml:space="preserve"> (Median follow-up: 40.8 </w:t>
            </w:r>
            <w:proofErr w:type="spellStart"/>
            <w:r w:rsidR="00435A2B" w:rsidRPr="00B213CD">
              <w:rPr>
                <w:szCs w:val="20"/>
              </w:rPr>
              <w:t>mths</w:t>
            </w:r>
            <w:proofErr w:type="spellEnd"/>
            <w:r w:rsidR="00435A2B" w:rsidRPr="00B213CD">
              <w:rPr>
                <w:szCs w:val="20"/>
              </w:rPr>
              <w:t>)</w:t>
            </w:r>
          </w:p>
        </w:tc>
        <w:tc>
          <w:tcPr>
            <w:tcW w:w="944" w:type="pct"/>
            <w:tcBorders>
              <w:bottom w:val="nil"/>
            </w:tcBorders>
            <w:vAlign w:val="center"/>
          </w:tcPr>
          <w:p w14:paraId="098A567E" w14:textId="77777777" w:rsidR="00475C36" w:rsidRPr="00B213CD" w:rsidRDefault="00475C36" w:rsidP="00350FC3">
            <w:pPr>
              <w:pStyle w:val="TableText0"/>
              <w:widowControl w:val="0"/>
              <w:rPr>
                <w:szCs w:val="20"/>
              </w:rPr>
            </w:pPr>
            <w:r w:rsidRPr="00B213CD">
              <w:rPr>
                <w:szCs w:val="20"/>
              </w:rPr>
              <w:t>Died</w:t>
            </w:r>
          </w:p>
        </w:tc>
        <w:tc>
          <w:tcPr>
            <w:tcW w:w="786" w:type="pct"/>
            <w:tcBorders>
              <w:bottom w:val="nil"/>
            </w:tcBorders>
            <w:vAlign w:val="center"/>
          </w:tcPr>
          <w:p w14:paraId="1B24C5C4" w14:textId="77777777" w:rsidR="00475C36" w:rsidRPr="00B213CD" w:rsidRDefault="00475C36" w:rsidP="00350FC3">
            <w:pPr>
              <w:pStyle w:val="TableText0"/>
              <w:widowControl w:val="0"/>
              <w:rPr>
                <w:szCs w:val="20"/>
              </w:rPr>
            </w:pPr>
            <w:r w:rsidRPr="00B213CD">
              <w:rPr>
                <w:szCs w:val="20"/>
              </w:rPr>
              <w:t>18/291 (6.2)</w:t>
            </w:r>
          </w:p>
        </w:tc>
        <w:tc>
          <w:tcPr>
            <w:tcW w:w="785" w:type="pct"/>
            <w:tcBorders>
              <w:bottom w:val="nil"/>
            </w:tcBorders>
            <w:vAlign w:val="center"/>
          </w:tcPr>
          <w:p w14:paraId="6CC3A733" w14:textId="77777777" w:rsidR="00475C36" w:rsidRPr="00B213CD" w:rsidRDefault="00475C36" w:rsidP="00350FC3">
            <w:pPr>
              <w:pStyle w:val="TableText0"/>
              <w:widowControl w:val="0"/>
              <w:rPr>
                <w:szCs w:val="20"/>
              </w:rPr>
            </w:pPr>
            <w:r w:rsidRPr="00B213CD">
              <w:rPr>
                <w:szCs w:val="20"/>
              </w:rPr>
              <w:t>42/290 (14.5)</w:t>
            </w:r>
          </w:p>
        </w:tc>
        <w:tc>
          <w:tcPr>
            <w:tcW w:w="707" w:type="pct"/>
            <w:tcBorders>
              <w:bottom w:val="nil"/>
            </w:tcBorders>
            <w:vAlign w:val="center"/>
          </w:tcPr>
          <w:p w14:paraId="28F235CE" w14:textId="77777777" w:rsidR="00475C36" w:rsidRPr="00B213CD" w:rsidRDefault="00475C36" w:rsidP="00350FC3">
            <w:pPr>
              <w:pStyle w:val="TableText0"/>
              <w:widowControl w:val="0"/>
              <w:rPr>
                <w:szCs w:val="20"/>
              </w:rPr>
            </w:pPr>
            <w:r w:rsidRPr="00B213CD">
              <w:rPr>
                <w:szCs w:val="20"/>
              </w:rPr>
              <w:t>8.3%</w:t>
            </w:r>
          </w:p>
        </w:tc>
        <w:tc>
          <w:tcPr>
            <w:tcW w:w="838" w:type="pct"/>
            <w:vAlign w:val="center"/>
          </w:tcPr>
          <w:p w14:paraId="6F06F76D" w14:textId="77777777" w:rsidR="00475C36" w:rsidRPr="00B213CD" w:rsidRDefault="00475C36" w:rsidP="00350FC3">
            <w:pPr>
              <w:pStyle w:val="TableText0"/>
              <w:widowControl w:val="0"/>
              <w:rPr>
                <w:szCs w:val="20"/>
              </w:rPr>
            </w:pPr>
            <w:r w:rsidRPr="00B213CD">
              <w:rPr>
                <w:b/>
                <w:szCs w:val="20"/>
              </w:rPr>
              <w:t>0.</w:t>
            </w:r>
            <w:r w:rsidRPr="00B213CD">
              <w:rPr>
                <w:b/>
                <w:bCs w:val="0"/>
                <w:szCs w:val="20"/>
              </w:rPr>
              <w:t>33</w:t>
            </w:r>
            <w:r w:rsidRPr="00B213CD">
              <w:rPr>
                <w:b/>
                <w:szCs w:val="20"/>
              </w:rPr>
              <w:t xml:space="preserve"> (0.</w:t>
            </w:r>
            <w:r w:rsidRPr="00B213CD">
              <w:rPr>
                <w:b/>
                <w:bCs w:val="0"/>
                <w:szCs w:val="20"/>
              </w:rPr>
              <w:t>18, 0.56)</w:t>
            </w:r>
          </w:p>
        </w:tc>
      </w:tr>
      <w:tr w:rsidR="00475C36" w:rsidRPr="00B213CD" w14:paraId="5858B79A" w14:textId="77777777" w:rsidTr="00B213CD">
        <w:trPr>
          <w:trHeight w:val="20"/>
        </w:trPr>
        <w:tc>
          <w:tcPr>
            <w:tcW w:w="940" w:type="pct"/>
            <w:vMerge/>
            <w:vAlign w:val="center"/>
          </w:tcPr>
          <w:p w14:paraId="6575E5FC" w14:textId="77777777" w:rsidR="00475C36" w:rsidRPr="00B213CD" w:rsidRDefault="00475C36" w:rsidP="00350FC3">
            <w:pPr>
              <w:pStyle w:val="TableText0"/>
              <w:widowControl w:val="0"/>
              <w:rPr>
                <w:szCs w:val="20"/>
              </w:rPr>
            </w:pPr>
          </w:p>
        </w:tc>
        <w:tc>
          <w:tcPr>
            <w:tcW w:w="944" w:type="pct"/>
            <w:tcBorders>
              <w:bottom w:val="nil"/>
            </w:tcBorders>
            <w:vAlign w:val="center"/>
          </w:tcPr>
          <w:p w14:paraId="7704DDF8" w14:textId="66959165" w:rsidR="00475C36" w:rsidRPr="00B213CD" w:rsidRDefault="00475C36" w:rsidP="00350FC3">
            <w:pPr>
              <w:pStyle w:val="TableText0"/>
              <w:widowControl w:val="0"/>
              <w:rPr>
                <w:szCs w:val="20"/>
              </w:rPr>
            </w:pPr>
            <w:r w:rsidRPr="00B213CD">
              <w:rPr>
                <w:szCs w:val="20"/>
              </w:rPr>
              <w:t xml:space="preserve">Died (censoring COVID-19 deaths) </w:t>
            </w:r>
            <w:r w:rsidR="002B32F3" w:rsidRPr="00B213CD">
              <w:rPr>
                <w:szCs w:val="20"/>
                <w:vertAlign w:val="superscript"/>
              </w:rPr>
              <w:t>c</w:t>
            </w:r>
          </w:p>
        </w:tc>
        <w:tc>
          <w:tcPr>
            <w:tcW w:w="786" w:type="pct"/>
            <w:tcBorders>
              <w:bottom w:val="nil"/>
            </w:tcBorders>
            <w:vAlign w:val="center"/>
          </w:tcPr>
          <w:p w14:paraId="10C462BD" w14:textId="77777777" w:rsidR="00475C36" w:rsidRPr="00B213CD" w:rsidRDefault="00475C36" w:rsidP="00350FC3">
            <w:pPr>
              <w:pStyle w:val="TableText0"/>
              <w:widowControl w:val="0"/>
              <w:rPr>
                <w:szCs w:val="20"/>
              </w:rPr>
            </w:pPr>
            <w:r w:rsidRPr="00B213CD">
              <w:rPr>
                <w:szCs w:val="20"/>
              </w:rPr>
              <w:t>8/291 (2.7)</w:t>
            </w:r>
          </w:p>
        </w:tc>
        <w:tc>
          <w:tcPr>
            <w:tcW w:w="785" w:type="pct"/>
            <w:tcBorders>
              <w:bottom w:val="nil"/>
            </w:tcBorders>
            <w:vAlign w:val="center"/>
          </w:tcPr>
          <w:p w14:paraId="590CB903" w14:textId="77777777" w:rsidR="00475C36" w:rsidRPr="00B213CD" w:rsidRDefault="00475C36" w:rsidP="00350FC3">
            <w:pPr>
              <w:pStyle w:val="TableText0"/>
              <w:widowControl w:val="0"/>
              <w:rPr>
                <w:szCs w:val="20"/>
              </w:rPr>
            </w:pPr>
            <w:r w:rsidRPr="00B213CD">
              <w:rPr>
                <w:szCs w:val="20"/>
              </w:rPr>
              <w:t>21/290 (7.2)</w:t>
            </w:r>
          </w:p>
        </w:tc>
        <w:tc>
          <w:tcPr>
            <w:tcW w:w="707" w:type="pct"/>
            <w:tcBorders>
              <w:bottom w:val="nil"/>
            </w:tcBorders>
            <w:vAlign w:val="center"/>
          </w:tcPr>
          <w:p w14:paraId="58228573" w14:textId="77777777" w:rsidR="00475C36" w:rsidRPr="00B213CD" w:rsidRDefault="00475C36" w:rsidP="00350FC3">
            <w:pPr>
              <w:pStyle w:val="TableText0"/>
              <w:widowControl w:val="0"/>
              <w:rPr>
                <w:szCs w:val="20"/>
              </w:rPr>
            </w:pPr>
            <w:r w:rsidRPr="00B213CD">
              <w:rPr>
                <w:szCs w:val="20"/>
              </w:rPr>
              <w:t>4.5%</w:t>
            </w:r>
          </w:p>
        </w:tc>
        <w:tc>
          <w:tcPr>
            <w:tcW w:w="838" w:type="pct"/>
            <w:vMerge w:val="restart"/>
            <w:vAlign w:val="center"/>
          </w:tcPr>
          <w:p w14:paraId="3F66730E" w14:textId="77777777" w:rsidR="00475C36" w:rsidRPr="00B213CD" w:rsidRDefault="00475C36" w:rsidP="00350FC3">
            <w:pPr>
              <w:pStyle w:val="TableText0"/>
              <w:widowControl w:val="0"/>
              <w:rPr>
                <w:b/>
                <w:szCs w:val="20"/>
              </w:rPr>
            </w:pPr>
            <w:r w:rsidRPr="00B213CD">
              <w:rPr>
                <w:b/>
                <w:szCs w:val="20"/>
              </w:rPr>
              <w:t>0.27 (0.11, 0.60)</w:t>
            </w:r>
          </w:p>
        </w:tc>
      </w:tr>
      <w:tr w:rsidR="00475C36" w:rsidRPr="00B213CD" w14:paraId="4F31A03B" w14:textId="77777777" w:rsidTr="00B213CD">
        <w:trPr>
          <w:trHeight w:val="20"/>
        </w:trPr>
        <w:tc>
          <w:tcPr>
            <w:tcW w:w="940" w:type="pct"/>
            <w:vMerge/>
            <w:vAlign w:val="center"/>
          </w:tcPr>
          <w:p w14:paraId="5E886EC7" w14:textId="77777777" w:rsidR="00475C36" w:rsidRPr="00B213CD" w:rsidRDefault="00475C36" w:rsidP="00350FC3">
            <w:pPr>
              <w:pStyle w:val="TableText0"/>
              <w:widowControl w:val="0"/>
              <w:rPr>
                <w:szCs w:val="20"/>
              </w:rPr>
            </w:pPr>
          </w:p>
        </w:tc>
        <w:tc>
          <w:tcPr>
            <w:tcW w:w="944" w:type="pct"/>
            <w:tcBorders>
              <w:top w:val="nil"/>
            </w:tcBorders>
            <w:vAlign w:val="center"/>
          </w:tcPr>
          <w:p w14:paraId="330EAE59" w14:textId="77777777" w:rsidR="00475C36" w:rsidRPr="00B213CD" w:rsidRDefault="00475C36" w:rsidP="00350FC3">
            <w:pPr>
              <w:pStyle w:val="TableText0"/>
              <w:widowControl w:val="0"/>
              <w:rPr>
                <w:szCs w:val="20"/>
              </w:rPr>
            </w:pPr>
            <w:r w:rsidRPr="00B213CD">
              <w:rPr>
                <w:szCs w:val="20"/>
              </w:rPr>
              <w:t>Median months OS</w:t>
            </w:r>
          </w:p>
        </w:tc>
        <w:tc>
          <w:tcPr>
            <w:tcW w:w="786" w:type="pct"/>
            <w:tcBorders>
              <w:top w:val="nil"/>
            </w:tcBorders>
            <w:vAlign w:val="center"/>
          </w:tcPr>
          <w:p w14:paraId="55434EF1" w14:textId="42CAD118" w:rsidR="00475C36" w:rsidRPr="00B213CD" w:rsidRDefault="00475C36" w:rsidP="00350FC3">
            <w:pPr>
              <w:pStyle w:val="TableText0"/>
              <w:widowControl w:val="0"/>
              <w:rPr>
                <w:szCs w:val="20"/>
              </w:rPr>
            </w:pPr>
            <w:r w:rsidRPr="00B213CD">
              <w:rPr>
                <w:szCs w:val="20"/>
              </w:rPr>
              <w:t xml:space="preserve">57.8 </w:t>
            </w:r>
            <w:r w:rsidR="002B32F3" w:rsidRPr="00B213CD">
              <w:rPr>
                <w:szCs w:val="20"/>
                <w:vertAlign w:val="superscript"/>
              </w:rPr>
              <w:t xml:space="preserve">d </w:t>
            </w:r>
            <w:r w:rsidRPr="00B213CD">
              <w:rPr>
                <w:szCs w:val="20"/>
              </w:rPr>
              <w:t>(57.8, NE)</w:t>
            </w:r>
          </w:p>
        </w:tc>
        <w:tc>
          <w:tcPr>
            <w:tcW w:w="785" w:type="pct"/>
            <w:tcBorders>
              <w:top w:val="nil"/>
            </w:tcBorders>
            <w:vAlign w:val="center"/>
          </w:tcPr>
          <w:p w14:paraId="12385FC0" w14:textId="77777777" w:rsidR="00475C36" w:rsidRPr="00B213CD" w:rsidRDefault="00475C36" w:rsidP="00350FC3">
            <w:pPr>
              <w:pStyle w:val="TableText0"/>
              <w:widowControl w:val="0"/>
              <w:rPr>
                <w:szCs w:val="20"/>
              </w:rPr>
            </w:pPr>
            <w:r w:rsidRPr="00B213CD">
              <w:rPr>
                <w:szCs w:val="20"/>
              </w:rPr>
              <w:t>NE</w:t>
            </w:r>
          </w:p>
        </w:tc>
        <w:tc>
          <w:tcPr>
            <w:tcW w:w="707" w:type="pct"/>
            <w:tcBorders>
              <w:top w:val="nil"/>
            </w:tcBorders>
            <w:vAlign w:val="center"/>
          </w:tcPr>
          <w:p w14:paraId="17BE0751" w14:textId="77777777" w:rsidR="00475C36" w:rsidRPr="00B213CD" w:rsidRDefault="00475C36" w:rsidP="00350FC3">
            <w:pPr>
              <w:pStyle w:val="TableText0"/>
              <w:widowControl w:val="0"/>
              <w:rPr>
                <w:szCs w:val="20"/>
              </w:rPr>
            </w:pPr>
            <w:r w:rsidRPr="00B213CD">
              <w:rPr>
                <w:szCs w:val="20"/>
              </w:rPr>
              <w:t>NE</w:t>
            </w:r>
          </w:p>
        </w:tc>
        <w:tc>
          <w:tcPr>
            <w:tcW w:w="838" w:type="pct"/>
            <w:vMerge/>
            <w:vAlign w:val="center"/>
          </w:tcPr>
          <w:p w14:paraId="702B7B99" w14:textId="77777777" w:rsidR="00475C36" w:rsidRPr="00B213CD" w:rsidRDefault="00475C36" w:rsidP="00350FC3">
            <w:pPr>
              <w:pStyle w:val="TableText0"/>
              <w:widowControl w:val="0"/>
              <w:rPr>
                <w:szCs w:val="20"/>
              </w:rPr>
            </w:pPr>
          </w:p>
        </w:tc>
      </w:tr>
      <w:tr w:rsidR="00475C36" w:rsidRPr="00B213CD" w14:paraId="35C9E383" w14:textId="77777777" w:rsidTr="00B213CD">
        <w:trPr>
          <w:trHeight w:val="20"/>
        </w:trPr>
        <w:tc>
          <w:tcPr>
            <w:tcW w:w="940" w:type="pct"/>
            <w:vMerge w:val="restart"/>
            <w:vAlign w:val="center"/>
          </w:tcPr>
          <w:p w14:paraId="3DDCD6D1" w14:textId="1447CF15" w:rsidR="00475C36" w:rsidRPr="00B213CD" w:rsidRDefault="00475C36" w:rsidP="00350FC3">
            <w:pPr>
              <w:pStyle w:val="TableText0"/>
              <w:widowControl w:val="0"/>
              <w:rPr>
                <w:szCs w:val="20"/>
              </w:rPr>
            </w:pPr>
            <w:r w:rsidRPr="00B213CD">
              <w:rPr>
                <w:szCs w:val="20"/>
              </w:rPr>
              <w:t>CLL13</w:t>
            </w:r>
            <w:r w:rsidR="00435A2B" w:rsidRPr="00B213CD">
              <w:rPr>
                <w:szCs w:val="20"/>
              </w:rPr>
              <w:t xml:space="preserve"> (Median follow-up: 50.7 </w:t>
            </w:r>
            <w:proofErr w:type="spellStart"/>
            <w:r w:rsidR="00435A2B" w:rsidRPr="00B213CD">
              <w:rPr>
                <w:szCs w:val="20"/>
              </w:rPr>
              <w:t>mths</w:t>
            </w:r>
            <w:proofErr w:type="spellEnd"/>
            <w:r w:rsidR="00435A2B" w:rsidRPr="00B213CD">
              <w:rPr>
                <w:szCs w:val="20"/>
              </w:rPr>
              <w:t>)</w:t>
            </w:r>
          </w:p>
        </w:tc>
        <w:tc>
          <w:tcPr>
            <w:tcW w:w="944" w:type="pct"/>
            <w:tcBorders>
              <w:bottom w:val="nil"/>
            </w:tcBorders>
            <w:vAlign w:val="center"/>
          </w:tcPr>
          <w:p w14:paraId="5C29F288" w14:textId="77777777" w:rsidR="00475C36" w:rsidRPr="00B213CD" w:rsidRDefault="00475C36" w:rsidP="00350FC3">
            <w:pPr>
              <w:pStyle w:val="TableText0"/>
              <w:widowControl w:val="0"/>
              <w:rPr>
                <w:szCs w:val="20"/>
              </w:rPr>
            </w:pPr>
            <w:r w:rsidRPr="00B213CD">
              <w:rPr>
                <w:szCs w:val="20"/>
              </w:rPr>
              <w:t>Died</w:t>
            </w:r>
          </w:p>
        </w:tc>
        <w:tc>
          <w:tcPr>
            <w:tcW w:w="786" w:type="pct"/>
            <w:tcBorders>
              <w:bottom w:val="nil"/>
            </w:tcBorders>
            <w:vAlign w:val="center"/>
          </w:tcPr>
          <w:p w14:paraId="504A26BE" w14:textId="77777777" w:rsidR="00475C36" w:rsidRPr="00B213CD" w:rsidRDefault="00475C36" w:rsidP="00350FC3">
            <w:pPr>
              <w:pStyle w:val="TableText0"/>
              <w:widowControl w:val="0"/>
              <w:rPr>
                <w:szCs w:val="20"/>
              </w:rPr>
            </w:pPr>
            <w:r w:rsidRPr="00B213CD">
              <w:rPr>
                <w:szCs w:val="20"/>
              </w:rPr>
              <w:t>11/229 (4.8)</w:t>
            </w:r>
          </w:p>
        </w:tc>
        <w:tc>
          <w:tcPr>
            <w:tcW w:w="785" w:type="pct"/>
            <w:tcBorders>
              <w:bottom w:val="nil"/>
            </w:tcBorders>
            <w:vAlign w:val="center"/>
          </w:tcPr>
          <w:p w14:paraId="47BD30F9" w14:textId="77777777" w:rsidR="00475C36" w:rsidRPr="00B213CD" w:rsidRDefault="00475C36" w:rsidP="00350FC3">
            <w:pPr>
              <w:pStyle w:val="TableText0"/>
              <w:widowControl w:val="0"/>
              <w:rPr>
                <w:szCs w:val="20"/>
              </w:rPr>
            </w:pPr>
            <w:r w:rsidRPr="00B213CD">
              <w:rPr>
                <w:szCs w:val="20"/>
              </w:rPr>
              <w:t>17/229 (7.4)</w:t>
            </w:r>
          </w:p>
        </w:tc>
        <w:tc>
          <w:tcPr>
            <w:tcW w:w="707" w:type="pct"/>
            <w:tcBorders>
              <w:bottom w:val="nil"/>
            </w:tcBorders>
            <w:vAlign w:val="center"/>
          </w:tcPr>
          <w:p w14:paraId="400C9427" w14:textId="77777777" w:rsidR="00475C36" w:rsidRPr="00B213CD" w:rsidRDefault="00475C36" w:rsidP="00350FC3">
            <w:pPr>
              <w:pStyle w:val="TableText0"/>
              <w:widowControl w:val="0"/>
              <w:rPr>
                <w:szCs w:val="20"/>
              </w:rPr>
            </w:pPr>
            <w:r w:rsidRPr="00B213CD">
              <w:rPr>
                <w:szCs w:val="20"/>
              </w:rPr>
              <w:t>2.6%</w:t>
            </w:r>
          </w:p>
        </w:tc>
        <w:tc>
          <w:tcPr>
            <w:tcW w:w="838" w:type="pct"/>
            <w:vMerge w:val="restart"/>
            <w:vAlign w:val="center"/>
          </w:tcPr>
          <w:p w14:paraId="3D9C71E3" w14:textId="79C466BF" w:rsidR="00475C36" w:rsidRPr="00B213CD" w:rsidRDefault="00475C36" w:rsidP="00350FC3">
            <w:pPr>
              <w:pStyle w:val="TableText0"/>
              <w:widowControl w:val="0"/>
              <w:rPr>
                <w:szCs w:val="20"/>
              </w:rPr>
            </w:pPr>
            <w:r w:rsidRPr="00B213CD">
              <w:rPr>
                <w:szCs w:val="20"/>
              </w:rPr>
              <w:t xml:space="preserve">0.57 (0.27, 1.22) </w:t>
            </w:r>
            <w:r w:rsidR="002B32F3" w:rsidRPr="00B213CD">
              <w:rPr>
                <w:szCs w:val="20"/>
                <w:vertAlign w:val="superscript"/>
              </w:rPr>
              <w:t>e</w:t>
            </w:r>
          </w:p>
        </w:tc>
      </w:tr>
      <w:tr w:rsidR="00475C36" w:rsidRPr="00B213CD" w14:paraId="39C50C8B" w14:textId="77777777" w:rsidTr="00B213CD">
        <w:trPr>
          <w:trHeight w:val="20"/>
        </w:trPr>
        <w:tc>
          <w:tcPr>
            <w:tcW w:w="940" w:type="pct"/>
            <w:vMerge/>
            <w:tcBorders>
              <w:bottom w:val="single" w:sz="4" w:space="0" w:color="auto"/>
            </w:tcBorders>
            <w:vAlign w:val="center"/>
          </w:tcPr>
          <w:p w14:paraId="1D29EE76" w14:textId="77777777" w:rsidR="00475C36" w:rsidRPr="00B213CD" w:rsidRDefault="00475C36" w:rsidP="00350FC3">
            <w:pPr>
              <w:pStyle w:val="TableText0"/>
              <w:widowControl w:val="0"/>
              <w:rPr>
                <w:szCs w:val="20"/>
              </w:rPr>
            </w:pPr>
          </w:p>
        </w:tc>
        <w:tc>
          <w:tcPr>
            <w:tcW w:w="944" w:type="pct"/>
            <w:tcBorders>
              <w:top w:val="nil"/>
              <w:bottom w:val="single" w:sz="4" w:space="0" w:color="auto"/>
            </w:tcBorders>
            <w:vAlign w:val="center"/>
          </w:tcPr>
          <w:p w14:paraId="6CADDE7C" w14:textId="77777777" w:rsidR="00475C36" w:rsidRPr="00B213CD" w:rsidRDefault="00475C36" w:rsidP="00350FC3">
            <w:pPr>
              <w:pStyle w:val="TableText0"/>
              <w:widowControl w:val="0"/>
              <w:rPr>
                <w:szCs w:val="20"/>
              </w:rPr>
            </w:pPr>
            <w:r w:rsidRPr="00B213CD">
              <w:rPr>
                <w:szCs w:val="20"/>
              </w:rPr>
              <w:t>Median months OS</w:t>
            </w:r>
          </w:p>
        </w:tc>
        <w:tc>
          <w:tcPr>
            <w:tcW w:w="786" w:type="pct"/>
            <w:tcBorders>
              <w:top w:val="nil"/>
              <w:bottom w:val="single" w:sz="4" w:space="0" w:color="auto"/>
            </w:tcBorders>
            <w:vAlign w:val="center"/>
          </w:tcPr>
          <w:p w14:paraId="653D2F09" w14:textId="77777777" w:rsidR="00475C36" w:rsidRPr="00B213CD" w:rsidRDefault="00475C36" w:rsidP="00350FC3">
            <w:pPr>
              <w:pStyle w:val="TableText0"/>
              <w:widowControl w:val="0"/>
              <w:rPr>
                <w:szCs w:val="20"/>
              </w:rPr>
            </w:pPr>
            <w:r w:rsidRPr="00B213CD">
              <w:rPr>
                <w:szCs w:val="20"/>
              </w:rPr>
              <w:t>NE</w:t>
            </w:r>
          </w:p>
        </w:tc>
        <w:tc>
          <w:tcPr>
            <w:tcW w:w="785" w:type="pct"/>
            <w:tcBorders>
              <w:top w:val="nil"/>
              <w:bottom w:val="single" w:sz="4" w:space="0" w:color="auto"/>
            </w:tcBorders>
            <w:vAlign w:val="center"/>
          </w:tcPr>
          <w:p w14:paraId="77424D00" w14:textId="77777777" w:rsidR="00475C36" w:rsidRPr="00B213CD" w:rsidRDefault="00475C36" w:rsidP="00350FC3">
            <w:pPr>
              <w:pStyle w:val="TableText0"/>
              <w:widowControl w:val="0"/>
              <w:rPr>
                <w:szCs w:val="20"/>
              </w:rPr>
            </w:pPr>
            <w:r w:rsidRPr="00B213CD">
              <w:rPr>
                <w:szCs w:val="20"/>
              </w:rPr>
              <w:t>NE</w:t>
            </w:r>
          </w:p>
        </w:tc>
        <w:tc>
          <w:tcPr>
            <w:tcW w:w="707" w:type="pct"/>
            <w:tcBorders>
              <w:top w:val="nil"/>
              <w:bottom w:val="single" w:sz="4" w:space="0" w:color="auto"/>
            </w:tcBorders>
            <w:vAlign w:val="center"/>
          </w:tcPr>
          <w:p w14:paraId="4590E5F2" w14:textId="77777777" w:rsidR="00475C36" w:rsidRPr="00B213CD" w:rsidRDefault="00475C36" w:rsidP="00350FC3">
            <w:pPr>
              <w:pStyle w:val="TableText0"/>
              <w:widowControl w:val="0"/>
              <w:rPr>
                <w:szCs w:val="20"/>
              </w:rPr>
            </w:pPr>
            <w:r w:rsidRPr="00B213CD">
              <w:rPr>
                <w:szCs w:val="20"/>
              </w:rPr>
              <w:t>NE</w:t>
            </w:r>
          </w:p>
        </w:tc>
        <w:tc>
          <w:tcPr>
            <w:tcW w:w="838" w:type="pct"/>
            <w:vMerge/>
            <w:tcBorders>
              <w:bottom w:val="single" w:sz="4" w:space="0" w:color="auto"/>
            </w:tcBorders>
            <w:vAlign w:val="center"/>
          </w:tcPr>
          <w:p w14:paraId="62D252F3" w14:textId="77777777" w:rsidR="00475C36" w:rsidRPr="00B213CD" w:rsidRDefault="00475C36" w:rsidP="00350FC3">
            <w:pPr>
              <w:pStyle w:val="TableText0"/>
              <w:widowControl w:val="0"/>
              <w:rPr>
                <w:szCs w:val="20"/>
              </w:rPr>
            </w:pPr>
          </w:p>
        </w:tc>
      </w:tr>
      <w:tr w:rsidR="00475C36" w:rsidRPr="00B213CD" w14:paraId="2F855DEE" w14:textId="77777777" w:rsidTr="00B213CD">
        <w:trPr>
          <w:trHeight w:val="20"/>
        </w:trPr>
        <w:tc>
          <w:tcPr>
            <w:tcW w:w="4162" w:type="pct"/>
            <w:gridSpan w:val="5"/>
            <w:tcBorders>
              <w:bottom w:val="nil"/>
            </w:tcBorders>
            <w:vAlign w:val="center"/>
          </w:tcPr>
          <w:p w14:paraId="577F0949" w14:textId="77777777" w:rsidR="00475C36" w:rsidRPr="00B213CD" w:rsidRDefault="00475C36" w:rsidP="00350FC3">
            <w:pPr>
              <w:pStyle w:val="TableText0"/>
              <w:widowControl w:val="0"/>
              <w:ind w:left="169"/>
              <w:rPr>
                <w:szCs w:val="20"/>
              </w:rPr>
            </w:pPr>
            <w:r w:rsidRPr="00B213CD">
              <w:rPr>
                <w:szCs w:val="20"/>
              </w:rPr>
              <w:t>ITC: AV (AMPLIFY) vs. VO (CLL13)</w:t>
            </w:r>
          </w:p>
        </w:tc>
        <w:tc>
          <w:tcPr>
            <w:tcW w:w="838" w:type="pct"/>
            <w:tcBorders>
              <w:bottom w:val="nil"/>
            </w:tcBorders>
            <w:vAlign w:val="center"/>
          </w:tcPr>
          <w:p w14:paraId="3F9418BA" w14:textId="77777777" w:rsidR="00475C36" w:rsidRPr="00B213CD" w:rsidRDefault="00475C36" w:rsidP="00350FC3">
            <w:pPr>
              <w:pStyle w:val="TableText0"/>
              <w:widowControl w:val="0"/>
              <w:rPr>
                <w:szCs w:val="20"/>
              </w:rPr>
            </w:pPr>
            <w:r w:rsidRPr="00B213CD">
              <w:rPr>
                <w:szCs w:val="20"/>
              </w:rPr>
              <w:t>0.58 (0.23, 1.49)</w:t>
            </w:r>
          </w:p>
        </w:tc>
      </w:tr>
      <w:tr w:rsidR="00475C36" w:rsidRPr="00B213CD" w14:paraId="106C05EF" w14:textId="77777777" w:rsidTr="00B213CD">
        <w:trPr>
          <w:trHeight w:val="20"/>
        </w:trPr>
        <w:tc>
          <w:tcPr>
            <w:tcW w:w="4162" w:type="pct"/>
            <w:gridSpan w:val="5"/>
            <w:tcBorders>
              <w:top w:val="nil"/>
            </w:tcBorders>
            <w:vAlign w:val="center"/>
          </w:tcPr>
          <w:p w14:paraId="2A713C71" w14:textId="7EA6B634" w:rsidR="00475C36" w:rsidRPr="00B213CD" w:rsidRDefault="00475C36" w:rsidP="00350FC3">
            <w:pPr>
              <w:pStyle w:val="TableText0"/>
              <w:widowControl w:val="0"/>
              <w:ind w:left="169"/>
              <w:rPr>
                <w:szCs w:val="20"/>
              </w:rPr>
            </w:pPr>
            <w:r w:rsidRPr="00B213CD">
              <w:rPr>
                <w:szCs w:val="20"/>
              </w:rPr>
              <w:t xml:space="preserve">ITC: AV (AMPLIFY, COVID-19 adjusted) vs. VO (CLL13) </w:t>
            </w:r>
            <w:r w:rsidR="002B32F3" w:rsidRPr="00B213CD">
              <w:rPr>
                <w:szCs w:val="20"/>
                <w:vertAlign w:val="superscript"/>
              </w:rPr>
              <w:t>f</w:t>
            </w:r>
          </w:p>
        </w:tc>
        <w:tc>
          <w:tcPr>
            <w:tcW w:w="838" w:type="pct"/>
            <w:tcBorders>
              <w:top w:val="nil"/>
            </w:tcBorders>
            <w:vAlign w:val="center"/>
          </w:tcPr>
          <w:p w14:paraId="552891BE" w14:textId="77777777" w:rsidR="00475C36" w:rsidRPr="00B213CD" w:rsidRDefault="00475C36" w:rsidP="00350FC3">
            <w:pPr>
              <w:pStyle w:val="TableText0"/>
              <w:widowControl w:val="0"/>
              <w:rPr>
                <w:szCs w:val="20"/>
              </w:rPr>
            </w:pPr>
            <w:r w:rsidRPr="00B213CD">
              <w:rPr>
                <w:szCs w:val="20"/>
              </w:rPr>
              <w:t>0.47 (0.15, 1.47)</w:t>
            </w:r>
          </w:p>
        </w:tc>
      </w:tr>
      <w:tr w:rsidR="00475C36" w:rsidRPr="00B213CD" w14:paraId="11B11B8A" w14:textId="77777777" w:rsidTr="00B213CD">
        <w:trPr>
          <w:trHeight w:val="20"/>
        </w:trPr>
        <w:tc>
          <w:tcPr>
            <w:tcW w:w="5000" w:type="pct"/>
            <w:gridSpan w:val="6"/>
            <w:vAlign w:val="center"/>
          </w:tcPr>
          <w:p w14:paraId="1B2C687C" w14:textId="77777777" w:rsidR="00475C36" w:rsidRPr="00B213CD" w:rsidRDefault="00475C36" w:rsidP="00350FC3">
            <w:pPr>
              <w:pStyle w:val="TableText0"/>
              <w:widowControl w:val="0"/>
              <w:rPr>
                <w:b/>
                <w:bCs w:val="0"/>
                <w:szCs w:val="20"/>
              </w:rPr>
            </w:pPr>
            <w:r w:rsidRPr="00B213CD">
              <w:rPr>
                <w:b/>
                <w:bCs w:val="0"/>
                <w:szCs w:val="20"/>
              </w:rPr>
              <w:t>TTNT</w:t>
            </w:r>
          </w:p>
        </w:tc>
      </w:tr>
      <w:tr w:rsidR="00475C36" w:rsidRPr="00B213CD" w14:paraId="44903999" w14:textId="77777777" w:rsidTr="00B213CD">
        <w:trPr>
          <w:trHeight w:val="20"/>
        </w:trPr>
        <w:tc>
          <w:tcPr>
            <w:tcW w:w="940" w:type="pct"/>
            <w:vMerge w:val="restart"/>
            <w:vAlign w:val="center"/>
          </w:tcPr>
          <w:p w14:paraId="527A4357" w14:textId="2D8D6A58" w:rsidR="00475C36" w:rsidRPr="00B213CD" w:rsidRDefault="00475C36" w:rsidP="00350FC3">
            <w:pPr>
              <w:pStyle w:val="TableText0"/>
              <w:widowControl w:val="0"/>
              <w:rPr>
                <w:bCs w:val="0"/>
                <w:szCs w:val="20"/>
              </w:rPr>
            </w:pPr>
            <w:r w:rsidRPr="00B213CD">
              <w:rPr>
                <w:szCs w:val="20"/>
              </w:rPr>
              <w:t>AMPLIFY</w:t>
            </w:r>
            <w:r w:rsidR="00435A2B" w:rsidRPr="00B213CD">
              <w:rPr>
                <w:szCs w:val="20"/>
              </w:rPr>
              <w:t xml:space="preserve"> (Median follow-up: 40.8 </w:t>
            </w:r>
            <w:proofErr w:type="spellStart"/>
            <w:r w:rsidR="00435A2B" w:rsidRPr="00B213CD">
              <w:rPr>
                <w:szCs w:val="20"/>
              </w:rPr>
              <w:t>mths</w:t>
            </w:r>
            <w:proofErr w:type="spellEnd"/>
            <w:r w:rsidR="00435A2B" w:rsidRPr="00B213CD">
              <w:rPr>
                <w:szCs w:val="20"/>
              </w:rPr>
              <w:t>)</w:t>
            </w:r>
          </w:p>
        </w:tc>
        <w:tc>
          <w:tcPr>
            <w:tcW w:w="944" w:type="pct"/>
            <w:tcBorders>
              <w:bottom w:val="nil"/>
            </w:tcBorders>
            <w:vAlign w:val="center"/>
          </w:tcPr>
          <w:p w14:paraId="37764203" w14:textId="77777777" w:rsidR="00475C36" w:rsidRPr="00B213CD" w:rsidRDefault="00475C36" w:rsidP="00350FC3">
            <w:pPr>
              <w:pStyle w:val="TableText0"/>
              <w:widowControl w:val="0"/>
              <w:rPr>
                <w:bCs w:val="0"/>
                <w:szCs w:val="20"/>
              </w:rPr>
            </w:pPr>
            <w:r w:rsidRPr="00B213CD">
              <w:rPr>
                <w:szCs w:val="20"/>
              </w:rPr>
              <w:t xml:space="preserve">Initiated next Tx </w:t>
            </w:r>
          </w:p>
        </w:tc>
        <w:tc>
          <w:tcPr>
            <w:tcW w:w="786" w:type="pct"/>
            <w:tcBorders>
              <w:bottom w:val="nil"/>
            </w:tcBorders>
            <w:vAlign w:val="center"/>
          </w:tcPr>
          <w:p w14:paraId="4ECF4C06" w14:textId="77777777" w:rsidR="00475C36" w:rsidRPr="00B213CD" w:rsidRDefault="00475C36" w:rsidP="00350FC3">
            <w:pPr>
              <w:pStyle w:val="TableText0"/>
              <w:widowControl w:val="0"/>
              <w:rPr>
                <w:bCs w:val="0"/>
                <w:szCs w:val="20"/>
              </w:rPr>
            </w:pPr>
            <w:r w:rsidRPr="00B213CD">
              <w:rPr>
                <w:szCs w:val="20"/>
              </w:rPr>
              <w:t>52/291 (17.9)</w:t>
            </w:r>
          </w:p>
        </w:tc>
        <w:tc>
          <w:tcPr>
            <w:tcW w:w="785" w:type="pct"/>
            <w:tcBorders>
              <w:bottom w:val="nil"/>
            </w:tcBorders>
            <w:vAlign w:val="center"/>
          </w:tcPr>
          <w:p w14:paraId="01A46158" w14:textId="77777777" w:rsidR="00475C36" w:rsidRPr="00B213CD" w:rsidRDefault="00475C36" w:rsidP="00350FC3">
            <w:pPr>
              <w:pStyle w:val="TableText0"/>
              <w:widowControl w:val="0"/>
              <w:rPr>
                <w:bCs w:val="0"/>
                <w:szCs w:val="20"/>
              </w:rPr>
            </w:pPr>
            <w:r w:rsidRPr="00B213CD">
              <w:rPr>
                <w:szCs w:val="20"/>
              </w:rPr>
              <w:t>84/290 (29.0)</w:t>
            </w:r>
          </w:p>
        </w:tc>
        <w:tc>
          <w:tcPr>
            <w:tcW w:w="707" w:type="pct"/>
            <w:tcBorders>
              <w:bottom w:val="nil"/>
            </w:tcBorders>
            <w:vAlign w:val="center"/>
          </w:tcPr>
          <w:p w14:paraId="1A37144F" w14:textId="77777777" w:rsidR="00475C36" w:rsidRPr="00B213CD" w:rsidRDefault="00475C36" w:rsidP="00350FC3">
            <w:pPr>
              <w:pStyle w:val="TableText0"/>
              <w:widowControl w:val="0"/>
              <w:rPr>
                <w:bCs w:val="0"/>
                <w:szCs w:val="20"/>
              </w:rPr>
            </w:pPr>
            <w:r w:rsidRPr="00B213CD">
              <w:rPr>
                <w:szCs w:val="20"/>
              </w:rPr>
              <w:t>11.1%</w:t>
            </w:r>
          </w:p>
        </w:tc>
        <w:tc>
          <w:tcPr>
            <w:tcW w:w="838" w:type="pct"/>
            <w:vMerge w:val="restart"/>
            <w:vAlign w:val="center"/>
          </w:tcPr>
          <w:p w14:paraId="4E12DC0A" w14:textId="77777777" w:rsidR="00475C36" w:rsidRPr="00B213CD" w:rsidRDefault="00475C36" w:rsidP="00350FC3">
            <w:pPr>
              <w:pStyle w:val="TableText0"/>
              <w:widowControl w:val="0"/>
              <w:rPr>
                <w:szCs w:val="20"/>
              </w:rPr>
            </w:pPr>
            <w:r w:rsidRPr="00B213CD">
              <w:rPr>
                <w:b/>
                <w:szCs w:val="20"/>
              </w:rPr>
              <w:t>0.</w:t>
            </w:r>
            <w:r w:rsidRPr="00B213CD">
              <w:rPr>
                <w:b/>
                <w:bCs w:val="0"/>
                <w:szCs w:val="20"/>
              </w:rPr>
              <w:t>45 (0.32, 0.64)</w:t>
            </w:r>
          </w:p>
        </w:tc>
      </w:tr>
      <w:tr w:rsidR="00475C36" w:rsidRPr="00B213CD" w14:paraId="27ACDE78" w14:textId="77777777" w:rsidTr="00B213CD">
        <w:trPr>
          <w:trHeight w:val="20"/>
        </w:trPr>
        <w:tc>
          <w:tcPr>
            <w:tcW w:w="940" w:type="pct"/>
            <w:vMerge/>
            <w:vAlign w:val="center"/>
          </w:tcPr>
          <w:p w14:paraId="6BFE692A" w14:textId="77777777" w:rsidR="00475C36" w:rsidRPr="00B213CD" w:rsidRDefault="00475C36" w:rsidP="00350FC3">
            <w:pPr>
              <w:pStyle w:val="TableText0"/>
              <w:widowControl w:val="0"/>
              <w:rPr>
                <w:bCs w:val="0"/>
                <w:szCs w:val="20"/>
              </w:rPr>
            </w:pPr>
          </w:p>
        </w:tc>
        <w:tc>
          <w:tcPr>
            <w:tcW w:w="944" w:type="pct"/>
            <w:tcBorders>
              <w:top w:val="nil"/>
            </w:tcBorders>
            <w:vAlign w:val="center"/>
          </w:tcPr>
          <w:p w14:paraId="1A154E25" w14:textId="77777777" w:rsidR="00475C36" w:rsidRPr="00B213CD" w:rsidRDefault="00475C36" w:rsidP="00350FC3">
            <w:pPr>
              <w:pStyle w:val="TableText0"/>
              <w:widowControl w:val="0"/>
              <w:rPr>
                <w:bCs w:val="0"/>
                <w:szCs w:val="20"/>
              </w:rPr>
            </w:pPr>
            <w:r w:rsidRPr="00B213CD">
              <w:rPr>
                <w:szCs w:val="20"/>
              </w:rPr>
              <w:t>Median months TTNT</w:t>
            </w:r>
          </w:p>
        </w:tc>
        <w:tc>
          <w:tcPr>
            <w:tcW w:w="786" w:type="pct"/>
            <w:tcBorders>
              <w:top w:val="nil"/>
            </w:tcBorders>
            <w:vAlign w:val="center"/>
          </w:tcPr>
          <w:p w14:paraId="3E63ABD8" w14:textId="77777777" w:rsidR="00475C36" w:rsidRPr="00B213CD" w:rsidRDefault="00475C36" w:rsidP="00350FC3">
            <w:pPr>
              <w:pStyle w:val="TableText0"/>
              <w:widowControl w:val="0"/>
              <w:rPr>
                <w:bCs w:val="0"/>
                <w:szCs w:val="20"/>
              </w:rPr>
            </w:pPr>
            <w:r w:rsidRPr="00B213CD">
              <w:rPr>
                <w:szCs w:val="20"/>
              </w:rPr>
              <w:t>NE</w:t>
            </w:r>
          </w:p>
        </w:tc>
        <w:tc>
          <w:tcPr>
            <w:tcW w:w="785" w:type="pct"/>
            <w:tcBorders>
              <w:top w:val="nil"/>
            </w:tcBorders>
            <w:vAlign w:val="center"/>
          </w:tcPr>
          <w:p w14:paraId="10C46579" w14:textId="77777777" w:rsidR="00475C36" w:rsidRPr="00B213CD" w:rsidRDefault="00475C36" w:rsidP="00350FC3">
            <w:pPr>
              <w:pStyle w:val="TableText0"/>
              <w:widowControl w:val="0"/>
              <w:rPr>
                <w:bCs w:val="0"/>
                <w:szCs w:val="20"/>
              </w:rPr>
            </w:pPr>
            <w:r w:rsidRPr="00B213CD">
              <w:rPr>
                <w:szCs w:val="20"/>
              </w:rPr>
              <w:t>NE</w:t>
            </w:r>
          </w:p>
        </w:tc>
        <w:tc>
          <w:tcPr>
            <w:tcW w:w="707" w:type="pct"/>
            <w:tcBorders>
              <w:top w:val="nil"/>
            </w:tcBorders>
            <w:vAlign w:val="center"/>
          </w:tcPr>
          <w:p w14:paraId="59758AED" w14:textId="77777777" w:rsidR="00475C36" w:rsidRPr="00B213CD" w:rsidRDefault="00475C36" w:rsidP="00350FC3">
            <w:pPr>
              <w:pStyle w:val="TableText0"/>
              <w:widowControl w:val="0"/>
              <w:rPr>
                <w:bCs w:val="0"/>
                <w:szCs w:val="20"/>
              </w:rPr>
            </w:pPr>
            <w:r w:rsidRPr="00B213CD">
              <w:rPr>
                <w:szCs w:val="20"/>
              </w:rPr>
              <w:t>54.8</w:t>
            </w:r>
            <w:r w:rsidRPr="00B213CD">
              <w:rPr>
                <w:szCs w:val="20"/>
                <w:vertAlign w:val="superscript"/>
              </w:rPr>
              <w:t xml:space="preserve"> </w:t>
            </w:r>
            <w:r w:rsidRPr="00B213CD">
              <w:rPr>
                <w:szCs w:val="20"/>
              </w:rPr>
              <w:t>(48.6, NE)</w:t>
            </w:r>
          </w:p>
        </w:tc>
        <w:tc>
          <w:tcPr>
            <w:tcW w:w="838" w:type="pct"/>
            <w:vMerge/>
            <w:vAlign w:val="center"/>
          </w:tcPr>
          <w:p w14:paraId="0D5F9A3D" w14:textId="77777777" w:rsidR="00475C36" w:rsidRPr="00B213CD" w:rsidRDefault="00475C36" w:rsidP="00350FC3">
            <w:pPr>
              <w:pStyle w:val="TableText0"/>
              <w:widowControl w:val="0"/>
              <w:rPr>
                <w:szCs w:val="20"/>
              </w:rPr>
            </w:pPr>
          </w:p>
        </w:tc>
      </w:tr>
      <w:tr w:rsidR="00475C36" w:rsidRPr="00B213CD" w14:paraId="63746DCE" w14:textId="77777777" w:rsidTr="00B213CD">
        <w:trPr>
          <w:trHeight w:val="20"/>
        </w:trPr>
        <w:tc>
          <w:tcPr>
            <w:tcW w:w="940" w:type="pct"/>
            <w:vMerge w:val="restart"/>
            <w:vAlign w:val="center"/>
          </w:tcPr>
          <w:p w14:paraId="2DDF5FEF" w14:textId="0DE4981E" w:rsidR="00475C36" w:rsidRPr="00B213CD" w:rsidRDefault="00475C36" w:rsidP="00350FC3">
            <w:pPr>
              <w:pStyle w:val="TableText0"/>
              <w:widowControl w:val="0"/>
              <w:rPr>
                <w:bCs w:val="0"/>
                <w:szCs w:val="20"/>
              </w:rPr>
            </w:pPr>
            <w:r w:rsidRPr="00B213CD">
              <w:rPr>
                <w:szCs w:val="20"/>
              </w:rPr>
              <w:t>CLL13</w:t>
            </w:r>
            <w:r w:rsidR="00435A2B" w:rsidRPr="00B213CD">
              <w:rPr>
                <w:szCs w:val="20"/>
              </w:rPr>
              <w:t xml:space="preserve"> (Median follow-up: 50.7 </w:t>
            </w:r>
            <w:proofErr w:type="spellStart"/>
            <w:r w:rsidR="00435A2B" w:rsidRPr="00B213CD">
              <w:rPr>
                <w:szCs w:val="20"/>
              </w:rPr>
              <w:t>mths</w:t>
            </w:r>
            <w:proofErr w:type="spellEnd"/>
            <w:r w:rsidR="00435A2B" w:rsidRPr="00B213CD">
              <w:rPr>
                <w:szCs w:val="20"/>
              </w:rPr>
              <w:t>)</w:t>
            </w:r>
          </w:p>
        </w:tc>
        <w:tc>
          <w:tcPr>
            <w:tcW w:w="944" w:type="pct"/>
            <w:tcBorders>
              <w:bottom w:val="nil"/>
            </w:tcBorders>
            <w:vAlign w:val="center"/>
          </w:tcPr>
          <w:p w14:paraId="6D703275" w14:textId="77777777" w:rsidR="00475C36" w:rsidRPr="00B213CD" w:rsidRDefault="00475C36" w:rsidP="00350FC3">
            <w:pPr>
              <w:pStyle w:val="TableText0"/>
              <w:widowControl w:val="0"/>
              <w:rPr>
                <w:bCs w:val="0"/>
                <w:szCs w:val="20"/>
              </w:rPr>
            </w:pPr>
            <w:r w:rsidRPr="00B213CD">
              <w:rPr>
                <w:szCs w:val="20"/>
              </w:rPr>
              <w:t>Initiated next Tx</w:t>
            </w:r>
          </w:p>
        </w:tc>
        <w:tc>
          <w:tcPr>
            <w:tcW w:w="786" w:type="pct"/>
            <w:tcBorders>
              <w:bottom w:val="nil"/>
            </w:tcBorders>
            <w:vAlign w:val="center"/>
          </w:tcPr>
          <w:p w14:paraId="044C9C28" w14:textId="77777777" w:rsidR="00475C36" w:rsidRPr="00B213CD" w:rsidRDefault="00475C36" w:rsidP="00350FC3">
            <w:pPr>
              <w:pStyle w:val="TableText0"/>
              <w:widowControl w:val="0"/>
              <w:rPr>
                <w:bCs w:val="0"/>
                <w:szCs w:val="20"/>
              </w:rPr>
            </w:pPr>
            <w:r w:rsidRPr="00B213CD">
              <w:rPr>
                <w:szCs w:val="20"/>
              </w:rPr>
              <w:t>NR</w:t>
            </w:r>
          </w:p>
        </w:tc>
        <w:tc>
          <w:tcPr>
            <w:tcW w:w="785" w:type="pct"/>
            <w:tcBorders>
              <w:bottom w:val="nil"/>
            </w:tcBorders>
            <w:vAlign w:val="center"/>
          </w:tcPr>
          <w:p w14:paraId="0A0F6282" w14:textId="77777777" w:rsidR="00475C36" w:rsidRPr="00B213CD" w:rsidRDefault="00475C36" w:rsidP="00350FC3">
            <w:pPr>
              <w:pStyle w:val="TableText0"/>
              <w:widowControl w:val="0"/>
              <w:rPr>
                <w:bCs w:val="0"/>
                <w:szCs w:val="20"/>
              </w:rPr>
            </w:pPr>
            <w:r w:rsidRPr="00B213CD">
              <w:rPr>
                <w:szCs w:val="20"/>
              </w:rPr>
              <w:t>54/229 (23.6)</w:t>
            </w:r>
          </w:p>
        </w:tc>
        <w:tc>
          <w:tcPr>
            <w:tcW w:w="707" w:type="pct"/>
            <w:tcBorders>
              <w:bottom w:val="nil"/>
            </w:tcBorders>
            <w:vAlign w:val="center"/>
          </w:tcPr>
          <w:p w14:paraId="0B42BCA4" w14:textId="77777777" w:rsidR="00475C36" w:rsidRPr="00B213CD" w:rsidRDefault="00475C36" w:rsidP="00350FC3">
            <w:pPr>
              <w:pStyle w:val="TableText0"/>
              <w:widowControl w:val="0"/>
              <w:rPr>
                <w:bCs w:val="0"/>
                <w:szCs w:val="20"/>
              </w:rPr>
            </w:pPr>
            <w:r w:rsidRPr="00B213CD">
              <w:rPr>
                <w:szCs w:val="20"/>
              </w:rPr>
              <w:t>NE</w:t>
            </w:r>
          </w:p>
        </w:tc>
        <w:tc>
          <w:tcPr>
            <w:tcW w:w="838" w:type="pct"/>
            <w:vMerge w:val="restart"/>
            <w:vAlign w:val="center"/>
          </w:tcPr>
          <w:p w14:paraId="1A4BA7E3" w14:textId="77777777" w:rsidR="00475C36" w:rsidRPr="00B213CD" w:rsidRDefault="00475C36" w:rsidP="00350FC3">
            <w:pPr>
              <w:pStyle w:val="TableText0"/>
              <w:widowControl w:val="0"/>
              <w:rPr>
                <w:szCs w:val="20"/>
              </w:rPr>
            </w:pPr>
            <w:r w:rsidRPr="00B213CD">
              <w:rPr>
                <w:b/>
                <w:szCs w:val="20"/>
              </w:rPr>
              <w:t xml:space="preserve">0.34 (0.23, 0.58) </w:t>
            </w:r>
            <w:r w:rsidRPr="00B213CD">
              <w:rPr>
                <w:b/>
                <w:szCs w:val="20"/>
                <w:vertAlign w:val="superscript"/>
              </w:rPr>
              <w:t>a</w:t>
            </w:r>
          </w:p>
        </w:tc>
      </w:tr>
      <w:tr w:rsidR="00475C36" w:rsidRPr="00B213CD" w14:paraId="02659C08" w14:textId="77777777" w:rsidTr="00B213CD">
        <w:trPr>
          <w:trHeight w:val="20"/>
        </w:trPr>
        <w:tc>
          <w:tcPr>
            <w:tcW w:w="940" w:type="pct"/>
            <w:vMerge/>
            <w:vAlign w:val="center"/>
          </w:tcPr>
          <w:p w14:paraId="04A55679" w14:textId="77777777" w:rsidR="00475C36" w:rsidRPr="00B213CD" w:rsidRDefault="00475C36" w:rsidP="00350FC3">
            <w:pPr>
              <w:pStyle w:val="TableText0"/>
              <w:widowControl w:val="0"/>
              <w:rPr>
                <w:bCs w:val="0"/>
                <w:szCs w:val="20"/>
              </w:rPr>
            </w:pPr>
          </w:p>
        </w:tc>
        <w:tc>
          <w:tcPr>
            <w:tcW w:w="944" w:type="pct"/>
            <w:tcBorders>
              <w:top w:val="nil"/>
            </w:tcBorders>
            <w:vAlign w:val="center"/>
          </w:tcPr>
          <w:p w14:paraId="55F3233E" w14:textId="77777777" w:rsidR="00475C36" w:rsidRPr="00B213CD" w:rsidRDefault="00475C36" w:rsidP="00350FC3">
            <w:pPr>
              <w:pStyle w:val="TableText0"/>
              <w:widowControl w:val="0"/>
              <w:rPr>
                <w:bCs w:val="0"/>
                <w:szCs w:val="20"/>
              </w:rPr>
            </w:pPr>
            <w:r w:rsidRPr="00B213CD">
              <w:rPr>
                <w:szCs w:val="20"/>
              </w:rPr>
              <w:t>Median months TTNT</w:t>
            </w:r>
          </w:p>
        </w:tc>
        <w:tc>
          <w:tcPr>
            <w:tcW w:w="786" w:type="pct"/>
            <w:tcBorders>
              <w:top w:val="nil"/>
            </w:tcBorders>
            <w:vAlign w:val="center"/>
          </w:tcPr>
          <w:p w14:paraId="6B9BDFB5" w14:textId="77777777" w:rsidR="00475C36" w:rsidRPr="00B213CD" w:rsidRDefault="00475C36" w:rsidP="00350FC3">
            <w:pPr>
              <w:pStyle w:val="TableText0"/>
              <w:widowControl w:val="0"/>
              <w:rPr>
                <w:bCs w:val="0"/>
                <w:szCs w:val="20"/>
              </w:rPr>
            </w:pPr>
            <w:r w:rsidRPr="00B213CD">
              <w:rPr>
                <w:szCs w:val="20"/>
              </w:rPr>
              <w:t>NE</w:t>
            </w:r>
          </w:p>
        </w:tc>
        <w:tc>
          <w:tcPr>
            <w:tcW w:w="785" w:type="pct"/>
            <w:tcBorders>
              <w:top w:val="nil"/>
            </w:tcBorders>
            <w:vAlign w:val="center"/>
          </w:tcPr>
          <w:p w14:paraId="55E208F5" w14:textId="77777777" w:rsidR="00475C36" w:rsidRPr="00B213CD" w:rsidRDefault="00475C36" w:rsidP="00350FC3">
            <w:pPr>
              <w:pStyle w:val="TableText0"/>
              <w:widowControl w:val="0"/>
              <w:rPr>
                <w:bCs w:val="0"/>
                <w:szCs w:val="20"/>
              </w:rPr>
            </w:pPr>
            <w:r w:rsidRPr="00B213CD">
              <w:rPr>
                <w:szCs w:val="20"/>
              </w:rPr>
              <w:t>NE</w:t>
            </w:r>
          </w:p>
        </w:tc>
        <w:tc>
          <w:tcPr>
            <w:tcW w:w="707" w:type="pct"/>
            <w:tcBorders>
              <w:top w:val="nil"/>
            </w:tcBorders>
            <w:vAlign w:val="center"/>
          </w:tcPr>
          <w:p w14:paraId="5B7E6F8D" w14:textId="77777777" w:rsidR="00475C36" w:rsidRPr="00B213CD" w:rsidRDefault="00475C36" w:rsidP="00350FC3">
            <w:pPr>
              <w:pStyle w:val="TableText0"/>
              <w:widowControl w:val="0"/>
              <w:rPr>
                <w:bCs w:val="0"/>
                <w:szCs w:val="20"/>
              </w:rPr>
            </w:pPr>
            <w:r w:rsidRPr="00B213CD">
              <w:rPr>
                <w:szCs w:val="20"/>
              </w:rPr>
              <w:t>NE</w:t>
            </w:r>
          </w:p>
        </w:tc>
        <w:tc>
          <w:tcPr>
            <w:tcW w:w="838" w:type="pct"/>
            <w:vMerge/>
            <w:vAlign w:val="center"/>
          </w:tcPr>
          <w:p w14:paraId="1C8A582E" w14:textId="77777777" w:rsidR="00475C36" w:rsidRPr="00B213CD" w:rsidRDefault="00475C36" w:rsidP="00350FC3">
            <w:pPr>
              <w:pStyle w:val="TableText0"/>
              <w:widowControl w:val="0"/>
              <w:rPr>
                <w:szCs w:val="20"/>
              </w:rPr>
            </w:pPr>
          </w:p>
        </w:tc>
      </w:tr>
      <w:tr w:rsidR="00475C36" w:rsidRPr="00B213CD" w14:paraId="5B782394" w14:textId="77777777" w:rsidTr="00B213CD">
        <w:trPr>
          <w:trHeight w:val="20"/>
        </w:trPr>
        <w:tc>
          <w:tcPr>
            <w:tcW w:w="4162" w:type="pct"/>
            <w:gridSpan w:val="5"/>
            <w:vAlign w:val="center"/>
          </w:tcPr>
          <w:p w14:paraId="0F1F7EAE" w14:textId="77777777" w:rsidR="00475C36" w:rsidRPr="00B213CD" w:rsidRDefault="00475C36" w:rsidP="00350FC3">
            <w:pPr>
              <w:pStyle w:val="TableText0"/>
              <w:widowControl w:val="0"/>
              <w:ind w:left="169"/>
              <w:rPr>
                <w:szCs w:val="20"/>
              </w:rPr>
            </w:pPr>
            <w:r w:rsidRPr="00B213CD">
              <w:rPr>
                <w:szCs w:val="20"/>
              </w:rPr>
              <w:t>ITC: AV (AMPLIFY) vs. VO (CLL13)</w:t>
            </w:r>
          </w:p>
        </w:tc>
        <w:tc>
          <w:tcPr>
            <w:tcW w:w="838" w:type="pct"/>
            <w:vAlign w:val="center"/>
          </w:tcPr>
          <w:p w14:paraId="464B8D4A" w14:textId="77777777" w:rsidR="00475C36" w:rsidRPr="00B213CD" w:rsidRDefault="00475C36" w:rsidP="00350FC3">
            <w:pPr>
              <w:pStyle w:val="TableText0"/>
              <w:widowControl w:val="0"/>
              <w:rPr>
                <w:szCs w:val="20"/>
              </w:rPr>
            </w:pPr>
            <w:r w:rsidRPr="00B213CD">
              <w:rPr>
                <w:szCs w:val="20"/>
              </w:rPr>
              <w:t>1.32 (0.74, 2.36)</w:t>
            </w:r>
          </w:p>
        </w:tc>
      </w:tr>
    </w:tbl>
    <w:p w14:paraId="2AF9BA7C" w14:textId="77777777" w:rsidR="00475C36" w:rsidRPr="00A55C25" w:rsidRDefault="00475C36" w:rsidP="00350FC3">
      <w:pPr>
        <w:pStyle w:val="FooterTableFigure"/>
        <w:keepNext/>
        <w:keepLines/>
        <w:widowControl w:val="0"/>
        <w:rPr>
          <w:rFonts w:eastAsia="Calibri"/>
        </w:rPr>
      </w:pPr>
      <w:r w:rsidRPr="00A55C25">
        <w:rPr>
          <w:rFonts w:eastAsia="Calibri"/>
          <w:b/>
        </w:rPr>
        <w:t>Bold</w:t>
      </w:r>
      <w:r w:rsidRPr="00A55C25">
        <w:rPr>
          <w:rFonts w:eastAsia="Calibri"/>
        </w:rPr>
        <w:t xml:space="preserve"> indicates statistically significant results.</w:t>
      </w:r>
    </w:p>
    <w:p w14:paraId="4973F918" w14:textId="77777777" w:rsidR="00475C36" w:rsidRPr="00A55C25" w:rsidRDefault="00475C36" w:rsidP="00350FC3">
      <w:pPr>
        <w:pStyle w:val="FooterTableFigure"/>
        <w:keepNext/>
        <w:keepLines/>
        <w:widowControl w:val="0"/>
        <w:rPr>
          <w:sz w:val="20"/>
        </w:rPr>
      </w:pPr>
      <w:r w:rsidRPr="00A55C25">
        <w:t>Source: Compiled during the evaluation from Table 2.32 and Table 2-33, p101 and Table 2.36, p104 of the submission and Table 24, p105 of AMPLIFY CSR (Sep24).</w:t>
      </w:r>
    </w:p>
    <w:p w14:paraId="0127E397" w14:textId="4694E4D7" w:rsidR="00475C36" w:rsidRPr="00A55C25" w:rsidRDefault="00475C36" w:rsidP="00350FC3">
      <w:pPr>
        <w:pStyle w:val="FooterTableFigure"/>
        <w:keepNext/>
        <w:keepLines/>
        <w:widowControl w:val="0"/>
        <w:rPr>
          <w:rFonts w:eastAsia="Calibri"/>
        </w:rPr>
      </w:pPr>
      <w:r w:rsidRPr="00A55C25">
        <w:rPr>
          <w:rFonts w:eastAsia="Calibri"/>
        </w:rPr>
        <w:t>AV=</w:t>
      </w:r>
      <w:proofErr w:type="spellStart"/>
      <w:r w:rsidRPr="00A55C25">
        <w:rPr>
          <w:rFonts w:eastAsia="Calibri"/>
        </w:rPr>
        <w:t>acalabrutinib+venetoclax</w:t>
      </w:r>
      <w:proofErr w:type="spellEnd"/>
      <w:r w:rsidRPr="00A55C25">
        <w:rPr>
          <w:rFonts w:eastAsia="Calibri"/>
        </w:rPr>
        <w:t>; BR=</w:t>
      </w:r>
      <w:proofErr w:type="spellStart"/>
      <w:r w:rsidRPr="00A55C25">
        <w:rPr>
          <w:rFonts w:eastAsia="Calibri"/>
        </w:rPr>
        <w:t>bendamustine+rituximab</w:t>
      </w:r>
      <w:proofErr w:type="spellEnd"/>
      <w:r w:rsidRPr="00A55C25">
        <w:rPr>
          <w:rFonts w:eastAsia="Calibri"/>
        </w:rPr>
        <w:t>; FCR=</w:t>
      </w:r>
      <w:proofErr w:type="spellStart"/>
      <w:r w:rsidRPr="00A55C25">
        <w:rPr>
          <w:rFonts w:eastAsia="Calibri"/>
        </w:rPr>
        <w:t>fludarabine+cyclophosphamide+rituximab</w:t>
      </w:r>
      <w:proofErr w:type="spellEnd"/>
      <w:r w:rsidRPr="00A55C25">
        <w:rPr>
          <w:rFonts w:eastAsia="Calibri"/>
        </w:rPr>
        <w:t xml:space="preserve">; HR=hazard ratio; </w:t>
      </w:r>
      <w:r w:rsidR="000B5F58" w:rsidRPr="00A55C25">
        <w:rPr>
          <w:rFonts w:eastAsia="Calibri"/>
        </w:rPr>
        <w:t xml:space="preserve">IA=investigator assessed; </w:t>
      </w:r>
      <w:r w:rsidRPr="00A55C25">
        <w:rPr>
          <w:rFonts w:eastAsia="Calibri"/>
        </w:rPr>
        <w:t xml:space="preserve">ITC=indirect treatment comparison; </w:t>
      </w:r>
      <w:proofErr w:type="spellStart"/>
      <w:r w:rsidR="00435A2B" w:rsidRPr="00A55C25">
        <w:rPr>
          <w:rFonts w:eastAsia="Calibri"/>
        </w:rPr>
        <w:t>mths</w:t>
      </w:r>
      <w:proofErr w:type="spellEnd"/>
      <w:r w:rsidR="00435A2B" w:rsidRPr="00A55C25">
        <w:rPr>
          <w:rFonts w:eastAsia="Calibri"/>
        </w:rPr>
        <w:t xml:space="preserve">=months; </w:t>
      </w:r>
      <w:r w:rsidR="000B5F58" w:rsidRPr="00A55C25">
        <w:rPr>
          <w:rFonts w:eastAsia="Calibri"/>
        </w:rPr>
        <w:t xml:space="preserve">NE=not estimable; </w:t>
      </w:r>
      <w:r w:rsidRPr="00A55C25">
        <w:rPr>
          <w:rFonts w:eastAsia="Calibri"/>
        </w:rPr>
        <w:t>OS=overall survival; PFS=progression free survival; TTNT=time to next treatment; Tx=treatment; VO=</w:t>
      </w:r>
      <w:proofErr w:type="spellStart"/>
      <w:r w:rsidRPr="00A55C25">
        <w:rPr>
          <w:rFonts w:eastAsia="Calibri"/>
        </w:rPr>
        <w:t>venetoclax+obinutuzumab</w:t>
      </w:r>
      <w:proofErr w:type="spellEnd"/>
      <w:r w:rsidRPr="00A55C25">
        <w:rPr>
          <w:rFonts w:eastAsia="Calibri"/>
        </w:rPr>
        <w:t>.</w:t>
      </w:r>
    </w:p>
    <w:p w14:paraId="7252D179" w14:textId="19A5C2E7" w:rsidR="00475C36" w:rsidRPr="00A55C25" w:rsidRDefault="00475C36" w:rsidP="00350FC3">
      <w:pPr>
        <w:pStyle w:val="FooterTableFigure"/>
        <w:keepNext/>
        <w:keepLines/>
        <w:spacing w:after="0"/>
        <w:jc w:val="left"/>
      </w:pPr>
      <w:r w:rsidRPr="00A55C25">
        <w:rPr>
          <w:rFonts w:eastAsia="Calibri"/>
          <w:vertAlign w:val="superscript"/>
        </w:rPr>
        <w:t>a</w:t>
      </w:r>
      <w:r w:rsidRPr="00A55C25">
        <w:rPr>
          <w:rFonts w:eastAsia="Calibri"/>
        </w:rPr>
        <w:t xml:space="preserve"> </w:t>
      </w:r>
      <w:r w:rsidRPr="00A55C25">
        <w:t>Converted 97.5% CI to 95% CI using z-scores.</w:t>
      </w:r>
    </w:p>
    <w:p w14:paraId="36207639" w14:textId="03EB2E69" w:rsidR="006E57B9" w:rsidRPr="00A55C25" w:rsidRDefault="002B32F3" w:rsidP="00350FC3">
      <w:pPr>
        <w:pStyle w:val="FooterTableFigure"/>
        <w:keepNext/>
        <w:keepLines/>
      </w:pPr>
      <w:r w:rsidRPr="00A55C25">
        <w:rPr>
          <w:vertAlign w:val="superscript"/>
        </w:rPr>
        <w:t>b</w:t>
      </w:r>
      <w:r w:rsidRPr="00A55C25">
        <w:t xml:space="preserve"> </w:t>
      </w:r>
      <w:r w:rsidR="00435A2B" w:rsidRPr="00A55C25">
        <w:t xml:space="preserve">CRISTALLO was immature at the March 19, </w:t>
      </w:r>
      <w:proofErr w:type="gramStart"/>
      <w:r w:rsidR="00435A2B" w:rsidRPr="00A55C25">
        <w:t>2024</w:t>
      </w:r>
      <w:proofErr w:type="gramEnd"/>
      <w:r w:rsidR="00435A2B" w:rsidRPr="00A55C25">
        <w:t xml:space="preserve"> data cut-off, with only 32 months of follow-up. At this data cut-off, Sharman J.P. et al., 2024 reported that PFS remained immature, with 2-year PFS rates of 95.7% in the AV arm and 90.4% in the VO arm.</w:t>
      </w:r>
    </w:p>
    <w:p w14:paraId="63951ADD" w14:textId="148377EC" w:rsidR="00884632" w:rsidRPr="00A55C25" w:rsidRDefault="002B32F3" w:rsidP="00350FC3">
      <w:pPr>
        <w:pStyle w:val="FooterTableFigure"/>
        <w:keepNext/>
        <w:keepLines/>
        <w:spacing w:after="0"/>
        <w:jc w:val="left"/>
      </w:pPr>
      <w:r w:rsidRPr="00A55C25">
        <w:rPr>
          <w:vertAlign w:val="superscript"/>
        </w:rPr>
        <w:t>c</w:t>
      </w:r>
      <w:r w:rsidRPr="00A55C25">
        <w:t xml:space="preserve"> </w:t>
      </w:r>
      <w:r w:rsidR="00475C36" w:rsidRPr="00A55C25">
        <w:t>AMPLIFY was conducted during the COVID-19 era therefore a sensitivity analysis was conducted to assess the potential impact of COVID-19 deaths on OS, by censoring COVID-19 deaths (page 105, AMPLIFY CSR, Sep24).</w:t>
      </w:r>
      <w:r w:rsidR="00562186" w:rsidRPr="00A55C25">
        <w:t xml:space="preserve"> The hazard ratio for this analysis </w:t>
      </w:r>
      <w:r w:rsidR="0096152B" w:rsidRPr="00A55C25">
        <w:t>assume</w:t>
      </w:r>
      <w:r w:rsidR="00C3448F" w:rsidRPr="00A55C25">
        <w:t>d</w:t>
      </w:r>
      <w:r w:rsidR="0096152B" w:rsidRPr="00A55C25">
        <w:t xml:space="preserve"> COVID-19 deaths were independent of both treatment and outcomes, which may not be reasonable</w:t>
      </w:r>
      <w:r w:rsidR="00DA56E6" w:rsidRPr="00A55C25">
        <w:t xml:space="preserve">. </w:t>
      </w:r>
      <w:r w:rsidR="00F73E81" w:rsidRPr="00A55C25">
        <w:t>D</w:t>
      </w:r>
      <w:r w:rsidR="00884632" w:rsidRPr="00A55C25">
        <w:t xml:space="preserve">eath due to </w:t>
      </w:r>
      <w:r w:rsidR="00DA56E6" w:rsidRPr="00A55C25">
        <w:t xml:space="preserve">COVID-19 </w:t>
      </w:r>
      <w:r w:rsidR="00884632" w:rsidRPr="00A55C25">
        <w:t>is</w:t>
      </w:r>
      <w:r w:rsidR="00DA56E6" w:rsidRPr="00A55C25">
        <w:t xml:space="preserve"> a competing risk and likely related to </w:t>
      </w:r>
      <w:r w:rsidR="00E84238" w:rsidRPr="00A55C25">
        <w:t xml:space="preserve">patient comorbidities and treatment-related effects (e.g., </w:t>
      </w:r>
      <w:r w:rsidR="00DA56E6" w:rsidRPr="00A55C25">
        <w:t>the level of immunosuppression</w:t>
      </w:r>
      <w:r w:rsidR="00E84238" w:rsidRPr="00A55C25">
        <w:t>)</w:t>
      </w:r>
      <w:r w:rsidR="00DA56E6" w:rsidRPr="00A55C25">
        <w:t xml:space="preserve">. In </w:t>
      </w:r>
      <w:r w:rsidR="00E84238" w:rsidRPr="00A55C25">
        <w:t xml:space="preserve">AMPLIFY, there were </w:t>
      </w:r>
      <w:r w:rsidR="008C7EF5" w:rsidRPr="00A55C25">
        <w:t>more</w:t>
      </w:r>
      <w:r w:rsidR="00E84238" w:rsidRPr="00A55C25">
        <w:t xml:space="preserve"> COVID-19 deaths in the control arm suggesting COVID-19 deaths were not independent, but the relative treatment effect was robust to censoring because a similar proportion of deaths </w:t>
      </w:r>
      <w:r w:rsidR="00C05B1C" w:rsidRPr="00A55C25">
        <w:t xml:space="preserve">were </w:t>
      </w:r>
      <w:r w:rsidR="00E84238" w:rsidRPr="00A55C25">
        <w:t>due to COVID-19 in both arms.</w:t>
      </w:r>
    </w:p>
    <w:p w14:paraId="68ECEA2F" w14:textId="6D186168" w:rsidR="00475C36" w:rsidRPr="00A55C25" w:rsidRDefault="002B32F3" w:rsidP="00350FC3">
      <w:pPr>
        <w:pStyle w:val="FooterTableFigure"/>
        <w:keepNext/>
        <w:keepLines/>
        <w:spacing w:after="0"/>
        <w:jc w:val="left"/>
      </w:pPr>
      <w:r w:rsidRPr="00A55C25">
        <w:rPr>
          <w:vertAlign w:val="superscript"/>
        </w:rPr>
        <w:t>d</w:t>
      </w:r>
      <w:r w:rsidRPr="00A55C25">
        <w:t xml:space="preserve"> </w:t>
      </w:r>
      <w:r w:rsidR="00475C36" w:rsidRPr="00A55C25">
        <w:t>Median OS estimate for AV arm is unstable due to low number of patients at risk.</w:t>
      </w:r>
    </w:p>
    <w:p w14:paraId="63E0F90B" w14:textId="17CD27C6" w:rsidR="00475C36" w:rsidRPr="00A55C25" w:rsidRDefault="002B32F3" w:rsidP="00350FC3">
      <w:pPr>
        <w:pStyle w:val="FooterTableFigure"/>
        <w:keepNext/>
        <w:keepLines/>
        <w:widowControl w:val="0"/>
        <w:spacing w:after="0"/>
        <w:jc w:val="left"/>
      </w:pPr>
      <w:r w:rsidRPr="00A55C25">
        <w:rPr>
          <w:vertAlign w:val="superscript"/>
        </w:rPr>
        <w:t xml:space="preserve">e </w:t>
      </w:r>
      <w:r w:rsidR="00475C36" w:rsidRPr="00A55C25">
        <w:t>HR calculated for the submission using the log-rank test approximation.</w:t>
      </w:r>
    </w:p>
    <w:p w14:paraId="48BF1162" w14:textId="00D6346B" w:rsidR="00475C36" w:rsidRPr="00A55C25" w:rsidRDefault="002B32F3" w:rsidP="00350FC3">
      <w:pPr>
        <w:pStyle w:val="FooterTableFigure"/>
        <w:keepNext/>
        <w:keepLines/>
        <w:widowControl w:val="0"/>
      </w:pPr>
      <w:r w:rsidRPr="00A55C25">
        <w:rPr>
          <w:vertAlign w:val="superscript"/>
        </w:rPr>
        <w:t xml:space="preserve">f </w:t>
      </w:r>
      <w:r w:rsidR="00475C36" w:rsidRPr="00A55C25">
        <w:t>Estimated during the evaluation.</w:t>
      </w:r>
    </w:p>
    <w:p w14:paraId="3BA1F094" w14:textId="48E3184D" w:rsidR="002154E2" w:rsidRPr="00A55C25" w:rsidRDefault="00475C36" w:rsidP="006251D0">
      <w:pPr>
        <w:pStyle w:val="3-BodyText"/>
        <w:numPr>
          <w:ilvl w:val="1"/>
          <w:numId w:val="1"/>
        </w:numPr>
      </w:pPr>
      <w:r w:rsidRPr="00A55C25">
        <w:t>The anchored ITC suggested no statistically significant difference between AV and VO for PFS-IA (HR 1.23; 95%CI: 0.81, 1.88), OS (HR 0.58; 95%CI: 0.23, 1.49) or TTNT (HR=1.32; 95%CI: 0.74, 2.36), in patients ‘fit’ for FCR/BR.</w:t>
      </w:r>
      <w:r w:rsidR="006251D0" w:rsidRPr="00A55C25">
        <w:t xml:space="preserve"> The submission did not propose a non-inferiority margin as there was no established non-inferiority margin for previously untreated CLL/SLL. A non-inferiority margin was not proposed for PFS or OS in the zanubrutinib CLL submission (para 6.41, zanubrutinib PSD, March 2023 </w:t>
      </w:r>
      <w:r w:rsidR="006251D0" w:rsidRPr="00A55C25">
        <w:lastRenderedPageBreak/>
        <w:t>PBAC meeting) nor the ibrutinib CLL submission (para 6.45, ibrutinib PSD, March 2024 PBAC meeting).</w:t>
      </w:r>
    </w:p>
    <w:p w14:paraId="116F532F" w14:textId="066B5E4A" w:rsidR="00CB0AD4" w:rsidRPr="00A55C25" w:rsidRDefault="00475C36" w:rsidP="00475C36">
      <w:pPr>
        <w:pStyle w:val="3-BodyText"/>
        <w:numPr>
          <w:ilvl w:val="1"/>
          <w:numId w:val="1"/>
        </w:numPr>
      </w:pPr>
      <w:r w:rsidRPr="00A55C25">
        <w:t xml:space="preserve">The </w:t>
      </w:r>
      <w:r w:rsidR="002F220F" w:rsidRPr="00A55C25">
        <w:t xml:space="preserve">results </w:t>
      </w:r>
      <w:r w:rsidRPr="00A55C25">
        <w:t xml:space="preserve">for OS </w:t>
      </w:r>
      <w:r w:rsidR="002F220F" w:rsidRPr="00A55C25">
        <w:t xml:space="preserve">were </w:t>
      </w:r>
      <w:r w:rsidRPr="00A55C25">
        <w:t>considered highly imprecise given the low number of events in each trial arm and the high proportion of deaths reported in AMPLIFY due to COVID-19. Although AMPLIFY (2019-2024) was conducted later than CLL13 (2016-2019), a period when more subsequent-line therapies were available and could have been expected to improve OS, the baseline mortality rate was higher. The AMPLIFY CSR reported that “the majority of deaths in all arms were attributable to AEs, most of which were confirmed or suspected COVID-19 AEs.”</w:t>
      </w:r>
    </w:p>
    <w:p w14:paraId="650AB624" w14:textId="270DC162" w:rsidR="00475C36" w:rsidRPr="00A55C25" w:rsidRDefault="002F220F" w:rsidP="002F220F">
      <w:pPr>
        <w:pStyle w:val="3-BodyText"/>
        <w:numPr>
          <w:ilvl w:val="1"/>
          <w:numId w:val="1"/>
        </w:numPr>
      </w:pPr>
      <w:r w:rsidRPr="00A55C25">
        <w:fldChar w:fldCharType="begin"/>
      </w:r>
      <w:r w:rsidRPr="00A55C25">
        <w:instrText xml:space="preserve"> REF _Ref206509053 \h  \* MERGEFORMAT </w:instrText>
      </w:r>
      <w:r w:rsidRPr="00A55C25">
        <w:fldChar w:fldCharType="separate"/>
      </w:r>
      <w:r w:rsidR="00717804" w:rsidRPr="00A55C25">
        <w:t xml:space="preserve">Figure </w:t>
      </w:r>
      <w:r w:rsidR="00717804">
        <w:t>1</w:t>
      </w:r>
      <w:r w:rsidRPr="00A55C25">
        <w:fldChar w:fldCharType="end"/>
      </w:r>
      <w:r w:rsidRPr="00A55C25">
        <w:t xml:space="preserve"> presents the Kaplan-Meier (KM) curves for PFS-IA and OS reported in AMPLIFY and CLL13, including the results of a sensitivity analysis after censoring COVID-19 deaths in AMPLIFY. After the COVID-19 adjustment, the absolute survival benefit with AV versus FCR/BR </w:t>
      </w:r>
      <w:r w:rsidR="00475C36" w:rsidRPr="00A55C25">
        <w:t>was largely reduced (</w:t>
      </w:r>
      <w:r w:rsidR="00475C36" w:rsidRPr="00A55C25">
        <w:fldChar w:fldCharType="begin"/>
      </w:r>
      <w:r w:rsidR="00475C36" w:rsidRPr="00A55C25">
        <w:instrText xml:space="preserve"> REF _Ref206509053 \h  \* MERGEFORMAT </w:instrText>
      </w:r>
      <w:r w:rsidR="00475C36" w:rsidRPr="00A55C25">
        <w:fldChar w:fldCharType="separate"/>
      </w:r>
      <w:r w:rsidR="00717804" w:rsidRPr="00A55C25">
        <w:t xml:space="preserve">Figure </w:t>
      </w:r>
      <w:r w:rsidR="00717804">
        <w:t>1</w:t>
      </w:r>
      <w:r w:rsidR="00475C36" w:rsidRPr="00A55C25">
        <w:fldChar w:fldCharType="end"/>
      </w:r>
      <w:r w:rsidR="00475C36" w:rsidRPr="00A55C25">
        <w:t>) despite producing a similar hazard ratio (and similar indirect hazard ratio) due to the low number of events in the comparator arm</w:t>
      </w:r>
      <w:r w:rsidR="00F5705D" w:rsidRPr="00A55C25">
        <w:t xml:space="preserve"> and similar proportion of deaths due to COVID-19 in both arms</w:t>
      </w:r>
      <w:r w:rsidR="00475C36" w:rsidRPr="00A55C25">
        <w:t>.</w:t>
      </w:r>
    </w:p>
    <w:p w14:paraId="3AF43A84" w14:textId="3E29E0ED" w:rsidR="002F220F" w:rsidRPr="00A55C25" w:rsidRDefault="002F220F" w:rsidP="002F220F">
      <w:pPr>
        <w:pStyle w:val="Caption"/>
        <w:rPr>
          <w:rStyle w:val="CommentReference"/>
          <w:b/>
          <w:bCs w:val="0"/>
          <w:szCs w:val="24"/>
        </w:rPr>
      </w:pPr>
      <w:bookmarkStart w:id="28" w:name="_Ref206509053"/>
      <w:r w:rsidRPr="00A55C25">
        <w:t xml:space="preserve">Figure </w:t>
      </w:r>
      <w:r w:rsidR="009406C2">
        <w:fldChar w:fldCharType="begin"/>
      </w:r>
      <w:r w:rsidR="009406C2">
        <w:instrText xml:space="preserve"> SEQ Figure \* ARABIC </w:instrText>
      </w:r>
      <w:r w:rsidR="009406C2">
        <w:fldChar w:fldCharType="separate"/>
      </w:r>
      <w:r w:rsidR="00717804">
        <w:rPr>
          <w:noProof/>
        </w:rPr>
        <w:t>1</w:t>
      </w:r>
      <w:r w:rsidR="009406C2">
        <w:fldChar w:fldCharType="end"/>
      </w:r>
      <w:bookmarkEnd w:id="28"/>
      <w:r w:rsidRPr="00A55C25">
        <w:t>: Results of PFS-IA and OS across AMPLIFY and CLL13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642"/>
      </w:tblGrid>
      <w:tr w:rsidR="002F220F" w:rsidRPr="00A55C25" w14:paraId="353745F7" w14:textId="77777777" w:rsidTr="002A750F">
        <w:trPr>
          <w:trHeight w:val="20"/>
        </w:trPr>
        <w:tc>
          <w:tcPr>
            <w:tcW w:w="4508" w:type="dxa"/>
          </w:tcPr>
          <w:p w14:paraId="4675B55E" w14:textId="77777777" w:rsidR="002F220F" w:rsidRPr="00A55C25" w:rsidRDefault="002F220F" w:rsidP="002A750F">
            <w:pPr>
              <w:pStyle w:val="TableText0"/>
              <w:rPr>
                <w:rFonts w:eastAsia="Times New Roman"/>
                <w:b/>
                <w:bCs w:val="0"/>
                <w:snapToGrid w:val="0"/>
              </w:rPr>
            </w:pPr>
            <w:r w:rsidRPr="00A55C25">
              <w:rPr>
                <w:b/>
                <w:bCs w:val="0"/>
                <w:snapToGrid w:val="0"/>
              </w:rPr>
              <w:t>PFS-IA</w:t>
            </w:r>
          </w:p>
        </w:tc>
        <w:tc>
          <w:tcPr>
            <w:tcW w:w="4509" w:type="dxa"/>
          </w:tcPr>
          <w:p w14:paraId="2CBBA1B4" w14:textId="77777777" w:rsidR="002F220F" w:rsidRPr="00A55C25" w:rsidRDefault="002F220F" w:rsidP="002A750F">
            <w:pPr>
              <w:pStyle w:val="TableText0"/>
              <w:rPr>
                <w:rFonts w:eastAsia="Times New Roman"/>
                <w:b/>
                <w:bCs w:val="0"/>
                <w:snapToGrid w:val="0"/>
              </w:rPr>
            </w:pPr>
            <w:r w:rsidRPr="00A55C25">
              <w:rPr>
                <w:b/>
                <w:bCs w:val="0"/>
                <w:snapToGrid w:val="0"/>
              </w:rPr>
              <w:t>OS</w:t>
            </w:r>
          </w:p>
        </w:tc>
      </w:tr>
      <w:tr w:rsidR="002F220F" w:rsidRPr="00A55C25" w14:paraId="37B9F8F9" w14:textId="77777777" w:rsidTr="002A750F">
        <w:trPr>
          <w:trHeight w:val="20"/>
        </w:trPr>
        <w:tc>
          <w:tcPr>
            <w:tcW w:w="4508" w:type="dxa"/>
          </w:tcPr>
          <w:p w14:paraId="2483EAD3" w14:textId="77777777" w:rsidR="002F220F" w:rsidRPr="00A55C25" w:rsidRDefault="002F220F" w:rsidP="002A750F">
            <w:pPr>
              <w:pStyle w:val="TableText0"/>
              <w:rPr>
                <w:rFonts w:eastAsia="Times New Roman"/>
                <w:snapToGrid w:val="0"/>
              </w:rPr>
            </w:pPr>
            <w:r w:rsidRPr="00A55C25">
              <w:rPr>
                <w:rFonts w:eastAsia="Times New Roman"/>
                <w:noProof/>
                <w:snapToGrid w:val="0"/>
              </w:rPr>
              <w:drawing>
                <wp:inline distT="0" distB="0" distL="0" distR="0" wp14:anchorId="747FB260" wp14:editId="2449BBB7">
                  <wp:extent cx="2774653" cy="1667866"/>
                  <wp:effectExtent l="0" t="0" r="6985" b="8890"/>
                  <wp:docPr id="23" name="Picture 23" descr="Figure 1: Results of PFS-IA and OS across AMPLIFY and CLL13 - PFS-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1: Results of PFS-IA and OS across AMPLIFY and CLL13 - PFS-1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870" cy="1680620"/>
                          </a:xfrm>
                          <a:prstGeom prst="rect">
                            <a:avLst/>
                          </a:prstGeom>
                          <a:noFill/>
                        </pic:spPr>
                      </pic:pic>
                    </a:graphicData>
                  </a:graphic>
                </wp:inline>
              </w:drawing>
            </w:r>
          </w:p>
        </w:tc>
        <w:tc>
          <w:tcPr>
            <w:tcW w:w="4509" w:type="dxa"/>
          </w:tcPr>
          <w:p w14:paraId="73D46F2D" w14:textId="77777777" w:rsidR="002F220F" w:rsidRPr="00A55C25" w:rsidRDefault="002F220F" w:rsidP="002A750F">
            <w:pPr>
              <w:pStyle w:val="TableText0"/>
              <w:rPr>
                <w:rFonts w:eastAsia="Times New Roman"/>
                <w:snapToGrid w:val="0"/>
              </w:rPr>
            </w:pPr>
            <w:r w:rsidRPr="00A55C25">
              <w:rPr>
                <w:rFonts w:eastAsia="Times New Roman"/>
                <w:noProof/>
                <w:snapToGrid w:val="0"/>
              </w:rPr>
              <w:drawing>
                <wp:inline distT="0" distB="0" distL="0" distR="0" wp14:anchorId="0F5F0117" wp14:editId="2A0F5A37">
                  <wp:extent cx="2952750" cy="1667510"/>
                  <wp:effectExtent l="0" t="0" r="0" b="8890"/>
                  <wp:docPr id="24" name="Picture 24" descr="Figure 1: Results of PFS-IA and OS across AMPLIFY and CLL13 -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1: Results of PFS-IA and OS across AMPLIFY and CLL13 - 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0209" cy="1699959"/>
                          </a:xfrm>
                          <a:prstGeom prst="rect">
                            <a:avLst/>
                          </a:prstGeom>
                          <a:noFill/>
                        </pic:spPr>
                      </pic:pic>
                    </a:graphicData>
                  </a:graphic>
                </wp:inline>
              </w:drawing>
            </w:r>
          </w:p>
        </w:tc>
      </w:tr>
    </w:tbl>
    <w:p w14:paraId="74914A63" w14:textId="77777777" w:rsidR="002F220F" w:rsidRPr="00A55C25" w:rsidRDefault="002F220F" w:rsidP="002F220F">
      <w:pPr>
        <w:pStyle w:val="FooterTableFigure"/>
      </w:pPr>
      <w:r w:rsidRPr="00A55C25">
        <w:t>Source: Constructed during the evaluation using Figure 2-8, p80, Figure 2-9, p80, Figure 2-14, p86, Figure 2-15, p86, and 2-22, p98 of the submission.</w:t>
      </w:r>
    </w:p>
    <w:p w14:paraId="04DFA151" w14:textId="2E930C06" w:rsidR="002F220F" w:rsidRPr="00A55C25" w:rsidRDefault="002F220F" w:rsidP="002F220F">
      <w:pPr>
        <w:pStyle w:val="FooterTableFigure"/>
      </w:pPr>
      <w:r w:rsidRPr="00A55C25">
        <w:t>AV=</w:t>
      </w:r>
      <w:proofErr w:type="spellStart"/>
      <w:r w:rsidRPr="00A55C25">
        <w:t>acalabrutinib+venetoclax</w:t>
      </w:r>
      <w:proofErr w:type="spellEnd"/>
      <w:r w:rsidRPr="00A55C25">
        <w:t>; BR=</w:t>
      </w:r>
      <w:proofErr w:type="spellStart"/>
      <w:r w:rsidRPr="00A55C25">
        <w:t>bendamustine+rituximab</w:t>
      </w:r>
      <w:proofErr w:type="spellEnd"/>
      <w:r w:rsidRPr="00A55C25">
        <w:t xml:space="preserve">; </w:t>
      </w:r>
      <w:proofErr w:type="spellStart"/>
      <w:r w:rsidRPr="00A55C25">
        <w:t>ChlO</w:t>
      </w:r>
      <w:proofErr w:type="spellEnd"/>
      <w:r w:rsidRPr="00A55C25">
        <w:t>=</w:t>
      </w:r>
      <w:proofErr w:type="spellStart"/>
      <w:r w:rsidRPr="00A55C25">
        <w:t>chlorambucil+obinutuzumab</w:t>
      </w:r>
      <w:proofErr w:type="spellEnd"/>
      <w:r w:rsidRPr="00A55C25">
        <w:t>; C19-adj=COVID-19-adjusted; FCR=</w:t>
      </w:r>
      <w:proofErr w:type="spellStart"/>
      <w:r w:rsidRPr="00A55C25">
        <w:t>fludarabine+cyclophosphamide+rituximab</w:t>
      </w:r>
      <w:proofErr w:type="spellEnd"/>
      <w:r w:rsidRPr="00A55C25">
        <w:t>; IA=investigator assessed; OS=overall survival; PFS=progression free survival; VO=</w:t>
      </w:r>
      <w:proofErr w:type="spellStart"/>
      <w:r w:rsidRPr="00A55C25">
        <w:t>venetoclax+obinutuzumab</w:t>
      </w:r>
      <w:proofErr w:type="spellEnd"/>
      <w:r w:rsidRPr="00A55C25">
        <w:t>.</w:t>
      </w:r>
    </w:p>
    <w:p w14:paraId="123C62E4" w14:textId="600CE3FE" w:rsidR="002F220F" w:rsidRPr="00A55C25" w:rsidRDefault="002F220F" w:rsidP="002F220F">
      <w:pPr>
        <w:pStyle w:val="FooterTableFigure"/>
      </w:pPr>
      <w:r w:rsidRPr="00A55C25">
        <w:t xml:space="preserve">Note: </w:t>
      </w:r>
      <w:r w:rsidR="006251D0" w:rsidRPr="00A55C25">
        <w:t xml:space="preserve">Survival outcomes from CRISTALLO were not presented in the submission and are therefore not shown in the figure above. </w:t>
      </w:r>
      <w:r w:rsidR="009935CF" w:rsidRPr="00A55C25">
        <w:t>N</w:t>
      </w:r>
      <w:r w:rsidR="006251D0" w:rsidRPr="00A55C25">
        <w:t>either the submission nor the AMPLIFY CSR reported TTNT Kaplan-Meier curves.</w:t>
      </w:r>
    </w:p>
    <w:p w14:paraId="3A4D4A0B" w14:textId="797ACF18" w:rsidR="009D6101" w:rsidRPr="00A55C25" w:rsidRDefault="009D6101" w:rsidP="009D6101">
      <w:pPr>
        <w:pStyle w:val="3-BodyText"/>
        <w:rPr>
          <w:b/>
          <w:bCs/>
        </w:rPr>
      </w:pPr>
      <w:r w:rsidRPr="00A55C25">
        <w:rPr>
          <w:b/>
          <w:bCs/>
        </w:rPr>
        <w:t>Unanchored (Naïve) ITC</w:t>
      </w:r>
      <w:r w:rsidR="0005546B" w:rsidRPr="00A55C25">
        <w:rPr>
          <w:b/>
          <w:bCs/>
        </w:rPr>
        <w:t xml:space="preserve"> and STC</w:t>
      </w:r>
      <w:r w:rsidRPr="00A55C25">
        <w:rPr>
          <w:b/>
          <w:bCs/>
        </w:rPr>
        <w:t>: AV versus VO and IV</w:t>
      </w:r>
    </w:p>
    <w:p w14:paraId="2E249109" w14:textId="1CAC6CF9" w:rsidR="00475C36" w:rsidRPr="00A55C25" w:rsidRDefault="00350ECB" w:rsidP="00475C36">
      <w:pPr>
        <w:pStyle w:val="3-BodyText"/>
        <w:numPr>
          <w:ilvl w:val="1"/>
          <w:numId w:val="1"/>
        </w:numPr>
      </w:pPr>
      <w:r w:rsidRPr="00A55C25">
        <w:fldChar w:fldCharType="begin"/>
      </w:r>
      <w:r w:rsidRPr="00A55C25">
        <w:instrText xml:space="preserve"> REF _Ref206509561 \h </w:instrText>
      </w:r>
      <w:r w:rsidR="006176E0" w:rsidRPr="00A55C25">
        <w:instrText xml:space="preserve"> \* MERGEFORMAT </w:instrText>
      </w:r>
      <w:r w:rsidRPr="00A55C25">
        <w:fldChar w:fldCharType="separate"/>
      </w:r>
      <w:r w:rsidR="00717804" w:rsidRPr="00A55C25">
        <w:t xml:space="preserve">Figure </w:t>
      </w:r>
      <w:r w:rsidR="00717804">
        <w:t>2</w:t>
      </w:r>
      <w:r w:rsidRPr="00A55C25">
        <w:fldChar w:fldCharType="end"/>
      </w:r>
      <w:r w:rsidR="006176E0" w:rsidRPr="00A55C25">
        <w:t>, constructed during the evaluation,</w:t>
      </w:r>
      <w:r w:rsidRPr="00A55C25">
        <w:t xml:space="preserve"> presents the results of the unanchored (naïve) </w:t>
      </w:r>
      <w:r w:rsidR="009935CF" w:rsidRPr="00A55C25">
        <w:t xml:space="preserve">indirect </w:t>
      </w:r>
      <w:r w:rsidRPr="00A55C25">
        <w:t>comparison of the AV (AMPLIFY) versus VO (CLL14) and IV (GLOW and CAPTIVATE)</w:t>
      </w:r>
      <w:r w:rsidR="00475C36" w:rsidRPr="00A55C25">
        <w:t>.</w:t>
      </w:r>
      <w:r w:rsidR="00045918" w:rsidRPr="00A55C25">
        <w:t xml:space="preserve"> </w:t>
      </w:r>
      <w:r w:rsidR="009406C2" w:rsidRPr="00A55C25">
        <w:t xml:space="preserve">The </w:t>
      </w:r>
      <w:r w:rsidR="00045918" w:rsidRPr="00A55C25">
        <w:t xml:space="preserve">COVID–adjusted </w:t>
      </w:r>
      <w:r w:rsidR="009406C2" w:rsidRPr="00A55C25">
        <w:t xml:space="preserve">survival </w:t>
      </w:r>
      <w:r w:rsidR="006176E0" w:rsidRPr="00A55C25">
        <w:t xml:space="preserve">outcomes </w:t>
      </w:r>
      <w:r w:rsidR="009406C2" w:rsidRPr="00A55C25">
        <w:t>for AV</w:t>
      </w:r>
      <w:r w:rsidR="006176E0" w:rsidRPr="00A55C25">
        <w:t xml:space="preserve"> </w:t>
      </w:r>
      <w:r w:rsidR="009406C2" w:rsidRPr="00A55C25">
        <w:t>(</w:t>
      </w:r>
      <w:r w:rsidR="006176E0" w:rsidRPr="00A55C25">
        <w:t>AMPLIFY</w:t>
      </w:r>
      <w:r w:rsidR="009406C2" w:rsidRPr="00A55C25">
        <w:t>)</w:t>
      </w:r>
      <w:r w:rsidR="006176E0" w:rsidRPr="00A55C25">
        <w:t xml:space="preserve"> </w:t>
      </w:r>
      <w:r w:rsidR="00045918" w:rsidRPr="00A55C25">
        <w:t>and</w:t>
      </w:r>
      <w:r w:rsidR="009406C2" w:rsidRPr="00A55C25">
        <w:t xml:space="preserve"> for VO (</w:t>
      </w:r>
      <w:r w:rsidR="00045918" w:rsidRPr="00A55C25">
        <w:t>CLL13</w:t>
      </w:r>
      <w:r w:rsidR="009406C2" w:rsidRPr="00A55C25">
        <w:t>)</w:t>
      </w:r>
      <w:r w:rsidR="00045918" w:rsidRPr="00A55C25">
        <w:t xml:space="preserve"> </w:t>
      </w:r>
      <w:r w:rsidR="009406C2" w:rsidRPr="00A55C25">
        <w:t xml:space="preserve">were presented in this Figure </w:t>
      </w:r>
      <w:r w:rsidR="0089036C" w:rsidRPr="00A55C25">
        <w:t xml:space="preserve">only </w:t>
      </w:r>
      <w:r w:rsidR="009406C2" w:rsidRPr="00A55C25">
        <w:t>for visual comparison</w:t>
      </w:r>
      <w:r w:rsidR="00045918" w:rsidRPr="00A55C25">
        <w:t>.</w:t>
      </w:r>
    </w:p>
    <w:p w14:paraId="4BDCD2FF" w14:textId="379654D9" w:rsidR="00475C36" w:rsidRPr="00A55C25" w:rsidRDefault="00475C36" w:rsidP="005B1F98">
      <w:pPr>
        <w:pStyle w:val="Caption"/>
        <w:spacing w:after="120"/>
        <w:rPr>
          <w:rStyle w:val="CommentReference"/>
          <w:b/>
          <w:i/>
          <w:iCs/>
          <w:szCs w:val="24"/>
        </w:rPr>
      </w:pPr>
      <w:bookmarkStart w:id="29" w:name="_Ref206509561"/>
      <w:r w:rsidRPr="00A55C25">
        <w:lastRenderedPageBreak/>
        <w:t xml:space="preserve">Figure </w:t>
      </w:r>
      <w:r>
        <w:fldChar w:fldCharType="begin"/>
      </w:r>
      <w:r>
        <w:instrText xml:space="preserve"> SEQ Figure \* ARABIC </w:instrText>
      </w:r>
      <w:r>
        <w:fldChar w:fldCharType="separate"/>
      </w:r>
      <w:r w:rsidR="00717804">
        <w:rPr>
          <w:noProof/>
        </w:rPr>
        <w:t>2</w:t>
      </w:r>
      <w:r>
        <w:fldChar w:fldCharType="end"/>
      </w:r>
      <w:bookmarkEnd w:id="29"/>
      <w:r w:rsidRPr="00A55C25">
        <w:t xml:space="preserve">: </w:t>
      </w:r>
      <w:bookmarkStart w:id="30" w:name="_Hlk207103311"/>
      <w:r w:rsidRPr="00A55C25">
        <w:t xml:space="preserve">Naïve comparison of PFS-IA and OS, in AMPLIFY (AV; </w:t>
      </w:r>
      <w:r w:rsidR="009D6101" w:rsidRPr="00A55C25">
        <w:t>‘</w:t>
      </w:r>
      <w:r w:rsidRPr="00A55C25">
        <w:t>fit</w:t>
      </w:r>
      <w:r w:rsidR="009D6101" w:rsidRPr="00A55C25">
        <w:t>’</w:t>
      </w:r>
      <w:r w:rsidRPr="00A55C25">
        <w:t xml:space="preserve"> patents), GLOW (IV, ‘unfit’ patients), CAPTIVATE (IV, </w:t>
      </w:r>
      <w:r w:rsidR="009D6101" w:rsidRPr="00A55C25">
        <w:t>‘</w:t>
      </w:r>
      <w:r w:rsidRPr="00A55C25">
        <w:t>unfit</w:t>
      </w:r>
      <w:r w:rsidR="009D6101" w:rsidRPr="00A55C25">
        <w:t>’</w:t>
      </w:r>
      <w:r w:rsidRPr="00A55C25">
        <w:t xml:space="preserve"> patients) and CLL14 (VO, </w:t>
      </w:r>
      <w:r w:rsidR="009D6101" w:rsidRPr="00A55C25">
        <w:t>‘</w:t>
      </w:r>
      <w:r w:rsidRPr="00A55C25">
        <w:t>unfit</w:t>
      </w:r>
      <w:r w:rsidR="009D6101" w:rsidRPr="00A55C25">
        <w:t>’</w:t>
      </w:r>
      <w:r w:rsidRPr="00A55C25">
        <w:t xml:space="preserve"> patients)</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477"/>
      </w:tblGrid>
      <w:tr w:rsidR="00475C36" w:rsidRPr="00A55C25" w14:paraId="267CA8D1" w14:textId="77777777" w:rsidTr="002A750F">
        <w:trPr>
          <w:trHeight w:val="20"/>
        </w:trPr>
        <w:tc>
          <w:tcPr>
            <w:tcW w:w="4508" w:type="dxa"/>
          </w:tcPr>
          <w:p w14:paraId="71975A79" w14:textId="77777777" w:rsidR="00475C36" w:rsidRPr="00A55C25" w:rsidRDefault="00475C36" w:rsidP="002A750F">
            <w:pPr>
              <w:pStyle w:val="FooterTableFigure"/>
              <w:keepNext/>
              <w:keepLines/>
              <w:widowControl w:val="0"/>
              <w:spacing w:after="0"/>
              <w:rPr>
                <w:rFonts w:eastAsia="Calibri"/>
                <w:b/>
                <w:i/>
                <w:iCs/>
              </w:rPr>
            </w:pPr>
            <w:r w:rsidRPr="00A55C25">
              <w:rPr>
                <w:rStyle w:val="CommentReference"/>
                <w:i/>
                <w:iCs/>
                <w:szCs w:val="24"/>
              </w:rPr>
              <w:t>PFS-IA</w:t>
            </w:r>
          </w:p>
        </w:tc>
        <w:tc>
          <w:tcPr>
            <w:tcW w:w="4509" w:type="dxa"/>
          </w:tcPr>
          <w:p w14:paraId="5676CBFE" w14:textId="77777777" w:rsidR="00475C36" w:rsidRPr="00A55C25" w:rsidRDefault="00475C36" w:rsidP="002A750F">
            <w:pPr>
              <w:pStyle w:val="FooterTableFigure"/>
              <w:keepNext/>
              <w:keepLines/>
              <w:widowControl w:val="0"/>
              <w:spacing w:after="0"/>
              <w:rPr>
                <w:rFonts w:eastAsia="Calibri"/>
                <w:i/>
                <w:iCs/>
              </w:rPr>
            </w:pPr>
            <w:r w:rsidRPr="00A55C25">
              <w:rPr>
                <w:rStyle w:val="CommentReference"/>
                <w:i/>
                <w:iCs/>
                <w:szCs w:val="24"/>
              </w:rPr>
              <w:t>OS</w:t>
            </w:r>
          </w:p>
        </w:tc>
      </w:tr>
      <w:tr w:rsidR="00475C36" w:rsidRPr="00A55C25" w14:paraId="2C70F05B" w14:textId="77777777" w:rsidTr="002A750F">
        <w:trPr>
          <w:trHeight w:val="20"/>
        </w:trPr>
        <w:tc>
          <w:tcPr>
            <w:tcW w:w="4508" w:type="dxa"/>
          </w:tcPr>
          <w:p w14:paraId="17650FBA" w14:textId="77777777" w:rsidR="00475C36" w:rsidRPr="00A55C25" w:rsidRDefault="00475C36" w:rsidP="002A750F">
            <w:pPr>
              <w:pStyle w:val="FooterTableFigure"/>
              <w:keepNext/>
              <w:keepLines/>
              <w:widowControl w:val="0"/>
              <w:spacing w:after="0"/>
              <w:rPr>
                <w:rFonts w:eastAsia="Calibri"/>
                <w:b/>
                <w:i/>
                <w:iCs/>
              </w:rPr>
            </w:pPr>
            <w:r w:rsidRPr="00A55C25">
              <w:rPr>
                <w:rFonts w:eastAsia="Calibri"/>
                <w:b/>
                <w:i/>
                <w:iCs/>
                <w:noProof/>
              </w:rPr>
              <w:drawing>
                <wp:inline distT="0" distB="0" distL="0" distR="0" wp14:anchorId="2DB0439F" wp14:editId="4CA16569">
                  <wp:extent cx="2810756" cy="1480782"/>
                  <wp:effectExtent l="0" t="0" r="0" b="5715"/>
                  <wp:docPr id="3" name="Picture 3" descr="Figure 2: Naïve comparison of PFS-IA and OS, in AMPLIFY (AV; ‘fit’ patents), GLOW (IV, ‘unfit’ patients), CAPTIVATE (IV, ‘unfit’ patients) and CLL14 (VO, ‘unfit’ patients) - PF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2: Naïve comparison of PFS-IA and OS, in AMPLIFY (AV; ‘fit’ patents), GLOW (IV, ‘unfit’ patients), CAPTIVATE (IV, ‘unfit’ patients) and CLL14 (VO, ‘unfit’ patients) - PFS-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1169" cy="1496804"/>
                          </a:xfrm>
                          <a:prstGeom prst="rect">
                            <a:avLst/>
                          </a:prstGeom>
                          <a:noFill/>
                        </pic:spPr>
                      </pic:pic>
                    </a:graphicData>
                  </a:graphic>
                </wp:inline>
              </w:drawing>
            </w:r>
          </w:p>
        </w:tc>
        <w:tc>
          <w:tcPr>
            <w:tcW w:w="4509" w:type="dxa"/>
          </w:tcPr>
          <w:p w14:paraId="1B191615" w14:textId="77777777" w:rsidR="00475C36" w:rsidRPr="00A55C25" w:rsidRDefault="00475C36" w:rsidP="002A750F">
            <w:pPr>
              <w:pStyle w:val="FooterTableFigure"/>
              <w:keepNext/>
              <w:keepLines/>
              <w:widowControl w:val="0"/>
              <w:spacing w:after="0"/>
              <w:rPr>
                <w:rFonts w:eastAsia="Calibri"/>
                <w:b/>
                <w:i/>
                <w:iCs/>
              </w:rPr>
            </w:pPr>
            <w:r w:rsidRPr="00A55C25">
              <w:rPr>
                <w:rFonts w:eastAsia="Calibri"/>
                <w:b/>
                <w:i/>
                <w:iCs/>
                <w:noProof/>
              </w:rPr>
              <w:drawing>
                <wp:inline distT="0" distB="0" distL="0" distR="0" wp14:anchorId="6414FB3D" wp14:editId="7C013804">
                  <wp:extent cx="2763672" cy="1455977"/>
                  <wp:effectExtent l="0" t="0" r="0" b="0"/>
                  <wp:docPr id="5" name="Picture 5" descr="Figure 2: Naïve comparison of PFS-IA and OS, in AMPLIFY (AV; ‘fit’ patents), GLOW (IV, ‘unfit’ patients), CAPTIVATE (IV, ‘unfit’ patients) and CLL14 (VO, ‘unfit’ patients) -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Naïve comparison of PFS-IA and OS, in AMPLIFY (AV; ‘fit’ patents), GLOW (IV, ‘unfit’ patients), CAPTIVATE (IV, ‘unfit’ patients) and CLL14 (VO, ‘unfit’ patients) - 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9561" cy="1469616"/>
                          </a:xfrm>
                          <a:prstGeom prst="rect">
                            <a:avLst/>
                          </a:prstGeom>
                          <a:noFill/>
                        </pic:spPr>
                      </pic:pic>
                    </a:graphicData>
                  </a:graphic>
                </wp:inline>
              </w:drawing>
            </w:r>
          </w:p>
        </w:tc>
      </w:tr>
    </w:tbl>
    <w:p w14:paraId="03C1ACE7" w14:textId="2B649585" w:rsidR="00475C36" w:rsidRPr="00A55C25" w:rsidRDefault="00475C36" w:rsidP="00475C36">
      <w:pPr>
        <w:pStyle w:val="FooterTableFigure"/>
        <w:keepNext/>
        <w:keepLines/>
        <w:widowControl w:val="0"/>
        <w:rPr>
          <w:sz w:val="20"/>
        </w:rPr>
      </w:pPr>
      <w:r w:rsidRPr="00A55C25">
        <w:t>Source: Constructed during the evaluation using Figure 2-8, p80, Figure 2-10, p81, Figure 2-11, p81, Figure 2-12, p82, Figure 2-14, p86, Figure 2-16, p87, Figure 2-17, p87, and Figure 2-18, p88</w:t>
      </w:r>
      <w:r w:rsidR="000B5F58" w:rsidRPr="00A55C25">
        <w:t xml:space="preserve"> of the submission</w:t>
      </w:r>
      <w:r w:rsidRPr="00A55C25">
        <w:t>.</w:t>
      </w:r>
    </w:p>
    <w:p w14:paraId="3812C53A" w14:textId="77777777" w:rsidR="00475C36" w:rsidRPr="00A55C25" w:rsidRDefault="00475C36" w:rsidP="00475C36">
      <w:pPr>
        <w:pStyle w:val="FooterTableFigure"/>
        <w:keepNext/>
        <w:keepLines/>
        <w:widowControl w:val="0"/>
        <w:spacing w:after="0"/>
        <w:rPr>
          <w:rFonts w:eastAsia="Calibri"/>
        </w:rPr>
      </w:pPr>
      <w:r w:rsidRPr="00A55C25">
        <w:rPr>
          <w:rFonts w:eastAsia="Calibri"/>
        </w:rPr>
        <w:t>AV=</w:t>
      </w:r>
      <w:proofErr w:type="spellStart"/>
      <w:r w:rsidRPr="00A55C25">
        <w:rPr>
          <w:rFonts w:eastAsia="Calibri"/>
        </w:rPr>
        <w:t>acalabrutinib+venetoclax</w:t>
      </w:r>
      <w:proofErr w:type="spellEnd"/>
      <w:r w:rsidRPr="00A55C25">
        <w:rPr>
          <w:rFonts w:eastAsia="Calibri"/>
        </w:rPr>
        <w:t>; IA=investigator assessed; IV=</w:t>
      </w:r>
      <w:proofErr w:type="spellStart"/>
      <w:r w:rsidRPr="00A55C25">
        <w:rPr>
          <w:rFonts w:eastAsia="Calibri"/>
        </w:rPr>
        <w:t>ibrutinib+venetoclax</w:t>
      </w:r>
      <w:proofErr w:type="spellEnd"/>
      <w:r w:rsidRPr="00A55C25">
        <w:rPr>
          <w:rFonts w:eastAsia="Calibri"/>
        </w:rPr>
        <w:t>; OS=overall survival; PFS=progression free survival;</w:t>
      </w:r>
      <w:r w:rsidRPr="00A55C25">
        <w:t xml:space="preserve"> </w:t>
      </w:r>
      <w:r w:rsidRPr="00A55C25">
        <w:rPr>
          <w:rFonts w:eastAsia="Calibri"/>
        </w:rPr>
        <w:t>VO=</w:t>
      </w:r>
      <w:proofErr w:type="spellStart"/>
      <w:r w:rsidRPr="00A55C25">
        <w:rPr>
          <w:rFonts w:eastAsia="Calibri"/>
        </w:rPr>
        <w:t>venetoclax+obinutuzumab</w:t>
      </w:r>
      <w:proofErr w:type="spellEnd"/>
      <w:r w:rsidRPr="00A55C25">
        <w:rPr>
          <w:rFonts w:eastAsia="Calibri"/>
        </w:rPr>
        <w:t>.</w:t>
      </w:r>
    </w:p>
    <w:p w14:paraId="43251B76" w14:textId="77777777" w:rsidR="00475C36" w:rsidRPr="00A55C25" w:rsidRDefault="00475C36" w:rsidP="00475C36">
      <w:pPr>
        <w:pStyle w:val="FooterTableFigure"/>
        <w:keepNext/>
        <w:keepLines/>
        <w:widowControl w:val="0"/>
        <w:rPr>
          <w:rFonts w:eastAsia="Calibri"/>
        </w:rPr>
      </w:pPr>
      <w:r w:rsidRPr="00A55C25">
        <w:rPr>
          <w:rFonts w:eastAsia="Calibri"/>
        </w:rPr>
        <w:t>Note: AMPLIFY-COVID–adjusted and CLL13 survival curves are presented for visual comparison only; they were not included in the submission’s unanchored ITC.</w:t>
      </w:r>
    </w:p>
    <w:p w14:paraId="019B4C19" w14:textId="257DB86D" w:rsidR="00475C36" w:rsidRPr="00A55C25" w:rsidRDefault="00475C36" w:rsidP="00475C36">
      <w:pPr>
        <w:pStyle w:val="3-BodyText"/>
        <w:numPr>
          <w:ilvl w:val="1"/>
          <w:numId w:val="1"/>
        </w:numPr>
      </w:pPr>
      <w:r w:rsidRPr="00A55C25">
        <w:t>Across the trials, PFS</w:t>
      </w:r>
      <w:r w:rsidR="0059634E" w:rsidRPr="00A55C25">
        <w:t>-IA</w:t>
      </w:r>
      <w:r w:rsidRPr="00A55C25">
        <w:t xml:space="preserve"> at 48 months was 67.3% for AV, 69.7% to 78.5% for </w:t>
      </w:r>
      <w:r w:rsidR="00B81206" w:rsidRPr="00A55C25">
        <w:t>IV</w:t>
      </w:r>
      <w:r w:rsidRPr="00A55C25">
        <w:t>, and 74.0% for VO. Similarly, OS at 48 months was 94.1% for AV, 85.5% to 98.1% for IV, and 85.4% for VO</w:t>
      </w:r>
      <w:r w:rsidRPr="00A55C25">
        <w:rPr>
          <w:i/>
          <w:iCs/>
        </w:rPr>
        <w:t>.</w:t>
      </w:r>
      <w:r w:rsidRPr="00A55C25">
        <w:t xml:space="preserve"> The submission acknowledged the notable differences between the trials in terms of patient demographics, disease characteristics, timing with COVID-19, and outcome assessment criteria</w:t>
      </w:r>
      <w:r w:rsidR="005B1F98" w:rsidRPr="00A55C25">
        <w:t>,</w:t>
      </w:r>
      <w:r w:rsidRPr="00A55C25">
        <w:t xml:space="preserve"> which could likely reduce the transitivity between the tr</w:t>
      </w:r>
      <w:r w:rsidR="005B1F98" w:rsidRPr="00A55C25">
        <w:t>ials</w:t>
      </w:r>
      <w:r w:rsidRPr="00A55C25">
        <w:t xml:space="preserve"> and limit the validity of the conclusions.</w:t>
      </w:r>
    </w:p>
    <w:p w14:paraId="01B5D62D" w14:textId="54A598A5" w:rsidR="00475C36" w:rsidRPr="00A55C25" w:rsidRDefault="00DC3716" w:rsidP="00475C36">
      <w:pPr>
        <w:pStyle w:val="3-BodyText"/>
        <w:numPr>
          <w:ilvl w:val="1"/>
          <w:numId w:val="1"/>
        </w:numPr>
      </w:pPr>
      <w:r w:rsidRPr="00A55C25">
        <w:fldChar w:fldCharType="begin"/>
      </w:r>
      <w:r w:rsidRPr="00A55C25">
        <w:instrText xml:space="preserve"> REF _Ref206509613 \h </w:instrText>
      </w:r>
      <w:r w:rsidRPr="00A55C25">
        <w:fldChar w:fldCharType="separate"/>
      </w:r>
      <w:r w:rsidR="00717804" w:rsidRPr="00A55C25">
        <w:t xml:space="preserve">Table </w:t>
      </w:r>
      <w:r w:rsidR="00717804">
        <w:rPr>
          <w:noProof/>
        </w:rPr>
        <w:t>5</w:t>
      </w:r>
      <w:r w:rsidRPr="00A55C25">
        <w:fldChar w:fldCharType="end"/>
      </w:r>
      <w:r w:rsidRPr="00A55C25">
        <w:t xml:space="preserve"> presents the r</w:t>
      </w:r>
      <w:r w:rsidR="00475C36" w:rsidRPr="00A55C25">
        <w:t xml:space="preserve">esults </w:t>
      </w:r>
      <w:r w:rsidRPr="00A55C25">
        <w:t xml:space="preserve">of </w:t>
      </w:r>
      <w:r w:rsidR="00475C36" w:rsidRPr="00A55C25">
        <w:t>the STC.</w:t>
      </w:r>
      <w:r w:rsidRPr="00A55C25">
        <w:t xml:space="preserve"> The results were generated by fitting parametric survival models to AMPLIFY individual patient data (IPD) to estimate the association between baseline characteristics and outcomes (PFS-IRC blinded and OS). The best fitting model was then used to estimate the outcomes of AV that would have been observed for patients enrolled in the comparator trials. Restricted mean survival time (RMST, in months), corresponding to the area under the survival curve, was estimated at the point of the minimum of the longest follow-up times between the two trials. For each comparison, the models only included baseline characteristics reported in both trials and the best fitting function was chosen using the Akaike information criterion (AIC).</w:t>
      </w:r>
    </w:p>
    <w:p w14:paraId="37E622A3" w14:textId="64C3ADD9" w:rsidR="00475C36" w:rsidRPr="00A55C25" w:rsidRDefault="00475C36" w:rsidP="00475C36">
      <w:pPr>
        <w:pStyle w:val="Caption"/>
      </w:pPr>
      <w:bookmarkStart w:id="31" w:name="_Ref206509613"/>
      <w:r w:rsidRPr="00A55C25">
        <w:lastRenderedPageBreak/>
        <w:t xml:space="preserve">Table </w:t>
      </w:r>
      <w:r w:rsidR="009406C2">
        <w:fldChar w:fldCharType="begin"/>
      </w:r>
      <w:r w:rsidR="009406C2">
        <w:instrText xml:space="preserve"> SEQ Table \* ARABIC </w:instrText>
      </w:r>
      <w:r w:rsidR="009406C2">
        <w:fldChar w:fldCharType="separate"/>
      </w:r>
      <w:r w:rsidR="00717804">
        <w:rPr>
          <w:noProof/>
        </w:rPr>
        <w:t>5</w:t>
      </w:r>
      <w:r w:rsidR="009406C2">
        <w:fldChar w:fldCharType="end"/>
      </w:r>
      <w:bookmarkEnd w:id="31"/>
      <w:r w:rsidRPr="00A55C25">
        <w:t>: RMST difference (months) for best-fitting models for PFS-Blinded IRC and OS – STC</w:t>
      </w:r>
    </w:p>
    <w:tbl>
      <w:tblPr>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Caption w:val="Table 5: RMST difference (months) for best-fitting models for PFS-Blinded IRC and OS – STC"/>
      </w:tblPr>
      <w:tblGrid>
        <w:gridCol w:w="2691"/>
        <w:gridCol w:w="2057"/>
        <w:gridCol w:w="1783"/>
        <w:gridCol w:w="2490"/>
      </w:tblGrid>
      <w:tr w:rsidR="00475C36" w:rsidRPr="00B213CD" w14:paraId="6B355E0F" w14:textId="77777777" w:rsidTr="00B213CD">
        <w:trPr>
          <w:trHeight w:val="20"/>
        </w:trPr>
        <w:tc>
          <w:tcPr>
            <w:tcW w:w="1492" w:type="pct"/>
            <w:tcMar>
              <w:top w:w="15" w:type="dxa"/>
              <w:left w:w="15" w:type="dxa"/>
              <w:right w:w="15" w:type="dxa"/>
            </w:tcMar>
            <w:vAlign w:val="center"/>
          </w:tcPr>
          <w:p w14:paraId="12CB9A17" w14:textId="77777777" w:rsidR="00475C36" w:rsidRPr="00B213CD" w:rsidRDefault="00475C36" w:rsidP="002A750F">
            <w:pPr>
              <w:pStyle w:val="TableText0"/>
              <w:rPr>
                <w:b/>
                <w:bCs w:val="0"/>
                <w:szCs w:val="20"/>
              </w:rPr>
            </w:pPr>
            <w:r w:rsidRPr="00B213CD">
              <w:rPr>
                <w:b/>
                <w:bCs w:val="0"/>
                <w:szCs w:val="20"/>
              </w:rPr>
              <w:t xml:space="preserve">Comparator study </w:t>
            </w:r>
          </w:p>
        </w:tc>
        <w:tc>
          <w:tcPr>
            <w:tcW w:w="1140" w:type="pct"/>
            <w:tcMar>
              <w:top w:w="15" w:type="dxa"/>
              <w:left w:w="15" w:type="dxa"/>
              <w:right w:w="15" w:type="dxa"/>
            </w:tcMar>
            <w:vAlign w:val="center"/>
          </w:tcPr>
          <w:p w14:paraId="27E32ACA" w14:textId="76E025CB" w:rsidR="00475C36" w:rsidRPr="00B213CD" w:rsidRDefault="00475C36" w:rsidP="002A750F">
            <w:pPr>
              <w:pStyle w:val="TableText0"/>
              <w:rPr>
                <w:b/>
                <w:bCs w:val="0"/>
                <w:szCs w:val="20"/>
              </w:rPr>
            </w:pPr>
            <w:r w:rsidRPr="00B213CD">
              <w:rPr>
                <w:b/>
                <w:bCs w:val="0"/>
                <w:szCs w:val="20"/>
              </w:rPr>
              <w:t>Distribution</w:t>
            </w:r>
          </w:p>
        </w:tc>
        <w:tc>
          <w:tcPr>
            <w:tcW w:w="988" w:type="pct"/>
            <w:tcMar>
              <w:top w:w="15" w:type="dxa"/>
              <w:left w:w="15" w:type="dxa"/>
              <w:right w:w="15" w:type="dxa"/>
            </w:tcMar>
            <w:vAlign w:val="center"/>
          </w:tcPr>
          <w:p w14:paraId="50ED5755" w14:textId="77777777" w:rsidR="00475C36" w:rsidRPr="00B213CD" w:rsidRDefault="00475C36" w:rsidP="002A750F">
            <w:pPr>
              <w:pStyle w:val="TableText0"/>
              <w:rPr>
                <w:b/>
                <w:bCs w:val="0"/>
                <w:szCs w:val="20"/>
              </w:rPr>
            </w:pPr>
            <w:r w:rsidRPr="00B213CD">
              <w:rPr>
                <w:b/>
                <w:bCs w:val="0"/>
                <w:szCs w:val="20"/>
              </w:rPr>
              <w:t xml:space="preserve">Endpoint </w:t>
            </w:r>
          </w:p>
        </w:tc>
        <w:tc>
          <w:tcPr>
            <w:tcW w:w="1380" w:type="pct"/>
            <w:tcMar>
              <w:top w:w="15" w:type="dxa"/>
              <w:left w:w="15" w:type="dxa"/>
              <w:right w:w="15" w:type="dxa"/>
            </w:tcMar>
            <w:vAlign w:val="center"/>
          </w:tcPr>
          <w:p w14:paraId="3C3C2A73" w14:textId="77777777" w:rsidR="00475C36" w:rsidRPr="00B213CD" w:rsidRDefault="00475C36" w:rsidP="002A750F">
            <w:pPr>
              <w:pStyle w:val="TableText0"/>
              <w:rPr>
                <w:b/>
                <w:bCs w:val="0"/>
                <w:szCs w:val="20"/>
              </w:rPr>
            </w:pPr>
            <w:r w:rsidRPr="00B213CD">
              <w:rPr>
                <w:b/>
                <w:bCs w:val="0"/>
                <w:szCs w:val="20"/>
              </w:rPr>
              <w:t xml:space="preserve">RMST diff (95% CI) </w:t>
            </w:r>
          </w:p>
        </w:tc>
      </w:tr>
      <w:tr w:rsidR="00475C36" w:rsidRPr="00B213CD" w14:paraId="4493D429" w14:textId="77777777" w:rsidTr="00B213CD">
        <w:trPr>
          <w:trHeight w:val="20"/>
        </w:trPr>
        <w:tc>
          <w:tcPr>
            <w:tcW w:w="1492" w:type="pct"/>
            <w:tcMar>
              <w:top w:w="15" w:type="dxa"/>
              <w:left w:w="15" w:type="dxa"/>
              <w:right w:w="15" w:type="dxa"/>
            </w:tcMar>
            <w:vAlign w:val="center"/>
          </w:tcPr>
          <w:p w14:paraId="79664EF2" w14:textId="77777777" w:rsidR="00475C36" w:rsidRPr="00B213CD" w:rsidRDefault="00475C36" w:rsidP="002A750F">
            <w:pPr>
              <w:pStyle w:val="TableText0"/>
              <w:rPr>
                <w:szCs w:val="20"/>
              </w:rPr>
            </w:pPr>
            <w:r w:rsidRPr="00B213CD">
              <w:rPr>
                <w:szCs w:val="20"/>
              </w:rPr>
              <w:t>CAPTIVATE+GLOW (IV)</w:t>
            </w:r>
          </w:p>
        </w:tc>
        <w:tc>
          <w:tcPr>
            <w:tcW w:w="1140" w:type="pct"/>
            <w:tcMar>
              <w:top w:w="15" w:type="dxa"/>
              <w:left w:w="15" w:type="dxa"/>
              <w:right w:w="15" w:type="dxa"/>
            </w:tcMar>
            <w:vAlign w:val="center"/>
          </w:tcPr>
          <w:p w14:paraId="64EF9086" w14:textId="77777777" w:rsidR="00475C36" w:rsidRPr="00B213CD" w:rsidRDefault="00475C36" w:rsidP="002A750F">
            <w:pPr>
              <w:pStyle w:val="TableText0"/>
              <w:rPr>
                <w:szCs w:val="20"/>
              </w:rPr>
            </w:pPr>
            <w:r w:rsidRPr="00B213CD">
              <w:rPr>
                <w:szCs w:val="20"/>
              </w:rPr>
              <w:t xml:space="preserve">Gompertz </w:t>
            </w:r>
          </w:p>
        </w:tc>
        <w:tc>
          <w:tcPr>
            <w:tcW w:w="988" w:type="pct"/>
            <w:vMerge w:val="restart"/>
            <w:tcMar>
              <w:top w:w="15" w:type="dxa"/>
              <w:left w:w="15" w:type="dxa"/>
              <w:right w:w="15" w:type="dxa"/>
            </w:tcMar>
            <w:vAlign w:val="center"/>
          </w:tcPr>
          <w:p w14:paraId="55885333" w14:textId="77777777" w:rsidR="00475C36" w:rsidRPr="00B213CD" w:rsidRDefault="00475C36" w:rsidP="002A750F">
            <w:pPr>
              <w:pStyle w:val="TableText0"/>
              <w:rPr>
                <w:rFonts w:eastAsia="Calibri" w:cs="Calibri"/>
                <w:szCs w:val="20"/>
              </w:rPr>
            </w:pPr>
            <w:r w:rsidRPr="00B213CD">
              <w:rPr>
                <w:szCs w:val="20"/>
              </w:rPr>
              <w:t>PFS</w:t>
            </w:r>
          </w:p>
          <w:p w14:paraId="69ECA24B"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361AFE20" w14:textId="77777777" w:rsidR="00475C36" w:rsidRPr="00B213CD" w:rsidRDefault="00475C36" w:rsidP="002A750F">
            <w:pPr>
              <w:pStyle w:val="TableText0"/>
              <w:rPr>
                <w:szCs w:val="20"/>
              </w:rPr>
            </w:pPr>
            <w:r w:rsidRPr="00B213CD">
              <w:rPr>
                <w:szCs w:val="20"/>
              </w:rPr>
              <w:t xml:space="preserve">-2.2 (-4.9, 0.6) </w:t>
            </w:r>
          </w:p>
        </w:tc>
      </w:tr>
      <w:tr w:rsidR="00475C36" w:rsidRPr="00B213CD" w14:paraId="256EC1EC" w14:textId="77777777" w:rsidTr="00B213CD">
        <w:trPr>
          <w:trHeight w:val="20"/>
        </w:trPr>
        <w:tc>
          <w:tcPr>
            <w:tcW w:w="1492" w:type="pct"/>
            <w:tcMar>
              <w:top w:w="15" w:type="dxa"/>
              <w:left w:w="15" w:type="dxa"/>
              <w:right w:w="15" w:type="dxa"/>
            </w:tcMar>
            <w:vAlign w:val="center"/>
          </w:tcPr>
          <w:p w14:paraId="763F0E1F" w14:textId="77777777" w:rsidR="00475C36" w:rsidRPr="00B213CD" w:rsidRDefault="00475C36" w:rsidP="002A750F">
            <w:pPr>
              <w:pStyle w:val="TableText0"/>
              <w:rPr>
                <w:szCs w:val="20"/>
              </w:rPr>
            </w:pPr>
            <w:r w:rsidRPr="00B213CD">
              <w:rPr>
                <w:szCs w:val="20"/>
              </w:rPr>
              <w:t>GLOW (IV)</w:t>
            </w:r>
          </w:p>
        </w:tc>
        <w:tc>
          <w:tcPr>
            <w:tcW w:w="1140" w:type="pct"/>
            <w:tcMar>
              <w:top w:w="15" w:type="dxa"/>
              <w:left w:w="15" w:type="dxa"/>
              <w:right w:w="15" w:type="dxa"/>
            </w:tcMar>
            <w:vAlign w:val="center"/>
          </w:tcPr>
          <w:p w14:paraId="6C0DA44F"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62655E03"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65D487E8" w14:textId="77777777" w:rsidR="00475C36" w:rsidRPr="00B213CD" w:rsidRDefault="00475C36" w:rsidP="002A750F">
            <w:pPr>
              <w:pStyle w:val="TableText0"/>
              <w:rPr>
                <w:szCs w:val="20"/>
              </w:rPr>
            </w:pPr>
            <w:r w:rsidRPr="00B213CD">
              <w:rPr>
                <w:szCs w:val="20"/>
              </w:rPr>
              <w:t xml:space="preserve">0.9 (-5.5, 7.2) </w:t>
            </w:r>
          </w:p>
        </w:tc>
      </w:tr>
      <w:tr w:rsidR="00475C36" w:rsidRPr="00B213CD" w14:paraId="374BCCBD" w14:textId="77777777" w:rsidTr="00B213CD">
        <w:trPr>
          <w:trHeight w:val="20"/>
        </w:trPr>
        <w:tc>
          <w:tcPr>
            <w:tcW w:w="1492" w:type="pct"/>
            <w:tcMar>
              <w:top w:w="15" w:type="dxa"/>
              <w:left w:w="15" w:type="dxa"/>
              <w:right w:w="15" w:type="dxa"/>
            </w:tcMar>
            <w:vAlign w:val="center"/>
          </w:tcPr>
          <w:p w14:paraId="25125121" w14:textId="77777777" w:rsidR="00475C36" w:rsidRPr="00B213CD" w:rsidRDefault="00475C36" w:rsidP="002A750F">
            <w:pPr>
              <w:pStyle w:val="TableText0"/>
              <w:rPr>
                <w:szCs w:val="20"/>
              </w:rPr>
            </w:pPr>
            <w:r w:rsidRPr="00B213CD">
              <w:rPr>
                <w:szCs w:val="20"/>
              </w:rPr>
              <w:t>CLL14 (VO)</w:t>
            </w:r>
          </w:p>
        </w:tc>
        <w:tc>
          <w:tcPr>
            <w:tcW w:w="1140" w:type="pct"/>
            <w:tcMar>
              <w:top w:w="15" w:type="dxa"/>
              <w:left w:w="15" w:type="dxa"/>
              <w:right w:w="15" w:type="dxa"/>
            </w:tcMar>
            <w:vAlign w:val="center"/>
          </w:tcPr>
          <w:p w14:paraId="4ABF2306"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21AF7453"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630E5124" w14:textId="77777777" w:rsidR="00475C36" w:rsidRPr="00B213CD" w:rsidRDefault="00475C36" w:rsidP="002A750F">
            <w:pPr>
              <w:pStyle w:val="TableText0"/>
              <w:rPr>
                <w:szCs w:val="20"/>
              </w:rPr>
            </w:pPr>
            <w:r w:rsidRPr="00B213CD">
              <w:rPr>
                <w:szCs w:val="20"/>
              </w:rPr>
              <w:t xml:space="preserve">0.4 (-5.0, 5.7) </w:t>
            </w:r>
          </w:p>
        </w:tc>
      </w:tr>
      <w:tr w:rsidR="00475C36" w:rsidRPr="00B213CD" w14:paraId="3BC9D60D" w14:textId="77777777" w:rsidTr="00B213CD">
        <w:trPr>
          <w:trHeight w:val="20"/>
        </w:trPr>
        <w:tc>
          <w:tcPr>
            <w:tcW w:w="1492" w:type="pct"/>
            <w:tcMar>
              <w:top w:w="15" w:type="dxa"/>
              <w:left w:w="15" w:type="dxa"/>
              <w:right w:w="15" w:type="dxa"/>
            </w:tcMar>
            <w:vAlign w:val="center"/>
          </w:tcPr>
          <w:p w14:paraId="71FA2F65" w14:textId="77777777" w:rsidR="00475C36" w:rsidRPr="00B213CD" w:rsidRDefault="00475C36" w:rsidP="002A750F">
            <w:pPr>
              <w:pStyle w:val="TableText0"/>
              <w:rPr>
                <w:szCs w:val="20"/>
              </w:rPr>
            </w:pPr>
            <w:r w:rsidRPr="00B213CD">
              <w:rPr>
                <w:szCs w:val="20"/>
              </w:rPr>
              <w:t>CAPTIVATE+GLOW (IV)</w:t>
            </w:r>
          </w:p>
        </w:tc>
        <w:tc>
          <w:tcPr>
            <w:tcW w:w="1140" w:type="pct"/>
            <w:tcMar>
              <w:top w:w="15" w:type="dxa"/>
              <w:left w:w="15" w:type="dxa"/>
              <w:right w:w="15" w:type="dxa"/>
            </w:tcMar>
            <w:vAlign w:val="center"/>
          </w:tcPr>
          <w:p w14:paraId="25F9337F" w14:textId="77777777" w:rsidR="00475C36" w:rsidRPr="00B213CD" w:rsidRDefault="00475C36" w:rsidP="002A750F">
            <w:pPr>
              <w:pStyle w:val="TableText0"/>
              <w:rPr>
                <w:szCs w:val="20"/>
              </w:rPr>
            </w:pPr>
            <w:r w:rsidRPr="00B213CD">
              <w:rPr>
                <w:szCs w:val="20"/>
              </w:rPr>
              <w:t xml:space="preserve">Gompertz </w:t>
            </w:r>
          </w:p>
        </w:tc>
        <w:tc>
          <w:tcPr>
            <w:tcW w:w="988" w:type="pct"/>
            <w:vMerge w:val="restart"/>
            <w:tcMar>
              <w:top w:w="15" w:type="dxa"/>
              <w:left w:w="15" w:type="dxa"/>
              <w:right w:w="15" w:type="dxa"/>
            </w:tcMar>
            <w:vAlign w:val="center"/>
          </w:tcPr>
          <w:p w14:paraId="64396813" w14:textId="77777777" w:rsidR="00475C36" w:rsidRPr="00B213CD" w:rsidRDefault="00475C36" w:rsidP="002A750F">
            <w:pPr>
              <w:pStyle w:val="TableText0"/>
              <w:rPr>
                <w:rFonts w:eastAsia="Calibri" w:cs="Calibri"/>
                <w:szCs w:val="20"/>
              </w:rPr>
            </w:pPr>
            <w:r w:rsidRPr="00B213CD">
              <w:rPr>
                <w:szCs w:val="20"/>
              </w:rPr>
              <w:t>PFS C19</w:t>
            </w:r>
          </w:p>
          <w:p w14:paraId="095A920C"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72A19479" w14:textId="77777777" w:rsidR="00475C36" w:rsidRPr="00B213CD" w:rsidRDefault="00475C36" w:rsidP="002A750F">
            <w:pPr>
              <w:pStyle w:val="TableText0"/>
              <w:rPr>
                <w:szCs w:val="20"/>
              </w:rPr>
            </w:pPr>
            <w:r w:rsidRPr="00B213CD">
              <w:rPr>
                <w:szCs w:val="20"/>
              </w:rPr>
              <w:t xml:space="preserve">-1.0 (-3.6, 1.5) </w:t>
            </w:r>
          </w:p>
        </w:tc>
      </w:tr>
      <w:tr w:rsidR="00475C36" w:rsidRPr="00B213CD" w14:paraId="0747F415" w14:textId="77777777" w:rsidTr="00B213CD">
        <w:trPr>
          <w:trHeight w:val="20"/>
        </w:trPr>
        <w:tc>
          <w:tcPr>
            <w:tcW w:w="1492" w:type="pct"/>
            <w:tcMar>
              <w:top w:w="15" w:type="dxa"/>
              <w:left w:w="15" w:type="dxa"/>
              <w:right w:w="15" w:type="dxa"/>
            </w:tcMar>
            <w:vAlign w:val="center"/>
          </w:tcPr>
          <w:p w14:paraId="4925805F" w14:textId="77777777" w:rsidR="00475C36" w:rsidRPr="00B213CD" w:rsidRDefault="00475C36" w:rsidP="002A750F">
            <w:pPr>
              <w:pStyle w:val="TableText0"/>
              <w:rPr>
                <w:szCs w:val="20"/>
              </w:rPr>
            </w:pPr>
            <w:r w:rsidRPr="00B213CD">
              <w:rPr>
                <w:szCs w:val="20"/>
              </w:rPr>
              <w:t>GLOW (IV)</w:t>
            </w:r>
          </w:p>
        </w:tc>
        <w:tc>
          <w:tcPr>
            <w:tcW w:w="1140" w:type="pct"/>
            <w:tcMar>
              <w:top w:w="15" w:type="dxa"/>
              <w:left w:w="15" w:type="dxa"/>
              <w:right w:w="15" w:type="dxa"/>
            </w:tcMar>
            <w:vAlign w:val="center"/>
          </w:tcPr>
          <w:p w14:paraId="3EBA9993"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17A266CF"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4C4ED4D6" w14:textId="77777777" w:rsidR="00475C36" w:rsidRPr="00B213CD" w:rsidRDefault="00475C36" w:rsidP="002A750F">
            <w:pPr>
              <w:pStyle w:val="TableText0"/>
              <w:rPr>
                <w:szCs w:val="20"/>
              </w:rPr>
            </w:pPr>
            <w:r w:rsidRPr="00B213CD">
              <w:rPr>
                <w:szCs w:val="20"/>
              </w:rPr>
              <w:t xml:space="preserve">3.3 (-2.5, 9.0) </w:t>
            </w:r>
          </w:p>
        </w:tc>
      </w:tr>
      <w:tr w:rsidR="00475C36" w:rsidRPr="00B213CD" w14:paraId="016A463A" w14:textId="77777777" w:rsidTr="00B213CD">
        <w:trPr>
          <w:trHeight w:val="20"/>
        </w:trPr>
        <w:tc>
          <w:tcPr>
            <w:tcW w:w="1492" w:type="pct"/>
            <w:tcMar>
              <w:top w:w="15" w:type="dxa"/>
              <w:left w:w="15" w:type="dxa"/>
              <w:right w:w="15" w:type="dxa"/>
            </w:tcMar>
            <w:vAlign w:val="center"/>
          </w:tcPr>
          <w:p w14:paraId="6E6B710A" w14:textId="77777777" w:rsidR="00475C36" w:rsidRPr="00B213CD" w:rsidRDefault="00475C36" w:rsidP="002A750F">
            <w:pPr>
              <w:pStyle w:val="TableText0"/>
              <w:rPr>
                <w:szCs w:val="20"/>
              </w:rPr>
            </w:pPr>
            <w:r w:rsidRPr="00B213CD">
              <w:rPr>
                <w:szCs w:val="20"/>
              </w:rPr>
              <w:t>CLL14 (VO)</w:t>
            </w:r>
          </w:p>
        </w:tc>
        <w:tc>
          <w:tcPr>
            <w:tcW w:w="1140" w:type="pct"/>
            <w:tcMar>
              <w:top w:w="15" w:type="dxa"/>
              <w:left w:w="15" w:type="dxa"/>
              <w:right w:w="15" w:type="dxa"/>
            </w:tcMar>
            <w:vAlign w:val="center"/>
          </w:tcPr>
          <w:p w14:paraId="2ADC7B4E"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67731DC0"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4649345A" w14:textId="77777777" w:rsidR="00475C36" w:rsidRPr="00B213CD" w:rsidRDefault="00475C36" w:rsidP="002A750F">
            <w:pPr>
              <w:pStyle w:val="TableText0"/>
              <w:rPr>
                <w:szCs w:val="20"/>
              </w:rPr>
            </w:pPr>
            <w:r w:rsidRPr="00B213CD">
              <w:rPr>
                <w:szCs w:val="20"/>
              </w:rPr>
              <w:t xml:space="preserve">2.9 (-1.5, 7.3) </w:t>
            </w:r>
          </w:p>
        </w:tc>
      </w:tr>
      <w:tr w:rsidR="00475C36" w:rsidRPr="00B213CD" w14:paraId="1B7680A3" w14:textId="77777777" w:rsidTr="00B213CD">
        <w:trPr>
          <w:trHeight w:val="20"/>
        </w:trPr>
        <w:tc>
          <w:tcPr>
            <w:tcW w:w="1492" w:type="pct"/>
            <w:tcMar>
              <w:top w:w="15" w:type="dxa"/>
              <w:left w:w="15" w:type="dxa"/>
              <w:right w:w="15" w:type="dxa"/>
            </w:tcMar>
            <w:vAlign w:val="center"/>
          </w:tcPr>
          <w:p w14:paraId="6514D744" w14:textId="77777777" w:rsidR="00475C36" w:rsidRPr="00B213CD" w:rsidRDefault="00475C36" w:rsidP="002A750F">
            <w:pPr>
              <w:pStyle w:val="TableText0"/>
              <w:rPr>
                <w:szCs w:val="20"/>
              </w:rPr>
            </w:pPr>
            <w:r w:rsidRPr="00B213CD">
              <w:rPr>
                <w:szCs w:val="20"/>
              </w:rPr>
              <w:t>CAPTIVATE+GLOW (IV)</w:t>
            </w:r>
          </w:p>
        </w:tc>
        <w:tc>
          <w:tcPr>
            <w:tcW w:w="1140" w:type="pct"/>
            <w:tcMar>
              <w:top w:w="15" w:type="dxa"/>
              <w:left w:w="15" w:type="dxa"/>
              <w:right w:w="15" w:type="dxa"/>
            </w:tcMar>
            <w:vAlign w:val="center"/>
          </w:tcPr>
          <w:p w14:paraId="6B932E62" w14:textId="77777777" w:rsidR="00475C36" w:rsidRPr="00B213CD" w:rsidRDefault="00475C36" w:rsidP="002A750F">
            <w:pPr>
              <w:pStyle w:val="TableText0"/>
              <w:rPr>
                <w:szCs w:val="20"/>
              </w:rPr>
            </w:pPr>
            <w:r w:rsidRPr="00B213CD">
              <w:rPr>
                <w:szCs w:val="20"/>
              </w:rPr>
              <w:t xml:space="preserve">Gompertz </w:t>
            </w:r>
          </w:p>
        </w:tc>
        <w:tc>
          <w:tcPr>
            <w:tcW w:w="988" w:type="pct"/>
            <w:vMerge w:val="restart"/>
            <w:tcMar>
              <w:top w:w="15" w:type="dxa"/>
              <w:left w:w="15" w:type="dxa"/>
              <w:right w:w="15" w:type="dxa"/>
            </w:tcMar>
            <w:vAlign w:val="center"/>
          </w:tcPr>
          <w:p w14:paraId="08675360" w14:textId="77777777" w:rsidR="00475C36" w:rsidRPr="00B213CD" w:rsidRDefault="00475C36" w:rsidP="002A750F">
            <w:pPr>
              <w:pStyle w:val="TableText0"/>
              <w:rPr>
                <w:rFonts w:eastAsia="Calibri" w:cs="Calibri"/>
                <w:szCs w:val="20"/>
              </w:rPr>
            </w:pPr>
            <w:r w:rsidRPr="00B213CD">
              <w:rPr>
                <w:szCs w:val="20"/>
              </w:rPr>
              <w:t>OS</w:t>
            </w:r>
          </w:p>
          <w:p w14:paraId="7EF64165"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4837B062" w14:textId="77777777" w:rsidR="00475C36" w:rsidRPr="00B213CD" w:rsidRDefault="00475C36" w:rsidP="002A750F">
            <w:pPr>
              <w:pStyle w:val="TableText0"/>
              <w:rPr>
                <w:szCs w:val="20"/>
              </w:rPr>
            </w:pPr>
            <w:r w:rsidRPr="00B213CD">
              <w:rPr>
                <w:szCs w:val="20"/>
              </w:rPr>
              <w:t xml:space="preserve">0.2 (-1.7, 2.1) </w:t>
            </w:r>
          </w:p>
        </w:tc>
      </w:tr>
      <w:tr w:rsidR="00475C36" w:rsidRPr="00B213CD" w14:paraId="2D6075A3" w14:textId="77777777" w:rsidTr="00B213CD">
        <w:trPr>
          <w:trHeight w:val="20"/>
        </w:trPr>
        <w:tc>
          <w:tcPr>
            <w:tcW w:w="1492" w:type="pct"/>
            <w:tcMar>
              <w:top w:w="15" w:type="dxa"/>
              <w:left w:w="15" w:type="dxa"/>
              <w:right w:w="15" w:type="dxa"/>
            </w:tcMar>
            <w:vAlign w:val="center"/>
          </w:tcPr>
          <w:p w14:paraId="2C31A94F" w14:textId="77777777" w:rsidR="00475C36" w:rsidRPr="00B213CD" w:rsidRDefault="00475C36" w:rsidP="002A750F">
            <w:pPr>
              <w:pStyle w:val="TableText0"/>
              <w:rPr>
                <w:szCs w:val="20"/>
              </w:rPr>
            </w:pPr>
            <w:r w:rsidRPr="00B213CD">
              <w:rPr>
                <w:szCs w:val="20"/>
              </w:rPr>
              <w:t>GLOW (IV)</w:t>
            </w:r>
          </w:p>
        </w:tc>
        <w:tc>
          <w:tcPr>
            <w:tcW w:w="1140" w:type="pct"/>
            <w:tcMar>
              <w:top w:w="15" w:type="dxa"/>
              <w:left w:w="15" w:type="dxa"/>
              <w:right w:w="15" w:type="dxa"/>
            </w:tcMar>
            <w:vAlign w:val="center"/>
          </w:tcPr>
          <w:p w14:paraId="0839091B"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0F1EF647"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31DAAE60" w14:textId="77777777" w:rsidR="00475C36" w:rsidRPr="00B213CD" w:rsidRDefault="00475C36" w:rsidP="002A750F">
            <w:pPr>
              <w:pStyle w:val="TableText0"/>
              <w:rPr>
                <w:szCs w:val="20"/>
              </w:rPr>
            </w:pPr>
            <w:r w:rsidRPr="00B213CD">
              <w:rPr>
                <w:szCs w:val="20"/>
              </w:rPr>
              <w:t xml:space="preserve">-1.1 (-11.5, 9.2) </w:t>
            </w:r>
          </w:p>
        </w:tc>
      </w:tr>
      <w:tr w:rsidR="00475C36" w:rsidRPr="00B213CD" w14:paraId="2ADABDC7" w14:textId="77777777" w:rsidTr="00B213CD">
        <w:trPr>
          <w:trHeight w:val="20"/>
        </w:trPr>
        <w:tc>
          <w:tcPr>
            <w:tcW w:w="1492" w:type="pct"/>
            <w:tcMar>
              <w:top w:w="15" w:type="dxa"/>
              <w:left w:w="15" w:type="dxa"/>
              <w:right w:w="15" w:type="dxa"/>
            </w:tcMar>
            <w:vAlign w:val="center"/>
          </w:tcPr>
          <w:p w14:paraId="688DC31B" w14:textId="77777777" w:rsidR="00475C36" w:rsidRPr="00B213CD" w:rsidRDefault="00475C36" w:rsidP="002A750F">
            <w:pPr>
              <w:pStyle w:val="TableText0"/>
              <w:rPr>
                <w:szCs w:val="20"/>
              </w:rPr>
            </w:pPr>
            <w:r w:rsidRPr="00B213CD">
              <w:rPr>
                <w:szCs w:val="20"/>
              </w:rPr>
              <w:t>CLL14 (VO)</w:t>
            </w:r>
          </w:p>
        </w:tc>
        <w:tc>
          <w:tcPr>
            <w:tcW w:w="1140" w:type="pct"/>
            <w:tcMar>
              <w:top w:w="15" w:type="dxa"/>
              <w:left w:w="15" w:type="dxa"/>
              <w:right w:w="15" w:type="dxa"/>
            </w:tcMar>
            <w:vAlign w:val="center"/>
          </w:tcPr>
          <w:p w14:paraId="2182DB4C" w14:textId="77777777" w:rsidR="00475C36" w:rsidRPr="00B213CD" w:rsidRDefault="00475C36" w:rsidP="002A750F">
            <w:pPr>
              <w:pStyle w:val="TableText0"/>
              <w:rPr>
                <w:szCs w:val="20"/>
              </w:rPr>
            </w:pPr>
            <w:r w:rsidRPr="00B213CD">
              <w:rPr>
                <w:szCs w:val="20"/>
              </w:rPr>
              <w:t xml:space="preserve">Gompertz </w:t>
            </w:r>
          </w:p>
        </w:tc>
        <w:tc>
          <w:tcPr>
            <w:tcW w:w="988" w:type="pct"/>
            <w:vMerge/>
            <w:tcMar>
              <w:top w:w="15" w:type="dxa"/>
              <w:left w:w="15" w:type="dxa"/>
              <w:right w:w="15" w:type="dxa"/>
            </w:tcMar>
            <w:vAlign w:val="center"/>
          </w:tcPr>
          <w:p w14:paraId="3423A915"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571A667D" w14:textId="77777777" w:rsidR="00475C36" w:rsidRPr="00B213CD" w:rsidRDefault="00475C36" w:rsidP="002A750F">
            <w:pPr>
              <w:pStyle w:val="TableText0"/>
              <w:rPr>
                <w:szCs w:val="20"/>
              </w:rPr>
            </w:pPr>
            <w:r w:rsidRPr="00B213CD">
              <w:rPr>
                <w:szCs w:val="20"/>
              </w:rPr>
              <w:t xml:space="preserve">-0.4 (-9.5, 8.8) </w:t>
            </w:r>
          </w:p>
        </w:tc>
      </w:tr>
      <w:tr w:rsidR="00475C36" w:rsidRPr="00B213CD" w14:paraId="5F4F83F4" w14:textId="77777777" w:rsidTr="00B213CD">
        <w:trPr>
          <w:trHeight w:val="20"/>
        </w:trPr>
        <w:tc>
          <w:tcPr>
            <w:tcW w:w="1492" w:type="pct"/>
            <w:tcMar>
              <w:top w:w="15" w:type="dxa"/>
              <w:left w:w="15" w:type="dxa"/>
              <w:right w:w="15" w:type="dxa"/>
            </w:tcMar>
            <w:vAlign w:val="center"/>
          </w:tcPr>
          <w:p w14:paraId="24AF3224" w14:textId="77777777" w:rsidR="00475C36" w:rsidRPr="00B213CD" w:rsidRDefault="00475C36" w:rsidP="002A750F">
            <w:pPr>
              <w:pStyle w:val="TableText0"/>
              <w:rPr>
                <w:szCs w:val="20"/>
              </w:rPr>
            </w:pPr>
            <w:r w:rsidRPr="00B213CD">
              <w:rPr>
                <w:szCs w:val="20"/>
              </w:rPr>
              <w:t>CAPTIVATE+GLOW (IV)</w:t>
            </w:r>
          </w:p>
        </w:tc>
        <w:tc>
          <w:tcPr>
            <w:tcW w:w="1140" w:type="pct"/>
            <w:tcMar>
              <w:top w:w="15" w:type="dxa"/>
              <w:left w:w="15" w:type="dxa"/>
              <w:right w:w="15" w:type="dxa"/>
            </w:tcMar>
            <w:vAlign w:val="center"/>
          </w:tcPr>
          <w:p w14:paraId="7023676A" w14:textId="77777777" w:rsidR="00475C36" w:rsidRPr="00B213CD" w:rsidRDefault="00475C36" w:rsidP="002A750F">
            <w:pPr>
              <w:pStyle w:val="TableText0"/>
              <w:rPr>
                <w:szCs w:val="20"/>
              </w:rPr>
            </w:pPr>
            <w:r w:rsidRPr="00B213CD">
              <w:rPr>
                <w:szCs w:val="20"/>
              </w:rPr>
              <w:t xml:space="preserve">Exponential </w:t>
            </w:r>
          </w:p>
        </w:tc>
        <w:tc>
          <w:tcPr>
            <w:tcW w:w="988" w:type="pct"/>
            <w:vMerge w:val="restart"/>
            <w:tcMar>
              <w:top w:w="15" w:type="dxa"/>
              <w:left w:w="15" w:type="dxa"/>
              <w:right w:w="15" w:type="dxa"/>
            </w:tcMar>
            <w:vAlign w:val="center"/>
          </w:tcPr>
          <w:p w14:paraId="194353A2" w14:textId="77777777" w:rsidR="00475C36" w:rsidRPr="00B213CD" w:rsidRDefault="00475C36" w:rsidP="002A750F">
            <w:pPr>
              <w:pStyle w:val="TableText0"/>
              <w:rPr>
                <w:rFonts w:eastAsia="Calibri" w:cs="Calibri"/>
                <w:szCs w:val="20"/>
              </w:rPr>
            </w:pPr>
            <w:r w:rsidRPr="00B213CD">
              <w:rPr>
                <w:szCs w:val="20"/>
              </w:rPr>
              <w:t>OS C19</w:t>
            </w:r>
          </w:p>
          <w:p w14:paraId="46EC26B9"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6C965BE0" w14:textId="77777777" w:rsidR="00475C36" w:rsidRPr="00B213CD" w:rsidRDefault="00475C36" w:rsidP="002A750F">
            <w:pPr>
              <w:pStyle w:val="TableText0"/>
              <w:rPr>
                <w:b/>
                <w:bCs w:val="0"/>
                <w:szCs w:val="20"/>
              </w:rPr>
            </w:pPr>
            <w:r w:rsidRPr="00B213CD">
              <w:rPr>
                <w:b/>
                <w:bCs w:val="0"/>
                <w:szCs w:val="20"/>
              </w:rPr>
              <w:t xml:space="preserve">2.0 (0.4, 3.7) </w:t>
            </w:r>
          </w:p>
        </w:tc>
      </w:tr>
      <w:tr w:rsidR="00475C36" w:rsidRPr="00B213CD" w14:paraId="4AA14F21" w14:textId="77777777" w:rsidTr="00B213CD">
        <w:trPr>
          <w:trHeight w:val="20"/>
        </w:trPr>
        <w:tc>
          <w:tcPr>
            <w:tcW w:w="1492" w:type="pct"/>
            <w:tcMar>
              <w:top w:w="15" w:type="dxa"/>
              <w:left w:w="15" w:type="dxa"/>
              <w:right w:w="15" w:type="dxa"/>
            </w:tcMar>
            <w:vAlign w:val="center"/>
          </w:tcPr>
          <w:p w14:paraId="088610EB" w14:textId="77777777" w:rsidR="00475C36" w:rsidRPr="00B213CD" w:rsidRDefault="00475C36" w:rsidP="002A750F">
            <w:pPr>
              <w:pStyle w:val="TableText0"/>
              <w:rPr>
                <w:szCs w:val="20"/>
              </w:rPr>
            </w:pPr>
            <w:r w:rsidRPr="00B213CD">
              <w:rPr>
                <w:szCs w:val="20"/>
              </w:rPr>
              <w:t>GLOW (IV)</w:t>
            </w:r>
          </w:p>
        </w:tc>
        <w:tc>
          <w:tcPr>
            <w:tcW w:w="1140" w:type="pct"/>
            <w:tcMar>
              <w:top w:w="15" w:type="dxa"/>
              <w:left w:w="15" w:type="dxa"/>
              <w:right w:w="15" w:type="dxa"/>
            </w:tcMar>
            <w:vAlign w:val="center"/>
          </w:tcPr>
          <w:p w14:paraId="1A43C2B8" w14:textId="77777777" w:rsidR="00475C36" w:rsidRPr="00B213CD" w:rsidRDefault="00475C36" w:rsidP="002A750F">
            <w:pPr>
              <w:pStyle w:val="TableText0"/>
              <w:rPr>
                <w:szCs w:val="20"/>
              </w:rPr>
            </w:pPr>
            <w:r w:rsidRPr="00B213CD">
              <w:rPr>
                <w:szCs w:val="20"/>
              </w:rPr>
              <w:t xml:space="preserve">Exponential </w:t>
            </w:r>
          </w:p>
        </w:tc>
        <w:tc>
          <w:tcPr>
            <w:tcW w:w="988" w:type="pct"/>
            <w:vMerge/>
            <w:tcMar>
              <w:top w:w="15" w:type="dxa"/>
              <w:left w:w="15" w:type="dxa"/>
              <w:right w:w="15" w:type="dxa"/>
            </w:tcMar>
            <w:vAlign w:val="center"/>
          </w:tcPr>
          <w:p w14:paraId="3491BAED"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55BCE4C5" w14:textId="77777777" w:rsidR="00475C36" w:rsidRPr="00B213CD" w:rsidRDefault="00475C36" w:rsidP="002A750F">
            <w:pPr>
              <w:pStyle w:val="TableText0"/>
              <w:rPr>
                <w:szCs w:val="20"/>
              </w:rPr>
            </w:pPr>
            <w:r w:rsidRPr="00B213CD">
              <w:rPr>
                <w:szCs w:val="20"/>
              </w:rPr>
              <w:t xml:space="preserve">4.5 (-2.5, 11.6) </w:t>
            </w:r>
          </w:p>
        </w:tc>
      </w:tr>
      <w:tr w:rsidR="00475C36" w:rsidRPr="00B213CD" w14:paraId="52D59FAB" w14:textId="77777777" w:rsidTr="00B213CD">
        <w:trPr>
          <w:trHeight w:val="20"/>
        </w:trPr>
        <w:tc>
          <w:tcPr>
            <w:tcW w:w="1492" w:type="pct"/>
            <w:tcMar>
              <w:top w:w="15" w:type="dxa"/>
              <w:left w:w="15" w:type="dxa"/>
              <w:right w:w="15" w:type="dxa"/>
            </w:tcMar>
            <w:vAlign w:val="center"/>
          </w:tcPr>
          <w:p w14:paraId="29657E9B" w14:textId="77777777" w:rsidR="00475C36" w:rsidRPr="00B213CD" w:rsidRDefault="00475C36" w:rsidP="002A750F">
            <w:pPr>
              <w:pStyle w:val="TableText0"/>
              <w:rPr>
                <w:szCs w:val="20"/>
              </w:rPr>
            </w:pPr>
            <w:r w:rsidRPr="00B213CD">
              <w:rPr>
                <w:szCs w:val="20"/>
              </w:rPr>
              <w:t>CLL14 (VO)</w:t>
            </w:r>
          </w:p>
        </w:tc>
        <w:tc>
          <w:tcPr>
            <w:tcW w:w="1140" w:type="pct"/>
            <w:tcMar>
              <w:top w:w="15" w:type="dxa"/>
              <w:left w:w="15" w:type="dxa"/>
              <w:right w:w="15" w:type="dxa"/>
            </w:tcMar>
            <w:vAlign w:val="center"/>
          </w:tcPr>
          <w:p w14:paraId="35B6BD14" w14:textId="77777777" w:rsidR="00475C36" w:rsidRPr="00B213CD" w:rsidRDefault="00475C36" w:rsidP="002A750F">
            <w:pPr>
              <w:pStyle w:val="TableText0"/>
              <w:rPr>
                <w:szCs w:val="20"/>
              </w:rPr>
            </w:pPr>
            <w:r w:rsidRPr="00B213CD">
              <w:rPr>
                <w:szCs w:val="20"/>
              </w:rPr>
              <w:t xml:space="preserve">Exponential </w:t>
            </w:r>
          </w:p>
        </w:tc>
        <w:tc>
          <w:tcPr>
            <w:tcW w:w="988" w:type="pct"/>
            <w:vMerge/>
            <w:tcMar>
              <w:top w:w="15" w:type="dxa"/>
              <w:left w:w="15" w:type="dxa"/>
              <w:right w:w="15" w:type="dxa"/>
            </w:tcMar>
            <w:vAlign w:val="center"/>
          </w:tcPr>
          <w:p w14:paraId="3E8067A8" w14:textId="77777777" w:rsidR="00475C36" w:rsidRPr="00B213CD" w:rsidRDefault="00475C36" w:rsidP="002A750F">
            <w:pPr>
              <w:pStyle w:val="TableText0"/>
              <w:rPr>
                <w:szCs w:val="20"/>
              </w:rPr>
            </w:pPr>
          </w:p>
        </w:tc>
        <w:tc>
          <w:tcPr>
            <w:tcW w:w="1380" w:type="pct"/>
            <w:tcMar>
              <w:top w:w="15" w:type="dxa"/>
              <w:left w:w="15" w:type="dxa"/>
              <w:right w:w="15" w:type="dxa"/>
            </w:tcMar>
            <w:vAlign w:val="center"/>
          </w:tcPr>
          <w:p w14:paraId="5F156522" w14:textId="77777777" w:rsidR="00475C36" w:rsidRPr="00B213CD" w:rsidRDefault="00475C36" w:rsidP="002A750F">
            <w:pPr>
              <w:pStyle w:val="TableText0"/>
              <w:rPr>
                <w:b/>
                <w:bCs w:val="0"/>
                <w:szCs w:val="20"/>
              </w:rPr>
            </w:pPr>
            <w:r w:rsidRPr="00B213CD">
              <w:rPr>
                <w:b/>
                <w:bCs w:val="0"/>
                <w:szCs w:val="20"/>
              </w:rPr>
              <w:t xml:space="preserve">4.9 (0.4, 9.3) </w:t>
            </w:r>
          </w:p>
        </w:tc>
      </w:tr>
    </w:tbl>
    <w:p w14:paraId="685B468C" w14:textId="77777777" w:rsidR="00475C36" w:rsidRPr="00A55C25" w:rsidRDefault="00475C36" w:rsidP="00475C36">
      <w:pPr>
        <w:pStyle w:val="FooterTableFigure"/>
      </w:pPr>
      <w:r w:rsidRPr="00A55C25">
        <w:rPr>
          <w:rFonts w:eastAsia="Calibri"/>
          <w:b/>
        </w:rPr>
        <w:t>Bold</w:t>
      </w:r>
      <w:r w:rsidRPr="00A55C25">
        <w:rPr>
          <w:rFonts w:eastAsia="Calibri"/>
        </w:rPr>
        <w:t xml:space="preserve"> indicates statistically significant results.</w:t>
      </w:r>
    </w:p>
    <w:p w14:paraId="10AE6A7D" w14:textId="77777777" w:rsidR="00475C36" w:rsidRPr="00A55C25" w:rsidRDefault="00475C36" w:rsidP="00475C36">
      <w:pPr>
        <w:pStyle w:val="FooterTableFigure"/>
        <w:spacing w:after="0"/>
        <w:rPr>
          <w:i/>
          <w:iCs/>
          <w:sz w:val="20"/>
        </w:rPr>
      </w:pPr>
      <w:r w:rsidRPr="00A55C25">
        <w:t>Source: Table 2.43, p113 of the submission.</w:t>
      </w:r>
    </w:p>
    <w:p w14:paraId="0E37FA08" w14:textId="236BDC58" w:rsidR="00475C36" w:rsidRPr="00A55C25" w:rsidRDefault="00475C36" w:rsidP="003839B6">
      <w:pPr>
        <w:pStyle w:val="Tablenotes"/>
        <w:spacing w:after="240"/>
        <w:rPr>
          <w:lang w:eastAsia="en-AU"/>
        </w:rPr>
      </w:pPr>
      <w:r w:rsidRPr="00A55C25">
        <w:rPr>
          <w:lang w:eastAsia="en-AU"/>
        </w:rPr>
        <w:t>AV=</w:t>
      </w:r>
      <w:proofErr w:type="spellStart"/>
      <w:r w:rsidRPr="00A55C25">
        <w:rPr>
          <w:lang w:eastAsia="en-AU"/>
        </w:rPr>
        <w:t>acalabrutinib+venetoclax</w:t>
      </w:r>
      <w:proofErr w:type="spellEnd"/>
      <w:r w:rsidRPr="00A55C25">
        <w:rPr>
          <w:lang w:eastAsia="en-AU"/>
        </w:rPr>
        <w:t xml:space="preserve">; C19=COVID-19; Diff=difference; </w:t>
      </w:r>
      <w:r w:rsidR="006176E0" w:rsidRPr="00A55C25">
        <w:rPr>
          <w:lang w:eastAsia="en-AU"/>
        </w:rPr>
        <w:t xml:space="preserve">IRC=Independent Review Committee; </w:t>
      </w:r>
      <w:r w:rsidRPr="00A55C25">
        <w:rPr>
          <w:lang w:eastAsia="en-AU"/>
        </w:rPr>
        <w:t>IV=</w:t>
      </w:r>
      <w:proofErr w:type="spellStart"/>
      <w:r w:rsidRPr="00A55C25">
        <w:rPr>
          <w:lang w:eastAsia="en-AU"/>
        </w:rPr>
        <w:t>ibrutinib+venetoclax</w:t>
      </w:r>
      <w:proofErr w:type="spellEnd"/>
      <w:r w:rsidRPr="00A55C25">
        <w:rPr>
          <w:lang w:eastAsia="en-AU"/>
        </w:rPr>
        <w:t>; OS=overall survival; PFS=progression free survival; RMST=</w:t>
      </w:r>
      <w:r w:rsidRPr="00A55C25">
        <w:t xml:space="preserve"> </w:t>
      </w:r>
      <w:r w:rsidRPr="00A55C25">
        <w:rPr>
          <w:lang w:eastAsia="en-AU"/>
        </w:rPr>
        <w:t>restricted mean survival time; STC=</w:t>
      </w:r>
      <w:r w:rsidRPr="00A55C25">
        <w:t xml:space="preserve"> </w:t>
      </w:r>
      <w:r w:rsidRPr="00A55C25">
        <w:rPr>
          <w:lang w:eastAsia="en-AU"/>
        </w:rPr>
        <w:t>simulated treatment comparison; VO=</w:t>
      </w:r>
      <w:proofErr w:type="spellStart"/>
      <w:r w:rsidRPr="00A55C25">
        <w:rPr>
          <w:lang w:eastAsia="en-AU"/>
        </w:rPr>
        <w:t>venetoclax+obinutuzumab</w:t>
      </w:r>
      <w:proofErr w:type="spellEnd"/>
      <w:r w:rsidRPr="00A55C25">
        <w:rPr>
          <w:lang w:eastAsia="en-AU"/>
        </w:rPr>
        <w:t>.</w:t>
      </w:r>
    </w:p>
    <w:p w14:paraId="0283BCC5" w14:textId="3AF409A3" w:rsidR="00475C36" w:rsidRPr="00A55C25" w:rsidRDefault="001F78A9" w:rsidP="00A01FDD">
      <w:pPr>
        <w:pStyle w:val="3-BodyText"/>
        <w:numPr>
          <w:ilvl w:val="1"/>
          <w:numId w:val="1"/>
        </w:numPr>
      </w:pPr>
      <w:r w:rsidRPr="00A55C25">
        <w:t>The results of the STC generally showed no statistically significant differences between AV versus IV and VO in terms of PFS RMST or OS RMST, after adjusting for difference</w:t>
      </w:r>
      <w:r w:rsidR="005B1F98" w:rsidRPr="00A55C25">
        <w:t>s</w:t>
      </w:r>
      <w:r w:rsidRPr="00A55C25">
        <w:t xml:space="preserve"> in patient characteristics across the trials. The one exception was STC </w:t>
      </w:r>
      <w:r w:rsidR="00592DED" w:rsidRPr="00A55C25">
        <w:t>using</w:t>
      </w:r>
      <w:r w:rsidRPr="00A55C25">
        <w:t xml:space="preserve"> AMPLIFY </w:t>
      </w:r>
      <w:r w:rsidR="00592DED" w:rsidRPr="00A55C25">
        <w:t xml:space="preserve">data </w:t>
      </w:r>
      <w:r w:rsidRPr="00A55C25">
        <w:t>adjusted for COVID-19</w:t>
      </w:r>
      <w:r w:rsidR="00592DED" w:rsidRPr="00A55C25">
        <w:t xml:space="preserve"> deaths</w:t>
      </w:r>
      <w:r w:rsidRPr="00A55C25">
        <w:t xml:space="preserve">, which </w:t>
      </w:r>
      <w:r w:rsidR="00A01FDD" w:rsidRPr="00A55C25">
        <w:t>showed a significant improvement in OS for AV versus VO and IV.</w:t>
      </w:r>
    </w:p>
    <w:p w14:paraId="337A7FBE" w14:textId="7BB4EC60" w:rsidR="00A01FDD" w:rsidRPr="00A55C25" w:rsidRDefault="00475C36" w:rsidP="00475C36">
      <w:pPr>
        <w:pStyle w:val="3-BodyText"/>
        <w:numPr>
          <w:ilvl w:val="1"/>
          <w:numId w:val="1"/>
        </w:numPr>
      </w:pPr>
      <w:r w:rsidRPr="00A55C25">
        <w:t xml:space="preserve">The STC was considered highly uncertain and should be interpreted with caution </w:t>
      </w:r>
      <w:r w:rsidR="007071C8" w:rsidRPr="00A55C25">
        <w:t>for the following reasons</w:t>
      </w:r>
      <w:r w:rsidRPr="00A55C25">
        <w:t xml:space="preserve">: </w:t>
      </w:r>
    </w:p>
    <w:p w14:paraId="62628FC3" w14:textId="45B39524" w:rsidR="00A01FDD" w:rsidRPr="00A55C25" w:rsidRDefault="007071C8" w:rsidP="00A900A7">
      <w:pPr>
        <w:pStyle w:val="3-BodyText"/>
        <w:numPr>
          <w:ilvl w:val="0"/>
          <w:numId w:val="7"/>
        </w:numPr>
      </w:pPr>
      <w:r w:rsidRPr="00A55C25">
        <w:t xml:space="preserve">there was a </w:t>
      </w:r>
      <w:r w:rsidR="00475C36" w:rsidRPr="00A55C25">
        <w:t xml:space="preserve">lack of transparency in reporting, with </w:t>
      </w:r>
      <w:r w:rsidR="00A01FDD" w:rsidRPr="00A55C25">
        <w:t xml:space="preserve">no </w:t>
      </w:r>
      <w:r w:rsidR="00475C36" w:rsidRPr="00A55C25">
        <w:t>detail</w:t>
      </w:r>
      <w:r w:rsidR="00A01FDD" w:rsidRPr="00A55C25">
        <w:t xml:space="preserve"> provided in the submission on the number of</w:t>
      </w:r>
      <w:r w:rsidR="00475C36" w:rsidRPr="00A55C25">
        <w:t xml:space="preserve"> parametric functions</w:t>
      </w:r>
      <w:r w:rsidR="00A01FDD" w:rsidRPr="00A55C25">
        <w:t xml:space="preserve"> tested</w:t>
      </w:r>
      <w:r w:rsidR="00475C36" w:rsidRPr="00A55C25">
        <w:t xml:space="preserve">, </w:t>
      </w:r>
      <w:r w:rsidR="00A01FDD" w:rsidRPr="00A55C25">
        <w:t xml:space="preserve">the covariates included in the final model, the </w:t>
      </w:r>
      <w:r w:rsidR="00475C36" w:rsidRPr="00A55C25">
        <w:t xml:space="preserve">regression coefficients, </w:t>
      </w:r>
      <w:r w:rsidR="00A01FDD" w:rsidRPr="00A55C25">
        <w:t xml:space="preserve">the </w:t>
      </w:r>
      <w:r w:rsidR="00475C36" w:rsidRPr="00A55C25">
        <w:t xml:space="preserve">predictive performance </w:t>
      </w:r>
      <w:r w:rsidR="00A01FDD" w:rsidRPr="00A55C25">
        <w:t xml:space="preserve">or the method used to estimate </w:t>
      </w:r>
      <w:r w:rsidR="00475C36" w:rsidRPr="00A55C25">
        <w:t xml:space="preserve">confidence </w:t>
      </w:r>
      <w:proofErr w:type="gramStart"/>
      <w:r w:rsidR="00475C36" w:rsidRPr="00A55C25">
        <w:t>intervals;</w:t>
      </w:r>
      <w:proofErr w:type="gramEnd"/>
    </w:p>
    <w:p w14:paraId="466D9DB4" w14:textId="2030AA1B" w:rsidR="00A01FDD" w:rsidRPr="00A55C25" w:rsidRDefault="007071C8" w:rsidP="00A900A7">
      <w:pPr>
        <w:pStyle w:val="3-BodyText"/>
        <w:numPr>
          <w:ilvl w:val="0"/>
          <w:numId w:val="7"/>
        </w:numPr>
      </w:pPr>
      <w:r w:rsidRPr="00A55C25">
        <w:t>the analysis was unlikely to control for all important prognostic factors, given the limited number of common covariates across the trials, which is a key assumption of the methodology.</w:t>
      </w:r>
      <w:r w:rsidR="00475C36" w:rsidRPr="00A55C25">
        <w:t xml:space="preserve"> </w:t>
      </w:r>
    </w:p>
    <w:p w14:paraId="032FA7E1" w14:textId="29101B48" w:rsidR="00A01FDD" w:rsidRPr="00A55C25" w:rsidRDefault="007071C8" w:rsidP="00A900A7">
      <w:pPr>
        <w:pStyle w:val="3-BodyText"/>
        <w:numPr>
          <w:ilvl w:val="0"/>
          <w:numId w:val="7"/>
        </w:numPr>
      </w:pPr>
      <w:r w:rsidRPr="00A55C25">
        <w:t xml:space="preserve">the </w:t>
      </w:r>
      <w:r w:rsidR="00475C36" w:rsidRPr="00A55C25">
        <w:t xml:space="preserve">limited population overlap between AMPLIFY and comparator trials, </w:t>
      </w:r>
      <w:r w:rsidRPr="00A55C25">
        <w:t>which increases uncertainty due to out-of-sample extrapolation, which is another key assumption of the methodology</w:t>
      </w:r>
      <w:r w:rsidR="00475C36" w:rsidRPr="00A55C25">
        <w:t xml:space="preserve">; and </w:t>
      </w:r>
    </w:p>
    <w:p w14:paraId="12ED80C6" w14:textId="22A0D141" w:rsidR="00475C36" w:rsidRPr="00A55C25" w:rsidRDefault="007071C8" w:rsidP="00A900A7">
      <w:pPr>
        <w:pStyle w:val="3-BodyText"/>
        <w:numPr>
          <w:ilvl w:val="0"/>
          <w:numId w:val="7"/>
        </w:numPr>
      </w:pPr>
      <w:r w:rsidRPr="00A55C25">
        <w:t xml:space="preserve">the COVID-19 adjusted analysis </w:t>
      </w:r>
      <w:r w:rsidR="00992300" w:rsidRPr="00A55C25">
        <w:t xml:space="preserve">was considered highly uncertain due to the very small number of </w:t>
      </w:r>
      <w:r w:rsidRPr="00A55C25">
        <w:t xml:space="preserve">covariates </w:t>
      </w:r>
      <w:r w:rsidR="003702FD" w:rsidRPr="00A55C25">
        <w:t>included, ‘chosen’</w:t>
      </w:r>
      <w:r w:rsidRPr="00A55C25">
        <w:t xml:space="preserve"> without clear justification, and </w:t>
      </w:r>
      <w:r w:rsidR="00992300" w:rsidRPr="00A55C25">
        <w:t>very few deaths in AMPLIFY after COVID censoring (i.e., few degrees of freedom</w:t>
      </w:r>
      <w:r w:rsidR="0073773B" w:rsidRPr="00A55C25">
        <w:t xml:space="preserve"> to estimate a robust model</w:t>
      </w:r>
      <w:r w:rsidR="00992300" w:rsidRPr="00A55C25">
        <w:t>). T</w:t>
      </w:r>
      <w:r w:rsidRPr="00A55C25">
        <w:t xml:space="preserve">he </w:t>
      </w:r>
      <w:r w:rsidR="00696BBA" w:rsidRPr="00A55C25">
        <w:t xml:space="preserve">magnitude of the </w:t>
      </w:r>
      <w:r w:rsidR="00A7742A" w:rsidRPr="00A55C25">
        <w:t>treatment effect compared to the unadjusted analysis</w:t>
      </w:r>
      <w:r w:rsidRPr="00A55C25">
        <w:t xml:space="preserve"> </w:t>
      </w:r>
      <w:r w:rsidR="00992300" w:rsidRPr="00A55C25">
        <w:t xml:space="preserve">also </w:t>
      </w:r>
      <w:r w:rsidRPr="00A55C25">
        <w:t xml:space="preserve">lacked face validity given very few patients died in the AV arm of AMPLIFY and the COVID adjustment </w:t>
      </w:r>
      <w:r w:rsidR="00BB4B73" w:rsidRPr="00A55C25">
        <w:t xml:space="preserve">reported in the AMPLIFY CSR </w:t>
      </w:r>
      <w:r w:rsidRPr="00A55C25">
        <w:t>had negligible impact on the mortality rate.</w:t>
      </w:r>
      <w:r w:rsidR="00992300" w:rsidRPr="00A55C25">
        <w:t xml:space="preserve"> </w:t>
      </w:r>
    </w:p>
    <w:p w14:paraId="3C71F00B" w14:textId="77777777" w:rsidR="00475C36" w:rsidRPr="00A55C25" w:rsidRDefault="00475C36" w:rsidP="00475C36">
      <w:pPr>
        <w:pStyle w:val="4-SubsectionHeading"/>
      </w:pPr>
      <w:bookmarkStart w:id="32" w:name="_Toc207957917"/>
      <w:r w:rsidRPr="00A55C25">
        <w:lastRenderedPageBreak/>
        <w:t>Comparative harms</w:t>
      </w:r>
      <w:bookmarkEnd w:id="32"/>
    </w:p>
    <w:p w14:paraId="394EAB38" w14:textId="3F285B16" w:rsidR="009D6101" w:rsidRPr="00A55C25" w:rsidRDefault="009D6101" w:rsidP="009D6101">
      <w:pPr>
        <w:pStyle w:val="3-BodyText"/>
        <w:rPr>
          <w:b/>
          <w:bCs/>
        </w:rPr>
      </w:pPr>
      <w:r w:rsidRPr="00A55C25">
        <w:rPr>
          <w:b/>
          <w:bCs/>
        </w:rPr>
        <w:t>Anchored (Bucher) ITC: AV versus VO</w:t>
      </w:r>
    </w:p>
    <w:p w14:paraId="3847098E" w14:textId="74BB2DA5" w:rsidR="00475C36" w:rsidRPr="00A55C25" w:rsidRDefault="00CD357F" w:rsidP="00475C36">
      <w:pPr>
        <w:pStyle w:val="3-BodyText"/>
        <w:numPr>
          <w:ilvl w:val="1"/>
          <w:numId w:val="1"/>
        </w:numPr>
      </w:pPr>
      <w:r w:rsidRPr="00A55C25">
        <w:fldChar w:fldCharType="begin"/>
      </w:r>
      <w:r w:rsidRPr="00A55C25">
        <w:instrText xml:space="preserve"> REF _Ref206509647 \h </w:instrText>
      </w:r>
      <w:r w:rsidRPr="00A55C25">
        <w:fldChar w:fldCharType="separate"/>
      </w:r>
      <w:r w:rsidR="00717804" w:rsidRPr="00A55C25">
        <w:t xml:space="preserve">Table </w:t>
      </w:r>
      <w:r w:rsidR="00717804">
        <w:rPr>
          <w:noProof/>
        </w:rPr>
        <w:t>6</w:t>
      </w:r>
      <w:r w:rsidRPr="00A55C25">
        <w:fldChar w:fldCharType="end"/>
      </w:r>
      <w:r w:rsidRPr="00A55C25">
        <w:t xml:space="preserve"> presents the results of an anchored (Bucher) ITC between </w:t>
      </w:r>
      <w:r w:rsidR="00475C36" w:rsidRPr="00A55C25">
        <w:t xml:space="preserve">AV (AMPLIFY) </w:t>
      </w:r>
      <w:r w:rsidRPr="00A55C25">
        <w:t xml:space="preserve">versus </w:t>
      </w:r>
      <w:r w:rsidR="00475C36" w:rsidRPr="00A55C25">
        <w:t>VO (CLL13)</w:t>
      </w:r>
      <w:r w:rsidR="007F0C76" w:rsidRPr="00A55C25">
        <w:t xml:space="preserve"> </w:t>
      </w:r>
      <w:r w:rsidRPr="00A55C25">
        <w:t>in terms of safety outcomes</w:t>
      </w:r>
      <w:r w:rsidR="00475C36" w:rsidRPr="00A55C25">
        <w:t>.</w:t>
      </w:r>
    </w:p>
    <w:p w14:paraId="1846623B" w14:textId="64DAF6CC" w:rsidR="00475C36" w:rsidRPr="00A55C25" w:rsidRDefault="00475C36" w:rsidP="00475C36">
      <w:pPr>
        <w:pStyle w:val="Caption"/>
      </w:pPr>
      <w:bookmarkStart w:id="33" w:name="_Ref206509647"/>
      <w:r w:rsidRPr="00A55C25">
        <w:t xml:space="preserve">Table </w:t>
      </w:r>
      <w:r w:rsidR="00C92B8D">
        <w:fldChar w:fldCharType="begin"/>
      </w:r>
      <w:r w:rsidR="00C92B8D">
        <w:instrText xml:space="preserve"> SEQ Table \* ARABIC </w:instrText>
      </w:r>
      <w:r w:rsidR="00C92B8D">
        <w:fldChar w:fldCharType="separate"/>
      </w:r>
      <w:r w:rsidR="00717804">
        <w:rPr>
          <w:noProof/>
        </w:rPr>
        <w:t>6</w:t>
      </w:r>
      <w:r w:rsidR="00C92B8D">
        <w:fldChar w:fldCharType="end"/>
      </w:r>
      <w:bookmarkEnd w:id="33"/>
      <w:r w:rsidRPr="00A55C25">
        <w:t>: Summary of key adverse events across trials and the results of the anchored ITC</w:t>
      </w:r>
      <w:r w:rsidR="003F59E8" w:rsidRPr="00A55C25">
        <w:t xml:space="preserve">: AMPLIFY (AV, </w:t>
      </w:r>
      <w:r w:rsidR="009D6101" w:rsidRPr="00A55C25">
        <w:t>‘</w:t>
      </w:r>
      <w:r w:rsidR="003F59E8" w:rsidRPr="00A55C25">
        <w:t>fit</w:t>
      </w:r>
      <w:r w:rsidR="009D6101" w:rsidRPr="00A55C25">
        <w:t>’</w:t>
      </w:r>
      <w:r w:rsidR="003F59E8" w:rsidRPr="00A55C25">
        <w:t xml:space="preserve"> patients) vs CLL13 (VO, </w:t>
      </w:r>
      <w:r w:rsidR="009D6101" w:rsidRPr="00A55C25">
        <w:t>‘</w:t>
      </w:r>
      <w:r w:rsidR="003F59E8" w:rsidRPr="00A55C25">
        <w:t>fit</w:t>
      </w:r>
      <w:r w:rsidR="009D6101" w:rsidRPr="00A55C25">
        <w:t>’</w:t>
      </w:r>
      <w:r w:rsidR="003F59E8" w:rsidRPr="00A55C25">
        <w:t xml:space="preserve"> pat</w:t>
      </w:r>
      <w:r w:rsidR="005B1F98" w:rsidRPr="00A55C25">
        <w:t>i</w:t>
      </w:r>
      <w:r w:rsidR="003F59E8" w:rsidRPr="00A55C25">
        <w:t>ents)</w:t>
      </w:r>
    </w:p>
    <w:tbl>
      <w:tblPr>
        <w:tblStyle w:val="TableGrid"/>
        <w:tblW w:w="5000" w:type="pct"/>
        <w:tblCellMar>
          <w:left w:w="28" w:type="dxa"/>
          <w:right w:w="28" w:type="dxa"/>
        </w:tblCellMar>
        <w:tblLook w:val="04A0" w:firstRow="1" w:lastRow="0" w:firstColumn="1" w:lastColumn="0" w:noHBand="0" w:noVBand="1"/>
        <w:tblCaption w:val="Table 6: Summary of key adverse events across trials and the results of the anchored ITC: AMPLIFY (AV, ‘fit’ patients) vs CLL13 (VO, ‘fit’ patients)"/>
      </w:tblPr>
      <w:tblGrid>
        <w:gridCol w:w="1554"/>
        <w:gridCol w:w="851"/>
        <w:gridCol w:w="851"/>
        <w:gridCol w:w="922"/>
        <w:gridCol w:w="923"/>
        <w:gridCol w:w="1306"/>
        <w:gridCol w:w="1306"/>
        <w:gridCol w:w="1304"/>
      </w:tblGrid>
      <w:tr w:rsidR="008C4508" w:rsidRPr="00B213CD" w14:paraId="516463BA" w14:textId="77777777" w:rsidTr="00B213CD">
        <w:trPr>
          <w:trHeight w:val="20"/>
          <w:tblHeader/>
        </w:trPr>
        <w:tc>
          <w:tcPr>
            <w:tcW w:w="862" w:type="pct"/>
            <w:vAlign w:val="center"/>
          </w:tcPr>
          <w:p w14:paraId="5F333C83" w14:textId="77777777" w:rsidR="00475C36" w:rsidRPr="00B213CD" w:rsidRDefault="00475C36" w:rsidP="002A750F">
            <w:pPr>
              <w:pStyle w:val="Tabletext"/>
              <w:jc w:val="center"/>
              <w:rPr>
                <w:b/>
                <w:bCs/>
                <w:szCs w:val="20"/>
              </w:rPr>
            </w:pPr>
            <w:r w:rsidRPr="00B213CD">
              <w:rPr>
                <w:b/>
                <w:bCs/>
                <w:szCs w:val="20"/>
              </w:rPr>
              <w:t>Trial</w:t>
            </w:r>
          </w:p>
        </w:tc>
        <w:tc>
          <w:tcPr>
            <w:tcW w:w="944" w:type="pct"/>
            <w:gridSpan w:val="2"/>
            <w:vAlign w:val="center"/>
          </w:tcPr>
          <w:p w14:paraId="4BA54794" w14:textId="77777777" w:rsidR="00475C36" w:rsidRPr="00B213CD" w:rsidRDefault="00475C36" w:rsidP="002A750F">
            <w:pPr>
              <w:pStyle w:val="Tabletext"/>
              <w:jc w:val="center"/>
              <w:rPr>
                <w:b/>
                <w:bCs/>
                <w:szCs w:val="20"/>
              </w:rPr>
            </w:pPr>
            <w:r w:rsidRPr="00B213CD">
              <w:rPr>
                <w:b/>
                <w:bCs/>
                <w:szCs w:val="20"/>
              </w:rPr>
              <w:t xml:space="preserve">AMPLIFY </w:t>
            </w:r>
            <w:r w:rsidRPr="00B213CD">
              <w:rPr>
                <w:b/>
                <w:bCs/>
                <w:szCs w:val="20"/>
                <w:vertAlign w:val="superscript"/>
              </w:rPr>
              <w:t>a</w:t>
            </w:r>
          </w:p>
        </w:tc>
        <w:tc>
          <w:tcPr>
            <w:tcW w:w="1023" w:type="pct"/>
            <w:gridSpan w:val="2"/>
            <w:vAlign w:val="center"/>
          </w:tcPr>
          <w:p w14:paraId="1EB7D860" w14:textId="77777777" w:rsidR="00475C36" w:rsidRPr="00B213CD" w:rsidRDefault="00475C36" w:rsidP="002A750F">
            <w:pPr>
              <w:pStyle w:val="Tabletext"/>
              <w:jc w:val="center"/>
              <w:rPr>
                <w:b/>
                <w:bCs/>
                <w:szCs w:val="20"/>
              </w:rPr>
            </w:pPr>
            <w:r w:rsidRPr="00B213CD">
              <w:rPr>
                <w:b/>
                <w:bCs/>
                <w:szCs w:val="20"/>
              </w:rPr>
              <w:t>CLL13</w:t>
            </w:r>
          </w:p>
        </w:tc>
        <w:tc>
          <w:tcPr>
            <w:tcW w:w="724" w:type="pct"/>
            <w:vMerge w:val="restart"/>
            <w:vAlign w:val="center"/>
          </w:tcPr>
          <w:p w14:paraId="0DF4AC07" w14:textId="77777777" w:rsidR="00475C36" w:rsidRPr="00B213CD" w:rsidRDefault="00475C36" w:rsidP="002A750F">
            <w:pPr>
              <w:pStyle w:val="Tabletext"/>
              <w:jc w:val="center"/>
              <w:rPr>
                <w:b/>
                <w:bCs/>
                <w:szCs w:val="20"/>
              </w:rPr>
            </w:pPr>
            <w:r w:rsidRPr="00B213CD">
              <w:rPr>
                <w:b/>
                <w:bCs/>
                <w:szCs w:val="20"/>
              </w:rPr>
              <w:t xml:space="preserve">OR </w:t>
            </w:r>
            <w:r w:rsidRPr="00B213CD">
              <w:rPr>
                <w:b/>
                <w:bCs/>
                <w:szCs w:val="20"/>
              </w:rPr>
              <w:br/>
              <w:t>(95%CI)</w:t>
            </w:r>
          </w:p>
        </w:tc>
        <w:tc>
          <w:tcPr>
            <w:tcW w:w="724" w:type="pct"/>
            <w:vMerge w:val="restart"/>
            <w:vAlign w:val="center"/>
          </w:tcPr>
          <w:p w14:paraId="7E783127" w14:textId="77777777" w:rsidR="00475C36" w:rsidRPr="00B213CD" w:rsidRDefault="00475C36" w:rsidP="002A750F">
            <w:pPr>
              <w:pStyle w:val="Tabletext"/>
              <w:jc w:val="center"/>
              <w:rPr>
                <w:b/>
                <w:bCs/>
                <w:szCs w:val="20"/>
              </w:rPr>
            </w:pPr>
            <w:r w:rsidRPr="00B213CD">
              <w:rPr>
                <w:b/>
                <w:bCs/>
                <w:szCs w:val="20"/>
              </w:rPr>
              <w:t xml:space="preserve">RR </w:t>
            </w:r>
            <w:r w:rsidRPr="00B213CD">
              <w:rPr>
                <w:b/>
                <w:bCs/>
                <w:szCs w:val="20"/>
              </w:rPr>
              <w:br/>
              <w:t>(95%CI)</w:t>
            </w:r>
          </w:p>
        </w:tc>
        <w:tc>
          <w:tcPr>
            <w:tcW w:w="723" w:type="pct"/>
            <w:vMerge w:val="restart"/>
            <w:vAlign w:val="center"/>
          </w:tcPr>
          <w:p w14:paraId="6402903D" w14:textId="77777777" w:rsidR="00475C36" w:rsidRPr="00B213CD" w:rsidRDefault="00475C36" w:rsidP="002A750F">
            <w:pPr>
              <w:pStyle w:val="Tabletext"/>
              <w:jc w:val="center"/>
              <w:rPr>
                <w:b/>
                <w:bCs/>
                <w:szCs w:val="20"/>
              </w:rPr>
            </w:pPr>
            <w:r w:rsidRPr="00B213CD">
              <w:rPr>
                <w:b/>
                <w:bCs/>
                <w:szCs w:val="20"/>
              </w:rPr>
              <w:t>Risk Diff % (95%CI)</w:t>
            </w:r>
          </w:p>
        </w:tc>
      </w:tr>
      <w:tr w:rsidR="008C4508" w:rsidRPr="00B213CD" w14:paraId="73660C8B" w14:textId="77777777" w:rsidTr="00B213CD">
        <w:trPr>
          <w:trHeight w:val="20"/>
          <w:tblHeader/>
        </w:trPr>
        <w:tc>
          <w:tcPr>
            <w:tcW w:w="862" w:type="pct"/>
            <w:vAlign w:val="center"/>
          </w:tcPr>
          <w:p w14:paraId="1352C22C" w14:textId="77777777" w:rsidR="00475C36" w:rsidRPr="00B213CD" w:rsidRDefault="00475C36" w:rsidP="002A750F">
            <w:pPr>
              <w:pStyle w:val="Tabletext"/>
              <w:jc w:val="center"/>
              <w:rPr>
                <w:b/>
                <w:bCs/>
                <w:szCs w:val="20"/>
              </w:rPr>
            </w:pPr>
            <w:r w:rsidRPr="00B213CD">
              <w:rPr>
                <w:b/>
                <w:bCs/>
                <w:szCs w:val="20"/>
              </w:rPr>
              <w:t>Arm (N)</w:t>
            </w:r>
          </w:p>
        </w:tc>
        <w:tc>
          <w:tcPr>
            <w:tcW w:w="472" w:type="pct"/>
            <w:vAlign w:val="center"/>
          </w:tcPr>
          <w:p w14:paraId="68EFBF2A" w14:textId="77777777" w:rsidR="00475C36" w:rsidRPr="00B213CD" w:rsidRDefault="00475C36" w:rsidP="002A750F">
            <w:pPr>
              <w:pStyle w:val="Tabletext"/>
              <w:jc w:val="center"/>
              <w:rPr>
                <w:b/>
                <w:bCs/>
                <w:szCs w:val="20"/>
              </w:rPr>
            </w:pPr>
            <w:r w:rsidRPr="00B213CD">
              <w:rPr>
                <w:b/>
                <w:bCs/>
                <w:szCs w:val="20"/>
              </w:rPr>
              <w:t xml:space="preserve">AV </w:t>
            </w:r>
            <w:r w:rsidRPr="00B213CD">
              <w:rPr>
                <w:b/>
                <w:bCs/>
                <w:szCs w:val="20"/>
              </w:rPr>
              <w:br/>
              <w:t>(291)</w:t>
            </w:r>
          </w:p>
        </w:tc>
        <w:tc>
          <w:tcPr>
            <w:tcW w:w="472" w:type="pct"/>
            <w:vAlign w:val="center"/>
          </w:tcPr>
          <w:p w14:paraId="50859C67" w14:textId="77777777" w:rsidR="00475C36" w:rsidRPr="00B213CD" w:rsidRDefault="00475C36" w:rsidP="002A750F">
            <w:pPr>
              <w:pStyle w:val="Tabletext"/>
              <w:jc w:val="center"/>
              <w:rPr>
                <w:b/>
                <w:bCs/>
                <w:szCs w:val="20"/>
              </w:rPr>
            </w:pPr>
            <w:r w:rsidRPr="00B213CD">
              <w:rPr>
                <w:b/>
                <w:bCs/>
                <w:szCs w:val="20"/>
              </w:rPr>
              <w:t>FCR/BR (259)</w:t>
            </w:r>
          </w:p>
        </w:tc>
        <w:tc>
          <w:tcPr>
            <w:tcW w:w="511" w:type="pct"/>
            <w:vAlign w:val="center"/>
          </w:tcPr>
          <w:p w14:paraId="30CDF5B5" w14:textId="77777777" w:rsidR="00475C36" w:rsidRPr="00B213CD" w:rsidRDefault="00475C36" w:rsidP="002A750F">
            <w:pPr>
              <w:pStyle w:val="Tabletext"/>
              <w:jc w:val="center"/>
              <w:rPr>
                <w:b/>
                <w:bCs/>
                <w:szCs w:val="20"/>
              </w:rPr>
            </w:pPr>
            <w:r w:rsidRPr="00B213CD">
              <w:rPr>
                <w:b/>
                <w:bCs/>
                <w:szCs w:val="20"/>
              </w:rPr>
              <w:t xml:space="preserve">VO </w:t>
            </w:r>
            <w:r w:rsidRPr="00B213CD">
              <w:rPr>
                <w:b/>
                <w:bCs/>
                <w:szCs w:val="20"/>
              </w:rPr>
              <w:br/>
              <w:t>(228)</w:t>
            </w:r>
          </w:p>
        </w:tc>
        <w:tc>
          <w:tcPr>
            <w:tcW w:w="512" w:type="pct"/>
            <w:vAlign w:val="center"/>
          </w:tcPr>
          <w:p w14:paraId="6857F5DF" w14:textId="77777777" w:rsidR="00475C36" w:rsidRPr="00B213CD" w:rsidRDefault="00475C36" w:rsidP="002A750F">
            <w:pPr>
              <w:pStyle w:val="Tabletext"/>
              <w:jc w:val="center"/>
              <w:rPr>
                <w:b/>
                <w:bCs/>
                <w:szCs w:val="20"/>
              </w:rPr>
            </w:pPr>
            <w:r w:rsidRPr="00B213CD">
              <w:rPr>
                <w:b/>
                <w:bCs/>
                <w:szCs w:val="20"/>
              </w:rPr>
              <w:t>FCR/BR (216)</w:t>
            </w:r>
          </w:p>
        </w:tc>
        <w:tc>
          <w:tcPr>
            <w:tcW w:w="724" w:type="pct"/>
            <w:vMerge/>
            <w:vAlign w:val="center"/>
          </w:tcPr>
          <w:p w14:paraId="1180530B" w14:textId="77777777" w:rsidR="00475C36" w:rsidRPr="00B213CD" w:rsidRDefault="00475C36" w:rsidP="002A750F">
            <w:pPr>
              <w:pStyle w:val="Tabletext"/>
              <w:jc w:val="center"/>
              <w:rPr>
                <w:b/>
                <w:bCs/>
                <w:szCs w:val="20"/>
              </w:rPr>
            </w:pPr>
          </w:p>
        </w:tc>
        <w:tc>
          <w:tcPr>
            <w:tcW w:w="724" w:type="pct"/>
            <w:vMerge/>
            <w:vAlign w:val="center"/>
          </w:tcPr>
          <w:p w14:paraId="02FE771C" w14:textId="77777777" w:rsidR="00475C36" w:rsidRPr="00B213CD" w:rsidRDefault="00475C36" w:rsidP="002A750F">
            <w:pPr>
              <w:pStyle w:val="Tabletext"/>
              <w:jc w:val="center"/>
              <w:rPr>
                <w:b/>
                <w:bCs/>
                <w:szCs w:val="20"/>
              </w:rPr>
            </w:pPr>
          </w:p>
        </w:tc>
        <w:tc>
          <w:tcPr>
            <w:tcW w:w="723" w:type="pct"/>
            <w:vMerge/>
            <w:vAlign w:val="center"/>
          </w:tcPr>
          <w:p w14:paraId="772C23CB" w14:textId="77777777" w:rsidR="00475C36" w:rsidRPr="00B213CD" w:rsidRDefault="00475C36" w:rsidP="002A750F">
            <w:pPr>
              <w:pStyle w:val="Tabletext"/>
              <w:jc w:val="center"/>
              <w:rPr>
                <w:b/>
                <w:bCs/>
                <w:szCs w:val="20"/>
              </w:rPr>
            </w:pPr>
          </w:p>
        </w:tc>
      </w:tr>
      <w:tr w:rsidR="00475C36" w:rsidRPr="00B213CD" w14:paraId="42E0D457" w14:textId="77777777" w:rsidTr="00B213CD">
        <w:trPr>
          <w:trHeight w:val="20"/>
        </w:trPr>
        <w:tc>
          <w:tcPr>
            <w:tcW w:w="5000" w:type="pct"/>
            <w:gridSpan w:val="8"/>
            <w:vAlign w:val="center"/>
          </w:tcPr>
          <w:p w14:paraId="545E5B49" w14:textId="77777777" w:rsidR="00475C36" w:rsidRPr="00B213CD" w:rsidRDefault="00475C36" w:rsidP="002A750F">
            <w:pPr>
              <w:pStyle w:val="Tabletext"/>
              <w:rPr>
                <w:b/>
                <w:bCs/>
                <w:szCs w:val="20"/>
              </w:rPr>
            </w:pPr>
            <w:r w:rsidRPr="00B213CD">
              <w:rPr>
                <w:b/>
                <w:bCs/>
                <w:szCs w:val="20"/>
              </w:rPr>
              <w:t>AE category, n (%)</w:t>
            </w:r>
          </w:p>
        </w:tc>
      </w:tr>
      <w:tr w:rsidR="00A11706" w:rsidRPr="00B213CD" w14:paraId="14CAD5A8" w14:textId="77777777" w:rsidTr="00B213CD">
        <w:trPr>
          <w:trHeight w:val="20"/>
        </w:trPr>
        <w:tc>
          <w:tcPr>
            <w:tcW w:w="862" w:type="pct"/>
            <w:vAlign w:val="center"/>
          </w:tcPr>
          <w:p w14:paraId="463ED8C2" w14:textId="77777777" w:rsidR="00A11706" w:rsidRPr="00B213CD" w:rsidRDefault="00A11706" w:rsidP="00A11706">
            <w:pPr>
              <w:pStyle w:val="Tabletext"/>
              <w:rPr>
                <w:szCs w:val="20"/>
              </w:rPr>
            </w:pPr>
            <w:r w:rsidRPr="00B213CD">
              <w:rPr>
                <w:szCs w:val="20"/>
              </w:rPr>
              <w:t>Any AE</w:t>
            </w:r>
          </w:p>
        </w:tc>
        <w:tc>
          <w:tcPr>
            <w:tcW w:w="472" w:type="pct"/>
            <w:vAlign w:val="center"/>
          </w:tcPr>
          <w:p w14:paraId="740E6B6E" w14:textId="77777777" w:rsidR="00A11706" w:rsidRPr="00B213CD" w:rsidRDefault="00A11706" w:rsidP="00A11706">
            <w:pPr>
              <w:pStyle w:val="Tabletext"/>
              <w:rPr>
                <w:szCs w:val="20"/>
              </w:rPr>
            </w:pPr>
            <w:r w:rsidRPr="00B213CD">
              <w:rPr>
                <w:szCs w:val="20"/>
              </w:rPr>
              <w:t>270 (92.8)</w:t>
            </w:r>
          </w:p>
        </w:tc>
        <w:tc>
          <w:tcPr>
            <w:tcW w:w="472" w:type="pct"/>
            <w:vAlign w:val="center"/>
          </w:tcPr>
          <w:p w14:paraId="683C5CCF" w14:textId="77777777" w:rsidR="00A11706" w:rsidRPr="00B213CD" w:rsidRDefault="00A11706" w:rsidP="00A11706">
            <w:pPr>
              <w:pStyle w:val="Tabletext"/>
              <w:rPr>
                <w:szCs w:val="20"/>
              </w:rPr>
            </w:pPr>
            <w:r w:rsidRPr="00B213CD">
              <w:rPr>
                <w:szCs w:val="20"/>
              </w:rPr>
              <w:t>236 (91.1)</w:t>
            </w:r>
          </w:p>
        </w:tc>
        <w:tc>
          <w:tcPr>
            <w:tcW w:w="511" w:type="pct"/>
            <w:vAlign w:val="center"/>
          </w:tcPr>
          <w:p w14:paraId="6EC16928" w14:textId="77777777" w:rsidR="00A11706" w:rsidRPr="00B213CD" w:rsidRDefault="00A11706" w:rsidP="00A11706">
            <w:pPr>
              <w:pStyle w:val="Tabletext"/>
              <w:rPr>
                <w:szCs w:val="20"/>
              </w:rPr>
            </w:pPr>
            <w:r w:rsidRPr="00B213CD">
              <w:rPr>
                <w:szCs w:val="20"/>
              </w:rPr>
              <w:t>214 (93.9)</w:t>
            </w:r>
          </w:p>
        </w:tc>
        <w:tc>
          <w:tcPr>
            <w:tcW w:w="512" w:type="pct"/>
            <w:vAlign w:val="center"/>
          </w:tcPr>
          <w:p w14:paraId="0CEC1C52" w14:textId="77777777" w:rsidR="00A11706" w:rsidRPr="00B213CD" w:rsidRDefault="00A11706" w:rsidP="00A11706">
            <w:pPr>
              <w:pStyle w:val="Tabletext"/>
              <w:rPr>
                <w:szCs w:val="20"/>
              </w:rPr>
            </w:pPr>
            <w:r w:rsidRPr="00B213CD">
              <w:rPr>
                <w:szCs w:val="20"/>
              </w:rPr>
              <w:t>204 (94.4)</w:t>
            </w:r>
          </w:p>
        </w:tc>
        <w:tc>
          <w:tcPr>
            <w:tcW w:w="724" w:type="pct"/>
          </w:tcPr>
          <w:p w14:paraId="590721C5" w14:textId="4CACE6DA" w:rsidR="00A11706" w:rsidRPr="00B213CD" w:rsidRDefault="00A11706" w:rsidP="00A11706">
            <w:pPr>
              <w:pStyle w:val="Tabletext"/>
              <w:rPr>
                <w:szCs w:val="20"/>
              </w:rPr>
            </w:pPr>
            <w:r w:rsidRPr="00B213CD">
              <w:rPr>
                <w:szCs w:val="20"/>
              </w:rPr>
              <w:t>1.39 (0.51, 3.81)</w:t>
            </w:r>
          </w:p>
        </w:tc>
        <w:tc>
          <w:tcPr>
            <w:tcW w:w="724" w:type="pct"/>
          </w:tcPr>
          <w:p w14:paraId="01A77450" w14:textId="2021234C" w:rsidR="00A11706" w:rsidRPr="00B213CD" w:rsidRDefault="00A11706" w:rsidP="00A11706">
            <w:pPr>
              <w:pStyle w:val="Tabletext"/>
              <w:rPr>
                <w:szCs w:val="20"/>
              </w:rPr>
            </w:pPr>
            <w:r w:rsidRPr="00B213CD">
              <w:rPr>
                <w:szCs w:val="20"/>
              </w:rPr>
              <w:t>1.02 (0.96, 1.10)</w:t>
            </w:r>
          </w:p>
        </w:tc>
        <w:tc>
          <w:tcPr>
            <w:tcW w:w="723" w:type="pct"/>
          </w:tcPr>
          <w:p w14:paraId="1025CA34" w14:textId="4067826D" w:rsidR="00A11706" w:rsidRPr="00B213CD" w:rsidRDefault="00A11706" w:rsidP="00A11706">
            <w:pPr>
              <w:pStyle w:val="Tabletext"/>
              <w:rPr>
                <w:szCs w:val="20"/>
              </w:rPr>
            </w:pPr>
            <w:r w:rsidRPr="00B213CD">
              <w:rPr>
                <w:szCs w:val="20"/>
              </w:rPr>
              <w:t>2.2</w:t>
            </w:r>
            <w:r w:rsidR="009935CF" w:rsidRPr="00B213CD">
              <w:rPr>
                <w:szCs w:val="20"/>
              </w:rPr>
              <w:t xml:space="preserve"> </w:t>
            </w:r>
            <w:r w:rsidRPr="00B213CD">
              <w:rPr>
                <w:szCs w:val="20"/>
              </w:rPr>
              <w:t>(-4.1,8.6)</w:t>
            </w:r>
          </w:p>
        </w:tc>
      </w:tr>
      <w:tr w:rsidR="008C4508" w:rsidRPr="00B213CD" w14:paraId="6024EE84" w14:textId="77777777" w:rsidTr="00B213CD">
        <w:trPr>
          <w:trHeight w:val="20"/>
        </w:trPr>
        <w:tc>
          <w:tcPr>
            <w:tcW w:w="862" w:type="pct"/>
            <w:vAlign w:val="center"/>
          </w:tcPr>
          <w:p w14:paraId="447345D1" w14:textId="77777777" w:rsidR="00475C36" w:rsidRPr="00B213CD" w:rsidRDefault="00475C36" w:rsidP="002A750F">
            <w:pPr>
              <w:pStyle w:val="Tabletext"/>
              <w:rPr>
                <w:szCs w:val="20"/>
              </w:rPr>
            </w:pPr>
            <w:r w:rsidRPr="00B213CD">
              <w:rPr>
                <w:szCs w:val="20"/>
              </w:rPr>
              <w:t>Grade ≥3 AE</w:t>
            </w:r>
            <w:r w:rsidRPr="00B213CD">
              <w:rPr>
                <w:szCs w:val="20"/>
                <w:vertAlign w:val="superscript"/>
              </w:rPr>
              <w:t xml:space="preserve"> b</w:t>
            </w:r>
          </w:p>
        </w:tc>
        <w:tc>
          <w:tcPr>
            <w:tcW w:w="472" w:type="pct"/>
            <w:vAlign w:val="center"/>
          </w:tcPr>
          <w:p w14:paraId="154A3277" w14:textId="77777777" w:rsidR="00475C36" w:rsidRPr="00B213CD" w:rsidRDefault="00475C36" w:rsidP="002A750F">
            <w:pPr>
              <w:pStyle w:val="Tabletext"/>
              <w:rPr>
                <w:szCs w:val="20"/>
              </w:rPr>
            </w:pPr>
            <w:r w:rsidRPr="00B213CD">
              <w:rPr>
                <w:szCs w:val="20"/>
              </w:rPr>
              <w:t>156 (53.6)</w:t>
            </w:r>
          </w:p>
        </w:tc>
        <w:tc>
          <w:tcPr>
            <w:tcW w:w="472" w:type="pct"/>
            <w:vAlign w:val="center"/>
          </w:tcPr>
          <w:p w14:paraId="5A7EBE9E" w14:textId="77777777" w:rsidR="00475C36" w:rsidRPr="00B213CD" w:rsidRDefault="00475C36" w:rsidP="002A750F">
            <w:pPr>
              <w:pStyle w:val="Tabletext"/>
              <w:rPr>
                <w:szCs w:val="20"/>
              </w:rPr>
            </w:pPr>
            <w:r w:rsidRPr="00B213CD">
              <w:rPr>
                <w:szCs w:val="20"/>
              </w:rPr>
              <w:t>157 (60.6)</w:t>
            </w:r>
          </w:p>
        </w:tc>
        <w:tc>
          <w:tcPr>
            <w:tcW w:w="511" w:type="pct"/>
            <w:vAlign w:val="center"/>
          </w:tcPr>
          <w:p w14:paraId="4B63A6DD" w14:textId="77777777" w:rsidR="00475C36" w:rsidRPr="00B213CD" w:rsidRDefault="00475C36" w:rsidP="002A750F">
            <w:pPr>
              <w:pStyle w:val="Tabletext"/>
              <w:rPr>
                <w:szCs w:val="20"/>
              </w:rPr>
            </w:pPr>
            <w:r w:rsidRPr="00B213CD">
              <w:rPr>
                <w:szCs w:val="20"/>
              </w:rPr>
              <w:t>183 (80.3)</w:t>
            </w:r>
          </w:p>
        </w:tc>
        <w:tc>
          <w:tcPr>
            <w:tcW w:w="512" w:type="pct"/>
            <w:vAlign w:val="center"/>
          </w:tcPr>
          <w:p w14:paraId="4905429A" w14:textId="77777777" w:rsidR="00475C36" w:rsidRPr="00B213CD" w:rsidRDefault="00475C36" w:rsidP="002A750F">
            <w:pPr>
              <w:pStyle w:val="Tabletext"/>
              <w:rPr>
                <w:szCs w:val="20"/>
              </w:rPr>
            </w:pPr>
            <w:r w:rsidRPr="00B213CD">
              <w:rPr>
                <w:szCs w:val="20"/>
              </w:rPr>
              <w:t>166 (76.9)</w:t>
            </w:r>
          </w:p>
        </w:tc>
        <w:tc>
          <w:tcPr>
            <w:tcW w:w="724" w:type="pct"/>
            <w:vAlign w:val="center"/>
          </w:tcPr>
          <w:p w14:paraId="42B0CB23" w14:textId="41834660" w:rsidR="00475C36" w:rsidRPr="00B213CD" w:rsidRDefault="00475C36" w:rsidP="008C4508">
            <w:pPr>
              <w:pStyle w:val="TableText0"/>
              <w:rPr>
                <w:szCs w:val="20"/>
              </w:rPr>
            </w:pPr>
            <w:r w:rsidRPr="00B213CD">
              <w:rPr>
                <w:szCs w:val="20"/>
              </w:rPr>
              <w:t>0.61</w:t>
            </w:r>
            <w:r w:rsidR="008C4508" w:rsidRPr="00B213CD">
              <w:rPr>
                <w:szCs w:val="20"/>
              </w:rPr>
              <w:t xml:space="preserve"> </w:t>
            </w:r>
            <w:r w:rsidRPr="00B213CD">
              <w:rPr>
                <w:szCs w:val="20"/>
              </w:rPr>
              <w:t>(0.35,1.08)</w:t>
            </w:r>
          </w:p>
        </w:tc>
        <w:tc>
          <w:tcPr>
            <w:tcW w:w="724" w:type="pct"/>
            <w:vAlign w:val="center"/>
          </w:tcPr>
          <w:p w14:paraId="7951E47A" w14:textId="4A09D1F1" w:rsidR="00475C36" w:rsidRPr="00B213CD" w:rsidRDefault="00475C36" w:rsidP="008C4508">
            <w:pPr>
              <w:pStyle w:val="TableText0"/>
              <w:rPr>
                <w:szCs w:val="20"/>
              </w:rPr>
            </w:pPr>
            <w:r w:rsidRPr="00B213CD">
              <w:rPr>
                <w:szCs w:val="20"/>
              </w:rPr>
              <w:t>0.85</w:t>
            </w:r>
            <w:r w:rsidR="008C4508" w:rsidRPr="00B213CD">
              <w:rPr>
                <w:szCs w:val="20"/>
              </w:rPr>
              <w:t xml:space="preserve"> </w:t>
            </w:r>
            <w:r w:rsidRPr="00B213CD">
              <w:rPr>
                <w:szCs w:val="20"/>
              </w:rPr>
              <w:t>(0.71,1.01)</w:t>
            </w:r>
          </w:p>
        </w:tc>
        <w:tc>
          <w:tcPr>
            <w:tcW w:w="723" w:type="pct"/>
            <w:vAlign w:val="center"/>
          </w:tcPr>
          <w:p w14:paraId="6C219A2F" w14:textId="549005D7" w:rsidR="00475C36" w:rsidRPr="00B213CD" w:rsidRDefault="00475C36" w:rsidP="008C4508">
            <w:pPr>
              <w:pStyle w:val="TableText0"/>
              <w:rPr>
                <w:szCs w:val="20"/>
              </w:rPr>
            </w:pPr>
            <w:r w:rsidRPr="00B213CD">
              <w:rPr>
                <w:szCs w:val="20"/>
              </w:rPr>
              <w:t>-10.4</w:t>
            </w:r>
            <w:r w:rsidR="008C4508" w:rsidRPr="00B213CD">
              <w:rPr>
                <w:szCs w:val="20"/>
              </w:rPr>
              <w:t xml:space="preserve"> </w:t>
            </w:r>
            <w:r w:rsidRPr="00B213CD">
              <w:rPr>
                <w:szCs w:val="20"/>
              </w:rPr>
              <w:t>(-21.7,0.8)</w:t>
            </w:r>
          </w:p>
        </w:tc>
      </w:tr>
      <w:tr w:rsidR="008C4508" w:rsidRPr="00B213CD" w14:paraId="0C9CE9F7" w14:textId="77777777" w:rsidTr="00B213CD">
        <w:trPr>
          <w:trHeight w:val="20"/>
        </w:trPr>
        <w:tc>
          <w:tcPr>
            <w:tcW w:w="862" w:type="pct"/>
            <w:vAlign w:val="center"/>
          </w:tcPr>
          <w:p w14:paraId="03DF1819" w14:textId="77777777" w:rsidR="00475C36" w:rsidRPr="00B213CD" w:rsidRDefault="00475C36" w:rsidP="002A750F">
            <w:pPr>
              <w:pStyle w:val="Tabletext"/>
              <w:rPr>
                <w:szCs w:val="20"/>
              </w:rPr>
            </w:pPr>
            <w:r w:rsidRPr="00B213CD">
              <w:rPr>
                <w:szCs w:val="20"/>
              </w:rPr>
              <w:t>SAE</w:t>
            </w:r>
          </w:p>
        </w:tc>
        <w:tc>
          <w:tcPr>
            <w:tcW w:w="472" w:type="pct"/>
            <w:vAlign w:val="center"/>
          </w:tcPr>
          <w:p w14:paraId="20AC17E7" w14:textId="77777777" w:rsidR="00475C36" w:rsidRPr="00B213CD" w:rsidRDefault="00475C36" w:rsidP="002A750F">
            <w:pPr>
              <w:pStyle w:val="Tabletext"/>
              <w:rPr>
                <w:szCs w:val="20"/>
              </w:rPr>
            </w:pPr>
            <w:r w:rsidRPr="00B213CD">
              <w:rPr>
                <w:szCs w:val="20"/>
              </w:rPr>
              <w:t>72 (24.7)</w:t>
            </w:r>
          </w:p>
        </w:tc>
        <w:tc>
          <w:tcPr>
            <w:tcW w:w="472" w:type="pct"/>
            <w:vAlign w:val="center"/>
          </w:tcPr>
          <w:p w14:paraId="051DC1D4" w14:textId="77777777" w:rsidR="00475C36" w:rsidRPr="00B213CD" w:rsidRDefault="00475C36" w:rsidP="002A750F">
            <w:pPr>
              <w:pStyle w:val="Tabletext"/>
              <w:rPr>
                <w:szCs w:val="20"/>
              </w:rPr>
            </w:pPr>
            <w:r w:rsidRPr="00B213CD">
              <w:rPr>
                <w:szCs w:val="20"/>
              </w:rPr>
              <w:t>71 (27.4)</w:t>
            </w:r>
          </w:p>
        </w:tc>
        <w:tc>
          <w:tcPr>
            <w:tcW w:w="511" w:type="pct"/>
            <w:vAlign w:val="center"/>
          </w:tcPr>
          <w:p w14:paraId="61A18B60" w14:textId="77777777" w:rsidR="00475C36" w:rsidRPr="00B213CD" w:rsidRDefault="00475C36" w:rsidP="002A750F">
            <w:pPr>
              <w:pStyle w:val="Tabletext"/>
              <w:rPr>
                <w:szCs w:val="20"/>
              </w:rPr>
            </w:pPr>
            <w:r w:rsidRPr="00B213CD">
              <w:rPr>
                <w:szCs w:val="20"/>
              </w:rPr>
              <w:t>108 (47.4)</w:t>
            </w:r>
          </w:p>
        </w:tc>
        <w:tc>
          <w:tcPr>
            <w:tcW w:w="512" w:type="pct"/>
            <w:vAlign w:val="center"/>
          </w:tcPr>
          <w:p w14:paraId="0D6CC5E8" w14:textId="77777777" w:rsidR="00475C36" w:rsidRPr="00B213CD" w:rsidRDefault="00475C36" w:rsidP="002A750F">
            <w:pPr>
              <w:pStyle w:val="Tabletext"/>
              <w:rPr>
                <w:szCs w:val="20"/>
              </w:rPr>
            </w:pPr>
            <w:r w:rsidRPr="00B213CD">
              <w:rPr>
                <w:szCs w:val="20"/>
              </w:rPr>
              <w:t>116 (53.7)</w:t>
            </w:r>
          </w:p>
        </w:tc>
        <w:tc>
          <w:tcPr>
            <w:tcW w:w="724" w:type="pct"/>
            <w:vAlign w:val="center"/>
          </w:tcPr>
          <w:p w14:paraId="5CBB4BB0" w14:textId="542A2EEA" w:rsidR="00475C36" w:rsidRPr="00B213CD" w:rsidRDefault="00475C36" w:rsidP="008C4508">
            <w:pPr>
              <w:pStyle w:val="TableText0"/>
              <w:rPr>
                <w:bCs w:val="0"/>
                <w:szCs w:val="20"/>
              </w:rPr>
            </w:pPr>
            <w:r w:rsidRPr="00B213CD">
              <w:rPr>
                <w:szCs w:val="20"/>
              </w:rPr>
              <w:t>1.12</w:t>
            </w:r>
            <w:r w:rsidR="008C4508" w:rsidRPr="00B213CD">
              <w:rPr>
                <w:szCs w:val="20"/>
              </w:rPr>
              <w:t xml:space="preserve"> </w:t>
            </w:r>
            <w:r w:rsidRPr="00B213CD">
              <w:rPr>
                <w:szCs w:val="20"/>
              </w:rPr>
              <w:t>(0.66,1.91)</w:t>
            </w:r>
          </w:p>
        </w:tc>
        <w:tc>
          <w:tcPr>
            <w:tcW w:w="724" w:type="pct"/>
            <w:vAlign w:val="center"/>
          </w:tcPr>
          <w:p w14:paraId="55729A48" w14:textId="37B075BD" w:rsidR="00475C36" w:rsidRPr="00B213CD" w:rsidRDefault="00475C36" w:rsidP="008C4508">
            <w:pPr>
              <w:pStyle w:val="TableText0"/>
              <w:rPr>
                <w:bCs w:val="0"/>
                <w:szCs w:val="20"/>
              </w:rPr>
            </w:pPr>
            <w:r w:rsidRPr="00B213CD">
              <w:rPr>
                <w:szCs w:val="20"/>
              </w:rPr>
              <w:t>1.02</w:t>
            </w:r>
            <w:r w:rsidR="008C4508" w:rsidRPr="00B213CD">
              <w:rPr>
                <w:szCs w:val="20"/>
              </w:rPr>
              <w:t xml:space="preserve"> </w:t>
            </w:r>
            <w:r w:rsidRPr="00B213CD">
              <w:rPr>
                <w:szCs w:val="20"/>
              </w:rPr>
              <w:t>(0.73,1.43)</w:t>
            </w:r>
          </w:p>
        </w:tc>
        <w:tc>
          <w:tcPr>
            <w:tcW w:w="723" w:type="pct"/>
            <w:vAlign w:val="center"/>
          </w:tcPr>
          <w:p w14:paraId="110F2220" w14:textId="52443459" w:rsidR="00475C36" w:rsidRPr="00B213CD" w:rsidRDefault="00475C36" w:rsidP="008C4508">
            <w:pPr>
              <w:pStyle w:val="TableText0"/>
              <w:rPr>
                <w:bCs w:val="0"/>
                <w:szCs w:val="20"/>
              </w:rPr>
            </w:pPr>
            <w:r w:rsidRPr="00B213CD">
              <w:rPr>
                <w:szCs w:val="20"/>
              </w:rPr>
              <w:t>3.7</w:t>
            </w:r>
            <w:r w:rsidR="008C4508" w:rsidRPr="00B213CD">
              <w:rPr>
                <w:szCs w:val="20"/>
              </w:rPr>
              <w:t xml:space="preserve"> </w:t>
            </w:r>
            <w:r w:rsidRPr="00B213CD">
              <w:rPr>
                <w:szCs w:val="20"/>
              </w:rPr>
              <w:t>(-8.2,15.5)</w:t>
            </w:r>
          </w:p>
        </w:tc>
      </w:tr>
      <w:tr w:rsidR="008C4508" w:rsidRPr="00B213CD" w14:paraId="5D8A8BF7" w14:textId="77777777" w:rsidTr="00B213CD">
        <w:trPr>
          <w:trHeight w:val="20"/>
        </w:trPr>
        <w:tc>
          <w:tcPr>
            <w:tcW w:w="862" w:type="pct"/>
            <w:vAlign w:val="center"/>
          </w:tcPr>
          <w:p w14:paraId="7AC84F04" w14:textId="77777777" w:rsidR="00475C36" w:rsidRPr="00B213CD" w:rsidRDefault="00475C36" w:rsidP="002A750F">
            <w:pPr>
              <w:pStyle w:val="Tabletext"/>
              <w:rPr>
                <w:szCs w:val="20"/>
              </w:rPr>
            </w:pPr>
            <w:r w:rsidRPr="00B213CD">
              <w:rPr>
                <w:szCs w:val="20"/>
              </w:rPr>
              <w:t>Death for AE</w:t>
            </w:r>
          </w:p>
        </w:tc>
        <w:tc>
          <w:tcPr>
            <w:tcW w:w="472" w:type="pct"/>
            <w:vAlign w:val="center"/>
          </w:tcPr>
          <w:p w14:paraId="718C45AF" w14:textId="77777777" w:rsidR="00475C36" w:rsidRPr="00B213CD" w:rsidRDefault="00475C36" w:rsidP="002A750F">
            <w:pPr>
              <w:pStyle w:val="Tabletext"/>
              <w:rPr>
                <w:szCs w:val="20"/>
              </w:rPr>
            </w:pPr>
            <w:r w:rsidRPr="00B213CD">
              <w:rPr>
                <w:szCs w:val="20"/>
              </w:rPr>
              <w:t>10 (3.4)</w:t>
            </w:r>
          </w:p>
        </w:tc>
        <w:tc>
          <w:tcPr>
            <w:tcW w:w="472" w:type="pct"/>
            <w:vAlign w:val="center"/>
          </w:tcPr>
          <w:p w14:paraId="2D5A46E2" w14:textId="77777777" w:rsidR="00475C36" w:rsidRPr="00B213CD" w:rsidRDefault="00475C36" w:rsidP="002A750F">
            <w:pPr>
              <w:pStyle w:val="Tabletext"/>
              <w:rPr>
                <w:szCs w:val="20"/>
              </w:rPr>
            </w:pPr>
            <w:r w:rsidRPr="00B213CD">
              <w:rPr>
                <w:szCs w:val="20"/>
              </w:rPr>
              <w:t>9 (3.5)</w:t>
            </w:r>
          </w:p>
        </w:tc>
        <w:tc>
          <w:tcPr>
            <w:tcW w:w="511" w:type="pct"/>
            <w:vAlign w:val="center"/>
          </w:tcPr>
          <w:p w14:paraId="7B5E0CC3" w14:textId="77777777" w:rsidR="00475C36" w:rsidRPr="00B213CD" w:rsidRDefault="00475C36" w:rsidP="002A750F">
            <w:pPr>
              <w:pStyle w:val="Tabletext"/>
              <w:rPr>
                <w:szCs w:val="20"/>
              </w:rPr>
            </w:pPr>
            <w:r w:rsidRPr="00B213CD">
              <w:rPr>
                <w:szCs w:val="20"/>
              </w:rPr>
              <w:t>9 (3.9)</w:t>
            </w:r>
          </w:p>
        </w:tc>
        <w:tc>
          <w:tcPr>
            <w:tcW w:w="512" w:type="pct"/>
            <w:vAlign w:val="center"/>
          </w:tcPr>
          <w:p w14:paraId="621C8BAD" w14:textId="77777777" w:rsidR="00475C36" w:rsidRPr="00B213CD" w:rsidRDefault="00475C36" w:rsidP="002A750F">
            <w:pPr>
              <w:pStyle w:val="Tabletext"/>
              <w:rPr>
                <w:szCs w:val="20"/>
              </w:rPr>
            </w:pPr>
            <w:r w:rsidRPr="00B213CD">
              <w:rPr>
                <w:szCs w:val="20"/>
              </w:rPr>
              <w:t>16 (7.4)</w:t>
            </w:r>
          </w:p>
        </w:tc>
        <w:tc>
          <w:tcPr>
            <w:tcW w:w="724" w:type="pct"/>
            <w:vAlign w:val="center"/>
          </w:tcPr>
          <w:p w14:paraId="0A27BCEC" w14:textId="5AD5BE51" w:rsidR="00475C36" w:rsidRPr="00B213CD" w:rsidRDefault="00475C36" w:rsidP="008C4508">
            <w:pPr>
              <w:pStyle w:val="TableText0"/>
              <w:rPr>
                <w:bCs w:val="0"/>
                <w:szCs w:val="20"/>
              </w:rPr>
            </w:pPr>
            <w:r w:rsidRPr="00B213CD">
              <w:rPr>
                <w:szCs w:val="20"/>
              </w:rPr>
              <w:t>1.92</w:t>
            </w:r>
            <w:r w:rsidR="008C4508" w:rsidRPr="00B213CD">
              <w:rPr>
                <w:szCs w:val="20"/>
              </w:rPr>
              <w:t xml:space="preserve"> </w:t>
            </w:r>
            <w:r w:rsidRPr="00B213CD">
              <w:rPr>
                <w:szCs w:val="20"/>
              </w:rPr>
              <w:t>(0.56,6.67)</w:t>
            </w:r>
          </w:p>
        </w:tc>
        <w:tc>
          <w:tcPr>
            <w:tcW w:w="724" w:type="pct"/>
            <w:vAlign w:val="center"/>
          </w:tcPr>
          <w:p w14:paraId="3296A0B4" w14:textId="3516DC7C" w:rsidR="00475C36" w:rsidRPr="00B213CD" w:rsidRDefault="00475C36" w:rsidP="008C4508">
            <w:pPr>
              <w:pStyle w:val="TableText0"/>
              <w:rPr>
                <w:bCs w:val="0"/>
                <w:szCs w:val="20"/>
              </w:rPr>
            </w:pPr>
            <w:r w:rsidRPr="00B213CD">
              <w:rPr>
                <w:szCs w:val="20"/>
              </w:rPr>
              <w:t>1.86</w:t>
            </w:r>
            <w:r w:rsidR="008C4508" w:rsidRPr="00B213CD">
              <w:rPr>
                <w:szCs w:val="20"/>
              </w:rPr>
              <w:t xml:space="preserve"> </w:t>
            </w:r>
            <w:r w:rsidRPr="00B213CD">
              <w:rPr>
                <w:szCs w:val="20"/>
              </w:rPr>
              <w:t>(0.56,6.10)</w:t>
            </w:r>
          </w:p>
        </w:tc>
        <w:tc>
          <w:tcPr>
            <w:tcW w:w="723" w:type="pct"/>
            <w:vAlign w:val="center"/>
          </w:tcPr>
          <w:p w14:paraId="2AB0D93C" w14:textId="2ACF9431" w:rsidR="00475C36" w:rsidRPr="00B213CD" w:rsidRDefault="00475C36" w:rsidP="008C4508">
            <w:pPr>
              <w:pStyle w:val="TableText0"/>
              <w:rPr>
                <w:bCs w:val="0"/>
                <w:szCs w:val="20"/>
              </w:rPr>
            </w:pPr>
            <w:r w:rsidRPr="00B213CD">
              <w:rPr>
                <w:szCs w:val="20"/>
              </w:rPr>
              <w:t>3.4</w:t>
            </w:r>
            <w:r w:rsidR="008C4508" w:rsidRPr="00B213CD">
              <w:rPr>
                <w:szCs w:val="20"/>
              </w:rPr>
              <w:t xml:space="preserve"> </w:t>
            </w:r>
            <w:r w:rsidRPr="00B213CD">
              <w:rPr>
                <w:szCs w:val="20"/>
              </w:rPr>
              <w:t>(-1.9,8.7)</w:t>
            </w:r>
          </w:p>
        </w:tc>
      </w:tr>
      <w:tr w:rsidR="00A11706" w:rsidRPr="00B213CD" w14:paraId="4F3E28FC" w14:textId="77777777" w:rsidTr="00B213CD">
        <w:trPr>
          <w:trHeight w:val="20"/>
        </w:trPr>
        <w:tc>
          <w:tcPr>
            <w:tcW w:w="862" w:type="pct"/>
            <w:vAlign w:val="center"/>
          </w:tcPr>
          <w:p w14:paraId="27287346" w14:textId="77777777" w:rsidR="00A11706" w:rsidRPr="00B213CD" w:rsidRDefault="00A11706" w:rsidP="00A11706">
            <w:pPr>
              <w:pStyle w:val="Tabletext"/>
              <w:rPr>
                <w:szCs w:val="20"/>
              </w:rPr>
            </w:pPr>
            <w:proofErr w:type="spellStart"/>
            <w:r w:rsidRPr="00B213CD">
              <w:rPr>
                <w:szCs w:val="20"/>
              </w:rPr>
              <w:t>Discont</w:t>
            </w:r>
            <w:proofErr w:type="spellEnd"/>
            <w:r w:rsidRPr="00B213CD">
              <w:rPr>
                <w:szCs w:val="20"/>
              </w:rPr>
              <w:t xml:space="preserve"> for AE </w:t>
            </w:r>
            <w:r w:rsidRPr="00B213CD">
              <w:rPr>
                <w:szCs w:val="20"/>
                <w:vertAlign w:val="superscript"/>
              </w:rPr>
              <w:t>c</w:t>
            </w:r>
          </w:p>
        </w:tc>
        <w:tc>
          <w:tcPr>
            <w:tcW w:w="472" w:type="pct"/>
            <w:vAlign w:val="center"/>
          </w:tcPr>
          <w:p w14:paraId="55DB1786" w14:textId="77777777" w:rsidR="00A11706" w:rsidRPr="00B213CD" w:rsidRDefault="00A11706" w:rsidP="00A11706">
            <w:pPr>
              <w:pStyle w:val="Tabletext"/>
              <w:rPr>
                <w:szCs w:val="20"/>
              </w:rPr>
            </w:pPr>
            <w:r w:rsidRPr="00B213CD">
              <w:rPr>
                <w:szCs w:val="20"/>
              </w:rPr>
              <w:t>23 (7.9)</w:t>
            </w:r>
          </w:p>
        </w:tc>
        <w:tc>
          <w:tcPr>
            <w:tcW w:w="472" w:type="pct"/>
            <w:vAlign w:val="center"/>
          </w:tcPr>
          <w:p w14:paraId="51225A60" w14:textId="77777777" w:rsidR="00A11706" w:rsidRPr="00B213CD" w:rsidRDefault="00A11706" w:rsidP="00A11706">
            <w:pPr>
              <w:pStyle w:val="Tabletext"/>
              <w:rPr>
                <w:szCs w:val="20"/>
              </w:rPr>
            </w:pPr>
            <w:r w:rsidRPr="00B213CD">
              <w:rPr>
                <w:szCs w:val="20"/>
              </w:rPr>
              <w:t>28 (10.8)</w:t>
            </w:r>
          </w:p>
        </w:tc>
        <w:tc>
          <w:tcPr>
            <w:tcW w:w="511" w:type="pct"/>
            <w:vAlign w:val="center"/>
          </w:tcPr>
          <w:p w14:paraId="2DF207E4" w14:textId="77777777" w:rsidR="00A11706" w:rsidRPr="00B213CD" w:rsidRDefault="00A11706" w:rsidP="00A11706">
            <w:pPr>
              <w:pStyle w:val="Tabletext"/>
              <w:rPr>
                <w:szCs w:val="20"/>
              </w:rPr>
            </w:pPr>
            <w:r w:rsidRPr="00B213CD">
              <w:rPr>
                <w:szCs w:val="20"/>
              </w:rPr>
              <w:t>13 (5.7)</w:t>
            </w:r>
          </w:p>
        </w:tc>
        <w:tc>
          <w:tcPr>
            <w:tcW w:w="512" w:type="pct"/>
            <w:vAlign w:val="center"/>
          </w:tcPr>
          <w:p w14:paraId="392588B3" w14:textId="77777777" w:rsidR="00A11706" w:rsidRPr="00B213CD" w:rsidRDefault="00A11706" w:rsidP="00A11706">
            <w:pPr>
              <w:pStyle w:val="Tabletext"/>
              <w:rPr>
                <w:szCs w:val="20"/>
              </w:rPr>
            </w:pPr>
            <w:r w:rsidRPr="00B213CD">
              <w:rPr>
                <w:szCs w:val="20"/>
              </w:rPr>
              <w:t>43 (19.9)</w:t>
            </w:r>
          </w:p>
        </w:tc>
        <w:tc>
          <w:tcPr>
            <w:tcW w:w="724" w:type="pct"/>
          </w:tcPr>
          <w:p w14:paraId="6FFA10D1" w14:textId="5540E637" w:rsidR="00A11706" w:rsidRPr="00B213CD" w:rsidRDefault="00A11706" w:rsidP="00A11706">
            <w:pPr>
              <w:pStyle w:val="Tabletext"/>
              <w:rPr>
                <w:b/>
                <w:bCs/>
                <w:szCs w:val="20"/>
              </w:rPr>
            </w:pPr>
            <w:r w:rsidRPr="00B213CD">
              <w:rPr>
                <w:b/>
                <w:bCs/>
                <w:szCs w:val="20"/>
              </w:rPr>
              <w:t>2.91 (1.22, 6.96)</w:t>
            </w:r>
          </w:p>
        </w:tc>
        <w:tc>
          <w:tcPr>
            <w:tcW w:w="724" w:type="pct"/>
          </w:tcPr>
          <w:p w14:paraId="6764214D" w14:textId="35CC9EC7" w:rsidR="00A11706" w:rsidRPr="00B213CD" w:rsidRDefault="00A11706" w:rsidP="00A11706">
            <w:pPr>
              <w:pStyle w:val="Tabletext"/>
              <w:rPr>
                <w:b/>
                <w:bCs/>
                <w:szCs w:val="20"/>
              </w:rPr>
            </w:pPr>
            <w:r w:rsidRPr="00B213CD">
              <w:rPr>
                <w:b/>
                <w:bCs/>
                <w:szCs w:val="20"/>
              </w:rPr>
              <w:t>2.55 (1.16, 5.63)</w:t>
            </w:r>
          </w:p>
        </w:tc>
        <w:tc>
          <w:tcPr>
            <w:tcW w:w="723" w:type="pct"/>
          </w:tcPr>
          <w:p w14:paraId="075E7F16" w14:textId="03F1FC73" w:rsidR="00A11706" w:rsidRPr="00B213CD" w:rsidRDefault="00A11706" w:rsidP="00A11706">
            <w:pPr>
              <w:pStyle w:val="Tabletext"/>
              <w:rPr>
                <w:b/>
                <w:bCs/>
                <w:szCs w:val="20"/>
              </w:rPr>
            </w:pPr>
            <w:r w:rsidRPr="00B213CD">
              <w:rPr>
                <w:b/>
                <w:bCs/>
                <w:szCs w:val="20"/>
              </w:rPr>
              <w:t>11.3</w:t>
            </w:r>
            <w:r w:rsidR="009935CF" w:rsidRPr="00B213CD">
              <w:rPr>
                <w:b/>
                <w:bCs/>
                <w:szCs w:val="20"/>
              </w:rPr>
              <w:t xml:space="preserve"> </w:t>
            </w:r>
            <w:r w:rsidRPr="00B213CD">
              <w:rPr>
                <w:b/>
                <w:bCs/>
                <w:szCs w:val="20"/>
              </w:rPr>
              <w:t>(3.5,19.1)</w:t>
            </w:r>
          </w:p>
        </w:tc>
      </w:tr>
      <w:tr w:rsidR="00475C36" w:rsidRPr="00B213CD" w14:paraId="76863194" w14:textId="77777777" w:rsidTr="00B213CD">
        <w:trPr>
          <w:trHeight w:val="20"/>
        </w:trPr>
        <w:tc>
          <w:tcPr>
            <w:tcW w:w="5000" w:type="pct"/>
            <w:gridSpan w:val="8"/>
            <w:vAlign w:val="center"/>
          </w:tcPr>
          <w:p w14:paraId="1EB73C04" w14:textId="77777777" w:rsidR="00475C36" w:rsidRPr="00B213CD" w:rsidRDefault="00475C36" w:rsidP="002A750F">
            <w:pPr>
              <w:pStyle w:val="Tabletext"/>
              <w:rPr>
                <w:color w:val="0D0D0D"/>
                <w:szCs w:val="20"/>
              </w:rPr>
            </w:pPr>
            <w:r w:rsidRPr="00B213CD">
              <w:rPr>
                <w:b/>
                <w:bCs/>
                <w:szCs w:val="20"/>
              </w:rPr>
              <w:t>AESI (Grade ≥ 3, prevalence ≥ 5%)</w:t>
            </w:r>
          </w:p>
        </w:tc>
      </w:tr>
      <w:tr w:rsidR="000F120D" w:rsidRPr="00B213CD" w14:paraId="51D0BA60" w14:textId="77777777" w:rsidTr="00B213CD">
        <w:trPr>
          <w:trHeight w:val="20"/>
        </w:trPr>
        <w:tc>
          <w:tcPr>
            <w:tcW w:w="862" w:type="pct"/>
            <w:vAlign w:val="center"/>
          </w:tcPr>
          <w:p w14:paraId="1528E996" w14:textId="77777777" w:rsidR="000F120D" w:rsidRPr="00B213CD" w:rsidRDefault="000F120D" w:rsidP="000F120D">
            <w:pPr>
              <w:pStyle w:val="Tabletext"/>
              <w:rPr>
                <w:szCs w:val="20"/>
              </w:rPr>
            </w:pPr>
            <w:r w:rsidRPr="00B213CD">
              <w:rPr>
                <w:color w:val="0D0D0D"/>
                <w:szCs w:val="20"/>
              </w:rPr>
              <w:t>Anaemia</w:t>
            </w:r>
          </w:p>
        </w:tc>
        <w:tc>
          <w:tcPr>
            <w:tcW w:w="472" w:type="pct"/>
            <w:vAlign w:val="center"/>
          </w:tcPr>
          <w:p w14:paraId="5D95EBD8" w14:textId="77777777" w:rsidR="000F120D" w:rsidRPr="00B213CD" w:rsidRDefault="000F120D" w:rsidP="000F120D">
            <w:pPr>
              <w:pStyle w:val="Tabletext"/>
              <w:rPr>
                <w:szCs w:val="20"/>
              </w:rPr>
            </w:pPr>
            <w:r w:rsidRPr="00B213CD">
              <w:rPr>
                <w:color w:val="0D0D0D"/>
                <w:szCs w:val="20"/>
              </w:rPr>
              <w:t>11 (3.8)</w:t>
            </w:r>
          </w:p>
        </w:tc>
        <w:tc>
          <w:tcPr>
            <w:tcW w:w="472" w:type="pct"/>
            <w:vAlign w:val="center"/>
          </w:tcPr>
          <w:p w14:paraId="5B859AD4" w14:textId="77777777" w:rsidR="000F120D" w:rsidRPr="00B213CD" w:rsidRDefault="000F120D" w:rsidP="000F120D">
            <w:pPr>
              <w:pStyle w:val="Tabletext"/>
              <w:rPr>
                <w:szCs w:val="20"/>
              </w:rPr>
            </w:pPr>
            <w:r w:rsidRPr="00B213CD">
              <w:rPr>
                <w:color w:val="0D0D0D"/>
                <w:szCs w:val="20"/>
              </w:rPr>
              <w:t>17 (6.6)</w:t>
            </w:r>
          </w:p>
        </w:tc>
        <w:tc>
          <w:tcPr>
            <w:tcW w:w="511" w:type="pct"/>
            <w:vAlign w:val="center"/>
          </w:tcPr>
          <w:p w14:paraId="2F919D4B" w14:textId="77777777" w:rsidR="000F120D" w:rsidRPr="00B213CD" w:rsidRDefault="000F120D" w:rsidP="000F120D">
            <w:pPr>
              <w:pStyle w:val="Tabletext"/>
              <w:rPr>
                <w:szCs w:val="20"/>
              </w:rPr>
            </w:pPr>
            <w:r w:rsidRPr="00B213CD">
              <w:rPr>
                <w:color w:val="0D0D0D"/>
                <w:szCs w:val="20"/>
              </w:rPr>
              <w:t>11 (4.8)</w:t>
            </w:r>
          </w:p>
        </w:tc>
        <w:tc>
          <w:tcPr>
            <w:tcW w:w="512" w:type="pct"/>
            <w:vAlign w:val="center"/>
          </w:tcPr>
          <w:p w14:paraId="004C1DC4" w14:textId="77777777" w:rsidR="000F120D" w:rsidRPr="00B213CD" w:rsidRDefault="000F120D" w:rsidP="000F120D">
            <w:pPr>
              <w:pStyle w:val="Tabletext"/>
              <w:rPr>
                <w:szCs w:val="20"/>
              </w:rPr>
            </w:pPr>
            <w:r w:rsidRPr="00B213CD">
              <w:rPr>
                <w:color w:val="0D0D0D"/>
                <w:szCs w:val="20"/>
              </w:rPr>
              <w:t>16 (7.4)</w:t>
            </w:r>
          </w:p>
        </w:tc>
        <w:tc>
          <w:tcPr>
            <w:tcW w:w="724" w:type="pct"/>
            <w:vAlign w:val="center"/>
          </w:tcPr>
          <w:p w14:paraId="031EA1AD" w14:textId="37681D1F" w:rsidR="000F120D" w:rsidRPr="00B213CD" w:rsidRDefault="000F120D" w:rsidP="000F120D">
            <w:pPr>
              <w:pStyle w:val="Tabletext"/>
              <w:rPr>
                <w:szCs w:val="20"/>
              </w:rPr>
            </w:pPr>
            <w:r w:rsidRPr="00B213CD">
              <w:rPr>
                <w:szCs w:val="20"/>
              </w:rPr>
              <w:t>0.88 (0.29, 2.68)</w:t>
            </w:r>
          </w:p>
        </w:tc>
        <w:tc>
          <w:tcPr>
            <w:tcW w:w="724" w:type="pct"/>
            <w:vAlign w:val="center"/>
          </w:tcPr>
          <w:p w14:paraId="492D298A" w14:textId="3031EE67" w:rsidR="000F120D" w:rsidRPr="00B213CD" w:rsidRDefault="000F120D" w:rsidP="000F120D">
            <w:pPr>
              <w:pStyle w:val="Tabletext"/>
              <w:rPr>
                <w:szCs w:val="20"/>
              </w:rPr>
            </w:pPr>
            <w:r w:rsidRPr="00B213CD">
              <w:rPr>
                <w:szCs w:val="20"/>
              </w:rPr>
              <w:t>0.88 (0.31, 2.53)</w:t>
            </w:r>
          </w:p>
        </w:tc>
        <w:tc>
          <w:tcPr>
            <w:tcW w:w="723" w:type="pct"/>
            <w:vAlign w:val="center"/>
          </w:tcPr>
          <w:p w14:paraId="649F641E" w14:textId="0997F308" w:rsidR="000F120D" w:rsidRPr="00B213CD" w:rsidRDefault="000F120D" w:rsidP="000F120D">
            <w:pPr>
              <w:pStyle w:val="Tabletext"/>
              <w:rPr>
                <w:szCs w:val="20"/>
              </w:rPr>
            </w:pPr>
            <w:r w:rsidRPr="00B213CD">
              <w:rPr>
                <w:szCs w:val="20"/>
              </w:rPr>
              <w:t>-0.2 (-6.0,5.6)</w:t>
            </w:r>
          </w:p>
        </w:tc>
      </w:tr>
      <w:tr w:rsidR="00A11706" w:rsidRPr="00B213CD" w14:paraId="14B54390" w14:textId="77777777" w:rsidTr="00B213CD">
        <w:trPr>
          <w:trHeight w:val="20"/>
        </w:trPr>
        <w:tc>
          <w:tcPr>
            <w:tcW w:w="862" w:type="pct"/>
            <w:vAlign w:val="center"/>
          </w:tcPr>
          <w:p w14:paraId="4F8AC8CB" w14:textId="77777777" w:rsidR="00A11706" w:rsidRPr="00B213CD" w:rsidRDefault="00A11706" w:rsidP="00A11706">
            <w:pPr>
              <w:pStyle w:val="Tabletext"/>
              <w:rPr>
                <w:szCs w:val="20"/>
              </w:rPr>
            </w:pPr>
            <w:r w:rsidRPr="00B213CD">
              <w:rPr>
                <w:color w:val="0D0D0D"/>
                <w:szCs w:val="20"/>
              </w:rPr>
              <w:t xml:space="preserve">Leukopenia </w:t>
            </w:r>
          </w:p>
        </w:tc>
        <w:tc>
          <w:tcPr>
            <w:tcW w:w="472" w:type="pct"/>
            <w:vAlign w:val="center"/>
          </w:tcPr>
          <w:p w14:paraId="1A45FE5F" w14:textId="77777777" w:rsidR="00A11706" w:rsidRPr="00B213CD" w:rsidRDefault="00A11706" w:rsidP="00A11706">
            <w:pPr>
              <w:pStyle w:val="Tabletext"/>
              <w:rPr>
                <w:szCs w:val="20"/>
              </w:rPr>
            </w:pPr>
            <w:r w:rsidRPr="00B213CD">
              <w:rPr>
                <w:color w:val="0D0D0D"/>
                <w:szCs w:val="20"/>
              </w:rPr>
              <w:t>95 (32.6)</w:t>
            </w:r>
          </w:p>
        </w:tc>
        <w:tc>
          <w:tcPr>
            <w:tcW w:w="472" w:type="pct"/>
            <w:vAlign w:val="center"/>
          </w:tcPr>
          <w:p w14:paraId="0A3C4833" w14:textId="77777777" w:rsidR="00A11706" w:rsidRPr="00B213CD" w:rsidRDefault="00A11706" w:rsidP="00A11706">
            <w:pPr>
              <w:pStyle w:val="Tabletext"/>
              <w:rPr>
                <w:szCs w:val="20"/>
              </w:rPr>
            </w:pPr>
            <w:r w:rsidRPr="00B213CD">
              <w:rPr>
                <w:color w:val="0D0D0D"/>
                <w:szCs w:val="20"/>
              </w:rPr>
              <w:t>120 (46.3)</w:t>
            </w:r>
          </w:p>
        </w:tc>
        <w:tc>
          <w:tcPr>
            <w:tcW w:w="511" w:type="pct"/>
            <w:vAlign w:val="center"/>
          </w:tcPr>
          <w:p w14:paraId="45AA7D28" w14:textId="77777777" w:rsidR="00A11706" w:rsidRPr="00B213CD" w:rsidRDefault="00A11706" w:rsidP="00A11706">
            <w:pPr>
              <w:pStyle w:val="Tabletext"/>
              <w:rPr>
                <w:szCs w:val="20"/>
              </w:rPr>
            </w:pPr>
            <w:r w:rsidRPr="00B213CD">
              <w:rPr>
                <w:color w:val="0D0D0D"/>
                <w:szCs w:val="20"/>
              </w:rPr>
              <w:t>13 (5.7)</w:t>
            </w:r>
          </w:p>
        </w:tc>
        <w:tc>
          <w:tcPr>
            <w:tcW w:w="512" w:type="pct"/>
            <w:vAlign w:val="center"/>
          </w:tcPr>
          <w:p w14:paraId="38903CF3" w14:textId="77777777" w:rsidR="00A11706" w:rsidRPr="00B213CD" w:rsidRDefault="00A11706" w:rsidP="00A11706">
            <w:pPr>
              <w:pStyle w:val="Tabletext"/>
              <w:rPr>
                <w:szCs w:val="20"/>
              </w:rPr>
            </w:pPr>
            <w:r w:rsidRPr="00B213CD">
              <w:rPr>
                <w:color w:val="0D0D0D"/>
                <w:szCs w:val="20"/>
              </w:rPr>
              <w:t>26 (12.0)</w:t>
            </w:r>
          </w:p>
        </w:tc>
        <w:tc>
          <w:tcPr>
            <w:tcW w:w="724" w:type="pct"/>
          </w:tcPr>
          <w:p w14:paraId="107F12D1" w14:textId="6A263ACA" w:rsidR="00A11706" w:rsidRPr="00B213CD" w:rsidRDefault="00A11706" w:rsidP="00A11706">
            <w:pPr>
              <w:pStyle w:val="Tabletext"/>
              <w:rPr>
                <w:szCs w:val="20"/>
              </w:rPr>
            </w:pPr>
            <w:r w:rsidRPr="00B213CD">
              <w:rPr>
                <w:szCs w:val="20"/>
              </w:rPr>
              <w:t>1.27 (0.59, 2.76)</w:t>
            </w:r>
          </w:p>
        </w:tc>
        <w:tc>
          <w:tcPr>
            <w:tcW w:w="724" w:type="pct"/>
          </w:tcPr>
          <w:p w14:paraId="76019BE9" w14:textId="57AA3E8F" w:rsidR="00A11706" w:rsidRPr="00B213CD" w:rsidRDefault="00A11706" w:rsidP="00A11706">
            <w:pPr>
              <w:pStyle w:val="Tabletext"/>
              <w:rPr>
                <w:szCs w:val="20"/>
              </w:rPr>
            </w:pPr>
            <w:r w:rsidRPr="00B213CD">
              <w:rPr>
                <w:szCs w:val="20"/>
              </w:rPr>
              <w:t>1.49 (0.76, 2.92)</w:t>
            </w:r>
          </w:p>
        </w:tc>
        <w:tc>
          <w:tcPr>
            <w:tcW w:w="723" w:type="pct"/>
          </w:tcPr>
          <w:p w14:paraId="36C73E7E" w14:textId="2E43405C" w:rsidR="00A11706" w:rsidRPr="00B213CD" w:rsidRDefault="00A11706" w:rsidP="00A11706">
            <w:pPr>
              <w:pStyle w:val="Tabletext"/>
              <w:rPr>
                <w:szCs w:val="20"/>
              </w:rPr>
            </w:pPr>
            <w:r w:rsidRPr="00B213CD">
              <w:rPr>
                <w:szCs w:val="20"/>
              </w:rPr>
              <w:t>-7.4 (-17.0,2.3)</w:t>
            </w:r>
          </w:p>
        </w:tc>
      </w:tr>
      <w:tr w:rsidR="00A11706" w:rsidRPr="00B213CD" w14:paraId="78ACC496" w14:textId="77777777" w:rsidTr="00B213CD">
        <w:trPr>
          <w:trHeight w:val="20"/>
        </w:trPr>
        <w:tc>
          <w:tcPr>
            <w:tcW w:w="862" w:type="pct"/>
            <w:vAlign w:val="center"/>
          </w:tcPr>
          <w:p w14:paraId="08EDB259" w14:textId="77777777" w:rsidR="00A11706" w:rsidRPr="00B213CD" w:rsidRDefault="00A11706" w:rsidP="00A11706">
            <w:pPr>
              <w:pStyle w:val="Tabletext"/>
              <w:rPr>
                <w:szCs w:val="20"/>
              </w:rPr>
            </w:pPr>
            <w:r w:rsidRPr="00B213CD">
              <w:rPr>
                <w:color w:val="0D0D0D"/>
                <w:szCs w:val="20"/>
              </w:rPr>
              <w:t xml:space="preserve">Neutropenia </w:t>
            </w:r>
          </w:p>
        </w:tc>
        <w:tc>
          <w:tcPr>
            <w:tcW w:w="472" w:type="pct"/>
            <w:vAlign w:val="center"/>
          </w:tcPr>
          <w:p w14:paraId="21DFBB4E" w14:textId="77777777" w:rsidR="00A11706" w:rsidRPr="00B213CD" w:rsidRDefault="00A11706" w:rsidP="00A11706">
            <w:pPr>
              <w:pStyle w:val="Tabletext"/>
              <w:rPr>
                <w:szCs w:val="20"/>
              </w:rPr>
            </w:pPr>
            <w:r w:rsidRPr="00B213CD">
              <w:rPr>
                <w:color w:val="0D0D0D"/>
                <w:szCs w:val="20"/>
              </w:rPr>
              <w:t>94 (32.3)</w:t>
            </w:r>
          </w:p>
        </w:tc>
        <w:tc>
          <w:tcPr>
            <w:tcW w:w="472" w:type="pct"/>
            <w:vAlign w:val="center"/>
          </w:tcPr>
          <w:p w14:paraId="1F2150F1" w14:textId="77777777" w:rsidR="00A11706" w:rsidRPr="00B213CD" w:rsidRDefault="00A11706" w:rsidP="00A11706">
            <w:pPr>
              <w:pStyle w:val="Tabletext"/>
              <w:rPr>
                <w:szCs w:val="20"/>
              </w:rPr>
            </w:pPr>
            <w:r w:rsidRPr="00B213CD">
              <w:rPr>
                <w:color w:val="0D0D0D"/>
                <w:szCs w:val="20"/>
              </w:rPr>
              <w:t>112 (43.2)</w:t>
            </w:r>
          </w:p>
        </w:tc>
        <w:tc>
          <w:tcPr>
            <w:tcW w:w="511" w:type="pct"/>
            <w:vAlign w:val="center"/>
          </w:tcPr>
          <w:p w14:paraId="5C2AEA77" w14:textId="77777777" w:rsidR="00A11706" w:rsidRPr="00B213CD" w:rsidRDefault="00A11706" w:rsidP="00A11706">
            <w:pPr>
              <w:pStyle w:val="Tabletext"/>
              <w:rPr>
                <w:szCs w:val="20"/>
              </w:rPr>
            </w:pPr>
            <w:r w:rsidRPr="00B213CD">
              <w:rPr>
                <w:color w:val="0D0D0D"/>
                <w:szCs w:val="20"/>
              </w:rPr>
              <w:t>103 (45.2)</w:t>
            </w:r>
          </w:p>
        </w:tc>
        <w:tc>
          <w:tcPr>
            <w:tcW w:w="512" w:type="pct"/>
            <w:vAlign w:val="center"/>
          </w:tcPr>
          <w:p w14:paraId="7571CAEB" w14:textId="77777777" w:rsidR="00A11706" w:rsidRPr="00B213CD" w:rsidRDefault="00A11706" w:rsidP="00A11706">
            <w:pPr>
              <w:pStyle w:val="Tabletext"/>
              <w:rPr>
                <w:szCs w:val="20"/>
              </w:rPr>
            </w:pPr>
            <w:r w:rsidRPr="00B213CD">
              <w:rPr>
                <w:color w:val="0D0D0D"/>
                <w:szCs w:val="20"/>
              </w:rPr>
              <w:t>98 (45.4)</w:t>
            </w:r>
          </w:p>
        </w:tc>
        <w:tc>
          <w:tcPr>
            <w:tcW w:w="724" w:type="pct"/>
          </w:tcPr>
          <w:p w14:paraId="29828498" w14:textId="5448E82A" w:rsidR="00A11706" w:rsidRPr="00B213CD" w:rsidRDefault="00A11706" w:rsidP="00A11706">
            <w:pPr>
              <w:pStyle w:val="Tabletext"/>
              <w:rPr>
                <w:szCs w:val="20"/>
              </w:rPr>
            </w:pPr>
            <w:r w:rsidRPr="00B213CD">
              <w:rPr>
                <w:szCs w:val="20"/>
              </w:rPr>
              <w:t>0.63 (0.38, 1.05)</w:t>
            </w:r>
          </w:p>
        </w:tc>
        <w:tc>
          <w:tcPr>
            <w:tcW w:w="724" w:type="pct"/>
          </w:tcPr>
          <w:p w14:paraId="0F25925D" w14:textId="0BFF7DCF" w:rsidR="00A11706" w:rsidRPr="00B213CD" w:rsidRDefault="00A11706" w:rsidP="00A11706">
            <w:pPr>
              <w:pStyle w:val="Tabletext"/>
              <w:rPr>
                <w:szCs w:val="20"/>
              </w:rPr>
            </w:pPr>
            <w:r w:rsidRPr="00B213CD">
              <w:rPr>
                <w:szCs w:val="20"/>
              </w:rPr>
              <w:t>0.75 (0.56, 1.01)</w:t>
            </w:r>
          </w:p>
        </w:tc>
        <w:tc>
          <w:tcPr>
            <w:tcW w:w="723" w:type="pct"/>
          </w:tcPr>
          <w:p w14:paraId="2F6CB6C7" w14:textId="452795AE" w:rsidR="00A11706" w:rsidRPr="00B213CD" w:rsidRDefault="00A11706" w:rsidP="00A11706">
            <w:pPr>
              <w:pStyle w:val="Tabletext"/>
              <w:rPr>
                <w:szCs w:val="20"/>
              </w:rPr>
            </w:pPr>
            <w:r w:rsidRPr="00B213CD">
              <w:rPr>
                <w:szCs w:val="20"/>
              </w:rPr>
              <w:t>-10.7 (-23.0,1.5)</w:t>
            </w:r>
          </w:p>
        </w:tc>
      </w:tr>
      <w:tr w:rsidR="008C4508" w:rsidRPr="00B213CD" w14:paraId="368EF378" w14:textId="77777777" w:rsidTr="00B213CD">
        <w:trPr>
          <w:trHeight w:val="20"/>
        </w:trPr>
        <w:tc>
          <w:tcPr>
            <w:tcW w:w="862" w:type="pct"/>
            <w:vAlign w:val="center"/>
          </w:tcPr>
          <w:p w14:paraId="16FE9599" w14:textId="77777777" w:rsidR="00475C36" w:rsidRPr="00B213CD" w:rsidRDefault="00475C36" w:rsidP="000F120D">
            <w:pPr>
              <w:pStyle w:val="Tabletext"/>
              <w:rPr>
                <w:szCs w:val="20"/>
              </w:rPr>
            </w:pPr>
            <w:r w:rsidRPr="00B213CD">
              <w:rPr>
                <w:color w:val="0D0D0D"/>
                <w:szCs w:val="20"/>
              </w:rPr>
              <w:t>Other leukopenia</w:t>
            </w:r>
          </w:p>
        </w:tc>
        <w:tc>
          <w:tcPr>
            <w:tcW w:w="472" w:type="pct"/>
            <w:vAlign w:val="center"/>
          </w:tcPr>
          <w:p w14:paraId="3FBDBFA9" w14:textId="77777777" w:rsidR="00475C36" w:rsidRPr="00B213CD" w:rsidRDefault="00475C36" w:rsidP="000F120D">
            <w:pPr>
              <w:pStyle w:val="Tabletext"/>
              <w:rPr>
                <w:szCs w:val="20"/>
              </w:rPr>
            </w:pPr>
            <w:r w:rsidRPr="00B213CD">
              <w:rPr>
                <w:color w:val="0D0D0D"/>
                <w:szCs w:val="20"/>
              </w:rPr>
              <w:t>6 (2.1)</w:t>
            </w:r>
          </w:p>
        </w:tc>
        <w:tc>
          <w:tcPr>
            <w:tcW w:w="472" w:type="pct"/>
            <w:vAlign w:val="center"/>
          </w:tcPr>
          <w:p w14:paraId="6D6E8F42" w14:textId="77777777" w:rsidR="00475C36" w:rsidRPr="00B213CD" w:rsidRDefault="00475C36" w:rsidP="000F120D">
            <w:pPr>
              <w:pStyle w:val="Tabletext"/>
              <w:rPr>
                <w:szCs w:val="20"/>
              </w:rPr>
            </w:pPr>
            <w:r w:rsidRPr="00B213CD">
              <w:rPr>
                <w:color w:val="0D0D0D"/>
                <w:szCs w:val="20"/>
              </w:rPr>
              <w:t>16 (6.2)</w:t>
            </w:r>
          </w:p>
        </w:tc>
        <w:tc>
          <w:tcPr>
            <w:tcW w:w="511" w:type="pct"/>
            <w:vAlign w:val="center"/>
          </w:tcPr>
          <w:p w14:paraId="457AC126" w14:textId="77777777" w:rsidR="00475C36" w:rsidRPr="00B213CD" w:rsidRDefault="00475C36" w:rsidP="000F120D">
            <w:pPr>
              <w:pStyle w:val="Tabletext"/>
              <w:rPr>
                <w:szCs w:val="20"/>
              </w:rPr>
            </w:pPr>
            <w:r w:rsidRPr="00B213CD">
              <w:rPr>
                <w:color w:val="0D0D0D"/>
                <w:szCs w:val="20"/>
              </w:rPr>
              <w:t>NR</w:t>
            </w:r>
          </w:p>
        </w:tc>
        <w:tc>
          <w:tcPr>
            <w:tcW w:w="512" w:type="pct"/>
            <w:vAlign w:val="center"/>
          </w:tcPr>
          <w:p w14:paraId="1150B77C" w14:textId="77777777" w:rsidR="00475C36" w:rsidRPr="00B213CD" w:rsidRDefault="00475C36" w:rsidP="000F120D">
            <w:pPr>
              <w:pStyle w:val="Tabletext"/>
              <w:rPr>
                <w:szCs w:val="20"/>
              </w:rPr>
            </w:pPr>
            <w:r w:rsidRPr="00B213CD">
              <w:rPr>
                <w:color w:val="0D0D0D"/>
                <w:szCs w:val="20"/>
              </w:rPr>
              <w:t>NR</w:t>
            </w:r>
          </w:p>
        </w:tc>
        <w:tc>
          <w:tcPr>
            <w:tcW w:w="724" w:type="pct"/>
            <w:vAlign w:val="center"/>
          </w:tcPr>
          <w:p w14:paraId="609BBA01" w14:textId="77777777" w:rsidR="00475C36" w:rsidRPr="00B213CD" w:rsidRDefault="00475C36" w:rsidP="000F120D">
            <w:pPr>
              <w:pStyle w:val="Tabletext"/>
              <w:rPr>
                <w:color w:val="0D0D0D"/>
                <w:szCs w:val="20"/>
              </w:rPr>
            </w:pPr>
            <w:r w:rsidRPr="00B213CD">
              <w:rPr>
                <w:szCs w:val="20"/>
              </w:rPr>
              <w:t>NR</w:t>
            </w:r>
          </w:p>
        </w:tc>
        <w:tc>
          <w:tcPr>
            <w:tcW w:w="724" w:type="pct"/>
            <w:vAlign w:val="center"/>
          </w:tcPr>
          <w:p w14:paraId="513BADC6" w14:textId="77777777" w:rsidR="00475C36" w:rsidRPr="00B213CD" w:rsidRDefault="00475C36" w:rsidP="000F120D">
            <w:pPr>
              <w:pStyle w:val="Tabletext"/>
              <w:rPr>
                <w:color w:val="0D0D0D"/>
                <w:szCs w:val="20"/>
              </w:rPr>
            </w:pPr>
            <w:r w:rsidRPr="00B213CD">
              <w:rPr>
                <w:szCs w:val="20"/>
              </w:rPr>
              <w:t>NR</w:t>
            </w:r>
          </w:p>
        </w:tc>
        <w:tc>
          <w:tcPr>
            <w:tcW w:w="723" w:type="pct"/>
            <w:vAlign w:val="center"/>
          </w:tcPr>
          <w:p w14:paraId="798676F8" w14:textId="77777777" w:rsidR="00475C36" w:rsidRPr="00B213CD" w:rsidRDefault="00475C36" w:rsidP="000F120D">
            <w:pPr>
              <w:pStyle w:val="Tabletext"/>
              <w:rPr>
                <w:color w:val="0D0D0D"/>
                <w:szCs w:val="20"/>
              </w:rPr>
            </w:pPr>
            <w:r w:rsidRPr="00B213CD">
              <w:rPr>
                <w:szCs w:val="20"/>
              </w:rPr>
              <w:t>NR</w:t>
            </w:r>
          </w:p>
        </w:tc>
      </w:tr>
      <w:tr w:rsidR="00A11706" w:rsidRPr="00B213CD" w14:paraId="66D35B6B" w14:textId="77777777" w:rsidTr="00B213CD">
        <w:trPr>
          <w:trHeight w:val="20"/>
        </w:trPr>
        <w:tc>
          <w:tcPr>
            <w:tcW w:w="862" w:type="pct"/>
            <w:vAlign w:val="center"/>
          </w:tcPr>
          <w:p w14:paraId="251F0150" w14:textId="77777777" w:rsidR="00A11706" w:rsidRPr="00B213CD" w:rsidRDefault="00A11706" w:rsidP="00A11706">
            <w:pPr>
              <w:pStyle w:val="Tabletext"/>
              <w:rPr>
                <w:szCs w:val="20"/>
              </w:rPr>
            </w:pPr>
            <w:r w:rsidRPr="00B213CD">
              <w:rPr>
                <w:color w:val="0D0D0D"/>
                <w:szCs w:val="20"/>
              </w:rPr>
              <w:t>Thrombocytopenia</w:t>
            </w:r>
          </w:p>
        </w:tc>
        <w:tc>
          <w:tcPr>
            <w:tcW w:w="472" w:type="pct"/>
            <w:vAlign w:val="center"/>
          </w:tcPr>
          <w:p w14:paraId="31820ED0" w14:textId="77777777" w:rsidR="00A11706" w:rsidRPr="00B213CD" w:rsidRDefault="00A11706" w:rsidP="00A11706">
            <w:pPr>
              <w:pStyle w:val="Tabletext"/>
              <w:rPr>
                <w:szCs w:val="20"/>
              </w:rPr>
            </w:pPr>
            <w:r w:rsidRPr="00B213CD">
              <w:rPr>
                <w:color w:val="0D0D0D"/>
                <w:szCs w:val="20"/>
              </w:rPr>
              <w:t>6 (2.1)</w:t>
            </w:r>
          </w:p>
        </w:tc>
        <w:tc>
          <w:tcPr>
            <w:tcW w:w="472" w:type="pct"/>
            <w:vAlign w:val="center"/>
          </w:tcPr>
          <w:p w14:paraId="657F169B" w14:textId="77777777" w:rsidR="00A11706" w:rsidRPr="00B213CD" w:rsidRDefault="00A11706" w:rsidP="00A11706">
            <w:pPr>
              <w:pStyle w:val="Tabletext"/>
              <w:rPr>
                <w:szCs w:val="20"/>
              </w:rPr>
            </w:pPr>
            <w:r w:rsidRPr="00B213CD">
              <w:rPr>
                <w:color w:val="0D0D0D"/>
                <w:szCs w:val="20"/>
              </w:rPr>
              <w:t>28 (10.8)</w:t>
            </w:r>
          </w:p>
        </w:tc>
        <w:tc>
          <w:tcPr>
            <w:tcW w:w="511" w:type="pct"/>
            <w:vAlign w:val="center"/>
          </w:tcPr>
          <w:p w14:paraId="5793185E" w14:textId="77777777" w:rsidR="00A11706" w:rsidRPr="00B213CD" w:rsidRDefault="00A11706" w:rsidP="00A11706">
            <w:pPr>
              <w:pStyle w:val="Tabletext"/>
              <w:rPr>
                <w:szCs w:val="20"/>
              </w:rPr>
            </w:pPr>
            <w:r w:rsidRPr="00B213CD">
              <w:rPr>
                <w:color w:val="0D0D0D"/>
                <w:szCs w:val="20"/>
              </w:rPr>
              <w:t>34 (14.9)</w:t>
            </w:r>
          </w:p>
        </w:tc>
        <w:tc>
          <w:tcPr>
            <w:tcW w:w="512" w:type="pct"/>
            <w:vAlign w:val="center"/>
          </w:tcPr>
          <w:p w14:paraId="411AA2BE" w14:textId="77777777" w:rsidR="00A11706" w:rsidRPr="00B213CD" w:rsidRDefault="00A11706" w:rsidP="00A11706">
            <w:pPr>
              <w:pStyle w:val="Tabletext"/>
              <w:rPr>
                <w:szCs w:val="20"/>
              </w:rPr>
            </w:pPr>
            <w:r w:rsidRPr="00B213CD">
              <w:rPr>
                <w:color w:val="0D0D0D"/>
                <w:szCs w:val="20"/>
              </w:rPr>
              <w:t>18 (8.3)</w:t>
            </w:r>
          </w:p>
        </w:tc>
        <w:tc>
          <w:tcPr>
            <w:tcW w:w="724" w:type="pct"/>
          </w:tcPr>
          <w:p w14:paraId="35E22FA3" w14:textId="46E9E81F" w:rsidR="00A11706" w:rsidRPr="00B213CD" w:rsidRDefault="00A11706" w:rsidP="00A11706">
            <w:pPr>
              <w:pStyle w:val="Tabletext"/>
              <w:rPr>
                <w:szCs w:val="20"/>
              </w:rPr>
            </w:pPr>
            <w:r w:rsidRPr="00B213CD">
              <w:rPr>
                <w:szCs w:val="20"/>
              </w:rPr>
              <w:t>0.09 (0.03, 0.27)</w:t>
            </w:r>
          </w:p>
        </w:tc>
        <w:tc>
          <w:tcPr>
            <w:tcW w:w="724" w:type="pct"/>
          </w:tcPr>
          <w:p w14:paraId="414A472C" w14:textId="167AC24F" w:rsidR="00A11706" w:rsidRPr="00B213CD" w:rsidRDefault="00A11706" w:rsidP="00A11706">
            <w:pPr>
              <w:pStyle w:val="Tabletext"/>
              <w:rPr>
                <w:szCs w:val="20"/>
              </w:rPr>
            </w:pPr>
            <w:r w:rsidRPr="00B213CD">
              <w:rPr>
                <w:szCs w:val="20"/>
              </w:rPr>
              <w:t>0.11 (0.04, 0.30)</w:t>
            </w:r>
          </w:p>
        </w:tc>
        <w:tc>
          <w:tcPr>
            <w:tcW w:w="723" w:type="pct"/>
          </w:tcPr>
          <w:p w14:paraId="59993D59" w14:textId="399FFD11" w:rsidR="00A11706" w:rsidRPr="00B213CD" w:rsidRDefault="00A11706" w:rsidP="00A11706">
            <w:pPr>
              <w:pStyle w:val="Tabletext"/>
              <w:rPr>
                <w:szCs w:val="20"/>
              </w:rPr>
            </w:pPr>
            <w:r w:rsidRPr="00B213CD">
              <w:rPr>
                <w:szCs w:val="20"/>
              </w:rPr>
              <w:t>-15.3 (-22.5,-8.1)</w:t>
            </w:r>
          </w:p>
        </w:tc>
      </w:tr>
      <w:tr w:rsidR="00A11706" w:rsidRPr="00B213CD" w14:paraId="15E8F580" w14:textId="77777777" w:rsidTr="00B213CD">
        <w:trPr>
          <w:trHeight w:val="20"/>
        </w:trPr>
        <w:tc>
          <w:tcPr>
            <w:tcW w:w="862" w:type="pct"/>
            <w:vAlign w:val="center"/>
          </w:tcPr>
          <w:p w14:paraId="5566FAC7" w14:textId="77777777" w:rsidR="00A11706" w:rsidRPr="00B213CD" w:rsidRDefault="00A11706" w:rsidP="00A11706">
            <w:pPr>
              <w:pStyle w:val="Tabletext"/>
              <w:rPr>
                <w:szCs w:val="20"/>
              </w:rPr>
            </w:pPr>
            <w:r w:rsidRPr="00B213CD">
              <w:rPr>
                <w:color w:val="0D0D0D"/>
                <w:szCs w:val="20"/>
              </w:rPr>
              <w:t>Infections</w:t>
            </w:r>
          </w:p>
        </w:tc>
        <w:tc>
          <w:tcPr>
            <w:tcW w:w="472" w:type="pct"/>
            <w:vAlign w:val="center"/>
          </w:tcPr>
          <w:p w14:paraId="6AAF7523" w14:textId="77777777" w:rsidR="00A11706" w:rsidRPr="00B213CD" w:rsidRDefault="00A11706" w:rsidP="00A11706">
            <w:pPr>
              <w:pStyle w:val="Tabletext"/>
              <w:rPr>
                <w:szCs w:val="20"/>
              </w:rPr>
            </w:pPr>
            <w:r w:rsidRPr="00B213CD">
              <w:rPr>
                <w:color w:val="0D0D0D"/>
                <w:szCs w:val="20"/>
              </w:rPr>
              <w:t>36 (12.4)</w:t>
            </w:r>
          </w:p>
        </w:tc>
        <w:tc>
          <w:tcPr>
            <w:tcW w:w="472" w:type="pct"/>
            <w:vAlign w:val="center"/>
          </w:tcPr>
          <w:p w14:paraId="682DBF8A" w14:textId="77777777" w:rsidR="00A11706" w:rsidRPr="00B213CD" w:rsidRDefault="00A11706" w:rsidP="00A11706">
            <w:pPr>
              <w:pStyle w:val="Tabletext"/>
              <w:rPr>
                <w:szCs w:val="20"/>
              </w:rPr>
            </w:pPr>
            <w:r w:rsidRPr="00B213CD">
              <w:rPr>
                <w:color w:val="0D0D0D"/>
                <w:szCs w:val="20"/>
              </w:rPr>
              <w:t>26 (10.0)</w:t>
            </w:r>
          </w:p>
        </w:tc>
        <w:tc>
          <w:tcPr>
            <w:tcW w:w="511" w:type="pct"/>
            <w:vAlign w:val="center"/>
          </w:tcPr>
          <w:p w14:paraId="3E1A0CB1" w14:textId="77777777" w:rsidR="00A11706" w:rsidRPr="00B213CD" w:rsidRDefault="00A11706" w:rsidP="00A11706">
            <w:pPr>
              <w:pStyle w:val="Tabletext"/>
              <w:rPr>
                <w:szCs w:val="20"/>
              </w:rPr>
            </w:pPr>
            <w:r w:rsidRPr="00B213CD">
              <w:rPr>
                <w:color w:val="0D0D0D"/>
                <w:szCs w:val="20"/>
              </w:rPr>
              <w:t>30 (13.2)</w:t>
            </w:r>
          </w:p>
        </w:tc>
        <w:tc>
          <w:tcPr>
            <w:tcW w:w="512" w:type="pct"/>
            <w:vAlign w:val="center"/>
          </w:tcPr>
          <w:p w14:paraId="0865A9F0" w14:textId="77777777" w:rsidR="00A11706" w:rsidRPr="00B213CD" w:rsidRDefault="00A11706" w:rsidP="00A11706">
            <w:pPr>
              <w:pStyle w:val="Tabletext"/>
              <w:rPr>
                <w:szCs w:val="20"/>
              </w:rPr>
            </w:pPr>
            <w:r w:rsidRPr="00B213CD">
              <w:rPr>
                <w:color w:val="0D0D0D"/>
                <w:szCs w:val="20"/>
              </w:rPr>
              <w:t>40 (18.5)</w:t>
            </w:r>
          </w:p>
        </w:tc>
        <w:tc>
          <w:tcPr>
            <w:tcW w:w="724" w:type="pct"/>
          </w:tcPr>
          <w:p w14:paraId="3F35022D" w14:textId="1E04994A" w:rsidR="00A11706" w:rsidRPr="00B213CD" w:rsidRDefault="00A11706" w:rsidP="00A11706">
            <w:pPr>
              <w:pStyle w:val="Tabletext"/>
              <w:rPr>
                <w:szCs w:val="20"/>
              </w:rPr>
            </w:pPr>
            <w:r w:rsidRPr="00B213CD">
              <w:rPr>
                <w:szCs w:val="20"/>
              </w:rPr>
              <w:t>1.90 (0.90, 3.99)</w:t>
            </w:r>
          </w:p>
        </w:tc>
        <w:tc>
          <w:tcPr>
            <w:tcW w:w="724" w:type="pct"/>
          </w:tcPr>
          <w:p w14:paraId="6FA155B5" w14:textId="31796235" w:rsidR="00A11706" w:rsidRPr="00B213CD" w:rsidRDefault="00A11706" w:rsidP="00A11706">
            <w:pPr>
              <w:pStyle w:val="Tabletext"/>
              <w:rPr>
                <w:szCs w:val="20"/>
              </w:rPr>
            </w:pPr>
            <w:r w:rsidRPr="00B213CD">
              <w:rPr>
                <w:szCs w:val="20"/>
              </w:rPr>
              <w:t>1.73 (0.91, 3.31)</w:t>
            </w:r>
          </w:p>
        </w:tc>
        <w:tc>
          <w:tcPr>
            <w:tcW w:w="723" w:type="pct"/>
          </w:tcPr>
          <w:p w14:paraId="1B61E709" w14:textId="3C4EE011" w:rsidR="00A11706" w:rsidRPr="00B213CD" w:rsidRDefault="00A11706" w:rsidP="00A11706">
            <w:pPr>
              <w:pStyle w:val="Tabletext"/>
              <w:rPr>
                <w:szCs w:val="20"/>
              </w:rPr>
            </w:pPr>
            <w:r w:rsidRPr="00B213CD">
              <w:rPr>
                <w:szCs w:val="20"/>
              </w:rPr>
              <w:t>7.7 (-0.9,16.3)</w:t>
            </w:r>
          </w:p>
        </w:tc>
      </w:tr>
      <w:tr w:rsidR="008C4508" w:rsidRPr="00B213CD" w14:paraId="692CA33D" w14:textId="77777777" w:rsidTr="00B213CD">
        <w:trPr>
          <w:trHeight w:val="20"/>
        </w:trPr>
        <w:tc>
          <w:tcPr>
            <w:tcW w:w="862" w:type="pct"/>
            <w:vAlign w:val="center"/>
          </w:tcPr>
          <w:p w14:paraId="251EEFF1" w14:textId="77777777" w:rsidR="00475C36" w:rsidRPr="00B213CD" w:rsidRDefault="00475C36" w:rsidP="000F120D">
            <w:pPr>
              <w:pStyle w:val="Tabletext"/>
              <w:rPr>
                <w:szCs w:val="20"/>
              </w:rPr>
            </w:pPr>
            <w:r w:rsidRPr="00B213CD">
              <w:rPr>
                <w:color w:val="0D0D0D"/>
                <w:szCs w:val="20"/>
              </w:rPr>
              <w:t xml:space="preserve">TLS </w:t>
            </w:r>
            <w:r w:rsidRPr="00B213CD">
              <w:rPr>
                <w:szCs w:val="20"/>
                <w:vertAlign w:val="superscript"/>
              </w:rPr>
              <w:t>d</w:t>
            </w:r>
          </w:p>
        </w:tc>
        <w:tc>
          <w:tcPr>
            <w:tcW w:w="472" w:type="pct"/>
            <w:vAlign w:val="center"/>
          </w:tcPr>
          <w:p w14:paraId="2EE7AC1F" w14:textId="77777777" w:rsidR="00475C36" w:rsidRPr="00B213CD" w:rsidRDefault="00475C36" w:rsidP="000F120D">
            <w:pPr>
              <w:pStyle w:val="Tabletext"/>
              <w:rPr>
                <w:szCs w:val="20"/>
              </w:rPr>
            </w:pPr>
            <w:r w:rsidRPr="00B213CD">
              <w:rPr>
                <w:color w:val="0D0D0D"/>
                <w:szCs w:val="20"/>
              </w:rPr>
              <w:t>1 (0.3)</w:t>
            </w:r>
          </w:p>
        </w:tc>
        <w:tc>
          <w:tcPr>
            <w:tcW w:w="472" w:type="pct"/>
            <w:vAlign w:val="center"/>
          </w:tcPr>
          <w:p w14:paraId="08C2E440" w14:textId="77777777" w:rsidR="00475C36" w:rsidRPr="00B213CD" w:rsidRDefault="00475C36" w:rsidP="000F120D">
            <w:pPr>
              <w:pStyle w:val="Tabletext"/>
              <w:rPr>
                <w:szCs w:val="20"/>
              </w:rPr>
            </w:pPr>
            <w:r w:rsidRPr="00B213CD">
              <w:rPr>
                <w:color w:val="0D0D0D"/>
                <w:szCs w:val="20"/>
              </w:rPr>
              <w:t>8 (3.1)</w:t>
            </w:r>
          </w:p>
        </w:tc>
        <w:tc>
          <w:tcPr>
            <w:tcW w:w="511" w:type="pct"/>
            <w:vAlign w:val="center"/>
          </w:tcPr>
          <w:p w14:paraId="37BB2D90" w14:textId="77777777" w:rsidR="00475C36" w:rsidRPr="00B213CD" w:rsidRDefault="00475C36" w:rsidP="000F120D">
            <w:pPr>
              <w:pStyle w:val="Tabletext"/>
              <w:rPr>
                <w:szCs w:val="20"/>
              </w:rPr>
            </w:pPr>
            <w:r w:rsidRPr="00B213CD">
              <w:rPr>
                <w:color w:val="0D0D0D"/>
                <w:szCs w:val="20"/>
              </w:rPr>
              <w:t>19 (8.3)</w:t>
            </w:r>
          </w:p>
        </w:tc>
        <w:tc>
          <w:tcPr>
            <w:tcW w:w="512" w:type="pct"/>
            <w:vAlign w:val="center"/>
          </w:tcPr>
          <w:p w14:paraId="22CFBDA3" w14:textId="77777777" w:rsidR="00475C36" w:rsidRPr="00B213CD" w:rsidRDefault="00475C36" w:rsidP="000F120D">
            <w:pPr>
              <w:pStyle w:val="Tabletext"/>
              <w:rPr>
                <w:szCs w:val="20"/>
              </w:rPr>
            </w:pPr>
            <w:r w:rsidRPr="00B213CD">
              <w:rPr>
                <w:color w:val="0D0D0D"/>
                <w:szCs w:val="20"/>
              </w:rPr>
              <w:t>9 (4.2)</w:t>
            </w:r>
          </w:p>
        </w:tc>
        <w:tc>
          <w:tcPr>
            <w:tcW w:w="724" w:type="pct"/>
            <w:vAlign w:val="center"/>
          </w:tcPr>
          <w:p w14:paraId="352A2D62" w14:textId="19925DFC" w:rsidR="00475C36" w:rsidRPr="00B213CD" w:rsidRDefault="00475C36" w:rsidP="000F120D">
            <w:pPr>
              <w:pStyle w:val="TableText0"/>
              <w:rPr>
                <w:b/>
                <w:szCs w:val="20"/>
              </w:rPr>
            </w:pPr>
            <w:r w:rsidRPr="00B213CD">
              <w:rPr>
                <w:b/>
                <w:bCs w:val="0"/>
                <w:szCs w:val="20"/>
              </w:rPr>
              <w:t>0.05</w:t>
            </w:r>
            <w:r w:rsidR="008C4508" w:rsidRPr="00B213CD">
              <w:rPr>
                <w:b/>
                <w:bCs w:val="0"/>
                <w:szCs w:val="20"/>
              </w:rPr>
              <w:t xml:space="preserve"> </w:t>
            </w:r>
            <w:r w:rsidRPr="00B213CD">
              <w:rPr>
                <w:b/>
                <w:szCs w:val="20"/>
              </w:rPr>
              <w:t>(0.01,0.49)</w:t>
            </w:r>
          </w:p>
        </w:tc>
        <w:tc>
          <w:tcPr>
            <w:tcW w:w="724" w:type="pct"/>
            <w:vAlign w:val="center"/>
          </w:tcPr>
          <w:p w14:paraId="7BABBEAC" w14:textId="652B0A0D" w:rsidR="00475C36" w:rsidRPr="00B213CD" w:rsidRDefault="00475C36" w:rsidP="000F120D">
            <w:pPr>
              <w:pStyle w:val="TableText0"/>
              <w:rPr>
                <w:b/>
                <w:szCs w:val="20"/>
              </w:rPr>
            </w:pPr>
            <w:r w:rsidRPr="00B213CD">
              <w:rPr>
                <w:b/>
                <w:bCs w:val="0"/>
                <w:szCs w:val="20"/>
              </w:rPr>
              <w:t>0.06</w:t>
            </w:r>
            <w:r w:rsidR="008C4508" w:rsidRPr="00B213CD">
              <w:rPr>
                <w:b/>
                <w:bCs w:val="0"/>
                <w:szCs w:val="20"/>
              </w:rPr>
              <w:t xml:space="preserve"> </w:t>
            </w:r>
            <w:r w:rsidRPr="00B213CD">
              <w:rPr>
                <w:b/>
                <w:szCs w:val="20"/>
              </w:rPr>
              <w:t>(0.01,0.51)</w:t>
            </w:r>
          </w:p>
        </w:tc>
        <w:tc>
          <w:tcPr>
            <w:tcW w:w="723" w:type="pct"/>
            <w:vAlign w:val="center"/>
          </w:tcPr>
          <w:p w14:paraId="5FE4D783" w14:textId="51C5A4A2" w:rsidR="00475C36" w:rsidRPr="00B213CD" w:rsidRDefault="00475C36" w:rsidP="000F120D">
            <w:pPr>
              <w:pStyle w:val="TableText0"/>
              <w:rPr>
                <w:b/>
                <w:szCs w:val="20"/>
              </w:rPr>
            </w:pPr>
            <w:r w:rsidRPr="00B213CD">
              <w:rPr>
                <w:b/>
                <w:bCs w:val="0"/>
                <w:szCs w:val="20"/>
              </w:rPr>
              <w:t>-6.9</w:t>
            </w:r>
            <w:r w:rsidR="008C4508" w:rsidRPr="00B213CD">
              <w:rPr>
                <w:b/>
                <w:bCs w:val="0"/>
                <w:szCs w:val="20"/>
              </w:rPr>
              <w:t xml:space="preserve"> </w:t>
            </w:r>
            <w:r w:rsidRPr="00B213CD">
              <w:rPr>
                <w:b/>
                <w:szCs w:val="20"/>
              </w:rPr>
              <w:t>(-11.9,-1.9)</w:t>
            </w:r>
          </w:p>
        </w:tc>
      </w:tr>
    </w:tbl>
    <w:p w14:paraId="707F5584" w14:textId="56BDA6D4" w:rsidR="00475C36" w:rsidRPr="00A55C25" w:rsidRDefault="00475C36" w:rsidP="00475C36">
      <w:pPr>
        <w:pStyle w:val="FooterTableFigure"/>
        <w:rPr>
          <w:sz w:val="20"/>
        </w:rPr>
      </w:pPr>
      <w:r w:rsidRPr="00A55C25">
        <w:t>Source: Compiled during the evaluation from Table 2.19, p67, Table 2-29, p91, Table 2-30, pp92-93 and Table 2.35, pp102-103 of the submission of the submission</w:t>
      </w:r>
      <w:r w:rsidR="00A11706" w:rsidRPr="00A55C25">
        <w:t>, and estimated using Attachment 2.9-Anchored ITC AV vs VO of the submission.</w:t>
      </w:r>
    </w:p>
    <w:p w14:paraId="60009A8B" w14:textId="4869A155" w:rsidR="00475C36" w:rsidRPr="00A55C25" w:rsidRDefault="00475C36" w:rsidP="00475C36">
      <w:pPr>
        <w:pStyle w:val="FooterTableFigure"/>
      </w:pPr>
      <w:r w:rsidRPr="00A55C25">
        <w:t>A= acalabrutinib; AE=adverse event; AESI=adverse event of special interest; AV=</w:t>
      </w:r>
      <w:proofErr w:type="spellStart"/>
      <w:r w:rsidRPr="00A55C25">
        <w:t>acalabrutinib+venetoclax</w:t>
      </w:r>
      <w:proofErr w:type="spellEnd"/>
      <w:r w:rsidRPr="00A55C25">
        <w:t>; BR=</w:t>
      </w:r>
      <w:proofErr w:type="spellStart"/>
      <w:r w:rsidRPr="00A55C25">
        <w:t>bendamustine+rituximab</w:t>
      </w:r>
      <w:proofErr w:type="spellEnd"/>
      <w:r w:rsidRPr="00A55C25">
        <w:t xml:space="preserve">; C=cyclophosphamide; CI=confidence interval; Diff=difference; </w:t>
      </w:r>
      <w:proofErr w:type="spellStart"/>
      <w:r w:rsidRPr="00A55C25">
        <w:t>Discont</w:t>
      </w:r>
      <w:proofErr w:type="spellEnd"/>
      <w:r w:rsidRPr="00A55C25">
        <w:t>=discontinue; DoE=duration of exposure; F=</w:t>
      </w:r>
      <w:r w:rsidR="00C70B58" w:rsidRPr="00A55C25">
        <w:t>fludarabine</w:t>
      </w:r>
      <w:r w:rsidRPr="00A55C25">
        <w:t>; FCR=</w:t>
      </w:r>
      <w:proofErr w:type="spellStart"/>
      <w:r w:rsidRPr="00A55C25">
        <w:t>fludarabine+cyclophosphamide+rituximab</w:t>
      </w:r>
      <w:proofErr w:type="spellEnd"/>
      <w:r w:rsidRPr="00A55C25">
        <w:t xml:space="preserve">; HR=hazard ratio; </w:t>
      </w:r>
      <w:proofErr w:type="spellStart"/>
      <w:r w:rsidRPr="00A55C25">
        <w:t>mths</w:t>
      </w:r>
      <w:proofErr w:type="spellEnd"/>
      <w:r w:rsidRPr="00A55C25">
        <w:t>=months; N=number of patients; NR=not reported; OR=odds ratio; R= rituximab; RDI=relative dose intensity; RR=relative risk; SAE=serious adverse event; SAS=safety analysis set; sub=subgroup; TEAE=treatment-emergent adverse event; TLS= Tumour lysis syndrome; V=venetoclax; VO=</w:t>
      </w:r>
      <w:proofErr w:type="spellStart"/>
      <w:r w:rsidRPr="00A55C25">
        <w:t>venetoclax+obinutuzumab</w:t>
      </w:r>
      <w:proofErr w:type="spellEnd"/>
      <w:r w:rsidRPr="00A55C25">
        <w:t>.</w:t>
      </w:r>
    </w:p>
    <w:p w14:paraId="1235AE6D" w14:textId="77777777" w:rsidR="00475C36" w:rsidRPr="00A55C25" w:rsidRDefault="00475C36" w:rsidP="00475C36">
      <w:pPr>
        <w:pStyle w:val="FooterTableFigure"/>
        <w:spacing w:after="0"/>
      </w:pPr>
      <w:r w:rsidRPr="00A55C25">
        <w:rPr>
          <w:vertAlign w:val="superscript"/>
        </w:rPr>
        <w:t>a</w:t>
      </w:r>
      <w:r w:rsidRPr="00A55C25">
        <w:t xml:space="preserve"> Results are from the safety population set, data cut-off: September 2024.</w:t>
      </w:r>
    </w:p>
    <w:p w14:paraId="30713C9A" w14:textId="77777777" w:rsidR="00475C36" w:rsidRPr="00A55C25" w:rsidRDefault="00475C36" w:rsidP="00475C36">
      <w:pPr>
        <w:pStyle w:val="Tablenotes"/>
        <w:rPr>
          <w:vertAlign w:val="superscript"/>
          <w:lang w:eastAsia="en-AU"/>
        </w:rPr>
      </w:pPr>
      <w:r w:rsidRPr="00A55C25">
        <w:rPr>
          <w:vertAlign w:val="superscript"/>
        </w:rPr>
        <w:t>b</w:t>
      </w:r>
      <w:r w:rsidRPr="00A55C25">
        <w:t xml:space="preserve"> Grade 3 or 4 for the CLL-14 trial.</w:t>
      </w:r>
      <w:r w:rsidRPr="00A55C25">
        <w:rPr>
          <w:vertAlign w:val="superscript"/>
          <w:lang w:eastAsia="en-AU"/>
        </w:rPr>
        <w:t xml:space="preserve"> </w:t>
      </w:r>
    </w:p>
    <w:p w14:paraId="032EB1D9" w14:textId="77777777" w:rsidR="00475C36" w:rsidRPr="00A55C25" w:rsidRDefault="00475C36" w:rsidP="00475C36">
      <w:pPr>
        <w:pStyle w:val="Tablenotes"/>
        <w:rPr>
          <w:lang w:eastAsia="en-AU"/>
        </w:rPr>
      </w:pPr>
      <w:r w:rsidRPr="00A55C25">
        <w:rPr>
          <w:vertAlign w:val="superscript"/>
          <w:lang w:eastAsia="en-AU"/>
        </w:rPr>
        <w:t>c</w:t>
      </w:r>
      <w:r w:rsidRPr="00A55C25">
        <w:rPr>
          <w:lang w:eastAsia="en-AU"/>
        </w:rPr>
        <w:t xml:space="preserve"> Discontinuation of any drug due to adverse events.</w:t>
      </w:r>
    </w:p>
    <w:p w14:paraId="31697367" w14:textId="77777777" w:rsidR="00475C36" w:rsidRPr="00A55C25" w:rsidRDefault="00475C36" w:rsidP="003839B6">
      <w:pPr>
        <w:pStyle w:val="Tablenotes"/>
        <w:spacing w:after="240"/>
        <w:rPr>
          <w:lang w:eastAsia="en-AU"/>
        </w:rPr>
      </w:pPr>
      <w:r w:rsidRPr="00A55C25">
        <w:rPr>
          <w:vertAlign w:val="superscript"/>
          <w:lang w:eastAsia="en-AU"/>
        </w:rPr>
        <w:t>d</w:t>
      </w:r>
      <w:r w:rsidRPr="00A55C25">
        <w:rPr>
          <w:lang w:eastAsia="en-AU"/>
        </w:rPr>
        <w:t xml:space="preserve"> Any grade TLS was reported to be OR=0.04 (0.005, 0.39), RR=0.05 (0.01, 0.42), and Risk Difference=-9.1% (-14.5%, -3.7%).</w:t>
      </w:r>
    </w:p>
    <w:p w14:paraId="164DC60A" w14:textId="0CB1870D" w:rsidR="00475C36" w:rsidRPr="00A55C25" w:rsidRDefault="00E3198B" w:rsidP="0003076F">
      <w:pPr>
        <w:pStyle w:val="3-BodyText"/>
        <w:numPr>
          <w:ilvl w:val="1"/>
          <w:numId w:val="1"/>
        </w:numPr>
        <w:spacing w:before="0"/>
      </w:pPr>
      <w:r w:rsidRPr="00A55C25">
        <w:t xml:space="preserve">The results of the anchored (Bucher) ITC found </w:t>
      </w:r>
      <w:r w:rsidR="006176E0" w:rsidRPr="00A55C25">
        <w:t xml:space="preserve">that </w:t>
      </w:r>
      <w:r w:rsidR="00475C36" w:rsidRPr="00A55C25">
        <w:t xml:space="preserve">AV </w:t>
      </w:r>
      <w:r w:rsidRPr="00A55C25">
        <w:t xml:space="preserve">and </w:t>
      </w:r>
      <w:r w:rsidR="00475C36" w:rsidRPr="00A55C25">
        <w:t xml:space="preserve">VO </w:t>
      </w:r>
      <w:r w:rsidRPr="00A55C25">
        <w:t>had</w:t>
      </w:r>
      <w:r w:rsidR="00475C36" w:rsidRPr="00A55C25">
        <w:t xml:space="preserve"> similar rates of serious AEs, Grade ≥3 AEs and AEs leading to death</w:t>
      </w:r>
      <w:r w:rsidRPr="00A55C25">
        <w:t>, but p</w:t>
      </w:r>
      <w:r w:rsidR="00475C36" w:rsidRPr="00A55C25">
        <w:t xml:space="preserve">atients treated with AV were statistically significantly less likely to develop Grade≥3 </w:t>
      </w:r>
      <w:r w:rsidR="006176E0" w:rsidRPr="00A55C25">
        <w:t>tumour lysis syndrome (</w:t>
      </w:r>
      <w:r w:rsidR="00475C36" w:rsidRPr="00A55C25">
        <w:t>TLS</w:t>
      </w:r>
      <w:r w:rsidR="006176E0" w:rsidRPr="00A55C25">
        <w:t>)</w:t>
      </w:r>
      <w:r w:rsidR="00475C36" w:rsidRPr="00A55C25">
        <w:t xml:space="preserve"> (R</w:t>
      </w:r>
      <w:r w:rsidR="009406C2" w:rsidRPr="00A55C25">
        <w:t xml:space="preserve">isk </w:t>
      </w:r>
      <w:r w:rsidR="00475C36" w:rsidRPr="00A55C25">
        <w:t>D</w:t>
      </w:r>
      <w:r w:rsidR="009406C2" w:rsidRPr="00A55C25">
        <w:t>ifference</w:t>
      </w:r>
      <w:r w:rsidR="00475C36" w:rsidRPr="00A55C25">
        <w:t>=-6.9%). The submission argued that potential confounding factors related to COVID-era recruitment and the more sensitive CTCAE v5.0 AE reporting in AMPLIFY, may bias against AMPLIFY and in favour of CLL13 results in an indirect treatment comparison.</w:t>
      </w:r>
    </w:p>
    <w:p w14:paraId="55CE7B2F" w14:textId="3A0E69AB" w:rsidR="009D6101" w:rsidRPr="00A55C25" w:rsidRDefault="009D6101" w:rsidP="009D6101">
      <w:pPr>
        <w:pStyle w:val="3-BodyText"/>
        <w:rPr>
          <w:b/>
          <w:bCs/>
        </w:rPr>
      </w:pPr>
      <w:r w:rsidRPr="00A55C25">
        <w:rPr>
          <w:b/>
          <w:bCs/>
        </w:rPr>
        <w:t>Unanchored (Naïve) ITC: AV versus VO and IV</w:t>
      </w:r>
    </w:p>
    <w:p w14:paraId="3497CFAC" w14:textId="1AC01410" w:rsidR="00475C36" w:rsidRPr="00A55C25" w:rsidRDefault="008415B5" w:rsidP="008415B5">
      <w:pPr>
        <w:pStyle w:val="3-BodyText"/>
        <w:numPr>
          <w:ilvl w:val="1"/>
          <w:numId w:val="1"/>
        </w:numPr>
      </w:pPr>
      <w:r w:rsidRPr="00A55C25">
        <w:t>T</w:t>
      </w:r>
      <w:r w:rsidR="00B159BA" w:rsidRPr="00A55C25">
        <w:t xml:space="preserve">he results of </w:t>
      </w:r>
      <w:r w:rsidR="009935CF" w:rsidRPr="00A55C25">
        <w:t xml:space="preserve">a separate </w:t>
      </w:r>
      <w:r w:rsidR="00B159BA" w:rsidRPr="00A55C25">
        <w:t xml:space="preserve">unanchored (naïve) </w:t>
      </w:r>
      <w:r w:rsidR="009935CF" w:rsidRPr="00A55C25">
        <w:t xml:space="preserve">indirect </w:t>
      </w:r>
      <w:r w:rsidR="00B159BA" w:rsidRPr="00A55C25">
        <w:t xml:space="preserve">comparison of safety outcomes </w:t>
      </w:r>
      <w:r w:rsidR="009406C2" w:rsidRPr="00A55C25">
        <w:t xml:space="preserve">presented by the submission </w:t>
      </w:r>
      <w:r w:rsidR="00B159BA" w:rsidRPr="00A55C25">
        <w:t xml:space="preserve">found </w:t>
      </w:r>
      <w:r w:rsidR="00C53CB4" w:rsidRPr="00A55C25">
        <w:t xml:space="preserve">that </w:t>
      </w:r>
      <w:r w:rsidRPr="00A55C25">
        <w:t xml:space="preserve">AV (AMPLIFY) demonstrated lower rates of several Grade ≥3 adverse events compared to </w:t>
      </w:r>
      <w:r w:rsidR="00204DC5" w:rsidRPr="00A55C25">
        <w:t xml:space="preserve">(i) </w:t>
      </w:r>
      <w:r w:rsidRPr="00A55C25">
        <w:t xml:space="preserve">IV </w:t>
      </w:r>
      <w:r w:rsidR="00204DC5" w:rsidRPr="00A55C25">
        <w:t>(GLOW and CAPTIVATE) in terms of atrial fibrillation (0.3% vs 7%), hypertension (3% vs 6-8%)</w:t>
      </w:r>
      <w:r w:rsidR="001C355E" w:rsidRPr="00A55C25">
        <w:t>,</w:t>
      </w:r>
      <w:r w:rsidR="00204DC5" w:rsidRPr="00A55C25">
        <w:t xml:space="preserve"> and compared to (ii) VO (CLL14) in terms of infection (12% vs 20%), neutropenia (32% vs 53%), tumour lysis </w:t>
      </w:r>
      <w:r w:rsidR="00204DC5" w:rsidRPr="00A55C25">
        <w:lastRenderedPageBreak/>
        <w:t xml:space="preserve">syndrome (0.3% vs 2%), and infusion-related reactions (0% vs 9%). </w:t>
      </w:r>
      <w:r w:rsidR="009406C2" w:rsidRPr="00A55C25">
        <w:t>The submission acknowledged the notable differences between the trials in terms of patient demographics, disease characteristics, timing with COVID-19, and AEs outcomes assessment criteria</w:t>
      </w:r>
      <w:r w:rsidR="005B1F98" w:rsidRPr="00A55C25">
        <w:t>,</w:t>
      </w:r>
      <w:r w:rsidR="009406C2" w:rsidRPr="00A55C25">
        <w:t xml:space="preserve"> which could likely reduce the transitivity between the tr</w:t>
      </w:r>
      <w:r w:rsidR="005B1F98" w:rsidRPr="00A55C25">
        <w:t>ials</w:t>
      </w:r>
      <w:r w:rsidR="009406C2" w:rsidRPr="00A55C25">
        <w:t xml:space="preserve"> and limit the validity of the conclusions.</w:t>
      </w:r>
    </w:p>
    <w:p w14:paraId="102CE431" w14:textId="77777777" w:rsidR="00475C36" w:rsidRPr="00A55C25" w:rsidRDefault="00475C36" w:rsidP="00475C36">
      <w:pPr>
        <w:pStyle w:val="4-SubsectionHeading"/>
      </w:pPr>
      <w:bookmarkStart w:id="34" w:name="_Toc207957918"/>
      <w:r w:rsidRPr="00A55C25">
        <w:t>Benefits/harms</w:t>
      </w:r>
      <w:bookmarkEnd w:id="34"/>
    </w:p>
    <w:p w14:paraId="5ED18DB7" w14:textId="2F3A1062" w:rsidR="00475C36" w:rsidRPr="00A55C25" w:rsidRDefault="00D835E0" w:rsidP="00475C36">
      <w:pPr>
        <w:pStyle w:val="3-BodyText"/>
        <w:numPr>
          <w:ilvl w:val="1"/>
          <w:numId w:val="1"/>
        </w:numPr>
        <w:rPr>
          <w:i/>
          <w:iCs/>
        </w:rPr>
      </w:pPr>
      <w:r w:rsidRPr="00A55C25">
        <w:t xml:space="preserve">A benefits and harms table </w:t>
      </w:r>
      <w:r w:rsidR="00CD0EF5" w:rsidRPr="00A55C25">
        <w:t xml:space="preserve">was </w:t>
      </w:r>
      <w:r w:rsidRPr="00A55C25">
        <w:t>not presented as the submission made a claim of non-inferiority in terms of effectiveness</w:t>
      </w:r>
      <w:r w:rsidR="00A63E17" w:rsidRPr="00A55C25">
        <w:t>,</w:t>
      </w:r>
      <w:r w:rsidRPr="00A55C25">
        <w:t xml:space="preserve"> </w:t>
      </w:r>
      <w:r w:rsidR="00A63E17" w:rsidRPr="00A55C25">
        <w:t>with</w:t>
      </w:r>
      <w:r w:rsidRPr="00A55C25">
        <w:t xml:space="preserve"> no meaningful difference</w:t>
      </w:r>
      <w:r w:rsidR="00A63E17" w:rsidRPr="00A55C25">
        <w:t>s</w:t>
      </w:r>
      <w:r w:rsidRPr="00A55C25">
        <w:t xml:space="preserve"> between AV versus VO and IV in terms of PFS or OS. </w:t>
      </w:r>
      <w:r w:rsidR="00CD0EF5" w:rsidRPr="00A55C25">
        <w:t>For safety outcomes, a</w:t>
      </w:r>
      <w:r w:rsidR="00A63E17" w:rsidRPr="00A55C25">
        <w:t xml:space="preserve"> quantitative comparison between AV and IV was not possible based on the evidence available. </w:t>
      </w:r>
      <w:r w:rsidR="00CD0EF5" w:rsidRPr="00A55C25">
        <w:t xml:space="preserve">However, </w:t>
      </w:r>
      <w:proofErr w:type="gramStart"/>
      <w:r w:rsidR="00CD0EF5" w:rsidRPr="00A55C25">
        <w:t>o</w:t>
      </w:r>
      <w:r w:rsidRPr="00A55C25">
        <w:t>n the basis of</w:t>
      </w:r>
      <w:proofErr w:type="gramEnd"/>
      <w:r w:rsidRPr="00A55C25">
        <w:t xml:space="preserve"> indirect evidence presented in the submission, </w:t>
      </w:r>
      <w:r w:rsidR="00475C36" w:rsidRPr="00A55C25">
        <w:t>for every 100 patients treated with AV in comparison with VO, approximately 6.9 fewer patients would experience Grade ≥3 TLS.</w:t>
      </w:r>
    </w:p>
    <w:p w14:paraId="304707D7" w14:textId="77777777" w:rsidR="00346E2F" w:rsidRPr="00A55C25" w:rsidRDefault="00346E2F" w:rsidP="00346E2F">
      <w:pPr>
        <w:pStyle w:val="4-SubsectionHeading"/>
      </w:pPr>
      <w:bookmarkStart w:id="35" w:name="_Toc22897644"/>
      <w:bookmarkStart w:id="36" w:name="_Toc207957919"/>
      <w:r w:rsidRPr="00A55C25">
        <w:t>Clinical claim</w:t>
      </w:r>
      <w:bookmarkEnd w:id="35"/>
      <w:bookmarkEnd w:id="36"/>
    </w:p>
    <w:p w14:paraId="5A90EA02" w14:textId="77777777" w:rsidR="008C4508" w:rsidRPr="00A55C25" w:rsidRDefault="008C4508" w:rsidP="00346E2F">
      <w:pPr>
        <w:pStyle w:val="3-BodyText"/>
        <w:numPr>
          <w:ilvl w:val="1"/>
          <w:numId w:val="1"/>
        </w:numPr>
        <w:rPr>
          <w:rFonts w:eastAsia="Calibri"/>
        </w:rPr>
      </w:pPr>
      <w:r w:rsidRPr="00A55C25">
        <w:t>The submission described AV as non-inferior in terms of effectiveness compared with IV and VO, superior in terms of safety compared to IV and more favourable in terms of safety compared to VO.</w:t>
      </w:r>
    </w:p>
    <w:p w14:paraId="54ED2D55" w14:textId="4D95169F" w:rsidR="008C4508" w:rsidRPr="00A55C25" w:rsidRDefault="00A67756" w:rsidP="008C4508">
      <w:pPr>
        <w:pStyle w:val="3-BodyText"/>
        <w:numPr>
          <w:ilvl w:val="1"/>
          <w:numId w:val="1"/>
        </w:numPr>
      </w:pPr>
      <w:r w:rsidRPr="00A55C25">
        <w:t>On balance, t</w:t>
      </w:r>
      <w:r w:rsidR="008C4508" w:rsidRPr="00A55C25">
        <w:t xml:space="preserve">he </w:t>
      </w:r>
      <w:r w:rsidR="0062084B">
        <w:t xml:space="preserve">evaluation considered the </w:t>
      </w:r>
      <w:r w:rsidR="008C4508" w:rsidRPr="00A55C25">
        <w:t xml:space="preserve">clinical claim of non-inferior effectiveness was adequately supported by the evidence presented in </w:t>
      </w:r>
      <w:r w:rsidR="005B1F98" w:rsidRPr="00A55C25">
        <w:t xml:space="preserve">the </w:t>
      </w:r>
      <w:r w:rsidR="008C4508" w:rsidRPr="00A55C25">
        <w:t xml:space="preserve">submission. </w:t>
      </w:r>
      <w:r w:rsidRPr="00A55C25">
        <w:t xml:space="preserve">The anchored (Bucher) ITC found no statistically significant difference between AV and VO in terms of PFS and OS in </w:t>
      </w:r>
      <w:r w:rsidR="005A1AB2" w:rsidRPr="00A55C25">
        <w:t>‘</w:t>
      </w:r>
      <w:r w:rsidRPr="00A55C25">
        <w:t>fit</w:t>
      </w:r>
      <w:r w:rsidR="005A1AB2" w:rsidRPr="00A55C25">
        <w:t>’</w:t>
      </w:r>
      <w:r w:rsidRPr="00A55C25">
        <w:t xml:space="preserve"> patients</w:t>
      </w:r>
      <w:r w:rsidR="00A0567B" w:rsidRPr="00A55C25">
        <w:t>.</w:t>
      </w:r>
      <w:r w:rsidRPr="00A55C25">
        <w:t xml:space="preserve"> </w:t>
      </w:r>
      <w:r w:rsidR="00A0567B" w:rsidRPr="00A55C25">
        <w:t>This</w:t>
      </w:r>
      <w:r w:rsidR="00416A92" w:rsidRPr="00A55C25">
        <w:t xml:space="preserve"> finding</w:t>
      </w:r>
      <w:r w:rsidR="00A0567B" w:rsidRPr="00A55C25">
        <w:t xml:space="preserve"> </w:t>
      </w:r>
      <w:r w:rsidRPr="00A55C25">
        <w:t xml:space="preserve">was supported </w:t>
      </w:r>
      <w:r w:rsidR="00FC7CFC" w:rsidRPr="00A55C25">
        <w:t xml:space="preserve">by the </w:t>
      </w:r>
      <w:r w:rsidRPr="00A55C25">
        <w:t xml:space="preserve">unanchored </w:t>
      </w:r>
      <w:r w:rsidR="005C1ABB" w:rsidRPr="00A55C25">
        <w:t xml:space="preserve">ITC </w:t>
      </w:r>
      <w:r w:rsidR="00FC7CFC" w:rsidRPr="00A55C25">
        <w:t>that found no difference between AV and VO or IV</w:t>
      </w:r>
      <w:r w:rsidR="005B1F98" w:rsidRPr="00A55C25">
        <w:t>,</w:t>
      </w:r>
      <w:r w:rsidR="00FC7CFC" w:rsidRPr="00A55C25">
        <w:t xml:space="preserve"> assuming use in </w:t>
      </w:r>
      <w:r w:rsidRPr="00A55C25">
        <w:t xml:space="preserve">unfit patients. </w:t>
      </w:r>
      <w:r w:rsidR="00935864" w:rsidRPr="00A55C25">
        <w:t>(T</w:t>
      </w:r>
      <w:r w:rsidRPr="00A55C25">
        <w:t xml:space="preserve">he PBAC </w:t>
      </w:r>
      <w:r w:rsidR="007F6FC6" w:rsidRPr="00A55C25">
        <w:t xml:space="preserve">previously </w:t>
      </w:r>
      <w:r w:rsidRPr="00A55C25">
        <w:t xml:space="preserve">considered </w:t>
      </w:r>
      <w:r w:rsidR="00FC7CFC" w:rsidRPr="00A55C25">
        <w:t xml:space="preserve">that IV and VO </w:t>
      </w:r>
      <w:r w:rsidR="00F55204" w:rsidRPr="00A55C25">
        <w:t xml:space="preserve">have similar efficacy in </w:t>
      </w:r>
      <w:r w:rsidR="00DF0715" w:rsidRPr="00A55C25">
        <w:t xml:space="preserve">previously </w:t>
      </w:r>
      <w:r w:rsidR="00F55204" w:rsidRPr="00A55C25">
        <w:t>untreated CLL/SLL (</w:t>
      </w:r>
      <w:r w:rsidR="00ED6C73" w:rsidRPr="00A55C25">
        <w:t>Ibrutinib PSD, March 2024 PBAC meeting</w:t>
      </w:r>
      <w:r w:rsidR="0062084B" w:rsidRPr="00A55C25">
        <w:t>) and</w:t>
      </w:r>
      <w:r w:rsidR="00F55204" w:rsidRPr="00A55C25">
        <w:t xml:space="preserve"> expanded the current PBS restriction criteria for IV and VO to include </w:t>
      </w:r>
      <w:r w:rsidR="007350B4" w:rsidRPr="00A55C25">
        <w:t>‘</w:t>
      </w:r>
      <w:r w:rsidR="00F55204" w:rsidRPr="00A55C25">
        <w:t>unfit</w:t>
      </w:r>
      <w:r w:rsidR="007350B4" w:rsidRPr="00A55C25">
        <w:t>’</w:t>
      </w:r>
      <w:r w:rsidR="00F55204" w:rsidRPr="00A55C25">
        <w:t xml:space="preserve"> patients (</w:t>
      </w:r>
      <w:r w:rsidR="00ED6C73" w:rsidRPr="00A55C25">
        <w:t>Acalabrutinib PSD and Ibrutinib PSD, December 2022 PBAC meeting</w:t>
      </w:r>
      <w:r w:rsidR="00F55204" w:rsidRPr="00A55C25">
        <w:t>).</w:t>
      </w:r>
      <w:r w:rsidR="00935864" w:rsidRPr="00A55C25">
        <w:t>)</w:t>
      </w:r>
    </w:p>
    <w:p w14:paraId="111F6479" w14:textId="783D5F1E" w:rsidR="008C4508" w:rsidRPr="00A55C25" w:rsidRDefault="008C4508" w:rsidP="008C4508">
      <w:pPr>
        <w:pStyle w:val="3-BodyText"/>
        <w:numPr>
          <w:ilvl w:val="1"/>
          <w:numId w:val="1"/>
        </w:numPr>
      </w:pPr>
      <w:r w:rsidRPr="00A55C25">
        <w:t xml:space="preserve">The </w:t>
      </w:r>
      <w:r w:rsidR="0062084B">
        <w:t xml:space="preserve">evaluation considered that the </w:t>
      </w:r>
      <w:r w:rsidRPr="00A55C25">
        <w:t xml:space="preserve">clinical claim of </w:t>
      </w:r>
      <w:r w:rsidR="00B159BA" w:rsidRPr="00A55C25">
        <w:t xml:space="preserve">superior (or more favourable) safety versus IV and VO was </w:t>
      </w:r>
      <w:r w:rsidR="00EF78F3" w:rsidRPr="00A55C25">
        <w:t xml:space="preserve">difficult to assess given the evidence available in the </w:t>
      </w:r>
      <w:r w:rsidR="003839B6" w:rsidRPr="00A55C25">
        <w:t>submission but</w:t>
      </w:r>
      <w:r w:rsidR="00575FA7" w:rsidRPr="00A55C25">
        <w:t xml:space="preserve"> </w:t>
      </w:r>
      <w:r w:rsidR="00F2151D" w:rsidRPr="00A55C25">
        <w:t xml:space="preserve">was </w:t>
      </w:r>
      <w:r w:rsidR="00575FA7" w:rsidRPr="00A55C25">
        <w:t xml:space="preserve">likely </w:t>
      </w:r>
      <w:r w:rsidR="00F2151D" w:rsidRPr="00A55C25">
        <w:t>reasonable</w:t>
      </w:r>
      <w:r w:rsidR="00EF78F3" w:rsidRPr="00A55C25">
        <w:t xml:space="preserve">. </w:t>
      </w:r>
      <w:r w:rsidR="00575FA7" w:rsidRPr="00A55C25">
        <w:t>Compared to VO, t</w:t>
      </w:r>
      <w:r w:rsidR="00EF78F3" w:rsidRPr="00A55C25">
        <w:t xml:space="preserve">he unanchored (naïve) </w:t>
      </w:r>
      <w:r w:rsidR="00DF0715" w:rsidRPr="00A55C25">
        <w:t xml:space="preserve">indirect </w:t>
      </w:r>
      <w:r w:rsidR="00EF78F3" w:rsidRPr="00A55C25">
        <w:t xml:space="preserve">comparison of safety outcomes found lower rates of </w:t>
      </w:r>
      <w:r w:rsidR="00575FA7" w:rsidRPr="00A55C25">
        <w:t xml:space="preserve">Grade </w:t>
      </w:r>
      <w:r w:rsidR="00575FA7" w:rsidRPr="00A55C25">
        <w:rPr>
          <w:rFonts w:cstheme="minorHAnsi"/>
        </w:rPr>
        <w:t>≥</w:t>
      </w:r>
      <w:r w:rsidR="00575FA7" w:rsidRPr="00A55C25">
        <w:t xml:space="preserve">3 AEs (including </w:t>
      </w:r>
      <w:r w:rsidR="00EF78F3" w:rsidRPr="00A55C25">
        <w:t>severe infection, neutropenia, infusion-related reactions and TLS</w:t>
      </w:r>
      <w:r w:rsidR="00575FA7" w:rsidRPr="00A55C25">
        <w:t>)</w:t>
      </w:r>
      <w:r w:rsidR="005B1F98" w:rsidRPr="00A55C25">
        <w:t>,</w:t>
      </w:r>
      <w:r w:rsidR="00575FA7" w:rsidRPr="00A55C25">
        <w:t xml:space="preserve"> but the anchored (Bucher) ITC found no difference in Grade </w:t>
      </w:r>
      <w:r w:rsidR="00575FA7" w:rsidRPr="00A55C25">
        <w:rPr>
          <w:rFonts w:cstheme="minorHAnsi"/>
        </w:rPr>
        <w:t>≥</w:t>
      </w:r>
      <w:r w:rsidR="00575FA7" w:rsidRPr="00A55C25">
        <w:t>3 AEs except for TLS (although infusion-related reactions w</w:t>
      </w:r>
      <w:r w:rsidR="005B1F98" w:rsidRPr="00A55C25">
        <w:t>ere</w:t>
      </w:r>
      <w:r w:rsidR="00575FA7" w:rsidRPr="00A55C25">
        <w:t xml:space="preserve"> not reported). </w:t>
      </w:r>
      <w:r w:rsidR="000541B5" w:rsidRPr="00A55C25">
        <w:t>Only an unanchored (naïve)</w:t>
      </w:r>
      <w:r w:rsidR="001C355E" w:rsidRPr="00A55C25">
        <w:t xml:space="preserve"> indirect</w:t>
      </w:r>
      <w:r w:rsidR="000541B5" w:rsidRPr="00A55C25">
        <w:t xml:space="preserve"> comparison of safety outcomes was presented for the comparison to IV</w:t>
      </w:r>
      <w:r w:rsidR="00933406" w:rsidRPr="00A55C25">
        <w:t>, finding a more favourable profile versus IV, including significantly fewer Grade≥3 cardiac events (notably atrial fibrillation and hypertension) and lower rates of diarrh</w:t>
      </w:r>
      <w:r w:rsidR="005B1F98" w:rsidRPr="00A55C25">
        <w:t>o</w:t>
      </w:r>
      <w:r w:rsidR="00933406" w:rsidRPr="00A55C25">
        <w:t>ea.</w:t>
      </w:r>
    </w:p>
    <w:p w14:paraId="7A036B83" w14:textId="69D028EC" w:rsidR="00F2151D" w:rsidRDefault="006E0CD9" w:rsidP="008C4508">
      <w:pPr>
        <w:pStyle w:val="3-BodyText"/>
        <w:numPr>
          <w:ilvl w:val="1"/>
          <w:numId w:val="1"/>
        </w:numPr>
      </w:pPr>
      <w:r w:rsidRPr="00A55C25">
        <w:t xml:space="preserve">The PBAC </w:t>
      </w:r>
      <w:r w:rsidR="001C355E" w:rsidRPr="00A55C25">
        <w:t xml:space="preserve">had </w:t>
      </w:r>
      <w:r w:rsidRPr="00A55C25">
        <w:t>previously considered a claim of superior safety for A</w:t>
      </w:r>
      <w:r w:rsidRPr="00A55C25">
        <w:rPr>
          <w:rFonts w:cstheme="minorHAnsi"/>
        </w:rPr>
        <w:t>±</w:t>
      </w:r>
      <w:r w:rsidRPr="00A55C25">
        <w:t xml:space="preserve">O compared with VO in </w:t>
      </w:r>
      <w:r w:rsidR="006A7E85" w:rsidRPr="00A55C25">
        <w:t xml:space="preserve">first line </w:t>
      </w:r>
      <w:r w:rsidRPr="00A55C25">
        <w:t xml:space="preserve">CLL was not adequately </w:t>
      </w:r>
      <w:r w:rsidR="00C77579" w:rsidRPr="00A55C25">
        <w:t>supported but</w:t>
      </w:r>
      <w:r w:rsidRPr="00A55C25">
        <w:t xml:space="preserve"> accepted a claim of non-inferior safety (Acalabrutinib PSD, July 2023 PBAC meeting). </w:t>
      </w:r>
      <w:r w:rsidR="00ED6C73" w:rsidRPr="00A55C25">
        <w:t>I</w:t>
      </w:r>
      <w:r w:rsidR="00F2151D" w:rsidRPr="00A55C25">
        <w:t xml:space="preserve">n </w:t>
      </w:r>
      <w:r w:rsidR="001C355E" w:rsidRPr="00A55C25">
        <w:t xml:space="preserve">the </w:t>
      </w:r>
      <w:r w:rsidR="00F2151D" w:rsidRPr="00A55C25">
        <w:t xml:space="preserve">refractory/relapsed </w:t>
      </w:r>
      <w:r w:rsidR="007350B4" w:rsidRPr="00A55C25">
        <w:t xml:space="preserve">CLL/SLL </w:t>
      </w:r>
      <w:r w:rsidR="00F2151D" w:rsidRPr="00A55C25">
        <w:t>setting</w:t>
      </w:r>
      <w:r w:rsidR="007350B4" w:rsidRPr="00A55C25">
        <w:t xml:space="preserve">, the PBAC </w:t>
      </w:r>
      <w:r w:rsidR="001C355E" w:rsidRPr="00A55C25">
        <w:t xml:space="preserve">had </w:t>
      </w:r>
      <w:r w:rsidR="007350B4" w:rsidRPr="00A55C25">
        <w:t xml:space="preserve">previously considered that the safety of acalabrutinib </w:t>
      </w:r>
      <w:r w:rsidR="007350B4" w:rsidRPr="00A55C25">
        <w:lastRenderedPageBreak/>
        <w:t xml:space="preserve">monotherapy </w:t>
      </w:r>
      <w:r w:rsidR="001C355E" w:rsidRPr="00A55C25">
        <w:t xml:space="preserve">was </w:t>
      </w:r>
      <w:r w:rsidR="007350B4" w:rsidRPr="00A55C25">
        <w:t>likely to be non-inferior to ibrutinib monotherapy (Acalabrutinib PSD, March 2020 PBAC meeting).</w:t>
      </w:r>
    </w:p>
    <w:p w14:paraId="1F4141F0" w14:textId="14B0F6FA" w:rsidR="00843FA8" w:rsidRPr="00CE42B4" w:rsidRDefault="00843FA8" w:rsidP="00843FA8">
      <w:pPr>
        <w:widowControl w:val="0"/>
        <w:numPr>
          <w:ilvl w:val="1"/>
          <w:numId w:val="1"/>
        </w:numPr>
        <w:spacing w:after="120"/>
        <w:rPr>
          <w:rFonts w:asciiTheme="minorHAnsi" w:hAnsiTheme="minorHAnsi"/>
          <w:snapToGrid w:val="0"/>
          <w:szCs w:val="20"/>
        </w:rPr>
      </w:pPr>
      <w:bookmarkStart w:id="37"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t>
      </w:r>
      <w:r w:rsidR="00035C68">
        <w:rPr>
          <w:rFonts w:asciiTheme="minorHAnsi" w:hAnsiTheme="minorHAnsi"/>
          <w:snapToGrid w:val="0"/>
          <w:szCs w:val="20"/>
        </w:rPr>
        <w:t xml:space="preserve">to IV and to VO </w:t>
      </w:r>
      <w:r w:rsidRPr="00CE42B4">
        <w:rPr>
          <w:rFonts w:asciiTheme="minorHAnsi" w:hAnsiTheme="minorHAnsi"/>
          <w:snapToGrid w:val="0"/>
          <w:szCs w:val="20"/>
        </w:rPr>
        <w:t xml:space="preserve">was </w:t>
      </w:r>
      <w:r w:rsidR="008A220E">
        <w:rPr>
          <w:rFonts w:asciiTheme="minorHAnsi" w:hAnsiTheme="minorHAnsi"/>
          <w:snapToGrid w:val="0"/>
          <w:szCs w:val="20"/>
        </w:rPr>
        <w:t xml:space="preserve">likely </w:t>
      </w:r>
      <w:r w:rsidRPr="00CE42B4">
        <w:rPr>
          <w:rFonts w:asciiTheme="minorHAnsi" w:hAnsiTheme="minorHAnsi"/>
          <w:snapToGrid w:val="0"/>
          <w:szCs w:val="20"/>
        </w:rPr>
        <w:t>reasonable</w:t>
      </w:r>
      <w:r w:rsidR="008A220E">
        <w:rPr>
          <w:rFonts w:asciiTheme="minorHAnsi" w:hAnsiTheme="minorHAnsi"/>
          <w:snapToGrid w:val="0"/>
          <w:szCs w:val="20"/>
        </w:rPr>
        <w:t>, with some uncertainty</w:t>
      </w:r>
      <w:r w:rsidRPr="00CE42B4">
        <w:rPr>
          <w:rFonts w:asciiTheme="minorHAnsi" w:hAnsiTheme="minorHAnsi"/>
          <w:snapToGrid w:val="0"/>
          <w:szCs w:val="20"/>
        </w:rPr>
        <w:t>.</w:t>
      </w:r>
    </w:p>
    <w:p w14:paraId="258B5321" w14:textId="461499CA" w:rsidR="00843FA8" w:rsidRPr="00CE42B4" w:rsidRDefault="00843FA8" w:rsidP="00843FA8">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 xml:space="preserve">The PBAC considered that the claim of superior comparative </w:t>
      </w:r>
      <w:r w:rsidR="00137D1E" w:rsidRPr="00CE42B4">
        <w:rPr>
          <w:rFonts w:asciiTheme="minorHAnsi" w:hAnsiTheme="minorHAnsi"/>
          <w:snapToGrid w:val="0"/>
          <w:szCs w:val="20"/>
        </w:rPr>
        <w:t xml:space="preserve">safety </w:t>
      </w:r>
      <w:r w:rsidR="00137D1E">
        <w:rPr>
          <w:rFonts w:asciiTheme="minorHAnsi" w:hAnsiTheme="minorHAnsi"/>
          <w:snapToGrid w:val="0"/>
          <w:szCs w:val="20"/>
        </w:rPr>
        <w:t>to</w:t>
      </w:r>
      <w:r w:rsidR="00BF3155">
        <w:rPr>
          <w:rFonts w:asciiTheme="minorHAnsi" w:hAnsiTheme="minorHAnsi"/>
          <w:snapToGrid w:val="0"/>
          <w:szCs w:val="20"/>
        </w:rPr>
        <w:t xml:space="preserve"> IV and a more favourable safety profile compared to VO </w:t>
      </w:r>
      <w:r w:rsidRPr="00CE42B4">
        <w:rPr>
          <w:rFonts w:asciiTheme="minorHAnsi" w:hAnsiTheme="minorHAnsi"/>
          <w:snapToGrid w:val="0"/>
          <w:szCs w:val="20"/>
        </w:rPr>
        <w:t xml:space="preserve">was </w:t>
      </w:r>
      <w:r w:rsidR="00ED78DF">
        <w:rPr>
          <w:rFonts w:asciiTheme="minorHAnsi" w:hAnsiTheme="minorHAnsi"/>
          <w:snapToGrid w:val="0"/>
          <w:szCs w:val="20"/>
        </w:rPr>
        <w:t xml:space="preserve">likely </w:t>
      </w:r>
      <w:r w:rsidRPr="00CE42B4">
        <w:rPr>
          <w:rFonts w:asciiTheme="minorHAnsi" w:hAnsiTheme="minorHAnsi"/>
          <w:snapToGrid w:val="0"/>
          <w:szCs w:val="20"/>
        </w:rPr>
        <w:t>reasonable.</w:t>
      </w:r>
    </w:p>
    <w:p w14:paraId="10B767FB" w14:textId="77777777" w:rsidR="009406C2" w:rsidRPr="00A55C25" w:rsidRDefault="009406C2" w:rsidP="009406C2">
      <w:pPr>
        <w:pStyle w:val="4-SubsectionHeading"/>
      </w:pPr>
      <w:bookmarkStart w:id="38" w:name="_Toc207957920"/>
      <w:bookmarkStart w:id="39" w:name="_Toc22897645"/>
      <w:bookmarkEnd w:id="37"/>
      <w:r w:rsidRPr="00A55C25">
        <w:t>Economic analysis</w:t>
      </w:r>
      <w:bookmarkEnd w:id="38"/>
      <w:r w:rsidRPr="00A55C25">
        <w:t xml:space="preserve"> </w:t>
      </w:r>
    </w:p>
    <w:p w14:paraId="671CC0AD" w14:textId="65F5F427" w:rsidR="009406C2" w:rsidRPr="00A55C25" w:rsidRDefault="009406C2" w:rsidP="009406C2">
      <w:pPr>
        <w:pStyle w:val="3-BodyText"/>
        <w:numPr>
          <w:ilvl w:val="1"/>
          <w:numId w:val="1"/>
        </w:numPr>
      </w:pPr>
      <w:r w:rsidRPr="00A55C25">
        <w:t>The submission presented a cost-minimisation a</w:t>
      </w:r>
      <w:r w:rsidR="00BC76C5" w:rsidRPr="00A55C25">
        <w:t>pproach</w:t>
      </w:r>
      <w:r w:rsidRPr="00A55C25">
        <w:t xml:space="preserve"> (CMA) comparing treatment </w:t>
      </w:r>
      <w:r w:rsidR="00B2024D" w:rsidRPr="00A55C25">
        <w:t xml:space="preserve">costs </w:t>
      </w:r>
      <w:r w:rsidRPr="00A55C25">
        <w:t>with AV versus VO for patients with previously untreated CLL/SLL. The CMA assumed equivalent total treatment costs for AV and VO, incorporating cost offsets</w:t>
      </w:r>
      <w:r w:rsidR="00B2024D" w:rsidRPr="00A55C25">
        <w:t xml:space="preserve"> related to the administration of obinutuzumab and</w:t>
      </w:r>
      <w:r w:rsidRPr="00A55C25">
        <w:t xml:space="preserve"> </w:t>
      </w:r>
      <w:r w:rsidR="006A7E85" w:rsidRPr="00A55C25">
        <w:t xml:space="preserve">a </w:t>
      </w:r>
      <w:r w:rsidRPr="00A55C25">
        <w:t xml:space="preserve">lower incidence of TLS. The submission did not consider the cost of other PBS listed </w:t>
      </w:r>
      <w:r w:rsidR="006A7E85" w:rsidRPr="00A55C25">
        <w:t xml:space="preserve">medications </w:t>
      </w:r>
      <w:r w:rsidRPr="00A55C25">
        <w:t xml:space="preserve">for </w:t>
      </w:r>
      <w:r w:rsidR="00B2024D" w:rsidRPr="00A55C25">
        <w:t xml:space="preserve">previously </w:t>
      </w:r>
      <w:r w:rsidRPr="00A55C25">
        <w:t xml:space="preserve">untreated CLL/SLL on the assumption that the cost of VO could proxy for other treatments. The CMA was conducted using the effective AEMP of obinutuzumab (which is the same as the published AEMP) and an estimated effective AEMP for venetoclax (the effective AEMP of venetoclax was known to the sponsor prior </w:t>
      </w:r>
      <w:r w:rsidRPr="003649ED">
        <w:t>to a 5%</w:t>
      </w:r>
      <w:r w:rsidRPr="00A55C25">
        <w:t xml:space="preserve"> statutory price reduction in April 2024).</w:t>
      </w:r>
    </w:p>
    <w:p w14:paraId="5518AB67" w14:textId="76154577" w:rsidR="009406C2" w:rsidRPr="00A55C25" w:rsidRDefault="009406C2" w:rsidP="009406C2">
      <w:pPr>
        <w:pStyle w:val="3-BodyText"/>
        <w:numPr>
          <w:ilvl w:val="1"/>
          <w:numId w:val="1"/>
        </w:numPr>
        <w:rPr>
          <w:b/>
          <w:bCs/>
        </w:rPr>
      </w:pPr>
      <w:r w:rsidRPr="00A55C25">
        <w:fldChar w:fldCharType="begin"/>
      </w:r>
      <w:r w:rsidRPr="00A55C25">
        <w:instrText xml:space="preserve"> REF _Ref206515792 \h </w:instrText>
      </w:r>
      <w:r w:rsidRPr="00A55C25">
        <w:fldChar w:fldCharType="separate"/>
      </w:r>
      <w:r w:rsidR="00717804" w:rsidRPr="00A55C25">
        <w:t xml:space="preserve">Table </w:t>
      </w:r>
      <w:r w:rsidR="00717804">
        <w:rPr>
          <w:noProof/>
        </w:rPr>
        <w:t>7</w:t>
      </w:r>
      <w:r w:rsidRPr="00A55C25">
        <w:fldChar w:fldCharType="end"/>
      </w:r>
      <w:r w:rsidRPr="00A55C25">
        <w:t xml:space="preserve"> summarises the key components and assumptions of the CMA.</w:t>
      </w:r>
    </w:p>
    <w:p w14:paraId="2E74603E" w14:textId="08ADF546" w:rsidR="009406C2" w:rsidRPr="00A55C25" w:rsidRDefault="009406C2" w:rsidP="001C246B">
      <w:pPr>
        <w:pStyle w:val="Caption"/>
        <w:rPr>
          <w:rStyle w:val="CommentReference"/>
          <w:b/>
          <w:szCs w:val="24"/>
        </w:rPr>
      </w:pPr>
      <w:bookmarkStart w:id="40" w:name="_Ref206515792"/>
      <w:r w:rsidRPr="00A55C25">
        <w:lastRenderedPageBreak/>
        <w:t xml:space="preserve">Table </w:t>
      </w:r>
      <w:r w:rsidR="00075C2F">
        <w:fldChar w:fldCharType="begin"/>
      </w:r>
      <w:r w:rsidR="00075C2F">
        <w:instrText xml:space="preserve"> SEQ Table \* ARABIC </w:instrText>
      </w:r>
      <w:r w:rsidR="00075C2F">
        <w:fldChar w:fldCharType="separate"/>
      </w:r>
      <w:r w:rsidR="00717804">
        <w:rPr>
          <w:noProof/>
        </w:rPr>
        <w:t>7</w:t>
      </w:r>
      <w:r w:rsidR="00075C2F">
        <w:fldChar w:fldCharType="end"/>
      </w:r>
      <w:bookmarkEnd w:id="40"/>
      <w:r w:rsidRPr="00A55C25">
        <w:t>: Key components and assumptions of the cost-minimisation approach</w:t>
      </w:r>
    </w:p>
    <w:tbl>
      <w:tblPr>
        <w:tblStyle w:val="PBAClayout"/>
        <w:tblW w:w="5000" w:type="pct"/>
        <w:tblLook w:val="04A0" w:firstRow="1" w:lastRow="0" w:firstColumn="1" w:lastColumn="0" w:noHBand="0" w:noVBand="1"/>
        <w:tblCaption w:val="Table 7: Key components and assumptions of the cost-minimisation approach"/>
      </w:tblPr>
      <w:tblGrid>
        <w:gridCol w:w="1805"/>
        <w:gridCol w:w="7212"/>
      </w:tblGrid>
      <w:tr w:rsidR="009406C2" w:rsidRPr="00E066F8" w14:paraId="55674F31" w14:textId="77777777" w:rsidTr="00B213CD">
        <w:tc>
          <w:tcPr>
            <w:tcW w:w="1001" w:type="pct"/>
          </w:tcPr>
          <w:p w14:paraId="419CEB7D" w14:textId="77777777" w:rsidR="009406C2" w:rsidRPr="00E066F8" w:rsidRDefault="009406C2" w:rsidP="001C246B">
            <w:pPr>
              <w:pStyle w:val="In-tableHeading"/>
              <w:rPr>
                <w:lang w:val="en-AU"/>
              </w:rPr>
            </w:pPr>
            <w:r w:rsidRPr="00E066F8">
              <w:rPr>
                <w:lang w:val="en-AU"/>
              </w:rPr>
              <w:t>Component</w:t>
            </w:r>
          </w:p>
        </w:tc>
        <w:tc>
          <w:tcPr>
            <w:tcW w:w="3999" w:type="pct"/>
          </w:tcPr>
          <w:p w14:paraId="3C02E065" w14:textId="77777777" w:rsidR="009406C2" w:rsidRPr="00E066F8" w:rsidRDefault="009406C2" w:rsidP="001C246B">
            <w:pPr>
              <w:pStyle w:val="In-tableHeading"/>
              <w:rPr>
                <w:lang w:val="en-AU"/>
              </w:rPr>
            </w:pPr>
            <w:r w:rsidRPr="00E066F8">
              <w:rPr>
                <w:lang w:val="en-AU"/>
              </w:rPr>
              <w:t>Claim or assumption</w:t>
            </w:r>
          </w:p>
        </w:tc>
      </w:tr>
      <w:tr w:rsidR="009406C2" w:rsidRPr="00E066F8" w14:paraId="1A84863E" w14:textId="77777777" w:rsidTr="00B213CD">
        <w:tc>
          <w:tcPr>
            <w:tcW w:w="1001" w:type="pct"/>
          </w:tcPr>
          <w:p w14:paraId="7755F618" w14:textId="77777777" w:rsidR="009406C2" w:rsidRPr="00E066F8" w:rsidRDefault="009406C2" w:rsidP="001C246B">
            <w:pPr>
              <w:pStyle w:val="TableText0"/>
            </w:pPr>
            <w:r w:rsidRPr="00E066F8">
              <w:t>Therapeutic claim: effectiveness</w:t>
            </w:r>
          </w:p>
        </w:tc>
        <w:tc>
          <w:tcPr>
            <w:tcW w:w="3999" w:type="pct"/>
          </w:tcPr>
          <w:p w14:paraId="37CEFB1E" w14:textId="77777777" w:rsidR="009406C2" w:rsidRPr="00E066F8" w:rsidRDefault="009406C2" w:rsidP="001C246B">
            <w:pPr>
              <w:pStyle w:val="TableText0"/>
            </w:pPr>
            <w:r w:rsidRPr="00E066F8">
              <w:t>The submission claimed that AV is non-inferior to VO in terms of efficacy, based on the results of the Bucher method ITC. This was appropriate.</w:t>
            </w:r>
          </w:p>
        </w:tc>
      </w:tr>
      <w:tr w:rsidR="009406C2" w:rsidRPr="00E066F8" w14:paraId="5FA0463C" w14:textId="77777777" w:rsidTr="00B213CD">
        <w:tc>
          <w:tcPr>
            <w:tcW w:w="1001" w:type="pct"/>
          </w:tcPr>
          <w:p w14:paraId="691EB1EB" w14:textId="77777777" w:rsidR="009406C2" w:rsidRPr="00E066F8" w:rsidRDefault="009406C2" w:rsidP="001C246B">
            <w:pPr>
              <w:pStyle w:val="TableText0"/>
            </w:pPr>
            <w:r w:rsidRPr="00E066F8">
              <w:t>Therapeutic claim: safety</w:t>
            </w:r>
          </w:p>
        </w:tc>
        <w:tc>
          <w:tcPr>
            <w:tcW w:w="3999" w:type="pct"/>
          </w:tcPr>
          <w:p w14:paraId="599C6374" w14:textId="77777777" w:rsidR="009406C2" w:rsidRPr="00E066F8" w:rsidRDefault="009406C2" w:rsidP="001C246B">
            <w:pPr>
              <w:pStyle w:val="TableText0"/>
            </w:pPr>
            <w:r w:rsidRPr="00E066F8">
              <w:t>The submission claimed that AV has a more favourable safety compared to VO, based on the results of the Bucher method ITC. This was appropriate.</w:t>
            </w:r>
          </w:p>
        </w:tc>
      </w:tr>
      <w:tr w:rsidR="009406C2" w:rsidRPr="00E066F8" w14:paraId="1A5EA655" w14:textId="77777777" w:rsidTr="00B213CD">
        <w:tc>
          <w:tcPr>
            <w:tcW w:w="1001" w:type="pct"/>
          </w:tcPr>
          <w:p w14:paraId="22B3579F" w14:textId="77777777" w:rsidR="009406C2" w:rsidRPr="00E066F8" w:rsidRDefault="009406C2" w:rsidP="001C246B">
            <w:pPr>
              <w:pStyle w:val="TableText0"/>
            </w:pPr>
            <w:r w:rsidRPr="00E066F8">
              <w:t>Evidence base</w:t>
            </w:r>
          </w:p>
        </w:tc>
        <w:tc>
          <w:tcPr>
            <w:tcW w:w="3999" w:type="pct"/>
          </w:tcPr>
          <w:p w14:paraId="553530D9" w14:textId="77777777" w:rsidR="009406C2" w:rsidRPr="00E066F8" w:rsidRDefault="009406C2" w:rsidP="00A900A7">
            <w:pPr>
              <w:pStyle w:val="TableText0"/>
              <w:numPr>
                <w:ilvl w:val="0"/>
                <w:numId w:val="9"/>
              </w:numPr>
              <w:ind w:left="258" w:hanging="179"/>
            </w:pPr>
            <w:r w:rsidRPr="00E066F8">
              <w:t>A Bucher ITC of AV vs VO via the common comparator FCR/BR, using data from AMPLIFY and CLL13 for the outcomes PFS-IA, OS, TTNT and safety, supplemented by CRISTALLO for the key outcome of PFS-IA.</w:t>
            </w:r>
          </w:p>
          <w:p w14:paraId="749FD69C" w14:textId="77777777" w:rsidR="009406C2" w:rsidRPr="00E066F8" w:rsidRDefault="009406C2" w:rsidP="00A900A7">
            <w:pPr>
              <w:pStyle w:val="TableText0"/>
              <w:numPr>
                <w:ilvl w:val="0"/>
                <w:numId w:val="9"/>
              </w:numPr>
              <w:ind w:left="258" w:hanging="179"/>
            </w:pPr>
            <w:r w:rsidRPr="00E066F8">
              <w:t>A naïve comparison of AV vs VO, using data from AMPLIFY and CLL14 for the outcomes PFS-IA, OS and safety.</w:t>
            </w:r>
          </w:p>
          <w:p w14:paraId="32F92073" w14:textId="77777777" w:rsidR="009406C2" w:rsidRPr="00E066F8" w:rsidRDefault="009406C2" w:rsidP="00A900A7">
            <w:pPr>
              <w:pStyle w:val="TableText0"/>
              <w:numPr>
                <w:ilvl w:val="0"/>
                <w:numId w:val="9"/>
              </w:numPr>
              <w:ind w:left="258" w:hanging="179"/>
            </w:pPr>
            <w:r w:rsidRPr="00E066F8">
              <w:t>An unanchored STC of AV vs VO, using individual patient data from AMPLIFY and aggregate data from CLL14 for the outcomes PFS and OS.</w:t>
            </w:r>
          </w:p>
        </w:tc>
      </w:tr>
      <w:tr w:rsidR="009406C2" w:rsidRPr="00E066F8" w14:paraId="50544E52" w14:textId="77777777" w:rsidTr="005A7905">
        <w:trPr>
          <w:trHeight w:val="432"/>
        </w:trPr>
        <w:tc>
          <w:tcPr>
            <w:tcW w:w="1001" w:type="pct"/>
          </w:tcPr>
          <w:p w14:paraId="3C1FDA74" w14:textId="77777777" w:rsidR="009406C2" w:rsidRPr="00E066F8" w:rsidRDefault="009406C2" w:rsidP="001C246B">
            <w:pPr>
              <w:pStyle w:val="TableText0"/>
            </w:pPr>
            <w:r w:rsidRPr="00E066F8">
              <w:t>Equi-effective doses</w:t>
            </w:r>
          </w:p>
        </w:tc>
        <w:tc>
          <w:tcPr>
            <w:tcW w:w="3999" w:type="pct"/>
          </w:tcPr>
          <w:p w14:paraId="2D0C6A3C" w14:textId="77777777" w:rsidR="009406C2" w:rsidRPr="00E066F8" w:rsidRDefault="009406C2" w:rsidP="001C246B">
            <w:pPr>
              <w:pStyle w:val="TableText0"/>
            </w:pPr>
            <w:r w:rsidRPr="00E066F8">
              <w:t>One initial and 8.67 continuing venetoclax scripts plus 7.355 obinutuzumab scripts, equivalent to 12.97 acalabrutinib plus one initial and 9.89 continuing venetoclax scripts.</w:t>
            </w:r>
          </w:p>
        </w:tc>
      </w:tr>
      <w:tr w:rsidR="009406C2" w:rsidRPr="00E066F8" w14:paraId="48BF2E09" w14:textId="77777777" w:rsidTr="00B213CD">
        <w:tc>
          <w:tcPr>
            <w:tcW w:w="1001" w:type="pct"/>
          </w:tcPr>
          <w:p w14:paraId="4D4D876A" w14:textId="77777777" w:rsidR="009406C2" w:rsidRPr="00E066F8" w:rsidRDefault="009406C2" w:rsidP="001C246B">
            <w:pPr>
              <w:pStyle w:val="TableText0"/>
            </w:pPr>
            <w:r w:rsidRPr="00E066F8">
              <w:t>Direct medicine costs</w:t>
            </w:r>
          </w:p>
        </w:tc>
        <w:tc>
          <w:tcPr>
            <w:tcW w:w="3999" w:type="pct"/>
          </w:tcPr>
          <w:p w14:paraId="3250CF5E" w14:textId="4AAB0010" w:rsidR="009406C2" w:rsidRPr="005A7905" w:rsidRDefault="009406C2" w:rsidP="00A900A7">
            <w:pPr>
              <w:pStyle w:val="TableText0"/>
              <w:numPr>
                <w:ilvl w:val="0"/>
                <w:numId w:val="10"/>
              </w:numPr>
            </w:pPr>
            <w:r w:rsidRPr="00E066F8">
              <w:t xml:space="preserve">Venetoclax initial treatment script (PBS item code: </w:t>
            </w:r>
            <w:r w:rsidRPr="005A7905">
              <w:t>12188L): $</w:t>
            </w:r>
            <w:r w:rsidR="007C5080" w:rsidRPr="007C5080">
              <w:rPr>
                <w:highlight w:val="black"/>
              </w:rPr>
              <w:t>@@@@</w:t>
            </w:r>
            <w:r w:rsidRPr="005A7905">
              <w:rPr>
                <w:vertAlign w:val="superscript"/>
              </w:rPr>
              <w:t>a</w:t>
            </w:r>
            <w:r w:rsidRPr="005A7905">
              <w:t xml:space="preserve"> </w:t>
            </w:r>
          </w:p>
          <w:p w14:paraId="6130052A" w14:textId="11108992" w:rsidR="009406C2" w:rsidRPr="00E066F8" w:rsidRDefault="009406C2" w:rsidP="00A900A7">
            <w:pPr>
              <w:pStyle w:val="TableText0"/>
              <w:numPr>
                <w:ilvl w:val="0"/>
                <w:numId w:val="10"/>
              </w:numPr>
            </w:pPr>
            <w:r w:rsidRPr="005A7905">
              <w:t>Venetoclax continuing treatment script (PBS item codes: 12205J, 12199C): $</w:t>
            </w:r>
            <w:r w:rsidR="007C5080" w:rsidRPr="007C5080">
              <w:rPr>
                <w:highlight w:val="black"/>
              </w:rPr>
              <w:t>@@@@</w:t>
            </w:r>
            <w:r w:rsidRPr="005A7905">
              <w:rPr>
                <w:vertAlign w:val="superscript"/>
              </w:rPr>
              <w:t>a</w:t>
            </w:r>
          </w:p>
          <w:p w14:paraId="0A43090F" w14:textId="0A8D735C" w:rsidR="009406C2" w:rsidRPr="00E066F8" w:rsidRDefault="009406C2" w:rsidP="00A900A7">
            <w:pPr>
              <w:pStyle w:val="TableText0"/>
              <w:numPr>
                <w:ilvl w:val="0"/>
                <w:numId w:val="10"/>
              </w:numPr>
            </w:pPr>
            <w:r w:rsidRPr="00E066F8">
              <w:t xml:space="preserve">Obinutuzumab (PBS item codes: 12193R for public, 12204H for private): </w:t>
            </w:r>
            <w:r w:rsidRPr="00FC1BC2">
              <w:t>$4,525.52</w:t>
            </w:r>
            <w:r w:rsidRPr="00E066F8">
              <w:t xml:space="preserve"> per script</w:t>
            </w:r>
          </w:p>
        </w:tc>
      </w:tr>
      <w:tr w:rsidR="009406C2" w:rsidRPr="00E066F8" w14:paraId="175DFA01" w14:textId="77777777" w:rsidTr="00B213CD">
        <w:tc>
          <w:tcPr>
            <w:tcW w:w="1001" w:type="pct"/>
          </w:tcPr>
          <w:p w14:paraId="6955E1D7" w14:textId="77777777" w:rsidR="009406C2" w:rsidRPr="00E066F8" w:rsidRDefault="009406C2" w:rsidP="001C246B">
            <w:pPr>
              <w:pStyle w:val="TableText0"/>
            </w:pPr>
            <w:r w:rsidRPr="00E066F8">
              <w:t>Other costs or cost offsets</w:t>
            </w:r>
          </w:p>
        </w:tc>
        <w:tc>
          <w:tcPr>
            <w:tcW w:w="3999" w:type="pct"/>
          </w:tcPr>
          <w:p w14:paraId="1EC5D564" w14:textId="77777777" w:rsidR="009406C2" w:rsidRPr="00E066F8" w:rsidRDefault="009406C2" w:rsidP="00A900A7">
            <w:pPr>
              <w:pStyle w:val="TableText0"/>
              <w:numPr>
                <w:ilvl w:val="0"/>
                <w:numId w:val="9"/>
              </w:numPr>
              <w:ind w:left="258" w:hanging="179"/>
            </w:pPr>
            <w:r w:rsidRPr="00E066F8">
              <w:t>Venetoclax TLS-related costs:</w:t>
            </w:r>
          </w:p>
          <w:p w14:paraId="26982077" w14:textId="3BA46AB9" w:rsidR="009406C2" w:rsidRPr="00E066F8" w:rsidRDefault="009406C2" w:rsidP="00A900A7">
            <w:pPr>
              <w:pStyle w:val="TableText0"/>
              <w:numPr>
                <w:ilvl w:val="1"/>
                <w:numId w:val="9"/>
              </w:numPr>
              <w:ind w:left="541" w:hanging="190"/>
            </w:pPr>
            <w:r w:rsidRPr="00E066F8">
              <w:t xml:space="preserve">For VO: $1,410.18; based on estimate in 2023 PBAC zanubrutinib submission adjusted for inflation (para 6.71, zanubrutinib PSD, March 2023 PBAC meeting) </w:t>
            </w:r>
          </w:p>
          <w:p w14:paraId="3522457B" w14:textId="77777777" w:rsidR="009406C2" w:rsidRPr="00E066F8" w:rsidRDefault="009406C2" w:rsidP="00A900A7">
            <w:pPr>
              <w:pStyle w:val="TableText0"/>
              <w:numPr>
                <w:ilvl w:val="1"/>
                <w:numId w:val="9"/>
              </w:numPr>
              <w:ind w:left="541" w:hanging="190"/>
            </w:pPr>
            <w:r w:rsidRPr="00E066F8">
              <w:t>For AV: $1,281.85; assuming RD = - 9.1% (Bucher ITC)</w:t>
            </w:r>
          </w:p>
          <w:p w14:paraId="7ED047C3" w14:textId="77777777" w:rsidR="009406C2" w:rsidRPr="00E066F8" w:rsidRDefault="009406C2" w:rsidP="00A900A7">
            <w:pPr>
              <w:pStyle w:val="TableText0"/>
              <w:numPr>
                <w:ilvl w:val="0"/>
                <w:numId w:val="9"/>
              </w:numPr>
              <w:ind w:left="258" w:hanging="179"/>
            </w:pPr>
            <w:r w:rsidRPr="00E066F8">
              <w:t>Obinutuzumab administration costs: $1,192.61 for 5.5 infusions with VO, based on 2024 PBAC ibrutinib submission (para 6.79, ibrutinib PSD, March 2024 PBAC meeting); assumes costs for intravenous administration (MBS 13950 $126/infusion), specialist visit (MBS 116; $89.40/infusion), and premedication costs (paracetamol 500 mg × 2, dexamethasone 4 mg × 5, loratadine 10 mg × 1; $1.44/ infusion).</w:t>
            </w:r>
          </w:p>
        </w:tc>
      </w:tr>
    </w:tbl>
    <w:p w14:paraId="0B4CBD13" w14:textId="77777777" w:rsidR="009406C2" w:rsidRPr="00A55C25" w:rsidRDefault="009406C2" w:rsidP="001C246B">
      <w:pPr>
        <w:pStyle w:val="FooterTableFigure"/>
        <w:keepNext/>
        <w:keepLines/>
      </w:pPr>
      <w:r w:rsidRPr="00A55C25">
        <w:t>Source: Table 3-1, p129 of the submission.</w:t>
      </w:r>
    </w:p>
    <w:p w14:paraId="19FE4B09" w14:textId="7536CCE5" w:rsidR="009406C2" w:rsidRPr="00A55C25" w:rsidRDefault="009406C2" w:rsidP="001C246B">
      <w:pPr>
        <w:pStyle w:val="FooterTableFigure"/>
        <w:keepNext/>
        <w:keepLines/>
        <w:spacing w:after="0"/>
      </w:pPr>
      <w:r w:rsidRPr="00A55C25">
        <w:t xml:space="preserve">AEMP=Australian ex-manufacturer price; AV=acalabrutinib + venetoclax; BR=bendamustine + rituximab; CMA=cost-minimisation </w:t>
      </w:r>
      <w:r w:rsidR="009D6101" w:rsidRPr="00A55C25">
        <w:t>approach</w:t>
      </w:r>
      <w:r w:rsidRPr="00A55C25">
        <w:t xml:space="preserve">; CLL=chronic lymphocytic leukaemia; FCR=fludarabine + cyclophosphamide + rituximab; FD=fixed duration; ITC=indirect treatment comparison; IV=ibrutinib + venetoclax; OS=overall survival; PBS=Pharmaceutical Benefits Scheme; PFS-IA=investigator assessed progression free survival; SPA=Special Pricing Arrangement; STC=simulated treatment comparison; TLS=tumour lysis syndrome; TTNT=time to next treatment; VO=venetoclax + obinutuzumab. </w:t>
      </w:r>
    </w:p>
    <w:p w14:paraId="4B915689" w14:textId="77777777" w:rsidR="009406C2" w:rsidRPr="00A55C25" w:rsidRDefault="009406C2" w:rsidP="009406C2">
      <w:pPr>
        <w:pStyle w:val="3-BodyText"/>
        <w:spacing w:before="0"/>
        <w:rPr>
          <w:rFonts w:ascii="Arial Narrow" w:eastAsia="Times New Roman" w:hAnsi="Arial Narrow" w:cs="Arial"/>
          <w:snapToGrid w:val="0"/>
          <w:sz w:val="18"/>
        </w:rPr>
      </w:pPr>
      <w:proofErr w:type="spellStart"/>
      <w:proofErr w:type="gramStart"/>
      <w:r w:rsidRPr="00A55C25">
        <w:rPr>
          <w:rFonts w:ascii="Arial Narrow" w:eastAsia="Times New Roman" w:hAnsi="Arial Narrow" w:cs="Arial"/>
          <w:snapToGrid w:val="0"/>
          <w:sz w:val="18"/>
          <w:vertAlign w:val="superscript"/>
        </w:rPr>
        <w:t>a</w:t>
      </w:r>
      <w:proofErr w:type="spellEnd"/>
      <w:proofErr w:type="gramEnd"/>
      <w:r w:rsidRPr="00A55C25">
        <w:rPr>
          <w:rFonts w:ascii="Arial Narrow" w:eastAsia="Times New Roman" w:hAnsi="Arial Narrow" w:cs="Arial"/>
          <w:snapToGrid w:val="0"/>
          <w:sz w:val="18"/>
        </w:rPr>
        <w:t xml:space="preserve"> Estimated effective AEMP, assuming a 5% SPR that occurred in April 2024.</w:t>
      </w:r>
    </w:p>
    <w:p w14:paraId="21B19D70" w14:textId="6F8F3F1A" w:rsidR="009406C2" w:rsidRPr="00A55C25" w:rsidRDefault="009406C2" w:rsidP="009406C2">
      <w:pPr>
        <w:pStyle w:val="3-BodyText"/>
        <w:numPr>
          <w:ilvl w:val="1"/>
          <w:numId w:val="1"/>
        </w:numPr>
      </w:pPr>
      <w:r w:rsidRPr="00A55C25">
        <w:t>The equi-effective doses were estimated based on the average number of scripts required for each FD treatment regimen</w:t>
      </w:r>
      <w:r w:rsidR="004B3C9A" w:rsidRPr="00A55C25">
        <w:t>.</w:t>
      </w:r>
    </w:p>
    <w:p w14:paraId="35F19918" w14:textId="5C88F1DB" w:rsidR="009406C2" w:rsidRPr="00A55C25" w:rsidRDefault="009406C2" w:rsidP="00A900A7">
      <w:pPr>
        <w:pStyle w:val="3-BodyText"/>
        <w:numPr>
          <w:ilvl w:val="0"/>
          <w:numId w:val="8"/>
        </w:numPr>
      </w:pPr>
      <w:r w:rsidRPr="00A55C25">
        <w:t xml:space="preserve">For VO, the average number of scripts per patient course was sourced from the July 2020 PBAC </w:t>
      </w:r>
      <w:r w:rsidR="00794814" w:rsidRPr="00A55C25">
        <w:t xml:space="preserve">venetoclax </w:t>
      </w:r>
      <w:r w:rsidRPr="00A55C25">
        <w:t xml:space="preserve">submission for </w:t>
      </w:r>
      <w:r w:rsidR="00794814" w:rsidRPr="00A55C25">
        <w:t xml:space="preserve">previously </w:t>
      </w:r>
      <w:r w:rsidRPr="00A55C25">
        <w:t xml:space="preserve">untreated CLL/SLL: one initial and 8.67 continuing venetoclax scripts plus 7.355 obinutuzumab scripts (para 5.31, venetoclax PSD, July 2020 PBAC meeting). </w:t>
      </w:r>
    </w:p>
    <w:p w14:paraId="108B0B88" w14:textId="6F53AA54" w:rsidR="009406C2" w:rsidRPr="00A55C25" w:rsidRDefault="009406C2" w:rsidP="00A900A7">
      <w:pPr>
        <w:pStyle w:val="3-BodyText"/>
        <w:numPr>
          <w:ilvl w:val="0"/>
          <w:numId w:val="8"/>
        </w:numPr>
      </w:pPr>
      <w:r w:rsidRPr="00A55C25">
        <w:t>For AV, the average number of scripts per patient course was derived using AMPLIFY-reported mean time on treatment (</w:t>
      </w:r>
      <w:proofErr w:type="spellStart"/>
      <w:r w:rsidRPr="00A55C25">
        <w:t>ToT</w:t>
      </w:r>
      <w:proofErr w:type="spellEnd"/>
      <w:r w:rsidRPr="00A55C25">
        <w:t xml:space="preserve">, A: 12.7, V: 10.9) and mean relative dose intensity (RDI, A: 94%, V: 92%). After adjusting for RDI and the 28-day treatment cycle, </w:t>
      </w:r>
      <w:r w:rsidR="006A7E85" w:rsidRPr="00A55C25">
        <w:t xml:space="preserve">patients </w:t>
      </w:r>
      <w:r w:rsidRPr="00A55C25">
        <w:t>on average</w:t>
      </w:r>
      <w:r w:rsidR="006A7E85" w:rsidRPr="00A55C25">
        <w:t xml:space="preserve"> </w:t>
      </w:r>
      <w:r w:rsidRPr="00A55C25">
        <w:t>received 12.97 acalabrutinib scripts and 10.84 venetoclax scripts per course of treatment.</w:t>
      </w:r>
    </w:p>
    <w:p w14:paraId="414623C4" w14:textId="22CB346F" w:rsidR="009406C2" w:rsidRPr="00A55C25" w:rsidRDefault="009406C2" w:rsidP="009406C2">
      <w:pPr>
        <w:pStyle w:val="3-BodyText"/>
        <w:numPr>
          <w:ilvl w:val="1"/>
          <w:numId w:val="1"/>
        </w:numPr>
      </w:pPr>
      <w:r w:rsidRPr="00A55C25">
        <w:t>The estimated average number of scripts for VO in the July 2020 PBAC</w:t>
      </w:r>
      <w:r w:rsidR="00794814" w:rsidRPr="00A55C25">
        <w:t xml:space="preserve"> venetoclax</w:t>
      </w:r>
      <w:r w:rsidRPr="00A55C25">
        <w:t xml:space="preserve"> submission was based on CLL14, which reported a slightly shorter mean duration of treatment compared to CLL13. Although CLL13 was the main comparator trial in the current submission, the use of estimates from CLL14 </w:t>
      </w:r>
      <w:r w:rsidR="00E8441F" w:rsidRPr="00A55C25">
        <w:t xml:space="preserve">may have been </w:t>
      </w:r>
      <w:r w:rsidRPr="00A55C25">
        <w:t>appropriate for consistency with past costing calculations.</w:t>
      </w:r>
    </w:p>
    <w:p w14:paraId="3AD6FB5B" w14:textId="4424F4F4" w:rsidR="009406C2" w:rsidRPr="00A55C25" w:rsidRDefault="009406C2" w:rsidP="00D825A0">
      <w:pPr>
        <w:pStyle w:val="3-BodyText"/>
        <w:numPr>
          <w:ilvl w:val="1"/>
          <w:numId w:val="1"/>
        </w:numPr>
        <w:spacing w:after="120"/>
      </w:pPr>
      <w:r w:rsidRPr="00A55C25">
        <w:lastRenderedPageBreak/>
        <w:fldChar w:fldCharType="begin"/>
      </w:r>
      <w:r w:rsidRPr="00A55C25">
        <w:instrText xml:space="preserve"> REF _Ref206515838 \h </w:instrText>
      </w:r>
      <w:r w:rsidR="000B4616" w:rsidRPr="00A55C25">
        <w:instrText xml:space="preserve"> \* MERGEFORMAT </w:instrText>
      </w:r>
      <w:r w:rsidRPr="00A55C25">
        <w:fldChar w:fldCharType="separate"/>
      </w:r>
      <w:r w:rsidR="00717804" w:rsidRPr="00A55C25">
        <w:t xml:space="preserve">Table </w:t>
      </w:r>
      <w:r w:rsidR="00717804">
        <w:t>8</w:t>
      </w:r>
      <w:r w:rsidRPr="00A55C25">
        <w:fldChar w:fldCharType="end"/>
      </w:r>
      <w:r w:rsidRPr="00A55C25">
        <w:t xml:space="preserve"> shows the results of the CMA presented in the submission.</w:t>
      </w:r>
    </w:p>
    <w:p w14:paraId="6475B423" w14:textId="29F34F36" w:rsidR="009406C2" w:rsidRPr="00A55C25" w:rsidRDefault="009406C2" w:rsidP="009406C2">
      <w:pPr>
        <w:pStyle w:val="Caption"/>
        <w:widowControl w:val="0"/>
        <w:rPr>
          <w:rStyle w:val="CommentReference"/>
          <w:b/>
          <w:szCs w:val="24"/>
        </w:rPr>
      </w:pPr>
      <w:bookmarkStart w:id="41" w:name="_Ref206515838"/>
      <w:r w:rsidRPr="00A55C25">
        <w:t xml:space="preserve">Table </w:t>
      </w:r>
      <w:r w:rsidR="00075C2F">
        <w:fldChar w:fldCharType="begin"/>
      </w:r>
      <w:r w:rsidR="00075C2F">
        <w:instrText xml:space="preserve"> SEQ Table \* ARABIC </w:instrText>
      </w:r>
      <w:r w:rsidR="00075C2F">
        <w:fldChar w:fldCharType="separate"/>
      </w:r>
      <w:r w:rsidR="00717804">
        <w:rPr>
          <w:noProof/>
        </w:rPr>
        <w:t>8</w:t>
      </w:r>
      <w:r w:rsidR="00075C2F">
        <w:fldChar w:fldCharType="end"/>
      </w:r>
      <w:bookmarkEnd w:id="41"/>
      <w:r w:rsidRPr="00A55C25">
        <w:t>: Results of the cost-minimisation approach (using estimated/proposed effective AEMPs)</w:t>
      </w:r>
    </w:p>
    <w:tbl>
      <w:tblPr>
        <w:tblStyle w:val="TableGrid"/>
        <w:tblW w:w="5000" w:type="pct"/>
        <w:tblCellMar>
          <w:left w:w="28" w:type="dxa"/>
          <w:right w:w="28" w:type="dxa"/>
        </w:tblCellMar>
        <w:tblLook w:val="04A0" w:firstRow="1" w:lastRow="0" w:firstColumn="1" w:lastColumn="0" w:noHBand="0" w:noVBand="1"/>
        <w:tblCaption w:val="Table 8: Results of the cost-minimisation approach (using estimated/proposed effective AEMPs)"/>
      </w:tblPr>
      <w:tblGrid>
        <w:gridCol w:w="2349"/>
        <w:gridCol w:w="1362"/>
        <w:gridCol w:w="1859"/>
        <w:gridCol w:w="1856"/>
        <w:gridCol w:w="1591"/>
      </w:tblGrid>
      <w:tr w:rsidR="009406C2" w:rsidRPr="00A55C25" w14:paraId="106442B3" w14:textId="77777777" w:rsidTr="00B213CD">
        <w:trPr>
          <w:trHeight w:val="20"/>
        </w:trPr>
        <w:tc>
          <w:tcPr>
            <w:tcW w:w="1303" w:type="pct"/>
            <w:vAlign w:val="center"/>
          </w:tcPr>
          <w:p w14:paraId="128C9A01" w14:textId="77777777" w:rsidR="009406C2" w:rsidRPr="00A55C25" w:rsidRDefault="009406C2" w:rsidP="002A750F">
            <w:pPr>
              <w:pStyle w:val="TableText0"/>
              <w:rPr>
                <w:b/>
                <w:bCs w:val="0"/>
                <w:sz w:val="18"/>
                <w:szCs w:val="18"/>
              </w:rPr>
            </w:pPr>
            <w:r w:rsidRPr="00A55C25">
              <w:rPr>
                <w:b/>
                <w:bCs w:val="0"/>
                <w:sz w:val="18"/>
                <w:szCs w:val="18"/>
              </w:rPr>
              <w:t>Treatments</w:t>
            </w:r>
          </w:p>
        </w:tc>
        <w:tc>
          <w:tcPr>
            <w:tcW w:w="755" w:type="pct"/>
            <w:vAlign w:val="center"/>
          </w:tcPr>
          <w:p w14:paraId="36FCD26F" w14:textId="77777777" w:rsidR="009406C2" w:rsidRPr="00A55C25" w:rsidRDefault="009406C2" w:rsidP="002A750F">
            <w:pPr>
              <w:pStyle w:val="TableText0"/>
              <w:jc w:val="center"/>
              <w:rPr>
                <w:b/>
                <w:bCs w:val="0"/>
                <w:sz w:val="18"/>
                <w:szCs w:val="18"/>
              </w:rPr>
            </w:pPr>
            <w:r w:rsidRPr="00A55C25">
              <w:rPr>
                <w:b/>
                <w:bCs w:val="0"/>
                <w:sz w:val="18"/>
                <w:szCs w:val="18"/>
              </w:rPr>
              <w:t>V (AV)</w:t>
            </w:r>
          </w:p>
        </w:tc>
        <w:tc>
          <w:tcPr>
            <w:tcW w:w="1031" w:type="pct"/>
            <w:vAlign w:val="center"/>
          </w:tcPr>
          <w:p w14:paraId="1C21BD66" w14:textId="77777777" w:rsidR="009406C2" w:rsidRPr="00A55C25" w:rsidRDefault="009406C2" w:rsidP="002A750F">
            <w:pPr>
              <w:pStyle w:val="TableText0"/>
              <w:jc w:val="center"/>
              <w:rPr>
                <w:b/>
                <w:bCs w:val="0"/>
                <w:sz w:val="18"/>
                <w:szCs w:val="18"/>
              </w:rPr>
            </w:pPr>
            <w:r w:rsidRPr="00A55C25">
              <w:rPr>
                <w:b/>
                <w:bCs w:val="0"/>
                <w:sz w:val="18"/>
                <w:szCs w:val="18"/>
              </w:rPr>
              <w:t>A (AV)</w:t>
            </w:r>
          </w:p>
        </w:tc>
        <w:tc>
          <w:tcPr>
            <w:tcW w:w="1029" w:type="pct"/>
            <w:vAlign w:val="center"/>
          </w:tcPr>
          <w:p w14:paraId="556BBA0F" w14:textId="77777777" w:rsidR="009406C2" w:rsidRPr="00A55C25" w:rsidRDefault="009406C2" w:rsidP="002A750F">
            <w:pPr>
              <w:pStyle w:val="TableText0"/>
              <w:jc w:val="center"/>
              <w:rPr>
                <w:b/>
                <w:bCs w:val="0"/>
                <w:sz w:val="18"/>
                <w:szCs w:val="18"/>
              </w:rPr>
            </w:pPr>
            <w:r w:rsidRPr="00A55C25">
              <w:rPr>
                <w:b/>
                <w:bCs w:val="0"/>
                <w:sz w:val="18"/>
                <w:szCs w:val="18"/>
              </w:rPr>
              <w:t>V (VO)</w:t>
            </w:r>
          </w:p>
        </w:tc>
        <w:tc>
          <w:tcPr>
            <w:tcW w:w="882" w:type="pct"/>
            <w:vAlign w:val="center"/>
          </w:tcPr>
          <w:p w14:paraId="20CDC0A5" w14:textId="77777777" w:rsidR="009406C2" w:rsidRPr="00A55C25" w:rsidRDefault="009406C2" w:rsidP="002A750F">
            <w:pPr>
              <w:pStyle w:val="TableText0"/>
              <w:jc w:val="center"/>
              <w:rPr>
                <w:b/>
                <w:bCs w:val="0"/>
                <w:sz w:val="18"/>
                <w:szCs w:val="18"/>
              </w:rPr>
            </w:pPr>
            <w:r w:rsidRPr="00A55C25">
              <w:rPr>
                <w:b/>
                <w:bCs w:val="0"/>
                <w:sz w:val="18"/>
                <w:szCs w:val="18"/>
              </w:rPr>
              <w:t>O (VO)</w:t>
            </w:r>
          </w:p>
        </w:tc>
      </w:tr>
      <w:tr w:rsidR="009406C2" w:rsidRPr="00A55C25" w14:paraId="79F6ADD5" w14:textId="77777777" w:rsidTr="00B213CD">
        <w:trPr>
          <w:trHeight w:val="20"/>
        </w:trPr>
        <w:tc>
          <w:tcPr>
            <w:tcW w:w="5000" w:type="pct"/>
            <w:gridSpan w:val="5"/>
            <w:vAlign w:val="center"/>
          </w:tcPr>
          <w:p w14:paraId="715F8ED0" w14:textId="77777777" w:rsidR="009406C2" w:rsidRPr="00A55C25" w:rsidRDefault="009406C2" w:rsidP="002A750F">
            <w:pPr>
              <w:pStyle w:val="PBACTabletext"/>
              <w:spacing w:after="0"/>
              <w:rPr>
                <w:b/>
                <w:bCs/>
                <w:sz w:val="18"/>
                <w:szCs w:val="18"/>
              </w:rPr>
            </w:pPr>
            <w:r w:rsidRPr="00A55C25">
              <w:rPr>
                <w:b/>
                <w:bCs/>
                <w:sz w:val="18"/>
                <w:szCs w:val="18"/>
              </w:rPr>
              <w:t>Drug costs</w:t>
            </w:r>
          </w:p>
        </w:tc>
      </w:tr>
      <w:tr w:rsidR="009406C2" w:rsidRPr="00A55C25" w14:paraId="58A6A593" w14:textId="77777777" w:rsidTr="00B213CD">
        <w:trPr>
          <w:trHeight w:val="20"/>
        </w:trPr>
        <w:tc>
          <w:tcPr>
            <w:tcW w:w="1303" w:type="pct"/>
            <w:vAlign w:val="center"/>
          </w:tcPr>
          <w:p w14:paraId="0777B05B" w14:textId="0C8EC8A1" w:rsidR="009406C2" w:rsidRPr="00F042B2" w:rsidRDefault="009406C2" w:rsidP="002A750F">
            <w:pPr>
              <w:pStyle w:val="TableText0"/>
              <w:rPr>
                <w:sz w:val="18"/>
                <w:szCs w:val="18"/>
              </w:rPr>
            </w:pPr>
            <w:r w:rsidRPr="00A55C25">
              <w:rPr>
                <w:sz w:val="18"/>
                <w:szCs w:val="18"/>
              </w:rPr>
              <w:t xml:space="preserve">Effective AEMP, initial </w:t>
            </w:r>
            <w:r w:rsidRPr="00A55C25">
              <w:rPr>
                <w:sz w:val="18"/>
                <w:szCs w:val="18"/>
                <w:vertAlign w:val="superscript"/>
              </w:rPr>
              <w:t>a</w:t>
            </w:r>
          </w:p>
        </w:tc>
        <w:tc>
          <w:tcPr>
            <w:tcW w:w="755" w:type="pct"/>
            <w:vAlign w:val="center"/>
          </w:tcPr>
          <w:p w14:paraId="15B53CCC" w14:textId="2FC60449"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31" w:type="pct"/>
            <w:vAlign w:val="center"/>
          </w:tcPr>
          <w:p w14:paraId="64EA1840" w14:textId="25CCD346"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29" w:type="pct"/>
            <w:vAlign w:val="center"/>
          </w:tcPr>
          <w:p w14:paraId="03B14DA8" w14:textId="3A2BC4B9"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882" w:type="pct"/>
            <w:vAlign w:val="center"/>
          </w:tcPr>
          <w:p w14:paraId="43FCE9EB" w14:textId="77777777" w:rsidR="009406C2" w:rsidRPr="00A55C25" w:rsidRDefault="009406C2" w:rsidP="002A750F">
            <w:pPr>
              <w:pStyle w:val="TableText0"/>
              <w:rPr>
                <w:sz w:val="18"/>
                <w:szCs w:val="18"/>
              </w:rPr>
            </w:pPr>
            <w:r w:rsidRPr="00A55C25">
              <w:rPr>
                <w:sz w:val="18"/>
                <w:szCs w:val="18"/>
              </w:rPr>
              <w:t>$4,525.52</w:t>
            </w:r>
          </w:p>
        </w:tc>
      </w:tr>
      <w:tr w:rsidR="009406C2" w:rsidRPr="00A55C25" w14:paraId="3E36113B" w14:textId="77777777" w:rsidTr="00B213CD">
        <w:trPr>
          <w:trHeight w:val="20"/>
        </w:trPr>
        <w:tc>
          <w:tcPr>
            <w:tcW w:w="1303" w:type="pct"/>
            <w:vAlign w:val="center"/>
          </w:tcPr>
          <w:p w14:paraId="0C2AE401" w14:textId="1EB5F4CB" w:rsidR="009406C2" w:rsidRPr="00441C83" w:rsidRDefault="009406C2" w:rsidP="002A750F">
            <w:pPr>
              <w:pStyle w:val="TableText0"/>
              <w:rPr>
                <w:sz w:val="18"/>
                <w:szCs w:val="18"/>
              </w:rPr>
            </w:pPr>
            <w:r w:rsidRPr="00A55C25">
              <w:rPr>
                <w:sz w:val="18"/>
                <w:szCs w:val="18"/>
              </w:rPr>
              <w:t xml:space="preserve">Effective AEMP, continuing </w:t>
            </w:r>
            <w:r w:rsidRPr="00A55C25">
              <w:rPr>
                <w:sz w:val="18"/>
                <w:szCs w:val="18"/>
                <w:vertAlign w:val="superscript"/>
              </w:rPr>
              <w:t>a</w:t>
            </w:r>
          </w:p>
        </w:tc>
        <w:tc>
          <w:tcPr>
            <w:tcW w:w="755" w:type="pct"/>
            <w:vAlign w:val="center"/>
          </w:tcPr>
          <w:p w14:paraId="6479A78B" w14:textId="381ED87A"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31" w:type="pct"/>
            <w:vAlign w:val="center"/>
          </w:tcPr>
          <w:p w14:paraId="2A1D6DA4" w14:textId="137C98CB"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29" w:type="pct"/>
            <w:vAlign w:val="center"/>
          </w:tcPr>
          <w:p w14:paraId="460406DE" w14:textId="10B87F24"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882" w:type="pct"/>
            <w:vAlign w:val="center"/>
          </w:tcPr>
          <w:p w14:paraId="238847C5" w14:textId="77777777" w:rsidR="009406C2" w:rsidRPr="00A55C25" w:rsidRDefault="009406C2" w:rsidP="002A750F">
            <w:pPr>
              <w:pStyle w:val="TableText0"/>
              <w:rPr>
                <w:sz w:val="18"/>
                <w:szCs w:val="18"/>
              </w:rPr>
            </w:pPr>
            <w:r w:rsidRPr="00A55C25">
              <w:rPr>
                <w:sz w:val="18"/>
                <w:szCs w:val="18"/>
              </w:rPr>
              <w:t>$4,525.52</w:t>
            </w:r>
          </w:p>
        </w:tc>
      </w:tr>
      <w:tr w:rsidR="009406C2" w:rsidRPr="00A55C25" w14:paraId="1E5D7882" w14:textId="77777777" w:rsidTr="00B213CD">
        <w:trPr>
          <w:trHeight w:val="20"/>
        </w:trPr>
        <w:tc>
          <w:tcPr>
            <w:tcW w:w="1303" w:type="pct"/>
            <w:vAlign w:val="center"/>
          </w:tcPr>
          <w:p w14:paraId="3B3FD4E8" w14:textId="77777777" w:rsidR="009406C2" w:rsidRPr="00A55C25" w:rsidRDefault="009406C2" w:rsidP="002A750F">
            <w:pPr>
              <w:pStyle w:val="TableText0"/>
              <w:rPr>
                <w:sz w:val="18"/>
                <w:szCs w:val="18"/>
              </w:rPr>
            </w:pPr>
            <w:r w:rsidRPr="00A55C25">
              <w:rPr>
                <w:sz w:val="18"/>
                <w:szCs w:val="18"/>
              </w:rPr>
              <w:t>Initial scripts number</w:t>
            </w:r>
          </w:p>
        </w:tc>
        <w:tc>
          <w:tcPr>
            <w:tcW w:w="755" w:type="pct"/>
            <w:vAlign w:val="center"/>
          </w:tcPr>
          <w:p w14:paraId="1AD7A545" w14:textId="77777777" w:rsidR="009406C2" w:rsidRPr="00A55C25" w:rsidRDefault="009406C2" w:rsidP="002A750F">
            <w:pPr>
              <w:pStyle w:val="TableText0"/>
              <w:rPr>
                <w:sz w:val="18"/>
                <w:szCs w:val="18"/>
              </w:rPr>
            </w:pPr>
            <w:r w:rsidRPr="00A55C25">
              <w:rPr>
                <w:sz w:val="18"/>
                <w:szCs w:val="18"/>
              </w:rPr>
              <w:t>1</w:t>
            </w:r>
          </w:p>
        </w:tc>
        <w:tc>
          <w:tcPr>
            <w:tcW w:w="1031" w:type="pct"/>
            <w:vAlign w:val="center"/>
          </w:tcPr>
          <w:p w14:paraId="5DEC0B80" w14:textId="77777777" w:rsidR="009406C2" w:rsidRPr="00A55C25" w:rsidRDefault="009406C2" w:rsidP="002A750F">
            <w:pPr>
              <w:pStyle w:val="TableText0"/>
              <w:rPr>
                <w:sz w:val="18"/>
                <w:szCs w:val="18"/>
              </w:rPr>
            </w:pPr>
            <w:r w:rsidRPr="00A55C25">
              <w:rPr>
                <w:sz w:val="18"/>
                <w:szCs w:val="18"/>
              </w:rPr>
              <w:t>-</w:t>
            </w:r>
          </w:p>
        </w:tc>
        <w:tc>
          <w:tcPr>
            <w:tcW w:w="1029" w:type="pct"/>
            <w:vAlign w:val="center"/>
          </w:tcPr>
          <w:p w14:paraId="4382199F" w14:textId="77777777" w:rsidR="009406C2" w:rsidRPr="00A55C25" w:rsidRDefault="009406C2" w:rsidP="002A750F">
            <w:pPr>
              <w:pStyle w:val="TableText0"/>
              <w:rPr>
                <w:sz w:val="18"/>
                <w:szCs w:val="18"/>
              </w:rPr>
            </w:pPr>
            <w:r w:rsidRPr="00A55C25">
              <w:rPr>
                <w:sz w:val="18"/>
                <w:szCs w:val="18"/>
              </w:rPr>
              <w:t>1</w:t>
            </w:r>
          </w:p>
        </w:tc>
        <w:tc>
          <w:tcPr>
            <w:tcW w:w="882" w:type="pct"/>
            <w:vAlign w:val="center"/>
          </w:tcPr>
          <w:p w14:paraId="711DC6B8" w14:textId="77777777" w:rsidR="009406C2" w:rsidRPr="00A55C25" w:rsidRDefault="009406C2" w:rsidP="002A750F">
            <w:pPr>
              <w:pStyle w:val="TableText0"/>
              <w:rPr>
                <w:sz w:val="18"/>
                <w:szCs w:val="18"/>
              </w:rPr>
            </w:pPr>
            <w:r w:rsidRPr="00A55C25">
              <w:rPr>
                <w:sz w:val="18"/>
                <w:szCs w:val="18"/>
              </w:rPr>
              <w:t>-</w:t>
            </w:r>
          </w:p>
        </w:tc>
      </w:tr>
      <w:tr w:rsidR="009406C2" w:rsidRPr="00A55C25" w14:paraId="6EA41026" w14:textId="77777777" w:rsidTr="00B213CD">
        <w:trPr>
          <w:trHeight w:val="20"/>
        </w:trPr>
        <w:tc>
          <w:tcPr>
            <w:tcW w:w="1303" w:type="pct"/>
            <w:vAlign w:val="center"/>
          </w:tcPr>
          <w:p w14:paraId="02E4C9DA" w14:textId="77777777" w:rsidR="009406C2" w:rsidRPr="00A55C25" w:rsidRDefault="009406C2" w:rsidP="002A750F">
            <w:pPr>
              <w:pStyle w:val="TableText0"/>
              <w:rPr>
                <w:sz w:val="18"/>
                <w:szCs w:val="18"/>
              </w:rPr>
            </w:pPr>
            <w:r w:rsidRPr="00A55C25">
              <w:rPr>
                <w:sz w:val="18"/>
                <w:szCs w:val="18"/>
              </w:rPr>
              <w:t>Continuing scripts number</w:t>
            </w:r>
          </w:p>
        </w:tc>
        <w:tc>
          <w:tcPr>
            <w:tcW w:w="755" w:type="pct"/>
            <w:vAlign w:val="center"/>
          </w:tcPr>
          <w:p w14:paraId="1E2073A2" w14:textId="77777777" w:rsidR="009406C2" w:rsidRPr="00A55C25" w:rsidRDefault="009406C2" w:rsidP="002A750F">
            <w:pPr>
              <w:pStyle w:val="TableText0"/>
              <w:rPr>
                <w:sz w:val="18"/>
                <w:szCs w:val="18"/>
              </w:rPr>
            </w:pPr>
            <w:r w:rsidRPr="00A55C25">
              <w:rPr>
                <w:sz w:val="18"/>
                <w:szCs w:val="18"/>
              </w:rPr>
              <w:t>9.84</w:t>
            </w:r>
          </w:p>
        </w:tc>
        <w:tc>
          <w:tcPr>
            <w:tcW w:w="1031" w:type="pct"/>
            <w:vAlign w:val="center"/>
          </w:tcPr>
          <w:p w14:paraId="5E00D39C" w14:textId="77777777" w:rsidR="009406C2" w:rsidRPr="00A55C25" w:rsidRDefault="009406C2" w:rsidP="002A750F">
            <w:pPr>
              <w:pStyle w:val="TableText0"/>
              <w:rPr>
                <w:sz w:val="18"/>
                <w:szCs w:val="18"/>
              </w:rPr>
            </w:pPr>
            <w:r w:rsidRPr="00A55C25">
              <w:rPr>
                <w:sz w:val="18"/>
                <w:szCs w:val="18"/>
              </w:rPr>
              <w:t>12.97</w:t>
            </w:r>
          </w:p>
        </w:tc>
        <w:tc>
          <w:tcPr>
            <w:tcW w:w="1029" w:type="pct"/>
            <w:vAlign w:val="center"/>
          </w:tcPr>
          <w:p w14:paraId="60C2FCA2" w14:textId="77777777" w:rsidR="009406C2" w:rsidRPr="00A55C25" w:rsidRDefault="009406C2" w:rsidP="002A750F">
            <w:pPr>
              <w:pStyle w:val="TableText0"/>
              <w:rPr>
                <w:sz w:val="18"/>
                <w:szCs w:val="18"/>
              </w:rPr>
            </w:pPr>
            <w:r w:rsidRPr="00A55C25">
              <w:rPr>
                <w:sz w:val="18"/>
                <w:szCs w:val="18"/>
              </w:rPr>
              <w:t>8.67</w:t>
            </w:r>
          </w:p>
        </w:tc>
        <w:tc>
          <w:tcPr>
            <w:tcW w:w="882" w:type="pct"/>
            <w:vAlign w:val="center"/>
          </w:tcPr>
          <w:p w14:paraId="3362C172" w14:textId="77777777" w:rsidR="009406C2" w:rsidRPr="00A55C25" w:rsidRDefault="009406C2" w:rsidP="002A750F">
            <w:pPr>
              <w:pStyle w:val="TableText0"/>
              <w:rPr>
                <w:sz w:val="18"/>
                <w:szCs w:val="18"/>
              </w:rPr>
            </w:pPr>
            <w:r w:rsidRPr="00A55C25">
              <w:rPr>
                <w:sz w:val="18"/>
                <w:szCs w:val="18"/>
              </w:rPr>
              <w:t>7.355</w:t>
            </w:r>
          </w:p>
        </w:tc>
      </w:tr>
      <w:tr w:rsidR="009406C2" w:rsidRPr="00A55C25" w14:paraId="7B0DA14E" w14:textId="77777777" w:rsidTr="00B213CD">
        <w:trPr>
          <w:trHeight w:val="20"/>
        </w:trPr>
        <w:tc>
          <w:tcPr>
            <w:tcW w:w="1303" w:type="pct"/>
            <w:vAlign w:val="center"/>
          </w:tcPr>
          <w:p w14:paraId="270C6490" w14:textId="77777777" w:rsidR="009406C2" w:rsidRPr="00A55C25" w:rsidRDefault="009406C2" w:rsidP="002A750F">
            <w:pPr>
              <w:pStyle w:val="TableText0"/>
              <w:rPr>
                <w:sz w:val="18"/>
                <w:szCs w:val="18"/>
              </w:rPr>
            </w:pPr>
            <w:r w:rsidRPr="00A55C25">
              <w:rPr>
                <w:sz w:val="18"/>
                <w:szCs w:val="18"/>
              </w:rPr>
              <w:t>Total drug cost</w:t>
            </w:r>
          </w:p>
        </w:tc>
        <w:tc>
          <w:tcPr>
            <w:tcW w:w="755" w:type="pct"/>
            <w:vAlign w:val="center"/>
          </w:tcPr>
          <w:p w14:paraId="217AAB60" w14:textId="3A61AB8C"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31" w:type="pct"/>
            <w:vAlign w:val="center"/>
          </w:tcPr>
          <w:p w14:paraId="7A0D4B27" w14:textId="03A6E264"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1029" w:type="pct"/>
            <w:vAlign w:val="center"/>
          </w:tcPr>
          <w:p w14:paraId="6B0909BB" w14:textId="428B64B2" w:rsidR="009406C2" w:rsidRPr="00A55C25" w:rsidRDefault="009406C2" w:rsidP="002A750F">
            <w:pPr>
              <w:pStyle w:val="TableText0"/>
              <w:rPr>
                <w:sz w:val="18"/>
                <w:szCs w:val="18"/>
              </w:rPr>
            </w:pPr>
            <w:r w:rsidRPr="00A55C25">
              <w:rPr>
                <w:sz w:val="18"/>
                <w:szCs w:val="18"/>
              </w:rPr>
              <w:t>$</w:t>
            </w:r>
            <w:r w:rsidR="007C5080" w:rsidRPr="007C5080">
              <w:rPr>
                <w:sz w:val="18"/>
                <w:szCs w:val="18"/>
                <w:highlight w:val="black"/>
              </w:rPr>
              <w:t>@@@@</w:t>
            </w:r>
          </w:p>
        </w:tc>
        <w:tc>
          <w:tcPr>
            <w:tcW w:w="882" w:type="pct"/>
            <w:vAlign w:val="center"/>
          </w:tcPr>
          <w:p w14:paraId="54C740CB" w14:textId="77777777" w:rsidR="009406C2" w:rsidRPr="00A55C25" w:rsidRDefault="009406C2" w:rsidP="002A750F">
            <w:pPr>
              <w:pStyle w:val="TableText0"/>
              <w:rPr>
                <w:sz w:val="18"/>
                <w:szCs w:val="18"/>
              </w:rPr>
            </w:pPr>
            <w:r w:rsidRPr="00A55C25">
              <w:rPr>
                <w:sz w:val="18"/>
                <w:szCs w:val="18"/>
              </w:rPr>
              <w:t>$33,285.20</w:t>
            </w:r>
          </w:p>
        </w:tc>
      </w:tr>
      <w:tr w:rsidR="009406C2" w:rsidRPr="00A55C25" w14:paraId="2954FEB0" w14:textId="77777777" w:rsidTr="00B213CD">
        <w:trPr>
          <w:trHeight w:val="20"/>
        </w:trPr>
        <w:tc>
          <w:tcPr>
            <w:tcW w:w="1303" w:type="pct"/>
            <w:vAlign w:val="center"/>
          </w:tcPr>
          <w:p w14:paraId="54F22D50" w14:textId="77777777" w:rsidR="009406C2" w:rsidRPr="00A55C25" w:rsidRDefault="009406C2" w:rsidP="002A750F">
            <w:pPr>
              <w:pStyle w:val="TableText0"/>
              <w:rPr>
                <w:sz w:val="18"/>
                <w:szCs w:val="18"/>
              </w:rPr>
            </w:pPr>
            <w:r w:rsidRPr="00A55C25">
              <w:rPr>
                <w:sz w:val="18"/>
                <w:szCs w:val="18"/>
              </w:rPr>
              <w:t>Total drug cost/patient</w:t>
            </w:r>
          </w:p>
        </w:tc>
        <w:tc>
          <w:tcPr>
            <w:tcW w:w="1786" w:type="pct"/>
            <w:gridSpan w:val="2"/>
            <w:vAlign w:val="center"/>
          </w:tcPr>
          <w:p w14:paraId="69C13931" w14:textId="1AC7D6FC"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c>
          <w:tcPr>
            <w:tcW w:w="1911" w:type="pct"/>
            <w:gridSpan w:val="2"/>
            <w:vAlign w:val="center"/>
          </w:tcPr>
          <w:p w14:paraId="34BBF28E" w14:textId="37FCCA4C"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r>
      <w:tr w:rsidR="009406C2" w:rsidRPr="00A55C25" w14:paraId="7F9AAD0A" w14:textId="77777777" w:rsidTr="00B213CD">
        <w:trPr>
          <w:trHeight w:val="20"/>
        </w:trPr>
        <w:tc>
          <w:tcPr>
            <w:tcW w:w="5000" w:type="pct"/>
            <w:gridSpan w:val="5"/>
            <w:vAlign w:val="center"/>
          </w:tcPr>
          <w:p w14:paraId="3CBB7C41" w14:textId="77777777" w:rsidR="009406C2" w:rsidRPr="00A55C25" w:rsidRDefault="009406C2" w:rsidP="002A750F">
            <w:pPr>
              <w:pStyle w:val="TableText0"/>
              <w:rPr>
                <w:b/>
                <w:bCs w:val="0"/>
                <w:sz w:val="18"/>
                <w:szCs w:val="18"/>
              </w:rPr>
            </w:pPr>
            <w:r w:rsidRPr="00A55C25">
              <w:rPr>
                <w:b/>
                <w:bCs w:val="0"/>
                <w:sz w:val="18"/>
                <w:szCs w:val="18"/>
              </w:rPr>
              <w:t>Administration costs</w:t>
            </w:r>
          </w:p>
        </w:tc>
      </w:tr>
      <w:tr w:rsidR="009406C2" w:rsidRPr="00A55C25" w14:paraId="3CF31107" w14:textId="77777777" w:rsidTr="00B213CD">
        <w:trPr>
          <w:trHeight w:val="20"/>
        </w:trPr>
        <w:tc>
          <w:tcPr>
            <w:tcW w:w="1303" w:type="pct"/>
            <w:vAlign w:val="center"/>
          </w:tcPr>
          <w:p w14:paraId="6BED5A42" w14:textId="0AD0131B" w:rsidR="009406C2" w:rsidRPr="00A55C25" w:rsidRDefault="00006068" w:rsidP="002A750F">
            <w:pPr>
              <w:pStyle w:val="TableText0"/>
              <w:rPr>
                <w:sz w:val="18"/>
                <w:szCs w:val="18"/>
              </w:rPr>
            </w:pPr>
            <w:r>
              <w:rPr>
                <w:sz w:val="18"/>
                <w:szCs w:val="18"/>
              </w:rPr>
              <w:t>I</w:t>
            </w:r>
            <w:r w:rsidR="009406C2" w:rsidRPr="00A55C25">
              <w:rPr>
                <w:sz w:val="18"/>
                <w:szCs w:val="18"/>
              </w:rPr>
              <w:t>ntravenous administration (13950)</w:t>
            </w:r>
          </w:p>
        </w:tc>
        <w:tc>
          <w:tcPr>
            <w:tcW w:w="755" w:type="pct"/>
            <w:vMerge w:val="restart"/>
            <w:vAlign w:val="center"/>
          </w:tcPr>
          <w:p w14:paraId="0BAC791C" w14:textId="7D87B210" w:rsidR="009406C2" w:rsidRPr="00A55C25" w:rsidRDefault="009406C2" w:rsidP="002A750F">
            <w:pPr>
              <w:pStyle w:val="TableText0"/>
              <w:rPr>
                <w:sz w:val="18"/>
                <w:szCs w:val="18"/>
              </w:rPr>
            </w:pPr>
            <w:r w:rsidRPr="00A55C25">
              <w:rPr>
                <w:sz w:val="18"/>
                <w:szCs w:val="18"/>
              </w:rPr>
              <w:t>$0.00</w:t>
            </w:r>
          </w:p>
        </w:tc>
        <w:tc>
          <w:tcPr>
            <w:tcW w:w="1031" w:type="pct"/>
            <w:vMerge w:val="restart"/>
            <w:vAlign w:val="center"/>
          </w:tcPr>
          <w:p w14:paraId="72AEE6A2" w14:textId="77777777" w:rsidR="009406C2" w:rsidRPr="00A55C25" w:rsidRDefault="009406C2" w:rsidP="002A750F">
            <w:pPr>
              <w:pStyle w:val="TableText0"/>
              <w:rPr>
                <w:sz w:val="18"/>
                <w:szCs w:val="18"/>
              </w:rPr>
            </w:pPr>
            <w:r w:rsidRPr="00A55C25">
              <w:rPr>
                <w:sz w:val="18"/>
                <w:szCs w:val="18"/>
              </w:rPr>
              <w:t>$0.00</w:t>
            </w:r>
          </w:p>
        </w:tc>
        <w:tc>
          <w:tcPr>
            <w:tcW w:w="1029" w:type="pct"/>
            <w:vMerge w:val="restart"/>
            <w:vAlign w:val="center"/>
          </w:tcPr>
          <w:p w14:paraId="3AD2CF49" w14:textId="77777777" w:rsidR="009406C2" w:rsidRPr="00A55C25" w:rsidRDefault="009406C2" w:rsidP="002A750F">
            <w:pPr>
              <w:pStyle w:val="TableText0"/>
              <w:rPr>
                <w:sz w:val="18"/>
                <w:szCs w:val="18"/>
              </w:rPr>
            </w:pPr>
            <w:r w:rsidRPr="00A55C25">
              <w:rPr>
                <w:sz w:val="18"/>
                <w:szCs w:val="18"/>
              </w:rPr>
              <w:t>$0.00</w:t>
            </w:r>
          </w:p>
        </w:tc>
        <w:tc>
          <w:tcPr>
            <w:tcW w:w="882" w:type="pct"/>
            <w:vAlign w:val="center"/>
          </w:tcPr>
          <w:p w14:paraId="4466F5DE" w14:textId="77777777" w:rsidR="009406C2" w:rsidRPr="00A55C25" w:rsidRDefault="009406C2" w:rsidP="002A750F">
            <w:pPr>
              <w:pStyle w:val="TableText0"/>
              <w:rPr>
                <w:sz w:val="18"/>
                <w:szCs w:val="18"/>
              </w:rPr>
            </w:pPr>
            <w:r w:rsidRPr="00A55C25">
              <w:rPr>
                <w:sz w:val="18"/>
                <w:szCs w:val="18"/>
              </w:rPr>
              <w:t>$693.00</w:t>
            </w:r>
          </w:p>
        </w:tc>
      </w:tr>
      <w:tr w:rsidR="009406C2" w:rsidRPr="00A55C25" w14:paraId="44B93788" w14:textId="77777777" w:rsidTr="00B213CD">
        <w:trPr>
          <w:trHeight w:val="20"/>
        </w:trPr>
        <w:tc>
          <w:tcPr>
            <w:tcW w:w="1303" w:type="pct"/>
            <w:vAlign w:val="center"/>
          </w:tcPr>
          <w:p w14:paraId="53E1090A" w14:textId="77777777" w:rsidR="009406C2" w:rsidRPr="00A55C25" w:rsidRDefault="009406C2" w:rsidP="002A750F">
            <w:pPr>
              <w:pStyle w:val="TableText0"/>
              <w:rPr>
                <w:sz w:val="18"/>
                <w:szCs w:val="18"/>
              </w:rPr>
            </w:pPr>
            <w:r w:rsidRPr="00A55C25">
              <w:rPr>
                <w:sz w:val="18"/>
                <w:szCs w:val="18"/>
              </w:rPr>
              <w:t>Specialist visit (116)</w:t>
            </w:r>
          </w:p>
        </w:tc>
        <w:tc>
          <w:tcPr>
            <w:tcW w:w="755" w:type="pct"/>
            <w:vMerge/>
            <w:vAlign w:val="center"/>
          </w:tcPr>
          <w:p w14:paraId="7B24BA1E" w14:textId="77777777" w:rsidR="009406C2" w:rsidRPr="00A55C25" w:rsidRDefault="009406C2" w:rsidP="002A750F">
            <w:pPr>
              <w:pStyle w:val="TableText0"/>
              <w:rPr>
                <w:sz w:val="18"/>
                <w:szCs w:val="18"/>
              </w:rPr>
            </w:pPr>
          </w:p>
        </w:tc>
        <w:tc>
          <w:tcPr>
            <w:tcW w:w="1031" w:type="pct"/>
            <w:vMerge/>
            <w:vAlign w:val="center"/>
          </w:tcPr>
          <w:p w14:paraId="4B0509E8" w14:textId="77777777" w:rsidR="009406C2" w:rsidRPr="00A55C25" w:rsidRDefault="009406C2" w:rsidP="002A750F">
            <w:pPr>
              <w:pStyle w:val="TableText0"/>
              <w:rPr>
                <w:sz w:val="18"/>
                <w:szCs w:val="18"/>
              </w:rPr>
            </w:pPr>
          </w:p>
        </w:tc>
        <w:tc>
          <w:tcPr>
            <w:tcW w:w="1029" w:type="pct"/>
            <w:vMerge/>
            <w:vAlign w:val="center"/>
          </w:tcPr>
          <w:p w14:paraId="1B59F09C" w14:textId="77777777" w:rsidR="009406C2" w:rsidRPr="00A55C25" w:rsidRDefault="009406C2" w:rsidP="002A750F">
            <w:pPr>
              <w:pStyle w:val="TableText0"/>
              <w:rPr>
                <w:sz w:val="18"/>
                <w:szCs w:val="18"/>
              </w:rPr>
            </w:pPr>
          </w:p>
        </w:tc>
        <w:tc>
          <w:tcPr>
            <w:tcW w:w="882" w:type="pct"/>
            <w:vAlign w:val="center"/>
          </w:tcPr>
          <w:p w14:paraId="647056A7" w14:textId="77777777" w:rsidR="009406C2" w:rsidRPr="00A55C25" w:rsidRDefault="009406C2" w:rsidP="002A750F">
            <w:pPr>
              <w:pStyle w:val="TableText0"/>
              <w:rPr>
                <w:sz w:val="18"/>
                <w:szCs w:val="18"/>
              </w:rPr>
            </w:pPr>
            <w:r w:rsidRPr="00A55C25">
              <w:rPr>
                <w:sz w:val="18"/>
                <w:szCs w:val="18"/>
              </w:rPr>
              <w:t>$491.70</w:t>
            </w:r>
          </w:p>
        </w:tc>
      </w:tr>
      <w:tr w:rsidR="009406C2" w:rsidRPr="00A55C25" w14:paraId="514D5687" w14:textId="77777777" w:rsidTr="00B213CD">
        <w:trPr>
          <w:trHeight w:val="20"/>
        </w:trPr>
        <w:tc>
          <w:tcPr>
            <w:tcW w:w="1303" w:type="pct"/>
            <w:vAlign w:val="center"/>
          </w:tcPr>
          <w:p w14:paraId="109447B5" w14:textId="77777777" w:rsidR="009406C2" w:rsidRPr="00A55C25" w:rsidRDefault="009406C2" w:rsidP="002A750F">
            <w:pPr>
              <w:pStyle w:val="TableText0"/>
              <w:rPr>
                <w:sz w:val="18"/>
                <w:szCs w:val="18"/>
              </w:rPr>
            </w:pPr>
            <w:r w:rsidRPr="00A55C25">
              <w:rPr>
                <w:sz w:val="18"/>
                <w:szCs w:val="18"/>
              </w:rPr>
              <w:t>Premedication costs</w:t>
            </w:r>
          </w:p>
        </w:tc>
        <w:tc>
          <w:tcPr>
            <w:tcW w:w="755" w:type="pct"/>
            <w:vMerge/>
            <w:vAlign w:val="center"/>
          </w:tcPr>
          <w:p w14:paraId="238FA26D" w14:textId="77777777" w:rsidR="009406C2" w:rsidRPr="00A55C25" w:rsidRDefault="009406C2" w:rsidP="002A750F">
            <w:pPr>
              <w:pStyle w:val="TableText0"/>
              <w:rPr>
                <w:sz w:val="18"/>
                <w:szCs w:val="18"/>
              </w:rPr>
            </w:pPr>
          </w:p>
        </w:tc>
        <w:tc>
          <w:tcPr>
            <w:tcW w:w="1031" w:type="pct"/>
            <w:vMerge/>
            <w:vAlign w:val="center"/>
          </w:tcPr>
          <w:p w14:paraId="585707DD" w14:textId="77777777" w:rsidR="009406C2" w:rsidRPr="00A55C25" w:rsidRDefault="009406C2" w:rsidP="002A750F">
            <w:pPr>
              <w:pStyle w:val="TableText0"/>
              <w:rPr>
                <w:sz w:val="18"/>
                <w:szCs w:val="18"/>
              </w:rPr>
            </w:pPr>
          </w:p>
        </w:tc>
        <w:tc>
          <w:tcPr>
            <w:tcW w:w="1029" w:type="pct"/>
            <w:vMerge/>
            <w:vAlign w:val="center"/>
          </w:tcPr>
          <w:p w14:paraId="1DD58214" w14:textId="77777777" w:rsidR="009406C2" w:rsidRPr="00A55C25" w:rsidRDefault="009406C2" w:rsidP="002A750F">
            <w:pPr>
              <w:pStyle w:val="TableText0"/>
              <w:rPr>
                <w:sz w:val="18"/>
                <w:szCs w:val="18"/>
              </w:rPr>
            </w:pPr>
          </w:p>
        </w:tc>
        <w:tc>
          <w:tcPr>
            <w:tcW w:w="882" w:type="pct"/>
            <w:vAlign w:val="center"/>
          </w:tcPr>
          <w:p w14:paraId="22EBF61C" w14:textId="77777777" w:rsidR="009406C2" w:rsidRPr="00A55C25" w:rsidRDefault="009406C2" w:rsidP="002A750F">
            <w:pPr>
              <w:pStyle w:val="TableText0"/>
              <w:rPr>
                <w:sz w:val="18"/>
                <w:szCs w:val="18"/>
              </w:rPr>
            </w:pPr>
            <w:r w:rsidRPr="00A55C25">
              <w:rPr>
                <w:sz w:val="18"/>
                <w:szCs w:val="18"/>
              </w:rPr>
              <w:t>$7.91</w:t>
            </w:r>
          </w:p>
        </w:tc>
      </w:tr>
      <w:tr w:rsidR="009406C2" w:rsidRPr="00A55C25" w14:paraId="74B45435" w14:textId="77777777" w:rsidTr="00B213CD">
        <w:trPr>
          <w:trHeight w:val="20"/>
        </w:trPr>
        <w:tc>
          <w:tcPr>
            <w:tcW w:w="1303" w:type="pct"/>
            <w:vAlign w:val="center"/>
          </w:tcPr>
          <w:p w14:paraId="1EFD6864" w14:textId="77777777" w:rsidR="009406C2" w:rsidRPr="00A55C25" w:rsidRDefault="009406C2" w:rsidP="002A750F">
            <w:pPr>
              <w:pStyle w:val="TableText0"/>
              <w:rPr>
                <w:sz w:val="18"/>
                <w:szCs w:val="18"/>
              </w:rPr>
            </w:pPr>
            <w:r w:rsidRPr="00A55C25">
              <w:rPr>
                <w:sz w:val="18"/>
                <w:szCs w:val="18"/>
              </w:rPr>
              <w:t xml:space="preserve">Total cost </w:t>
            </w:r>
          </w:p>
        </w:tc>
        <w:tc>
          <w:tcPr>
            <w:tcW w:w="1786" w:type="pct"/>
            <w:gridSpan w:val="2"/>
            <w:vAlign w:val="center"/>
          </w:tcPr>
          <w:p w14:paraId="7A9A74A7" w14:textId="54AE7D74"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c>
          <w:tcPr>
            <w:tcW w:w="1911" w:type="pct"/>
            <w:gridSpan w:val="2"/>
            <w:vAlign w:val="center"/>
          </w:tcPr>
          <w:p w14:paraId="127A30F1" w14:textId="0660EA07"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r>
      <w:tr w:rsidR="009406C2" w:rsidRPr="00A55C25" w14:paraId="7900AA87" w14:textId="77777777" w:rsidTr="00B213CD">
        <w:trPr>
          <w:trHeight w:val="20"/>
        </w:trPr>
        <w:tc>
          <w:tcPr>
            <w:tcW w:w="5000" w:type="pct"/>
            <w:gridSpan w:val="5"/>
            <w:vAlign w:val="center"/>
          </w:tcPr>
          <w:p w14:paraId="450F5A1B" w14:textId="77777777" w:rsidR="009406C2" w:rsidRPr="00A55C25" w:rsidRDefault="009406C2" w:rsidP="002A750F">
            <w:pPr>
              <w:pStyle w:val="TableText0"/>
              <w:rPr>
                <w:b/>
                <w:bCs w:val="0"/>
                <w:sz w:val="18"/>
                <w:szCs w:val="18"/>
              </w:rPr>
            </w:pPr>
            <w:r w:rsidRPr="00A55C25">
              <w:rPr>
                <w:b/>
                <w:bCs w:val="0"/>
                <w:sz w:val="18"/>
                <w:szCs w:val="18"/>
              </w:rPr>
              <w:t>Adverse events prophylaxis/ monitoring/ management costs</w:t>
            </w:r>
          </w:p>
        </w:tc>
      </w:tr>
      <w:tr w:rsidR="009406C2" w:rsidRPr="00A55C25" w14:paraId="3F058D1E" w14:textId="77777777" w:rsidTr="00B213CD">
        <w:trPr>
          <w:trHeight w:val="20"/>
        </w:trPr>
        <w:tc>
          <w:tcPr>
            <w:tcW w:w="1303" w:type="pct"/>
            <w:vAlign w:val="center"/>
          </w:tcPr>
          <w:p w14:paraId="299AEC63" w14:textId="77777777" w:rsidR="009406C2" w:rsidRPr="00A55C25" w:rsidRDefault="009406C2" w:rsidP="002A750F">
            <w:pPr>
              <w:pStyle w:val="TableText0"/>
              <w:rPr>
                <w:sz w:val="18"/>
                <w:szCs w:val="18"/>
              </w:rPr>
            </w:pPr>
            <w:r w:rsidRPr="00A55C25">
              <w:rPr>
                <w:sz w:val="18"/>
                <w:szCs w:val="18"/>
              </w:rPr>
              <w:t>TLS cost</w:t>
            </w:r>
          </w:p>
        </w:tc>
        <w:tc>
          <w:tcPr>
            <w:tcW w:w="755" w:type="pct"/>
            <w:vAlign w:val="center"/>
          </w:tcPr>
          <w:p w14:paraId="376B68CF" w14:textId="77777777" w:rsidR="009406C2" w:rsidRPr="00A55C25" w:rsidRDefault="009406C2" w:rsidP="002A750F">
            <w:pPr>
              <w:pStyle w:val="TableText0"/>
              <w:rPr>
                <w:sz w:val="18"/>
                <w:szCs w:val="18"/>
              </w:rPr>
            </w:pPr>
            <w:r w:rsidRPr="00A55C25">
              <w:rPr>
                <w:sz w:val="18"/>
                <w:szCs w:val="18"/>
              </w:rPr>
              <w:t>$1,281.85</w:t>
            </w:r>
          </w:p>
        </w:tc>
        <w:tc>
          <w:tcPr>
            <w:tcW w:w="1031" w:type="pct"/>
            <w:vAlign w:val="center"/>
          </w:tcPr>
          <w:p w14:paraId="2EA094AF" w14:textId="77777777" w:rsidR="009406C2" w:rsidRPr="00A55C25" w:rsidRDefault="009406C2" w:rsidP="002A750F">
            <w:pPr>
              <w:pStyle w:val="TableText0"/>
              <w:rPr>
                <w:sz w:val="18"/>
                <w:szCs w:val="18"/>
              </w:rPr>
            </w:pPr>
            <w:r w:rsidRPr="00A55C25">
              <w:rPr>
                <w:sz w:val="18"/>
                <w:szCs w:val="18"/>
              </w:rPr>
              <w:t>$0.00</w:t>
            </w:r>
          </w:p>
        </w:tc>
        <w:tc>
          <w:tcPr>
            <w:tcW w:w="1029" w:type="pct"/>
            <w:vAlign w:val="center"/>
          </w:tcPr>
          <w:p w14:paraId="6174BBFD" w14:textId="77777777" w:rsidR="009406C2" w:rsidRPr="00A55C25" w:rsidRDefault="009406C2" w:rsidP="002A750F">
            <w:pPr>
              <w:pStyle w:val="TableText0"/>
              <w:rPr>
                <w:sz w:val="18"/>
                <w:szCs w:val="18"/>
              </w:rPr>
            </w:pPr>
            <w:r w:rsidRPr="00A55C25">
              <w:rPr>
                <w:sz w:val="18"/>
                <w:szCs w:val="18"/>
              </w:rPr>
              <w:t>$1,410.18</w:t>
            </w:r>
          </w:p>
        </w:tc>
        <w:tc>
          <w:tcPr>
            <w:tcW w:w="882" w:type="pct"/>
            <w:vAlign w:val="center"/>
          </w:tcPr>
          <w:p w14:paraId="565CBE83" w14:textId="77777777" w:rsidR="009406C2" w:rsidRPr="00A55C25" w:rsidRDefault="009406C2" w:rsidP="002A750F">
            <w:pPr>
              <w:pStyle w:val="TableText0"/>
              <w:rPr>
                <w:sz w:val="18"/>
                <w:szCs w:val="18"/>
              </w:rPr>
            </w:pPr>
            <w:r w:rsidRPr="00A55C25">
              <w:rPr>
                <w:sz w:val="18"/>
                <w:szCs w:val="18"/>
              </w:rPr>
              <w:t>$0.00</w:t>
            </w:r>
          </w:p>
        </w:tc>
      </w:tr>
      <w:tr w:rsidR="009406C2" w:rsidRPr="00A55C25" w14:paraId="09A97912" w14:textId="77777777" w:rsidTr="00B213CD">
        <w:trPr>
          <w:trHeight w:val="20"/>
        </w:trPr>
        <w:tc>
          <w:tcPr>
            <w:tcW w:w="1303" w:type="pct"/>
            <w:vAlign w:val="center"/>
          </w:tcPr>
          <w:p w14:paraId="53039675" w14:textId="77777777" w:rsidR="009406C2" w:rsidRPr="00A55C25" w:rsidRDefault="009406C2" w:rsidP="002A750F">
            <w:pPr>
              <w:pStyle w:val="TableText0"/>
              <w:rPr>
                <w:b/>
                <w:bCs w:val="0"/>
                <w:sz w:val="18"/>
                <w:szCs w:val="18"/>
              </w:rPr>
            </w:pPr>
            <w:r w:rsidRPr="00A55C25">
              <w:rPr>
                <w:b/>
                <w:bCs w:val="0"/>
                <w:sz w:val="18"/>
                <w:szCs w:val="18"/>
              </w:rPr>
              <w:t>Total cost per course</w:t>
            </w:r>
          </w:p>
        </w:tc>
        <w:tc>
          <w:tcPr>
            <w:tcW w:w="1786" w:type="pct"/>
            <w:gridSpan w:val="2"/>
            <w:vAlign w:val="center"/>
          </w:tcPr>
          <w:p w14:paraId="4BAFE92F" w14:textId="207CB370"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c>
          <w:tcPr>
            <w:tcW w:w="1911" w:type="pct"/>
            <w:gridSpan w:val="2"/>
            <w:vAlign w:val="center"/>
          </w:tcPr>
          <w:p w14:paraId="36919262" w14:textId="744C3369" w:rsidR="009406C2" w:rsidRPr="00A55C25" w:rsidRDefault="009406C2" w:rsidP="002A750F">
            <w:pPr>
              <w:pStyle w:val="TableText0"/>
              <w:rPr>
                <w:b/>
                <w:bCs w:val="0"/>
                <w:sz w:val="18"/>
                <w:szCs w:val="18"/>
              </w:rPr>
            </w:pPr>
            <w:r w:rsidRPr="00A55C25">
              <w:rPr>
                <w:b/>
                <w:bCs w:val="0"/>
                <w:sz w:val="18"/>
                <w:szCs w:val="18"/>
              </w:rPr>
              <w:t>$</w:t>
            </w:r>
            <w:r w:rsidR="007C5080" w:rsidRPr="007C5080">
              <w:rPr>
                <w:b/>
                <w:sz w:val="18"/>
                <w:szCs w:val="18"/>
                <w:highlight w:val="black"/>
              </w:rPr>
              <w:t>@@@@</w:t>
            </w:r>
          </w:p>
        </w:tc>
      </w:tr>
    </w:tbl>
    <w:p w14:paraId="4596553F" w14:textId="77777777" w:rsidR="009406C2" w:rsidRPr="00A55C25" w:rsidRDefault="009406C2" w:rsidP="009406C2">
      <w:pPr>
        <w:pStyle w:val="PBACTblFignote"/>
        <w:widowControl w:val="0"/>
        <w:spacing w:after="240"/>
      </w:pPr>
      <w:r w:rsidRPr="00A55C25">
        <w:t>Source: Table 3-6, p133 of the submission.</w:t>
      </w:r>
    </w:p>
    <w:p w14:paraId="33512416" w14:textId="2F225D29" w:rsidR="009406C2" w:rsidRPr="00A55C25" w:rsidRDefault="009406C2" w:rsidP="009406C2">
      <w:pPr>
        <w:pStyle w:val="PBACTblFignote"/>
        <w:widowControl w:val="0"/>
        <w:spacing w:after="240"/>
        <w:jc w:val="both"/>
      </w:pPr>
      <w:r w:rsidRPr="00A55C25">
        <w:t>A=acalabrutinib; AEMP=Approved Ex-Manufacturer Price; AV=</w:t>
      </w:r>
      <w:proofErr w:type="spellStart"/>
      <w:r w:rsidRPr="00A55C25">
        <w:t>venetoclax+acalabrutinib</w:t>
      </w:r>
      <w:proofErr w:type="spellEnd"/>
      <w:r w:rsidRPr="00A55C25">
        <w:t>; I=ibrutinib; IV=</w:t>
      </w:r>
      <w:proofErr w:type="spellStart"/>
      <w:r w:rsidRPr="00A55C25">
        <w:t>ibrutinib+venetoclax</w:t>
      </w:r>
      <w:proofErr w:type="spellEnd"/>
      <w:r w:rsidRPr="00A55C25">
        <w:t>; O=obinutuzumab; PBS=Pharmaceutical Benefits Scheme; TLS=tumour lysis syndrome; V=venetoclax; VO=venetoclax + obinutuzumab.</w:t>
      </w:r>
    </w:p>
    <w:p w14:paraId="4AE21D6F" w14:textId="77777777" w:rsidR="009406C2" w:rsidRPr="00A55C25" w:rsidRDefault="009406C2" w:rsidP="009406C2">
      <w:pPr>
        <w:pStyle w:val="PBACTblFignote"/>
        <w:widowControl w:val="0"/>
        <w:jc w:val="both"/>
      </w:pPr>
      <w:r w:rsidRPr="00A55C25">
        <w:t xml:space="preserve">Note: </w:t>
      </w:r>
      <w:r w:rsidRPr="00A55C25">
        <w:rPr>
          <w:b/>
          <w:bCs/>
        </w:rPr>
        <w:t>X (XZ)</w:t>
      </w:r>
      <w:r w:rsidRPr="00A55C25">
        <w:t xml:space="preserve"> refers to treatment X as part of the XZ regimen.</w:t>
      </w:r>
    </w:p>
    <w:p w14:paraId="5533158A" w14:textId="23CE2587" w:rsidR="00794814" w:rsidRPr="00A55C25" w:rsidRDefault="009406C2" w:rsidP="009406C2">
      <w:pPr>
        <w:pStyle w:val="3-BodyText"/>
        <w:spacing w:before="0"/>
        <w:rPr>
          <w:rFonts w:ascii="Arial Narrow" w:eastAsia="Times New Roman" w:hAnsi="Arial Narrow" w:cs="Arial"/>
          <w:snapToGrid w:val="0"/>
          <w:sz w:val="18"/>
        </w:rPr>
      </w:pPr>
      <w:proofErr w:type="spellStart"/>
      <w:proofErr w:type="gramStart"/>
      <w:r w:rsidRPr="00A55C25">
        <w:rPr>
          <w:rFonts w:ascii="Arial Narrow" w:eastAsia="Times New Roman" w:hAnsi="Arial Narrow" w:cs="Arial"/>
          <w:snapToGrid w:val="0"/>
          <w:sz w:val="18"/>
          <w:vertAlign w:val="superscript"/>
        </w:rPr>
        <w:t>a</w:t>
      </w:r>
      <w:proofErr w:type="spellEnd"/>
      <w:proofErr w:type="gramEnd"/>
      <w:r w:rsidRPr="00A55C25">
        <w:rPr>
          <w:rFonts w:ascii="Arial Narrow" w:eastAsia="Times New Roman" w:hAnsi="Arial Narrow" w:cs="Arial"/>
          <w:snapToGrid w:val="0"/>
          <w:sz w:val="18"/>
        </w:rPr>
        <w:t xml:space="preserve"> Estimated effective AEMP, assuming a 5% SPR that occurred in April 2024.</w:t>
      </w:r>
    </w:p>
    <w:p w14:paraId="32D2718D" w14:textId="1FCFD699" w:rsidR="009406C2" w:rsidRPr="00A55C25" w:rsidRDefault="009406C2" w:rsidP="009406C2">
      <w:pPr>
        <w:pStyle w:val="3-BodyText"/>
        <w:numPr>
          <w:ilvl w:val="1"/>
          <w:numId w:val="1"/>
        </w:numPr>
        <w:rPr>
          <w:b/>
          <w:bCs/>
        </w:rPr>
      </w:pPr>
      <w:r w:rsidRPr="00A55C25">
        <w:rPr>
          <w:rFonts w:cs="Times New Roman"/>
          <w:szCs w:val="24"/>
          <w:lang w:eastAsia="en-GB"/>
        </w:rPr>
        <w:t>The total treatment cost per patient per course was estimated as $</w:t>
      </w:r>
      <w:r w:rsidR="007C5080" w:rsidRPr="007C5080">
        <w:rPr>
          <w:rFonts w:cs="Times New Roman"/>
          <w:szCs w:val="24"/>
          <w:highlight w:val="black"/>
          <w:lang w:eastAsia="en-GB"/>
        </w:rPr>
        <w:t>@@@@</w:t>
      </w:r>
      <w:r w:rsidRPr="00A55C25">
        <w:rPr>
          <w:rFonts w:cs="Times New Roman"/>
          <w:szCs w:val="24"/>
          <w:lang w:eastAsia="en-GB"/>
        </w:rPr>
        <w:t xml:space="preserve"> for both the AV and VO regimens. Drug costs were approximately </w:t>
      </w:r>
      <w:r w:rsidR="007C5080" w:rsidRPr="007C5080">
        <w:rPr>
          <w:rFonts w:cs="Times New Roman"/>
          <w:szCs w:val="24"/>
          <w:highlight w:val="black"/>
          <w:lang w:eastAsia="en-GB"/>
        </w:rPr>
        <w:t>@@@@</w:t>
      </w:r>
      <w:r w:rsidRPr="00A55C25">
        <w:rPr>
          <w:rFonts w:cs="Times New Roman"/>
          <w:szCs w:val="24"/>
          <w:lang w:eastAsia="en-GB"/>
        </w:rPr>
        <w:t xml:space="preserve">% higher with the AV regimen, due </w:t>
      </w:r>
      <w:r w:rsidR="006A7E85" w:rsidRPr="00A55C25">
        <w:rPr>
          <w:rFonts w:cs="Times New Roman"/>
          <w:szCs w:val="24"/>
          <w:lang w:eastAsia="en-GB"/>
        </w:rPr>
        <w:t xml:space="preserve">to </w:t>
      </w:r>
      <w:r w:rsidRPr="00A55C25">
        <w:rPr>
          <w:rFonts w:cs="Times New Roman"/>
          <w:szCs w:val="24"/>
          <w:lang w:eastAsia="en-GB"/>
        </w:rPr>
        <w:t>cost offsets related to obinutuzumab administration and TLS prophylaxis and monitoring. Although the magnitude of the reduction in TLS was considered uncertain,</w:t>
      </w:r>
      <w:r w:rsidRPr="00A55C25">
        <w:rPr>
          <w:rFonts w:cs="Times New Roman"/>
          <w:i/>
          <w:iCs/>
          <w:szCs w:val="24"/>
          <w:lang w:eastAsia="en-GB"/>
        </w:rPr>
        <w:t xml:space="preserve"> </w:t>
      </w:r>
      <w:r w:rsidRPr="00A55C25">
        <w:rPr>
          <w:rFonts w:cs="Times New Roman"/>
          <w:szCs w:val="24"/>
          <w:lang w:eastAsia="en-GB"/>
        </w:rPr>
        <w:t xml:space="preserve">excluding TLS-related cost offsets only reduced the proposed AEMP for acalabrutinib by </w:t>
      </w:r>
      <w:r w:rsidR="007C5080" w:rsidRPr="007C5080">
        <w:rPr>
          <w:rFonts w:cs="Times New Roman"/>
          <w:szCs w:val="24"/>
          <w:highlight w:val="black"/>
          <w:lang w:eastAsia="en-GB"/>
        </w:rPr>
        <w:t>@@@@</w:t>
      </w:r>
      <w:r w:rsidRPr="00A55C25">
        <w:rPr>
          <w:rFonts w:cs="Times New Roman"/>
          <w:szCs w:val="24"/>
          <w:lang w:eastAsia="en-GB"/>
        </w:rPr>
        <w:t>%.</w:t>
      </w:r>
    </w:p>
    <w:p w14:paraId="4E5B07E9" w14:textId="5988EC4A" w:rsidR="009406C2" w:rsidRPr="00A55C25" w:rsidRDefault="009406C2" w:rsidP="009406C2">
      <w:pPr>
        <w:pStyle w:val="4-SubsectionHeading"/>
      </w:pPr>
      <w:bookmarkStart w:id="42" w:name="_Toc207957921"/>
      <w:r w:rsidRPr="00A55C25">
        <w:t>AV Drug cost/patient/course: $</w:t>
      </w:r>
      <w:r w:rsidR="007C5080" w:rsidRPr="007C5080">
        <w:rPr>
          <w:highlight w:val="black"/>
        </w:rPr>
        <w:t>@@@@</w:t>
      </w:r>
      <w:bookmarkEnd w:id="42"/>
    </w:p>
    <w:p w14:paraId="154B5FBF" w14:textId="6B8CB9C8" w:rsidR="009406C2" w:rsidRPr="00A55C25" w:rsidRDefault="009406C2" w:rsidP="009406C2">
      <w:pPr>
        <w:pStyle w:val="3-BodyText"/>
        <w:numPr>
          <w:ilvl w:val="1"/>
          <w:numId w:val="1"/>
        </w:numPr>
        <w:rPr>
          <w:rFonts w:cs="Times New Roman"/>
          <w:iCs/>
          <w:szCs w:val="24"/>
          <w:lang w:eastAsia="en-GB"/>
        </w:rPr>
      </w:pPr>
      <w:r w:rsidRPr="00A55C25">
        <w:rPr>
          <w:rFonts w:cs="Times New Roman"/>
          <w:iCs/>
          <w:szCs w:val="24"/>
          <w:lang w:eastAsia="en-GB"/>
        </w:rPr>
        <w:fldChar w:fldCharType="begin"/>
      </w:r>
      <w:r w:rsidRPr="00A55C25">
        <w:rPr>
          <w:rFonts w:cs="Times New Roman"/>
          <w:iCs/>
          <w:szCs w:val="24"/>
          <w:lang w:eastAsia="en-GB"/>
        </w:rPr>
        <w:instrText xml:space="preserve"> REF _Ref206516334 \h </w:instrText>
      </w:r>
      <w:r w:rsidRPr="00A55C25">
        <w:rPr>
          <w:rFonts w:cs="Times New Roman"/>
          <w:iCs/>
          <w:szCs w:val="24"/>
          <w:lang w:eastAsia="en-GB"/>
        </w:rPr>
      </w:r>
      <w:r w:rsidRPr="00A55C25">
        <w:rPr>
          <w:rFonts w:cs="Times New Roman"/>
          <w:iCs/>
          <w:szCs w:val="24"/>
          <w:lang w:eastAsia="en-GB"/>
        </w:rPr>
        <w:fldChar w:fldCharType="separate"/>
      </w:r>
      <w:r w:rsidR="00717804" w:rsidRPr="00A55C25">
        <w:rPr>
          <w:iCs/>
        </w:rPr>
        <w:t xml:space="preserve">Table </w:t>
      </w:r>
      <w:r w:rsidR="00717804">
        <w:rPr>
          <w:iCs/>
          <w:noProof/>
        </w:rPr>
        <w:t>9</w:t>
      </w:r>
      <w:r w:rsidRPr="00A55C25">
        <w:rPr>
          <w:rFonts w:cs="Times New Roman"/>
          <w:iCs/>
          <w:szCs w:val="24"/>
          <w:lang w:eastAsia="en-GB"/>
        </w:rPr>
        <w:fldChar w:fldCharType="end"/>
      </w:r>
      <w:r w:rsidRPr="00A55C25">
        <w:rPr>
          <w:rFonts w:cs="Times New Roman"/>
          <w:iCs/>
          <w:szCs w:val="24"/>
          <w:lang w:eastAsia="en-GB"/>
        </w:rPr>
        <w:t xml:space="preserve"> outlines the drug cost per patient for AV, VO, and IV, across the economic model and the financial estimates.</w:t>
      </w:r>
      <w:r w:rsidRPr="00A55C25">
        <w:rPr>
          <w:rFonts w:cs="Times New Roman"/>
          <w:i/>
          <w:szCs w:val="24"/>
          <w:lang w:eastAsia="en-GB"/>
        </w:rPr>
        <w:t xml:space="preserve"> </w:t>
      </w:r>
      <w:r w:rsidRPr="00A55C25">
        <w:rPr>
          <w:rFonts w:cs="Times New Roman"/>
          <w:iCs/>
          <w:szCs w:val="24"/>
          <w:lang w:eastAsia="en-GB"/>
        </w:rPr>
        <w:t>Costs are based on the proposed and estimated effective AEMPs.</w:t>
      </w:r>
    </w:p>
    <w:p w14:paraId="07A4DDA9" w14:textId="1F306D13" w:rsidR="009406C2" w:rsidRPr="00A55C25" w:rsidRDefault="009406C2" w:rsidP="009406C2">
      <w:pPr>
        <w:pStyle w:val="Caption"/>
        <w:rPr>
          <w:rStyle w:val="CommentReference"/>
          <w:b/>
          <w:iCs/>
          <w:szCs w:val="24"/>
        </w:rPr>
      </w:pPr>
      <w:bookmarkStart w:id="43" w:name="_Ref206516334"/>
      <w:r w:rsidRPr="00A55C25">
        <w:rPr>
          <w:iCs/>
        </w:rPr>
        <w:lastRenderedPageBreak/>
        <w:t xml:space="preserve">Table </w:t>
      </w:r>
      <w:r w:rsidR="00075C2F" w:rsidRPr="00A55C25">
        <w:rPr>
          <w:iCs/>
        </w:rPr>
        <w:fldChar w:fldCharType="begin"/>
      </w:r>
      <w:r w:rsidR="00075C2F" w:rsidRPr="00A55C25">
        <w:rPr>
          <w:iCs/>
        </w:rPr>
        <w:instrText xml:space="preserve"> SEQ Table \* ARABIC </w:instrText>
      </w:r>
      <w:r w:rsidR="00075C2F" w:rsidRPr="00A55C25">
        <w:rPr>
          <w:iCs/>
        </w:rPr>
        <w:fldChar w:fldCharType="separate"/>
      </w:r>
      <w:r w:rsidR="00717804">
        <w:rPr>
          <w:iCs/>
          <w:noProof/>
        </w:rPr>
        <w:t>9</w:t>
      </w:r>
      <w:r w:rsidR="00075C2F" w:rsidRPr="00A55C25">
        <w:rPr>
          <w:iCs/>
        </w:rPr>
        <w:fldChar w:fldCharType="end"/>
      </w:r>
      <w:bookmarkEnd w:id="43"/>
      <w:r w:rsidRPr="00A55C25">
        <w:rPr>
          <w:iCs/>
        </w:rPr>
        <w:t>:</w:t>
      </w:r>
      <w:r w:rsidRPr="00A55C25">
        <w:rPr>
          <w:rStyle w:val="CommentReference"/>
          <w:b/>
          <w:iCs/>
          <w:szCs w:val="24"/>
        </w:rPr>
        <w:t xml:space="preserve"> Drug cost per patient for proposed and comparator drugs (using estimated/proposed effective AEMPs)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Drug cost per patient for proposed and comparator drugs (using estimated/proposed effective AEMPs)"/>
      </w:tblPr>
      <w:tblGrid>
        <w:gridCol w:w="988"/>
        <w:gridCol w:w="1134"/>
        <w:gridCol w:w="707"/>
        <w:gridCol w:w="851"/>
        <w:gridCol w:w="992"/>
        <w:gridCol w:w="711"/>
        <w:gridCol w:w="849"/>
        <w:gridCol w:w="1133"/>
        <w:gridCol w:w="568"/>
        <w:gridCol w:w="1084"/>
      </w:tblGrid>
      <w:tr w:rsidR="009406C2" w:rsidRPr="00A55C25" w14:paraId="60C56CDF" w14:textId="77777777" w:rsidTr="00B213CD">
        <w:trPr>
          <w:cantSplit/>
          <w:trHeight w:val="20"/>
          <w:tblHeader/>
          <w:jc w:val="center"/>
        </w:trPr>
        <w:tc>
          <w:tcPr>
            <w:tcW w:w="548" w:type="pct"/>
            <w:vMerge w:val="restart"/>
            <w:vAlign w:val="center"/>
          </w:tcPr>
          <w:p w14:paraId="5AD84381" w14:textId="77777777" w:rsidR="009406C2" w:rsidRPr="00A55C25" w:rsidRDefault="009406C2" w:rsidP="002A750F">
            <w:pPr>
              <w:pStyle w:val="In-tableHeading"/>
              <w:jc w:val="center"/>
              <w:rPr>
                <w:iCs/>
                <w:lang w:val="en-AU"/>
              </w:rPr>
            </w:pPr>
          </w:p>
        </w:tc>
        <w:tc>
          <w:tcPr>
            <w:tcW w:w="1493" w:type="pct"/>
            <w:gridSpan w:val="3"/>
            <w:vAlign w:val="center"/>
          </w:tcPr>
          <w:p w14:paraId="35A2A506" w14:textId="77777777" w:rsidR="009406C2" w:rsidRPr="00A55C25" w:rsidRDefault="009406C2" w:rsidP="002A750F">
            <w:pPr>
              <w:pStyle w:val="In-tableHeading"/>
              <w:jc w:val="center"/>
              <w:rPr>
                <w:iCs/>
                <w:lang w:val="en-AU"/>
              </w:rPr>
            </w:pPr>
            <w:r w:rsidRPr="00A55C25">
              <w:rPr>
                <w:iCs/>
                <w:lang w:val="en-AU"/>
              </w:rPr>
              <w:t>AV</w:t>
            </w:r>
          </w:p>
        </w:tc>
        <w:tc>
          <w:tcPr>
            <w:tcW w:w="1415" w:type="pct"/>
            <w:gridSpan w:val="3"/>
            <w:vAlign w:val="center"/>
          </w:tcPr>
          <w:p w14:paraId="3BA1A601" w14:textId="77777777" w:rsidR="009406C2" w:rsidRPr="00A55C25" w:rsidRDefault="009406C2" w:rsidP="002A750F">
            <w:pPr>
              <w:pStyle w:val="In-tableHeading"/>
              <w:jc w:val="center"/>
              <w:rPr>
                <w:iCs/>
                <w:lang w:val="en-AU"/>
              </w:rPr>
            </w:pPr>
            <w:r w:rsidRPr="00A55C25">
              <w:rPr>
                <w:iCs/>
                <w:lang w:val="en-AU"/>
              </w:rPr>
              <w:t>VO</w:t>
            </w:r>
          </w:p>
        </w:tc>
        <w:tc>
          <w:tcPr>
            <w:tcW w:w="1544" w:type="pct"/>
            <w:gridSpan w:val="3"/>
            <w:vAlign w:val="center"/>
          </w:tcPr>
          <w:p w14:paraId="436A5180" w14:textId="77777777" w:rsidR="009406C2" w:rsidRPr="00A55C25" w:rsidRDefault="009406C2" w:rsidP="002A750F">
            <w:pPr>
              <w:pStyle w:val="In-tableHeading"/>
              <w:jc w:val="center"/>
              <w:rPr>
                <w:iCs/>
                <w:lang w:val="en-AU"/>
              </w:rPr>
            </w:pPr>
            <w:r w:rsidRPr="00A55C25">
              <w:rPr>
                <w:iCs/>
                <w:lang w:val="en-AU"/>
              </w:rPr>
              <w:t>IV</w:t>
            </w:r>
          </w:p>
        </w:tc>
      </w:tr>
      <w:tr w:rsidR="009406C2" w:rsidRPr="00A55C25" w14:paraId="0F1888F3" w14:textId="77777777" w:rsidTr="00B213CD">
        <w:trPr>
          <w:cantSplit/>
          <w:trHeight w:val="20"/>
          <w:tblHeader/>
          <w:jc w:val="center"/>
        </w:trPr>
        <w:tc>
          <w:tcPr>
            <w:tcW w:w="548" w:type="pct"/>
            <w:vMerge/>
            <w:vAlign w:val="center"/>
          </w:tcPr>
          <w:p w14:paraId="10EE8AE5" w14:textId="77777777" w:rsidR="009406C2" w:rsidRPr="00A55C25" w:rsidRDefault="009406C2" w:rsidP="002A750F">
            <w:pPr>
              <w:pStyle w:val="In-tableHeading"/>
              <w:jc w:val="center"/>
              <w:rPr>
                <w:iCs/>
                <w:lang w:val="en-AU"/>
              </w:rPr>
            </w:pPr>
          </w:p>
        </w:tc>
        <w:tc>
          <w:tcPr>
            <w:tcW w:w="629" w:type="pct"/>
            <w:vAlign w:val="center"/>
          </w:tcPr>
          <w:p w14:paraId="2A532B8A" w14:textId="77777777" w:rsidR="009406C2" w:rsidRPr="00A55C25" w:rsidRDefault="009406C2" w:rsidP="002A750F">
            <w:pPr>
              <w:pStyle w:val="In-tableHeading"/>
              <w:jc w:val="center"/>
              <w:rPr>
                <w:iCs/>
                <w:lang w:val="en-AU"/>
              </w:rPr>
            </w:pPr>
            <w:r w:rsidRPr="00A55C25">
              <w:rPr>
                <w:iCs/>
                <w:lang w:val="en-AU"/>
              </w:rPr>
              <w:t>Trial (AMPLIFY)</w:t>
            </w:r>
          </w:p>
        </w:tc>
        <w:tc>
          <w:tcPr>
            <w:tcW w:w="392" w:type="pct"/>
            <w:vAlign w:val="center"/>
          </w:tcPr>
          <w:p w14:paraId="53BA1763" w14:textId="77777777" w:rsidR="009406C2" w:rsidRPr="00A55C25" w:rsidRDefault="009406C2" w:rsidP="002A750F">
            <w:pPr>
              <w:pStyle w:val="In-tableHeading"/>
              <w:jc w:val="center"/>
              <w:rPr>
                <w:iCs/>
                <w:lang w:val="en-AU"/>
              </w:rPr>
            </w:pPr>
            <w:r w:rsidRPr="00A55C25">
              <w:rPr>
                <w:iCs/>
                <w:lang w:val="en-AU"/>
              </w:rPr>
              <w:t>CMA</w:t>
            </w:r>
          </w:p>
        </w:tc>
        <w:tc>
          <w:tcPr>
            <w:tcW w:w="472" w:type="pct"/>
            <w:vAlign w:val="center"/>
          </w:tcPr>
          <w:p w14:paraId="25200B08" w14:textId="77777777" w:rsidR="009406C2" w:rsidRPr="00A55C25" w:rsidRDefault="009406C2" w:rsidP="002A750F">
            <w:pPr>
              <w:pStyle w:val="In-tableHeading"/>
              <w:jc w:val="center"/>
              <w:rPr>
                <w:iCs/>
                <w:lang w:val="en-AU"/>
              </w:rPr>
            </w:pPr>
            <w:r w:rsidRPr="00A55C25">
              <w:rPr>
                <w:iCs/>
                <w:lang w:val="en-AU"/>
              </w:rPr>
              <w:t>Financial estimates</w:t>
            </w:r>
          </w:p>
        </w:tc>
        <w:tc>
          <w:tcPr>
            <w:tcW w:w="550" w:type="pct"/>
            <w:vAlign w:val="center"/>
          </w:tcPr>
          <w:p w14:paraId="5953F21E" w14:textId="77777777" w:rsidR="009406C2" w:rsidRPr="00A55C25" w:rsidRDefault="009406C2" w:rsidP="002A750F">
            <w:pPr>
              <w:pStyle w:val="In-tableHeading"/>
              <w:jc w:val="center"/>
              <w:rPr>
                <w:iCs/>
                <w:lang w:val="en-AU"/>
              </w:rPr>
            </w:pPr>
            <w:r w:rsidRPr="00A55C25">
              <w:rPr>
                <w:iCs/>
                <w:lang w:val="en-AU"/>
              </w:rPr>
              <w:t xml:space="preserve">Trial </w:t>
            </w:r>
            <w:r w:rsidRPr="00A55C25">
              <w:rPr>
                <w:iCs/>
                <w:lang w:val="en-AU"/>
              </w:rPr>
              <w:br/>
              <w:t>(CLL14)</w:t>
            </w:r>
          </w:p>
        </w:tc>
        <w:tc>
          <w:tcPr>
            <w:tcW w:w="394" w:type="pct"/>
            <w:vAlign w:val="center"/>
          </w:tcPr>
          <w:p w14:paraId="047C5C4B" w14:textId="77777777" w:rsidR="009406C2" w:rsidRPr="00A55C25" w:rsidRDefault="009406C2" w:rsidP="002A750F">
            <w:pPr>
              <w:pStyle w:val="In-tableHeading"/>
              <w:jc w:val="center"/>
              <w:rPr>
                <w:iCs/>
                <w:lang w:val="en-AU"/>
              </w:rPr>
            </w:pPr>
            <w:r w:rsidRPr="00A55C25">
              <w:rPr>
                <w:iCs/>
                <w:lang w:val="en-AU"/>
              </w:rPr>
              <w:t>CMA</w:t>
            </w:r>
          </w:p>
        </w:tc>
        <w:tc>
          <w:tcPr>
            <w:tcW w:w="471" w:type="pct"/>
            <w:vAlign w:val="center"/>
          </w:tcPr>
          <w:p w14:paraId="31ED523C" w14:textId="77777777" w:rsidR="009406C2" w:rsidRPr="00A55C25" w:rsidRDefault="009406C2" w:rsidP="002A750F">
            <w:pPr>
              <w:pStyle w:val="In-tableHeading"/>
              <w:jc w:val="center"/>
              <w:rPr>
                <w:iCs/>
                <w:lang w:val="en-AU"/>
              </w:rPr>
            </w:pPr>
            <w:r w:rsidRPr="00A55C25">
              <w:rPr>
                <w:iCs/>
                <w:lang w:val="en-AU"/>
              </w:rPr>
              <w:t>Financial estimates</w:t>
            </w:r>
          </w:p>
        </w:tc>
        <w:tc>
          <w:tcPr>
            <w:tcW w:w="628" w:type="pct"/>
            <w:vAlign w:val="center"/>
          </w:tcPr>
          <w:p w14:paraId="787888FB" w14:textId="77777777" w:rsidR="009406C2" w:rsidRPr="00A55C25" w:rsidRDefault="009406C2" w:rsidP="002A750F">
            <w:pPr>
              <w:pStyle w:val="In-tableHeading"/>
              <w:jc w:val="center"/>
              <w:rPr>
                <w:iCs/>
                <w:lang w:val="en-AU"/>
              </w:rPr>
            </w:pPr>
            <w:r w:rsidRPr="00A55C25">
              <w:rPr>
                <w:iCs/>
                <w:lang w:val="en-AU"/>
              </w:rPr>
              <w:t xml:space="preserve">Trial </w:t>
            </w:r>
            <w:r w:rsidRPr="00A55C25">
              <w:rPr>
                <w:iCs/>
                <w:lang w:val="en-AU"/>
              </w:rPr>
              <w:br/>
              <w:t>(GLOW)</w:t>
            </w:r>
          </w:p>
        </w:tc>
        <w:tc>
          <w:tcPr>
            <w:tcW w:w="315" w:type="pct"/>
            <w:vAlign w:val="center"/>
          </w:tcPr>
          <w:p w14:paraId="432C066F" w14:textId="77777777" w:rsidR="009406C2" w:rsidRPr="00A55C25" w:rsidRDefault="009406C2" w:rsidP="002A750F">
            <w:pPr>
              <w:pStyle w:val="In-tableHeading"/>
              <w:jc w:val="center"/>
              <w:rPr>
                <w:iCs/>
                <w:lang w:val="en-AU"/>
              </w:rPr>
            </w:pPr>
            <w:r w:rsidRPr="00A55C25">
              <w:rPr>
                <w:iCs/>
                <w:lang w:val="en-AU"/>
              </w:rPr>
              <w:t>CMA</w:t>
            </w:r>
          </w:p>
        </w:tc>
        <w:tc>
          <w:tcPr>
            <w:tcW w:w="601" w:type="pct"/>
            <w:vAlign w:val="center"/>
          </w:tcPr>
          <w:p w14:paraId="0AFFB6E8" w14:textId="77777777" w:rsidR="009406C2" w:rsidRPr="00A55C25" w:rsidRDefault="009406C2" w:rsidP="002A750F">
            <w:pPr>
              <w:pStyle w:val="In-tableHeading"/>
              <w:jc w:val="center"/>
              <w:rPr>
                <w:iCs/>
                <w:lang w:val="en-AU"/>
              </w:rPr>
            </w:pPr>
            <w:r w:rsidRPr="00A55C25">
              <w:rPr>
                <w:iCs/>
                <w:lang w:val="en-AU"/>
              </w:rPr>
              <w:t>Financial estimates</w:t>
            </w:r>
          </w:p>
        </w:tc>
      </w:tr>
      <w:tr w:rsidR="009406C2" w:rsidRPr="00A55C25" w14:paraId="7C1E5CB7" w14:textId="77777777" w:rsidTr="00B213CD">
        <w:trPr>
          <w:cantSplit/>
          <w:trHeight w:val="20"/>
          <w:jc w:val="center"/>
        </w:trPr>
        <w:tc>
          <w:tcPr>
            <w:tcW w:w="548" w:type="pct"/>
            <w:vAlign w:val="center"/>
          </w:tcPr>
          <w:p w14:paraId="3B4A7B44" w14:textId="77777777" w:rsidR="009406C2" w:rsidRPr="00A55C25" w:rsidRDefault="009406C2" w:rsidP="002A750F">
            <w:pPr>
              <w:pStyle w:val="TableText0"/>
              <w:rPr>
                <w:iCs/>
              </w:rPr>
            </w:pPr>
            <w:r w:rsidRPr="00A55C25">
              <w:rPr>
                <w:iCs/>
              </w:rPr>
              <w:t>Cost per script</w:t>
            </w:r>
            <w:r w:rsidRPr="00A55C25">
              <w:rPr>
                <w:iCs/>
                <w:vertAlign w:val="superscript"/>
              </w:rPr>
              <w:t xml:space="preserve"> a</w:t>
            </w:r>
          </w:p>
        </w:tc>
        <w:tc>
          <w:tcPr>
            <w:tcW w:w="629" w:type="pct"/>
            <w:vAlign w:val="center"/>
          </w:tcPr>
          <w:p w14:paraId="3367A0E4" w14:textId="77777777" w:rsidR="009406C2" w:rsidRPr="00A55C25" w:rsidRDefault="009406C2" w:rsidP="002A750F">
            <w:pPr>
              <w:pStyle w:val="TableText0"/>
              <w:rPr>
                <w:iCs/>
              </w:rPr>
            </w:pPr>
            <w:r w:rsidRPr="00A55C25">
              <w:rPr>
                <w:iCs/>
              </w:rPr>
              <w:t>NR</w:t>
            </w:r>
          </w:p>
        </w:tc>
        <w:tc>
          <w:tcPr>
            <w:tcW w:w="864" w:type="pct"/>
            <w:gridSpan w:val="2"/>
            <w:vAlign w:val="center"/>
          </w:tcPr>
          <w:p w14:paraId="299425B8" w14:textId="337D80CD" w:rsidR="009406C2" w:rsidRPr="00A55C25" w:rsidRDefault="009406C2" w:rsidP="002A750F">
            <w:pPr>
              <w:pStyle w:val="TableText0"/>
              <w:rPr>
                <w:iCs/>
              </w:rPr>
            </w:pPr>
            <w:r w:rsidRPr="00A55C25">
              <w:rPr>
                <w:iCs/>
              </w:rPr>
              <w:t>A: $</w:t>
            </w:r>
            <w:r w:rsidR="007C5080" w:rsidRPr="007C5080">
              <w:rPr>
                <w:highlight w:val="black"/>
              </w:rPr>
              <w:t>@@@@</w:t>
            </w:r>
            <w:r w:rsidRPr="00A55C25">
              <w:rPr>
                <w:iCs/>
              </w:rPr>
              <w:t xml:space="preserve">, </w:t>
            </w:r>
          </w:p>
          <w:p w14:paraId="3377C3FC" w14:textId="34C7A747" w:rsidR="009406C2" w:rsidRPr="00A55C25" w:rsidRDefault="009406C2" w:rsidP="002A750F">
            <w:pPr>
              <w:pStyle w:val="TableText0"/>
              <w:rPr>
                <w:iCs/>
              </w:rPr>
            </w:pPr>
            <w:r w:rsidRPr="00A55C25">
              <w:rPr>
                <w:iCs/>
              </w:rPr>
              <w:t>V (initial): $</w:t>
            </w:r>
            <w:r w:rsidR="007C5080" w:rsidRPr="007C5080">
              <w:rPr>
                <w:highlight w:val="black"/>
              </w:rPr>
              <w:t>@@@@</w:t>
            </w:r>
            <w:r w:rsidRPr="00A55C25">
              <w:rPr>
                <w:iCs/>
              </w:rPr>
              <w:t xml:space="preserve">, </w:t>
            </w:r>
            <w:r w:rsidRPr="00A55C25">
              <w:rPr>
                <w:iCs/>
              </w:rPr>
              <w:br/>
              <w:t>V (</w:t>
            </w:r>
            <w:r w:rsidR="00075C2F" w:rsidRPr="00A55C25">
              <w:rPr>
                <w:iCs/>
              </w:rPr>
              <w:t>continuing</w:t>
            </w:r>
            <w:r w:rsidRPr="00A55C25">
              <w:rPr>
                <w:iCs/>
              </w:rPr>
              <w:t>): $</w:t>
            </w:r>
            <w:r w:rsidR="007C5080" w:rsidRPr="007C5080">
              <w:rPr>
                <w:highlight w:val="black"/>
              </w:rPr>
              <w:t>@@@@</w:t>
            </w:r>
          </w:p>
        </w:tc>
        <w:tc>
          <w:tcPr>
            <w:tcW w:w="550" w:type="pct"/>
            <w:vAlign w:val="center"/>
          </w:tcPr>
          <w:p w14:paraId="14A6609C" w14:textId="77777777" w:rsidR="009406C2" w:rsidRPr="00A55C25" w:rsidRDefault="009406C2" w:rsidP="002A750F">
            <w:pPr>
              <w:pStyle w:val="TableText0"/>
              <w:rPr>
                <w:iCs/>
              </w:rPr>
            </w:pPr>
            <w:r w:rsidRPr="00A55C25">
              <w:rPr>
                <w:iCs/>
              </w:rPr>
              <w:t>NR</w:t>
            </w:r>
          </w:p>
        </w:tc>
        <w:tc>
          <w:tcPr>
            <w:tcW w:w="865" w:type="pct"/>
            <w:gridSpan w:val="2"/>
            <w:vAlign w:val="center"/>
          </w:tcPr>
          <w:p w14:paraId="4DD4EDC7" w14:textId="32FB6884" w:rsidR="009406C2" w:rsidRPr="00A55C25" w:rsidRDefault="009406C2" w:rsidP="002A750F">
            <w:pPr>
              <w:pStyle w:val="TableText0"/>
              <w:rPr>
                <w:iCs/>
              </w:rPr>
            </w:pPr>
            <w:r w:rsidRPr="00A55C25">
              <w:rPr>
                <w:iCs/>
              </w:rPr>
              <w:t>V (initial): $</w:t>
            </w:r>
            <w:r w:rsidR="007C5080" w:rsidRPr="007C5080">
              <w:rPr>
                <w:highlight w:val="black"/>
              </w:rPr>
              <w:t>@@@@</w:t>
            </w:r>
            <w:r w:rsidRPr="00A55C25">
              <w:rPr>
                <w:iCs/>
              </w:rPr>
              <w:t xml:space="preserve">, </w:t>
            </w:r>
            <w:r w:rsidRPr="00A55C25">
              <w:rPr>
                <w:iCs/>
              </w:rPr>
              <w:br/>
              <w:t>V (</w:t>
            </w:r>
            <w:r w:rsidR="00075C2F" w:rsidRPr="00A55C25">
              <w:rPr>
                <w:iCs/>
              </w:rPr>
              <w:t>continuing</w:t>
            </w:r>
            <w:r w:rsidRPr="00A55C25">
              <w:rPr>
                <w:iCs/>
              </w:rPr>
              <w:t>): $</w:t>
            </w:r>
            <w:r w:rsidR="007C5080" w:rsidRPr="007C5080">
              <w:rPr>
                <w:highlight w:val="black"/>
              </w:rPr>
              <w:t>@@@@</w:t>
            </w:r>
          </w:p>
          <w:p w14:paraId="7CB2D277" w14:textId="77777777" w:rsidR="009406C2" w:rsidRPr="00A55C25" w:rsidRDefault="009406C2" w:rsidP="002A750F">
            <w:pPr>
              <w:pStyle w:val="TableText0"/>
              <w:rPr>
                <w:iCs/>
              </w:rPr>
            </w:pPr>
            <w:r w:rsidRPr="00A55C25">
              <w:rPr>
                <w:iCs/>
              </w:rPr>
              <w:t>O: $4,525.52</w:t>
            </w:r>
          </w:p>
        </w:tc>
        <w:tc>
          <w:tcPr>
            <w:tcW w:w="628" w:type="pct"/>
            <w:vAlign w:val="center"/>
          </w:tcPr>
          <w:p w14:paraId="73412400" w14:textId="77777777" w:rsidR="009406C2" w:rsidRPr="00A55C25" w:rsidRDefault="009406C2" w:rsidP="002A750F">
            <w:pPr>
              <w:pStyle w:val="TableText0"/>
              <w:rPr>
                <w:iCs/>
              </w:rPr>
            </w:pPr>
            <w:r w:rsidRPr="00A55C25">
              <w:rPr>
                <w:iCs/>
              </w:rPr>
              <w:t>NR</w:t>
            </w:r>
          </w:p>
        </w:tc>
        <w:tc>
          <w:tcPr>
            <w:tcW w:w="315" w:type="pct"/>
            <w:vAlign w:val="center"/>
          </w:tcPr>
          <w:p w14:paraId="250F0F1C" w14:textId="77777777" w:rsidR="009406C2" w:rsidRPr="00A55C25" w:rsidRDefault="009406C2" w:rsidP="002A750F">
            <w:pPr>
              <w:pStyle w:val="TableText0"/>
              <w:rPr>
                <w:iCs/>
              </w:rPr>
            </w:pPr>
            <w:r w:rsidRPr="00A55C25">
              <w:rPr>
                <w:iCs/>
              </w:rPr>
              <w:t>NR</w:t>
            </w:r>
          </w:p>
        </w:tc>
        <w:tc>
          <w:tcPr>
            <w:tcW w:w="601" w:type="pct"/>
            <w:vAlign w:val="center"/>
          </w:tcPr>
          <w:p w14:paraId="4DC3696E" w14:textId="4751012C" w:rsidR="009406C2" w:rsidRPr="00A55C25" w:rsidRDefault="009406C2" w:rsidP="002A750F">
            <w:pPr>
              <w:pStyle w:val="TableText0"/>
              <w:rPr>
                <w:iCs/>
              </w:rPr>
            </w:pPr>
            <w:r w:rsidRPr="00A55C25">
              <w:rPr>
                <w:iCs/>
              </w:rPr>
              <w:t>V (initial): $</w:t>
            </w:r>
            <w:r w:rsidR="007C5080" w:rsidRPr="007C5080">
              <w:rPr>
                <w:highlight w:val="black"/>
              </w:rPr>
              <w:t>@@@@</w:t>
            </w:r>
            <w:r w:rsidRPr="00A55C25">
              <w:rPr>
                <w:iCs/>
              </w:rPr>
              <w:t xml:space="preserve">, </w:t>
            </w:r>
            <w:r w:rsidRPr="00A55C25">
              <w:rPr>
                <w:iCs/>
              </w:rPr>
              <w:br/>
              <w:t>V(</w:t>
            </w:r>
            <w:r w:rsidR="00075C2F" w:rsidRPr="00A55C25">
              <w:rPr>
                <w:iCs/>
              </w:rPr>
              <w:t>continuing</w:t>
            </w:r>
            <w:r w:rsidRPr="00A55C25">
              <w:rPr>
                <w:iCs/>
              </w:rPr>
              <w:t>): $</w:t>
            </w:r>
            <w:r w:rsidR="007C5080" w:rsidRPr="007C5080">
              <w:rPr>
                <w:highlight w:val="black"/>
              </w:rPr>
              <w:t>@@@@</w:t>
            </w:r>
          </w:p>
          <w:p w14:paraId="5CB08D02" w14:textId="60C37607" w:rsidR="009406C2" w:rsidRPr="00A55C25" w:rsidRDefault="009406C2" w:rsidP="002A750F">
            <w:pPr>
              <w:pStyle w:val="TableText0"/>
              <w:rPr>
                <w:iCs/>
              </w:rPr>
            </w:pPr>
            <w:r w:rsidRPr="00A55C25">
              <w:rPr>
                <w:iCs/>
              </w:rPr>
              <w:t>I: $</w:t>
            </w:r>
            <w:r w:rsidR="007C5080" w:rsidRPr="007C5080">
              <w:rPr>
                <w:highlight w:val="black"/>
              </w:rPr>
              <w:t>@@@@</w:t>
            </w:r>
            <w:r w:rsidRPr="00A55C25">
              <w:rPr>
                <w:iCs/>
              </w:rPr>
              <w:t xml:space="preserve"> </w:t>
            </w:r>
            <w:r w:rsidRPr="00A55C25">
              <w:rPr>
                <w:iCs/>
                <w:vertAlign w:val="superscript"/>
              </w:rPr>
              <w:t>b</w:t>
            </w:r>
          </w:p>
        </w:tc>
      </w:tr>
      <w:tr w:rsidR="009406C2" w:rsidRPr="00A55C25" w14:paraId="23716A63" w14:textId="77777777" w:rsidTr="00B213CD">
        <w:trPr>
          <w:cantSplit/>
          <w:trHeight w:val="20"/>
          <w:jc w:val="center"/>
        </w:trPr>
        <w:tc>
          <w:tcPr>
            <w:tcW w:w="548" w:type="pct"/>
            <w:vAlign w:val="center"/>
          </w:tcPr>
          <w:p w14:paraId="33D7D443" w14:textId="77777777" w:rsidR="009406C2" w:rsidRPr="00A55C25" w:rsidRDefault="009406C2" w:rsidP="002A750F">
            <w:pPr>
              <w:pStyle w:val="TableText0"/>
              <w:rPr>
                <w:iCs/>
              </w:rPr>
            </w:pPr>
            <w:r w:rsidRPr="00A55C25">
              <w:rPr>
                <w:iCs/>
              </w:rPr>
              <w:t>Compliance</w:t>
            </w:r>
          </w:p>
        </w:tc>
        <w:tc>
          <w:tcPr>
            <w:tcW w:w="629" w:type="pct"/>
            <w:vAlign w:val="center"/>
          </w:tcPr>
          <w:p w14:paraId="79F6EAE0" w14:textId="77777777" w:rsidR="009406C2" w:rsidRPr="00A55C25" w:rsidRDefault="009406C2" w:rsidP="002A750F">
            <w:pPr>
              <w:pStyle w:val="TableText0"/>
              <w:rPr>
                <w:bCs w:val="0"/>
                <w:iCs/>
              </w:rPr>
            </w:pPr>
            <w:r w:rsidRPr="00A55C25">
              <w:rPr>
                <w:bCs w:val="0"/>
                <w:iCs/>
              </w:rPr>
              <w:t xml:space="preserve">Mean expo: </w:t>
            </w:r>
            <w:r w:rsidRPr="00A55C25">
              <w:rPr>
                <w:bCs w:val="0"/>
                <w:iCs/>
              </w:rPr>
              <w:br/>
              <w:t xml:space="preserve">A: 12.7 </w:t>
            </w:r>
            <w:proofErr w:type="spellStart"/>
            <w:r w:rsidRPr="00A55C25">
              <w:rPr>
                <w:iCs/>
              </w:rPr>
              <w:t>mths</w:t>
            </w:r>
            <w:proofErr w:type="spellEnd"/>
            <w:r w:rsidRPr="00A55C25">
              <w:rPr>
                <w:bCs w:val="0"/>
                <w:iCs/>
              </w:rPr>
              <w:t xml:space="preserve">, </w:t>
            </w:r>
            <w:r w:rsidRPr="00A55C25">
              <w:rPr>
                <w:bCs w:val="0"/>
                <w:iCs/>
              </w:rPr>
              <w:br/>
              <w:t xml:space="preserve">V: 10.9 </w:t>
            </w:r>
            <w:proofErr w:type="spellStart"/>
            <w:r w:rsidRPr="00A55C25">
              <w:rPr>
                <w:iCs/>
              </w:rPr>
              <w:t>mths</w:t>
            </w:r>
            <w:proofErr w:type="spellEnd"/>
            <w:r w:rsidRPr="00A55C25">
              <w:rPr>
                <w:bCs w:val="0"/>
                <w:iCs/>
              </w:rPr>
              <w:t xml:space="preserve">, </w:t>
            </w:r>
            <w:r w:rsidRPr="00A55C25">
              <w:rPr>
                <w:bCs w:val="0"/>
                <w:iCs/>
              </w:rPr>
              <w:br/>
              <w:t>RDI: A: 94%, V: 92%.</w:t>
            </w:r>
          </w:p>
        </w:tc>
        <w:tc>
          <w:tcPr>
            <w:tcW w:w="864" w:type="pct"/>
            <w:gridSpan w:val="2"/>
            <w:vAlign w:val="center"/>
          </w:tcPr>
          <w:p w14:paraId="109D79BB" w14:textId="0A4F727F" w:rsidR="009406C2" w:rsidRPr="00A55C25" w:rsidRDefault="009406C2" w:rsidP="002A750F">
            <w:pPr>
              <w:pStyle w:val="TableText0"/>
              <w:rPr>
                <w:iCs/>
              </w:rPr>
            </w:pPr>
            <w:r w:rsidRPr="00A55C25">
              <w:rPr>
                <w:iCs/>
              </w:rPr>
              <w:t xml:space="preserve">A: 12.97 scripts, </w:t>
            </w:r>
            <w:r w:rsidRPr="00A55C25">
              <w:rPr>
                <w:iCs/>
              </w:rPr>
              <w:br/>
              <w:t>V (initial): 1 script, and V (</w:t>
            </w:r>
            <w:r w:rsidR="000E7AB9" w:rsidRPr="00A55C25">
              <w:rPr>
                <w:iCs/>
              </w:rPr>
              <w:t>continuing</w:t>
            </w:r>
            <w:r w:rsidRPr="00A55C25">
              <w:rPr>
                <w:iCs/>
              </w:rPr>
              <w:t>): 9.84 scripts</w:t>
            </w:r>
          </w:p>
        </w:tc>
        <w:tc>
          <w:tcPr>
            <w:tcW w:w="550" w:type="pct"/>
            <w:vAlign w:val="center"/>
          </w:tcPr>
          <w:p w14:paraId="0453B335" w14:textId="77777777" w:rsidR="009406C2" w:rsidRPr="00A55C25" w:rsidRDefault="009406C2" w:rsidP="002A750F">
            <w:pPr>
              <w:pStyle w:val="TableText0"/>
              <w:rPr>
                <w:iCs/>
              </w:rPr>
            </w:pPr>
            <w:r w:rsidRPr="00A55C25">
              <w:rPr>
                <w:bCs w:val="0"/>
                <w:iCs/>
              </w:rPr>
              <w:t>Mean expo:</w:t>
            </w:r>
            <w:r w:rsidRPr="00A55C25">
              <w:rPr>
                <w:iCs/>
              </w:rPr>
              <w:t xml:space="preserve"> V: 9.47 </w:t>
            </w:r>
            <w:proofErr w:type="spellStart"/>
            <w:r w:rsidRPr="00A55C25">
              <w:rPr>
                <w:iCs/>
              </w:rPr>
              <w:t>mths</w:t>
            </w:r>
            <w:proofErr w:type="spellEnd"/>
            <w:r w:rsidRPr="00A55C25">
              <w:rPr>
                <w:iCs/>
              </w:rPr>
              <w:t xml:space="preserve">, O: NR. </w:t>
            </w:r>
            <w:r w:rsidRPr="00A55C25">
              <w:rPr>
                <w:iCs/>
              </w:rPr>
              <w:br/>
              <w:t>RDI: V: NR, O: NR.</w:t>
            </w:r>
          </w:p>
        </w:tc>
        <w:tc>
          <w:tcPr>
            <w:tcW w:w="865" w:type="pct"/>
            <w:gridSpan w:val="2"/>
            <w:vAlign w:val="center"/>
          </w:tcPr>
          <w:p w14:paraId="1A0EBB8B" w14:textId="77777777" w:rsidR="009406C2" w:rsidRPr="00A55C25" w:rsidRDefault="009406C2" w:rsidP="002A750F">
            <w:pPr>
              <w:pStyle w:val="TableText0"/>
              <w:rPr>
                <w:iCs/>
              </w:rPr>
            </w:pPr>
            <w:r w:rsidRPr="00A55C25">
              <w:rPr>
                <w:iCs/>
              </w:rPr>
              <w:t xml:space="preserve">V (initial): 1 script, </w:t>
            </w:r>
          </w:p>
          <w:p w14:paraId="423D7B51" w14:textId="1ACA818C" w:rsidR="009406C2" w:rsidRPr="00A55C25" w:rsidRDefault="009406C2" w:rsidP="002A750F">
            <w:pPr>
              <w:pStyle w:val="TableText0"/>
              <w:rPr>
                <w:iCs/>
              </w:rPr>
            </w:pPr>
            <w:r w:rsidRPr="00A55C25">
              <w:rPr>
                <w:iCs/>
              </w:rPr>
              <w:t>V (</w:t>
            </w:r>
            <w:r w:rsidR="00075C2F" w:rsidRPr="00A55C25">
              <w:rPr>
                <w:iCs/>
              </w:rPr>
              <w:t>continuing</w:t>
            </w:r>
            <w:r w:rsidRPr="00A55C25">
              <w:rPr>
                <w:iCs/>
              </w:rPr>
              <w:t>): 8.67 scripts, and</w:t>
            </w:r>
            <w:r w:rsidRPr="00A55C25">
              <w:rPr>
                <w:iCs/>
              </w:rPr>
              <w:br/>
              <w:t>O: 7.355 scripts</w:t>
            </w:r>
          </w:p>
        </w:tc>
        <w:tc>
          <w:tcPr>
            <w:tcW w:w="628" w:type="pct"/>
            <w:vAlign w:val="center"/>
          </w:tcPr>
          <w:p w14:paraId="4BB0B8A1" w14:textId="77777777" w:rsidR="009406C2" w:rsidRPr="00A55C25" w:rsidRDefault="009406C2" w:rsidP="002A750F">
            <w:pPr>
              <w:pStyle w:val="TableText0"/>
              <w:rPr>
                <w:iCs/>
              </w:rPr>
            </w:pPr>
            <w:r w:rsidRPr="00A55C25">
              <w:rPr>
                <w:bCs w:val="0"/>
                <w:iCs/>
              </w:rPr>
              <w:t>Mean expo</w:t>
            </w:r>
            <w:r w:rsidRPr="00A55C25">
              <w:rPr>
                <w:iCs/>
              </w:rPr>
              <w:t xml:space="preserve">: </w:t>
            </w:r>
            <w:r w:rsidRPr="00A55C25">
              <w:rPr>
                <w:iCs/>
              </w:rPr>
              <w:br/>
              <w:t xml:space="preserve">I: 11.89 </w:t>
            </w:r>
            <w:proofErr w:type="spellStart"/>
            <w:r w:rsidRPr="00A55C25">
              <w:rPr>
                <w:iCs/>
              </w:rPr>
              <w:t>mths</w:t>
            </w:r>
            <w:proofErr w:type="spellEnd"/>
            <w:r w:rsidRPr="00A55C25">
              <w:rPr>
                <w:iCs/>
              </w:rPr>
              <w:t xml:space="preserve">, </w:t>
            </w:r>
            <w:r w:rsidRPr="00A55C25">
              <w:rPr>
                <w:iCs/>
              </w:rPr>
              <w:br/>
              <w:t xml:space="preserve">V: 10.21 </w:t>
            </w:r>
            <w:proofErr w:type="spellStart"/>
            <w:r w:rsidRPr="00A55C25">
              <w:rPr>
                <w:iCs/>
              </w:rPr>
              <w:t>mths</w:t>
            </w:r>
            <w:proofErr w:type="spellEnd"/>
            <w:r w:rsidRPr="00A55C25">
              <w:rPr>
                <w:iCs/>
              </w:rPr>
              <w:t>; RDI: I: 91.0% V: 89.9%.</w:t>
            </w:r>
          </w:p>
        </w:tc>
        <w:tc>
          <w:tcPr>
            <w:tcW w:w="315" w:type="pct"/>
            <w:vAlign w:val="center"/>
          </w:tcPr>
          <w:p w14:paraId="55A7C909" w14:textId="77777777" w:rsidR="009406C2" w:rsidRPr="00A55C25" w:rsidRDefault="009406C2" w:rsidP="002A750F">
            <w:pPr>
              <w:pStyle w:val="TableText0"/>
              <w:rPr>
                <w:iCs/>
              </w:rPr>
            </w:pPr>
            <w:r w:rsidRPr="00A55C25">
              <w:rPr>
                <w:iCs/>
              </w:rPr>
              <w:t>NR</w:t>
            </w:r>
          </w:p>
        </w:tc>
        <w:tc>
          <w:tcPr>
            <w:tcW w:w="601" w:type="pct"/>
            <w:vAlign w:val="center"/>
          </w:tcPr>
          <w:p w14:paraId="20D8423A" w14:textId="435166C8" w:rsidR="009406C2" w:rsidRPr="00A55C25" w:rsidRDefault="009406C2" w:rsidP="002A750F">
            <w:pPr>
              <w:pStyle w:val="TableText0"/>
              <w:rPr>
                <w:iCs/>
              </w:rPr>
            </w:pPr>
            <w:r w:rsidRPr="00A55C25">
              <w:rPr>
                <w:iCs/>
              </w:rPr>
              <w:t xml:space="preserve">I: 12.03 scripts, </w:t>
            </w:r>
            <w:r w:rsidRPr="00A55C25">
              <w:rPr>
                <w:iCs/>
              </w:rPr>
              <w:br/>
              <w:t>V (initial): 1 script, and V (</w:t>
            </w:r>
            <w:r w:rsidR="00075C2F" w:rsidRPr="00A55C25">
              <w:rPr>
                <w:iCs/>
              </w:rPr>
              <w:t>continuing</w:t>
            </w:r>
            <w:r w:rsidRPr="00A55C25">
              <w:rPr>
                <w:iCs/>
              </w:rPr>
              <w:t>): 9.39 scripts</w:t>
            </w:r>
          </w:p>
        </w:tc>
      </w:tr>
      <w:tr w:rsidR="009406C2" w:rsidRPr="00A55C25" w14:paraId="018F3C0B" w14:textId="77777777" w:rsidTr="00B213CD">
        <w:trPr>
          <w:cantSplit/>
          <w:trHeight w:val="20"/>
          <w:jc w:val="center"/>
        </w:trPr>
        <w:tc>
          <w:tcPr>
            <w:tcW w:w="548" w:type="pct"/>
            <w:vAlign w:val="center"/>
          </w:tcPr>
          <w:p w14:paraId="510B1E19" w14:textId="77777777" w:rsidR="009406C2" w:rsidRPr="00A55C25" w:rsidRDefault="009406C2" w:rsidP="002A750F">
            <w:pPr>
              <w:pStyle w:val="TableText0"/>
              <w:rPr>
                <w:iCs/>
              </w:rPr>
            </w:pPr>
            <w:r w:rsidRPr="00A55C25">
              <w:rPr>
                <w:iCs/>
              </w:rPr>
              <w:t xml:space="preserve">Cost/ patient /course </w:t>
            </w:r>
            <w:r w:rsidRPr="00A55C25">
              <w:rPr>
                <w:iCs/>
                <w:vertAlign w:val="superscript"/>
              </w:rPr>
              <w:t>c</w:t>
            </w:r>
          </w:p>
        </w:tc>
        <w:tc>
          <w:tcPr>
            <w:tcW w:w="629" w:type="pct"/>
            <w:vAlign w:val="center"/>
          </w:tcPr>
          <w:p w14:paraId="328E7F86" w14:textId="77777777" w:rsidR="009406C2" w:rsidRPr="00A55C25" w:rsidRDefault="009406C2" w:rsidP="002A750F">
            <w:pPr>
              <w:pStyle w:val="TableText0"/>
              <w:rPr>
                <w:iCs/>
              </w:rPr>
            </w:pPr>
            <w:r w:rsidRPr="00A55C25">
              <w:rPr>
                <w:iCs/>
              </w:rPr>
              <w:t>NR</w:t>
            </w:r>
          </w:p>
        </w:tc>
        <w:tc>
          <w:tcPr>
            <w:tcW w:w="864" w:type="pct"/>
            <w:gridSpan w:val="2"/>
            <w:vAlign w:val="center"/>
          </w:tcPr>
          <w:p w14:paraId="1FBEF460" w14:textId="537C9745" w:rsidR="009406C2" w:rsidRPr="00A55C25" w:rsidRDefault="009406C2" w:rsidP="002A750F">
            <w:pPr>
              <w:pStyle w:val="TableText0"/>
              <w:rPr>
                <w:iCs/>
              </w:rPr>
            </w:pPr>
            <w:r w:rsidRPr="00A55C25">
              <w:rPr>
                <w:iCs/>
              </w:rPr>
              <w:t>$</w:t>
            </w:r>
            <w:r w:rsidR="007C5080" w:rsidRPr="007C5080">
              <w:rPr>
                <w:highlight w:val="black"/>
              </w:rPr>
              <w:t>@@@@</w:t>
            </w:r>
          </w:p>
        </w:tc>
        <w:tc>
          <w:tcPr>
            <w:tcW w:w="550" w:type="pct"/>
            <w:vAlign w:val="center"/>
          </w:tcPr>
          <w:p w14:paraId="7BB1BF4B" w14:textId="77777777" w:rsidR="009406C2" w:rsidRPr="00A55C25" w:rsidRDefault="009406C2" w:rsidP="002A750F">
            <w:pPr>
              <w:pStyle w:val="TableText0"/>
              <w:rPr>
                <w:iCs/>
              </w:rPr>
            </w:pPr>
            <w:r w:rsidRPr="00A55C25">
              <w:rPr>
                <w:iCs/>
              </w:rPr>
              <w:t>NR</w:t>
            </w:r>
          </w:p>
        </w:tc>
        <w:tc>
          <w:tcPr>
            <w:tcW w:w="865" w:type="pct"/>
            <w:gridSpan w:val="2"/>
            <w:vAlign w:val="center"/>
          </w:tcPr>
          <w:p w14:paraId="6D0497D4" w14:textId="156B508F" w:rsidR="009406C2" w:rsidRPr="00A55C25" w:rsidRDefault="009406C2" w:rsidP="002A750F">
            <w:pPr>
              <w:pStyle w:val="TableText0"/>
              <w:rPr>
                <w:iCs/>
              </w:rPr>
            </w:pPr>
            <w:r w:rsidRPr="00A55C25">
              <w:rPr>
                <w:iCs/>
              </w:rPr>
              <w:t>$</w:t>
            </w:r>
            <w:r w:rsidR="007C5080" w:rsidRPr="007C5080">
              <w:rPr>
                <w:highlight w:val="black"/>
              </w:rPr>
              <w:t>@@@@</w:t>
            </w:r>
          </w:p>
        </w:tc>
        <w:tc>
          <w:tcPr>
            <w:tcW w:w="628" w:type="pct"/>
            <w:vAlign w:val="center"/>
          </w:tcPr>
          <w:p w14:paraId="64419C52" w14:textId="77777777" w:rsidR="009406C2" w:rsidRPr="00A55C25" w:rsidRDefault="009406C2" w:rsidP="002A750F">
            <w:pPr>
              <w:pStyle w:val="TableText0"/>
              <w:rPr>
                <w:iCs/>
              </w:rPr>
            </w:pPr>
            <w:r w:rsidRPr="00A55C25">
              <w:rPr>
                <w:iCs/>
              </w:rPr>
              <w:t>NR</w:t>
            </w:r>
          </w:p>
        </w:tc>
        <w:tc>
          <w:tcPr>
            <w:tcW w:w="315" w:type="pct"/>
            <w:vAlign w:val="center"/>
          </w:tcPr>
          <w:p w14:paraId="4416DCD1" w14:textId="77777777" w:rsidR="009406C2" w:rsidRPr="00A55C25" w:rsidRDefault="009406C2" w:rsidP="002A750F">
            <w:pPr>
              <w:pStyle w:val="TableText0"/>
              <w:rPr>
                <w:iCs/>
              </w:rPr>
            </w:pPr>
            <w:r w:rsidRPr="00A55C25">
              <w:rPr>
                <w:iCs/>
              </w:rPr>
              <w:t>NR</w:t>
            </w:r>
          </w:p>
        </w:tc>
        <w:tc>
          <w:tcPr>
            <w:tcW w:w="601" w:type="pct"/>
            <w:vAlign w:val="center"/>
          </w:tcPr>
          <w:p w14:paraId="3C220E66" w14:textId="44A95E07" w:rsidR="009406C2" w:rsidRPr="00A55C25" w:rsidRDefault="009406C2" w:rsidP="002A750F">
            <w:pPr>
              <w:pStyle w:val="TableText0"/>
              <w:rPr>
                <w:iCs/>
              </w:rPr>
            </w:pPr>
            <w:r w:rsidRPr="00A55C25">
              <w:rPr>
                <w:iCs/>
              </w:rPr>
              <w:t>$</w:t>
            </w:r>
            <w:r w:rsidR="007C5080" w:rsidRPr="007C5080">
              <w:rPr>
                <w:highlight w:val="black"/>
              </w:rPr>
              <w:t>@@@@</w:t>
            </w:r>
          </w:p>
        </w:tc>
      </w:tr>
    </w:tbl>
    <w:p w14:paraId="4FB1A915" w14:textId="77777777" w:rsidR="009406C2" w:rsidRPr="00A55C25" w:rsidRDefault="009406C2" w:rsidP="009406C2">
      <w:pPr>
        <w:pStyle w:val="TableFigureFooter"/>
        <w:spacing w:after="0"/>
        <w:jc w:val="both"/>
        <w:rPr>
          <w:bCs w:val="0"/>
          <w:iCs/>
        </w:rPr>
      </w:pPr>
      <w:r w:rsidRPr="00A55C25">
        <w:rPr>
          <w:bCs w:val="0"/>
          <w:iCs/>
        </w:rPr>
        <w:t>Source: Compiled during the evaluation from Table 3-2, p130, Table 3-6, p133, and Table 4-21, p156 of the submission, Table 7, venetoclax PSD, July 2020 PBAC meeting, Table 16, Ibrutinib PSD, March 2024 PBAC meeting.</w:t>
      </w:r>
    </w:p>
    <w:p w14:paraId="6DB07433" w14:textId="6AB170A5" w:rsidR="009406C2" w:rsidRPr="00A55C25" w:rsidRDefault="009406C2" w:rsidP="009406C2">
      <w:pPr>
        <w:pStyle w:val="TableFigureFooter"/>
        <w:spacing w:after="0"/>
        <w:jc w:val="both"/>
        <w:rPr>
          <w:bCs w:val="0"/>
          <w:iCs/>
        </w:rPr>
      </w:pPr>
      <w:r w:rsidRPr="00A55C25">
        <w:rPr>
          <w:bCs w:val="0"/>
          <w:iCs/>
        </w:rPr>
        <w:t xml:space="preserve">A=acalabrutinib; AEMP=Australian ex-manufacturer price; AV=acalabrutinib + venetoclax; CMA=cost-minimisation </w:t>
      </w:r>
      <w:r w:rsidR="009D6101" w:rsidRPr="00A55C25">
        <w:rPr>
          <w:bCs w:val="0"/>
          <w:iCs/>
        </w:rPr>
        <w:t>approach</w:t>
      </w:r>
      <w:r w:rsidRPr="00A55C25">
        <w:rPr>
          <w:bCs w:val="0"/>
          <w:iCs/>
        </w:rPr>
        <w:t xml:space="preserve">; expo=exposure; IV=ibrutinib + venetoclax; </w:t>
      </w:r>
      <w:proofErr w:type="spellStart"/>
      <w:r w:rsidRPr="00A55C25">
        <w:rPr>
          <w:bCs w:val="0"/>
          <w:iCs/>
        </w:rPr>
        <w:t>mths</w:t>
      </w:r>
      <w:proofErr w:type="spellEnd"/>
      <w:r w:rsidRPr="00A55C25">
        <w:rPr>
          <w:bCs w:val="0"/>
          <w:iCs/>
        </w:rPr>
        <w:t>=months; NR=not reported; O=obinutuzumab; RDI=relative dose intensity; V=venetoclax; VO=venetoclax + obinutuzumab.</w:t>
      </w:r>
    </w:p>
    <w:p w14:paraId="2566C61C" w14:textId="77777777" w:rsidR="009406C2" w:rsidRPr="00A55C25" w:rsidRDefault="009406C2" w:rsidP="009406C2">
      <w:pPr>
        <w:pStyle w:val="TableFigureFooter"/>
        <w:jc w:val="both"/>
        <w:rPr>
          <w:iCs/>
          <w:snapToGrid/>
        </w:rPr>
      </w:pPr>
      <w:proofErr w:type="spellStart"/>
      <w:r w:rsidRPr="00A55C25">
        <w:rPr>
          <w:iCs/>
          <w:snapToGrid/>
          <w:vertAlign w:val="superscript"/>
        </w:rPr>
        <w:t>a</w:t>
      </w:r>
      <w:proofErr w:type="spellEnd"/>
      <w:r w:rsidRPr="00A55C25">
        <w:rPr>
          <w:iCs/>
          <w:snapToGrid/>
          <w:vertAlign w:val="superscript"/>
        </w:rPr>
        <w:t xml:space="preserve"> </w:t>
      </w:r>
      <w:r w:rsidRPr="00A55C25">
        <w:rPr>
          <w:iCs/>
          <w:snapToGrid/>
        </w:rPr>
        <w:t xml:space="preserve">This is based on the proposed or estimated effective AEMPs. </w:t>
      </w:r>
    </w:p>
    <w:p w14:paraId="72CAE421" w14:textId="77777777" w:rsidR="009406C2" w:rsidRPr="00A55C25" w:rsidRDefault="009406C2" w:rsidP="009406C2">
      <w:pPr>
        <w:pStyle w:val="TableFigureFooter"/>
        <w:jc w:val="both"/>
        <w:rPr>
          <w:iCs/>
          <w:snapToGrid/>
        </w:rPr>
      </w:pPr>
      <w:r w:rsidRPr="00A55C25">
        <w:rPr>
          <w:iCs/>
          <w:snapToGrid/>
          <w:vertAlign w:val="superscript"/>
        </w:rPr>
        <w:t xml:space="preserve">b </w:t>
      </w:r>
      <w:proofErr w:type="gramStart"/>
      <w:r w:rsidRPr="00A55C25">
        <w:rPr>
          <w:iCs/>
          <w:snapToGrid/>
        </w:rPr>
        <w:t>The</w:t>
      </w:r>
      <w:proofErr w:type="gramEnd"/>
      <w:r w:rsidRPr="00A55C25">
        <w:rPr>
          <w:iCs/>
          <w:snapToGrid/>
        </w:rPr>
        <w:t xml:space="preserve"> price of ibrutinib was back calculated by the submission by setting the total cost of the IV regimen equivalent to the total cost of the VO regimen, which included atrial fibrillation monitoring and medication costs associated with IV.</w:t>
      </w:r>
    </w:p>
    <w:p w14:paraId="6C9EBC86" w14:textId="77777777" w:rsidR="009406C2" w:rsidRPr="00A55C25" w:rsidRDefault="009406C2" w:rsidP="009406C2">
      <w:pPr>
        <w:pStyle w:val="TableFigureFooter"/>
        <w:jc w:val="both"/>
        <w:rPr>
          <w:iCs/>
          <w:snapToGrid/>
        </w:rPr>
      </w:pPr>
      <w:r w:rsidRPr="00A55C25">
        <w:rPr>
          <w:iCs/>
          <w:snapToGrid/>
          <w:vertAlign w:val="superscript"/>
        </w:rPr>
        <w:t xml:space="preserve">c </w:t>
      </w:r>
      <w:r w:rsidRPr="00A55C25">
        <w:rPr>
          <w:iCs/>
          <w:snapToGrid/>
        </w:rPr>
        <w:t xml:space="preserve">Total costs were calculated based on the effective AEMPs, and administration and adverse event management costs were excluded. </w:t>
      </w:r>
    </w:p>
    <w:p w14:paraId="20B3484F" w14:textId="77777777" w:rsidR="009406C2" w:rsidRPr="00A55C25" w:rsidRDefault="009406C2" w:rsidP="009406C2">
      <w:pPr>
        <w:pStyle w:val="4-SubsectionHeading"/>
      </w:pPr>
      <w:bookmarkStart w:id="44" w:name="_Toc207957922"/>
      <w:r w:rsidRPr="00A55C25">
        <w:t>Estimated PBS usage &amp; financial implications</w:t>
      </w:r>
      <w:bookmarkEnd w:id="44"/>
    </w:p>
    <w:p w14:paraId="18E9BA45" w14:textId="0BAA4B2B" w:rsidR="009406C2" w:rsidRPr="00A55C25" w:rsidRDefault="009406C2" w:rsidP="009406C2">
      <w:pPr>
        <w:pStyle w:val="3-BodyText"/>
        <w:numPr>
          <w:ilvl w:val="1"/>
          <w:numId w:val="1"/>
        </w:numPr>
      </w:pPr>
      <w:r w:rsidRPr="00A55C25">
        <w:t xml:space="preserve">This submission </w:t>
      </w:r>
      <w:r w:rsidR="00E014FB" w:rsidRPr="00A55C25">
        <w:t>was not</w:t>
      </w:r>
      <w:r w:rsidRPr="00A55C25">
        <w:t xml:space="preserve"> considered by DUSC.</w:t>
      </w:r>
    </w:p>
    <w:p w14:paraId="599BAC0D" w14:textId="6261E62B" w:rsidR="009406C2" w:rsidRPr="00A55C25" w:rsidRDefault="009406C2" w:rsidP="009406C2">
      <w:pPr>
        <w:pStyle w:val="3-BodyText"/>
        <w:numPr>
          <w:ilvl w:val="1"/>
          <w:numId w:val="1"/>
        </w:numPr>
      </w:pPr>
      <w:r w:rsidRPr="00A55C25">
        <w:t>The submission used a market share approach to estimate the utilisation and financial implications of listing AV on the PBS/RPBS for untreated CLL/SLL. It was assumed that AV would only substitute for other FD regimens (VO and IV</w:t>
      </w:r>
      <w:r w:rsidR="001E05CE" w:rsidRPr="00A55C25">
        <w:t>) and</w:t>
      </w:r>
      <w:r w:rsidRPr="00A55C25">
        <w:t xml:space="preserve"> would not substitute for TTP regimens (A±O and zanubrutinib). T</w:t>
      </w:r>
      <w:r w:rsidR="00E014FB" w:rsidRPr="00A55C25">
        <w:t>h</w:t>
      </w:r>
      <w:r w:rsidRPr="00A55C25">
        <w:t>is assumption was poorly justified.</w:t>
      </w:r>
    </w:p>
    <w:p w14:paraId="44245766" w14:textId="613523F7" w:rsidR="009406C2" w:rsidRPr="00A55C25" w:rsidRDefault="009406C2" w:rsidP="009406C2">
      <w:pPr>
        <w:pStyle w:val="3-BodyText"/>
        <w:numPr>
          <w:ilvl w:val="1"/>
          <w:numId w:val="1"/>
        </w:numPr>
        <w:rPr>
          <w:i/>
          <w:iCs/>
        </w:rPr>
      </w:pPr>
      <w:r w:rsidRPr="00A55C25">
        <w:t>To estimate the size of the current market of FD regimens for untreated CLL/SLL, the submission used venetoclax initiation ramp-up item numbers as a proxy for the number of patients receiving treatment, as the same treatment is common to patients treated with both VO and IV. The historical estimates were extrapolated over six years (2026–2031)</w:t>
      </w:r>
      <w:r w:rsidR="006A7E85" w:rsidRPr="00A55C25">
        <w:t>,</w:t>
      </w:r>
      <w:r w:rsidRPr="00A55C25">
        <w:t xml:space="preserve"> and market share assumptions were used to estimate the number of patients treated with each regimen (VO and IV)</w:t>
      </w:r>
      <w:r w:rsidR="00794814" w:rsidRPr="00A55C25">
        <w:t>. S</w:t>
      </w:r>
      <w:r w:rsidRPr="00A55C25">
        <w:t xml:space="preserve">cript volumes </w:t>
      </w:r>
      <w:r w:rsidR="00794814" w:rsidRPr="00A55C25">
        <w:t xml:space="preserve">per initiating patient </w:t>
      </w:r>
      <w:r w:rsidRPr="00A55C25">
        <w:t>were calculated using equi-effective doses</w:t>
      </w:r>
      <w:r w:rsidR="00794814" w:rsidRPr="00A55C25">
        <w:t>, and then u</w:t>
      </w:r>
      <w:r w:rsidRPr="00A55C25">
        <w:t>ptake</w:t>
      </w:r>
      <w:r w:rsidR="00794814" w:rsidRPr="00A55C25">
        <w:t>/</w:t>
      </w:r>
      <w:r w:rsidRPr="00A55C25">
        <w:t xml:space="preserve"> substitution rates were applied to estimate the change in the FD market with the proposed listing of AV.</w:t>
      </w:r>
    </w:p>
    <w:p w14:paraId="4139B461" w14:textId="1398F564" w:rsidR="009406C2" w:rsidRPr="00A55C25" w:rsidRDefault="009406C2" w:rsidP="009406C2">
      <w:pPr>
        <w:pStyle w:val="3-BodyText"/>
        <w:numPr>
          <w:ilvl w:val="1"/>
          <w:numId w:val="1"/>
        </w:numPr>
      </w:pPr>
      <w:r w:rsidRPr="00A55C25">
        <w:fldChar w:fldCharType="begin"/>
      </w:r>
      <w:r w:rsidRPr="00A55C25">
        <w:instrText xml:space="preserve"> REF _Ref207112131 \h </w:instrText>
      </w:r>
      <w:r w:rsidRPr="00A55C25">
        <w:fldChar w:fldCharType="separate"/>
      </w:r>
      <w:r w:rsidR="00717804" w:rsidRPr="00A55C25">
        <w:t xml:space="preserve">Table </w:t>
      </w:r>
      <w:r w:rsidR="00717804">
        <w:rPr>
          <w:noProof/>
        </w:rPr>
        <w:t>10</w:t>
      </w:r>
      <w:r w:rsidRPr="00A55C25">
        <w:fldChar w:fldCharType="end"/>
      </w:r>
      <w:r w:rsidRPr="00A55C25">
        <w:t xml:space="preserve"> summarises data sources and parameter values used to estimate the utilisation and financial implications.</w:t>
      </w:r>
    </w:p>
    <w:p w14:paraId="5DC9BC49" w14:textId="6C5184AA" w:rsidR="009406C2" w:rsidRPr="00A55C25" w:rsidRDefault="009406C2" w:rsidP="00794814">
      <w:pPr>
        <w:pStyle w:val="Caption"/>
        <w:rPr>
          <w:rStyle w:val="CommentReference"/>
          <w:b/>
          <w:szCs w:val="24"/>
        </w:rPr>
      </w:pPr>
      <w:bookmarkStart w:id="45" w:name="_Ref207112131"/>
      <w:r w:rsidRPr="00A55C25">
        <w:lastRenderedPageBreak/>
        <w:t xml:space="preserve">Table </w:t>
      </w:r>
      <w:r w:rsidR="00075C2F">
        <w:fldChar w:fldCharType="begin"/>
      </w:r>
      <w:r w:rsidR="00075C2F">
        <w:instrText xml:space="preserve"> SEQ Table \* ARABIC </w:instrText>
      </w:r>
      <w:r w:rsidR="00075C2F">
        <w:fldChar w:fldCharType="separate"/>
      </w:r>
      <w:r w:rsidR="00717804">
        <w:rPr>
          <w:noProof/>
        </w:rPr>
        <w:t>10</w:t>
      </w:r>
      <w:r w:rsidR="00075C2F">
        <w:fldChar w:fldCharType="end"/>
      </w:r>
      <w:bookmarkEnd w:id="45"/>
      <w:r w:rsidRPr="00A55C25">
        <w:t>:</w:t>
      </w:r>
      <w:r w:rsidRPr="00A55C25">
        <w:rPr>
          <w:rStyle w:val="CommentReference"/>
          <w:b/>
          <w:szCs w:val="24"/>
        </w:rPr>
        <w:t xml:space="preserve"> Key inputs for financial estimates (year 1=2026)</w:t>
      </w:r>
    </w:p>
    <w:tbl>
      <w:tblPr>
        <w:tblStyle w:val="PBAClayout"/>
        <w:tblW w:w="5000" w:type="pct"/>
        <w:tblLook w:val="04A0" w:firstRow="1" w:lastRow="0" w:firstColumn="1" w:lastColumn="0" w:noHBand="0" w:noVBand="1"/>
        <w:tblCaption w:val="Table 10: Key inputs for financial estimates (year 1=2026)"/>
      </w:tblPr>
      <w:tblGrid>
        <w:gridCol w:w="1045"/>
        <w:gridCol w:w="4705"/>
        <w:gridCol w:w="1373"/>
        <w:gridCol w:w="1894"/>
      </w:tblGrid>
      <w:tr w:rsidR="009406C2" w:rsidRPr="00B213CD" w14:paraId="096E5012" w14:textId="77777777" w:rsidTr="00B213CD">
        <w:trPr>
          <w:trHeight w:val="20"/>
          <w:tblHeader/>
        </w:trPr>
        <w:tc>
          <w:tcPr>
            <w:tcW w:w="595" w:type="pct"/>
          </w:tcPr>
          <w:p w14:paraId="1F492E90" w14:textId="77777777" w:rsidR="009406C2" w:rsidRPr="00B213CD" w:rsidRDefault="009406C2" w:rsidP="00794814">
            <w:pPr>
              <w:pStyle w:val="In-tableHeading"/>
              <w:widowControl w:val="0"/>
              <w:rPr>
                <w:sz w:val="18"/>
                <w:szCs w:val="18"/>
                <w:lang w:val="en-AU"/>
              </w:rPr>
            </w:pPr>
            <w:r w:rsidRPr="00B213CD">
              <w:rPr>
                <w:sz w:val="18"/>
                <w:szCs w:val="18"/>
                <w:lang w:val="en-AU"/>
              </w:rPr>
              <w:t>Data</w:t>
            </w:r>
          </w:p>
        </w:tc>
        <w:tc>
          <w:tcPr>
            <w:tcW w:w="2563" w:type="pct"/>
          </w:tcPr>
          <w:p w14:paraId="558C0F52" w14:textId="77777777" w:rsidR="009406C2" w:rsidRPr="00B213CD" w:rsidRDefault="009406C2" w:rsidP="00794814">
            <w:pPr>
              <w:pStyle w:val="In-tableHeading"/>
              <w:widowControl w:val="0"/>
              <w:rPr>
                <w:sz w:val="18"/>
                <w:szCs w:val="18"/>
                <w:lang w:val="en-AU"/>
              </w:rPr>
            </w:pPr>
            <w:r w:rsidRPr="00B213CD">
              <w:rPr>
                <w:sz w:val="18"/>
                <w:szCs w:val="18"/>
                <w:lang w:val="en-AU"/>
              </w:rPr>
              <w:t>Value</w:t>
            </w:r>
          </w:p>
        </w:tc>
        <w:tc>
          <w:tcPr>
            <w:tcW w:w="777" w:type="pct"/>
          </w:tcPr>
          <w:p w14:paraId="7934A1CA" w14:textId="77777777" w:rsidR="009406C2" w:rsidRPr="00B213CD" w:rsidRDefault="009406C2" w:rsidP="00794814">
            <w:pPr>
              <w:pStyle w:val="In-tableHeading"/>
              <w:widowControl w:val="0"/>
              <w:rPr>
                <w:sz w:val="18"/>
                <w:szCs w:val="18"/>
                <w:lang w:val="en-AU"/>
              </w:rPr>
            </w:pPr>
            <w:r w:rsidRPr="00B213CD">
              <w:rPr>
                <w:sz w:val="18"/>
                <w:szCs w:val="18"/>
                <w:lang w:val="en-AU"/>
              </w:rPr>
              <w:t>Source</w:t>
            </w:r>
          </w:p>
        </w:tc>
        <w:tc>
          <w:tcPr>
            <w:tcW w:w="1065" w:type="pct"/>
          </w:tcPr>
          <w:p w14:paraId="732FBCE3" w14:textId="77777777" w:rsidR="009406C2" w:rsidRPr="00B213CD" w:rsidRDefault="009406C2" w:rsidP="00794814">
            <w:pPr>
              <w:pStyle w:val="In-tableHeading"/>
              <w:widowControl w:val="0"/>
              <w:rPr>
                <w:sz w:val="18"/>
                <w:szCs w:val="18"/>
                <w:lang w:val="en-AU"/>
              </w:rPr>
            </w:pPr>
            <w:r w:rsidRPr="00B213CD">
              <w:rPr>
                <w:sz w:val="18"/>
                <w:szCs w:val="18"/>
                <w:lang w:val="en-AU"/>
              </w:rPr>
              <w:t>Comment</w:t>
            </w:r>
          </w:p>
        </w:tc>
      </w:tr>
      <w:tr w:rsidR="009406C2" w:rsidRPr="00B213CD" w14:paraId="4364B2E2" w14:textId="77777777" w:rsidTr="00B213CD">
        <w:trPr>
          <w:trHeight w:val="20"/>
        </w:trPr>
        <w:tc>
          <w:tcPr>
            <w:tcW w:w="5000" w:type="pct"/>
            <w:gridSpan w:val="4"/>
          </w:tcPr>
          <w:p w14:paraId="680282E6" w14:textId="77777777" w:rsidR="009406C2" w:rsidRPr="00B213CD" w:rsidRDefault="009406C2" w:rsidP="00794814">
            <w:pPr>
              <w:pStyle w:val="In-tableHeading"/>
              <w:widowControl w:val="0"/>
              <w:rPr>
                <w:sz w:val="18"/>
                <w:szCs w:val="18"/>
                <w:lang w:val="en-AU"/>
              </w:rPr>
            </w:pPr>
            <w:r w:rsidRPr="00B213CD">
              <w:rPr>
                <w:sz w:val="18"/>
                <w:szCs w:val="18"/>
                <w:lang w:val="en-AU"/>
              </w:rPr>
              <w:t>Treatment utilisation (year 0= 2025)</w:t>
            </w:r>
          </w:p>
        </w:tc>
      </w:tr>
      <w:tr w:rsidR="009406C2" w:rsidRPr="00B213CD" w14:paraId="349E71ED" w14:textId="77777777" w:rsidTr="00B213CD">
        <w:trPr>
          <w:trHeight w:val="20"/>
        </w:trPr>
        <w:tc>
          <w:tcPr>
            <w:tcW w:w="595" w:type="pct"/>
          </w:tcPr>
          <w:p w14:paraId="092F4F36" w14:textId="77777777" w:rsidR="009406C2" w:rsidRPr="00B213CD" w:rsidRDefault="009406C2" w:rsidP="002A750F">
            <w:pPr>
              <w:pStyle w:val="TableText0"/>
              <w:keepNext w:val="0"/>
              <w:widowControl w:val="0"/>
              <w:rPr>
                <w:bCs w:val="0"/>
                <w:sz w:val="18"/>
                <w:szCs w:val="18"/>
              </w:rPr>
            </w:pPr>
            <w:r w:rsidRPr="00B213CD">
              <w:rPr>
                <w:bCs w:val="0"/>
                <w:sz w:val="18"/>
                <w:szCs w:val="18"/>
              </w:rPr>
              <w:t xml:space="preserve">Venetoclax initiating scripts (projected current market) </w:t>
            </w:r>
          </w:p>
        </w:tc>
        <w:tc>
          <w:tcPr>
            <w:tcW w:w="2563"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29"/>
              <w:gridCol w:w="704"/>
              <w:gridCol w:w="999"/>
              <w:gridCol w:w="707"/>
              <w:gridCol w:w="702"/>
            </w:tblGrid>
            <w:tr w:rsidR="009406C2" w:rsidRPr="00B213CD" w14:paraId="04DE8DC6" w14:textId="77777777" w:rsidTr="002A750F">
              <w:trPr>
                <w:trHeight w:val="20"/>
              </w:trPr>
              <w:tc>
                <w:tcPr>
                  <w:tcW w:w="428" w:type="pct"/>
                  <w:vAlign w:val="center"/>
                </w:tcPr>
                <w:p w14:paraId="76FE8C8D" w14:textId="77777777" w:rsidR="009406C2" w:rsidRPr="00B213CD" w:rsidRDefault="009406C2" w:rsidP="002A750F">
                  <w:pPr>
                    <w:jc w:val="left"/>
                    <w:rPr>
                      <w:rFonts w:ascii="Arial Narrow" w:hAnsi="Arial Narrow"/>
                      <w:b/>
                      <w:bCs/>
                      <w:sz w:val="18"/>
                      <w:szCs w:val="18"/>
                    </w:rPr>
                  </w:pPr>
                  <w:r w:rsidRPr="00B213CD">
                    <w:rPr>
                      <w:rFonts w:ascii="Arial Narrow" w:hAnsi="Arial Narrow"/>
                      <w:b/>
                      <w:bCs/>
                      <w:sz w:val="18"/>
                      <w:szCs w:val="18"/>
                    </w:rPr>
                    <w:t>Yr</w:t>
                  </w:r>
                </w:p>
              </w:tc>
              <w:tc>
                <w:tcPr>
                  <w:tcW w:w="1217" w:type="pct"/>
                  <w:vAlign w:val="center"/>
                </w:tcPr>
                <w:p w14:paraId="1E62F76F"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Total V (VO/IV) initial scripts</w:t>
                  </w:r>
                </w:p>
              </w:tc>
              <w:tc>
                <w:tcPr>
                  <w:tcW w:w="759" w:type="pct"/>
                  <w:vAlign w:val="center"/>
                </w:tcPr>
                <w:p w14:paraId="55BB1AB1"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sz w:val="18"/>
                      <w:szCs w:val="18"/>
                    </w:rPr>
                    <w:t>VO share (%)</w:t>
                  </w:r>
                </w:p>
              </w:tc>
              <w:tc>
                <w:tcPr>
                  <w:tcW w:w="1077" w:type="pct"/>
                </w:tcPr>
                <w:p w14:paraId="05FBC914" w14:textId="77777777" w:rsidR="009406C2" w:rsidRPr="00B213CD" w:rsidRDefault="009406C2" w:rsidP="002A750F">
                  <w:pPr>
                    <w:jc w:val="left"/>
                    <w:rPr>
                      <w:rFonts w:ascii="Arial Narrow" w:hAnsi="Arial Narrow"/>
                      <w:b/>
                      <w:bCs/>
                      <w:sz w:val="18"/>
                      <w:szCs w:val="18"/>
                    </w:rPr>
                  </w:pPr>
                  <w:r w:rsidRPr="00B213CD">
                    <w:rPr>
                      <w:rFonts w:ascii="Arial Narrow" w:hAnsi="Arial Narrow"/>
                      <w:b/>
                      <w:bCs/>
                      <w:sz w:val="18"/>
                      <w:szCs w:val="18"/>
                    </w:rPr>
                    <w:t>V (VO) initial scripts</w:t>
                  </w:r>
                </w:p>
              </w:tc>
              <w:tc>
                <w:tcPr>
                  <w:tcW w:w="762" w:type="pct"/>
                  <w:vAlign w:val="center"/>
                </w:tcPr>
                <w:p w14:paraId="275DB066"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sz w:val="18"/>
                      <w:szCs w:val="18"/>
                    </w:rPr>
                    <w:t>IV share (%)</w:t>
                  </w:r>
                </w:p>
              </w:tc>
              <w:tc>
                <w:tcPr>
                  <w:tcW w:w="757" w:type="pct"/>
                </w:tcPr>
                <w:p w14:paraId="5045125E" w14:textId="77777777" w:rsidR="009406C2" w:rsidRPr="00B213CD" w:rsidRDefault="009406C2" w:rsidP="002A750F">
                  <w:pPr>
                    <w:jc w:val="left"/>
                    <w:rPr>
                      <w:rFonts w:ascii="Arial Narrow" w:hAnsi="Arial Narrow"/>
                      <w:b/>
                      <w:bCs/>
                      <w:sz w:val="18"/>
                      <w:szCs w:val="18"/>
                    </w:rPr>
                  </w:pPr>
                  <w:r w:rsidRPr="00B213CD">
                    <w:rPr>
                      <w:rFonts w:ascii="Arial Narrow" w:hAnsi="Arial Narrow"/>
                      <w:b/>
                      <w:bCs/>
                      <w:sz w:val="18"/>
                      <w:szCs w:val="18"/>
                    </w:rPr>
                    <w:t>V (IV) initial scripts</w:t>
                  </w:r>
                </w:p>
              </w:tc>
            </w:tr>
            <w:tr w:rsidR="009406C2" w:rsidRPr="00B213CD" w14:paraId="537F95DC" w14:textId="77777777" w:rsidTr="002A750F">
              <w:trPr>
                <w:trHeight w:val="20"/>
              </w:trPr>
              <w:tc>
                <w:tcPr>
                  <w:tcW w:w="428" w:type="pct"/>
                  <w:vAlign w:val="center"/>
                  <w:hideMark/>
                </w:tcPr>
                <w:p w14:paraId="68F18E70"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Y0</w:t>
                  </w:r>
                </w:p>
              </w:tc>
              <w:tc>
                <w:tcPr>
                  <w:tcW w:w="1217" w:type="pct"/>
                  <w:vAlign w:val="center"/>
                  <w:hideMark/>
                </w:tcPr>
                <w:p w14:paraId="15F250A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522</w:t>
                  </w:r>
                </w:p>
              </w:tc>
              <w:tc>
                <w:tcPr>
                  <w:tcW w:w="759" w:type="pct"/>
                  <w:vAlign w:val="center"/>
                  <w:hideMark/>
                </w:tcPr>
                <w:p w14:paraId="0C0CFB13"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NA</w:t>
                  </w:r>
                </w:p>
              </w:tc>
              <w:tc>
                <w:tcPr>
                  <w:tcW w:w="1077" w:type="pct"/>
                </w:tcPr>
                <w:p w14:paraId="6908CAA9"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NA</w:t>
                  </w:r>
                </w:p>
              </w:tc>
              <w:tc>
                <w:tcPr>
                  <w:tcW w:w="762" w:type="pct"/>
                  <w:vAlign w:val="center"/>
                  <w:hideMark/>
                </w:tcPr>
                <w:p w14:paraId="1153AF8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NA</w:t>
                  </w:r>
                </w:p>
              </w:tc>
              <w:tc>
                <w:tcPr>
                  <w:tcW w:w="757" w:type="pct"/>
                </w:tcPr>
                <w:p w14:paraId="5281AABA"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NA</w:t>
                  </w:r>
                </w:p>
              </w:tc>
            </w:tr>
            <w:tr w:rsidR="009406C2" w:rsidRPr="00B213CD" w14:paraId="109825E1" w14:textId="77777777" w:rsidTr="002A750F">
              <w:trPr>
                <w:trHeight w:val="20"/>
              </w:trPr>
              <w:tc>
                <w:tcPr>
                  <w:tcW w:w="428" w:type="pct"/>
                  <w:vAlign w:val="center"/>
                  <w:hideMark/>
                </w:tcPr>
                <w:p w14:paraId="60A4EF2A"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Y1</w:t>
                  </w:r>
                </w:p>
              </w:tc>
              <w:tc>
                <w:tcPr>
                  <w:tcW w:w="1217" w:type="pct"/>
                  <w:vAlign w:val="center"/>
                  <w:hideMark/>
                </w:tcPr>
                <w:p w14:paraId="3277FAB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531</w:t>
                  </w:r>
                </w:p>
              </w:tc>
              <w:tc>
                <w:tcPr>
                  <w:tcW w:w="759" w:type="pct"/>
                  <w:vAlign w:val="center"/>
                  <w:hideMark/>
                </w:tcPr>
                <w:p w14:paraId="3FDA443A"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70%</w:t>
                  </w:r>
                </w:p>
              </w:tc>
              <w:tc>
                <w:tcPr>
                  <w:tcW w:w="1077" w:type="pct"/>
                </w:tcPr>
                <w:p w14:paraId="337847AD"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372</w:t>
                  </w:r>
                </w:p>
              </w:tc>
              <w:tc>
                <w:tcPr>
                  <w:tcW w:w="762" w:type="pct"/>
                  <w:vAlign w:val="center"/>
                  <w:hideMark/>
                </w:tcPr>
                <w:p w14:paraId="28629330"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30%</w:t>
                  </w:r>
                </w:p>
              </w:tc>
              <w:tc>
                <w:tcPr>
                  <w:tcW w:w="757" w:type="pct"/>
                </w:tcPr>
                <w:p w14:paraId="68B55C0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159</w:t>
                  </w:r>
                </w:p>
              </w:tc>
            </w:tr>
            <w:tr w:rsidR="009406C2" w:rsidRPr="00B213CD" w14:paraId="7233BD55" w14:textId="77777777" w:rsidTr="002A750F">
              <w:trPr>
                <w:trHeight w:val="20"/>
              </w:trPr>
              <w:tc>
                <w:tcPr>
                  <w:tcW w:w="428" w:type="pct"/>
                  <w:vAlign w:val="center"/>
                  <w:hideMark/>
                </w:tcPr>
                <w:p w14:paraId="37F1D81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Y2</w:t>
                  </w:r>
                </w:p>
              </w:tc>
              <w:tc>
                <w:tcPr>
                  <w:tcW w:w="1217" w:type="pct"/>
                  <w:vAlign w:val="center"/>
                  <w:hideMark/>
                </w:tcPr>
                <w:p w14:paraId="53FBE2C4"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540</w:t>
                  </w:r>
                </w:p>
              </w:tc>
              <w:tc>
                <w:tcPr>
                  <w:tcW w:w="759" w:type="pct"/>
                  <w:vAlign w:val="center"/>
                  <w:hideMark/>
                </w:tcPr>
                <w:p w14:paraId="01374F13"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60%</w:t>
                  </w:r>
                </w:p>
              </w:tc>
              <w:tc>
                <w:tcPr>
                  <w:tcW w:w="1077" w:type="pct"/>
                </w:tcPr>
                <w:p w14:paraId="41E14586"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324</w:t>
                  </w:r>
                </w:p>
              </w:tc>
              <w:tc>
                <w:tcPr>
                  <w:tcW w:w="762" w:type="pct"/>
                  <w:vAlign w:val="center"/>
                  <w:hideMark/>
                </w:tcPr>
                <w:p w14:paraId="7A34F34E"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40%</w:t>
                  </w:r>
                </w:p>
              </w:tc>
              <w:tc>
                <w:tcPr>
                  <w:tcW w:w="757" w:type="pct"/>
                </w:tcPr>
                <w:p w14:paraId="5C66E38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216</w:t>
                  </w:r>
                </w:p>
              </w:tc>
            </w:tr>
            <w:tr w:rsidR="009406C2" w:rsidRPr="00B213CD" w14:paraId="588BBC01" w14:textId="77777777" w:rsidTr="002A750F">
              <w:trPr>
                <w:trHeight w:val="20"/>
              </w:trPr>
              <w:tc>
                <w:tcPr>
                  <w:tcW w:w="428" w:type="pct"/>
                  <w:vAlign w:val="center"/>
                  <w:hideMark/>
                </w:tcPr>
                <w:p w14:paraId="45F3596B"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Y3</w:t>
                  </w:r>
                </w:p>
              </w:tc>
              <w:tc>
                <w:tcPr>
                  <w:tcW w:w="1217" w:type="pct"/>
                  <w:vAlign w:val="center"/>
                  <w:hideMark/>
                </w:tcPr>
                <w:p w14:paraId="23BA3B4F"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549</w:t>
                  </w:r>
                </w:p>
              </w:tc>
              <w:tc>
                <w:tcPr>
                  <w:tcW w:w="759" w:type="pct"/>
                  <w:vAlign w:val="center"/>
                  <w:hideMark/>
                </w:tcPr>
                <w:p w14:paraId="3A820C9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50%</w:t>
                  </w:r>
                </w:p>
              </w:tc>
              <w:tc>
                <w:tcPr>
                  <w:tcW w:w="1077" w:type="pct"/>
                </w:tcPr>
                <w:p w14:paraId="2A298387"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275</w:t>
                  </w:r>
                </w:p>
              </w:tc>
              <w:tc>
                <w:tcPr>
                  <w:tcW w:w="762" w:type="pct"/>
                  <w:vAlign w:val="center"/>
                  <w:hideMark/>
                </w:tcPr>
                <w:p w14:paraId="15A78BE4"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50%</w:t>
                  </w:r>
                </w:p>
              </w:tc>
              <w:tc>
                <w:tcPr>
                  <w:tcW w:w="757" w:type="pct"/>
                </w:tcPr>
                <w:p w14:paraId="57AE65FF"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275</w:t>
                  </w:r>
                </w:p>
              </w:tc>
            </w:tr>
            <w:tr w:rsidR="009406C2" w:rsidRPr="00B213CD" w14:paraId="7A3036CE" w14:textId="77777777" w:rsidTr="002A750F">
              <w:trPr>
                <w:trHeight w:val="20"/>
              </w:trPr>
              <w:tc>
                <w:tcPr>
                  <w:tcW w:w="428" w:type="pct"/>
                  <w:vAlign w:val="center"/>
                  <w:hideMark/>
                </w:tcPr>
                <w:p w14:paraId="03B86070"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Y4</w:t>
                  </w:r>
                </w:p>
              </w:tc>
              <w:tc>
                <w:tcPr>
                  <w:tcW w:w="1217" w:type="pct"/>
                  <w:vAlign w:val="center"/>
                  <w:hideMark/>
                </w:tcPr>
                <w:p w14:paraId="535855A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558</w:t>
                  </w:r>
                </w:p>
              </w:tc>
              <w:tc>
                <w:tcPr>
                  <w:tcW w:w="759" w:type="pct"/>
                  <w:vAlign w:val="center"/>
                  <w:hideMark/>
                </w:tcPr>
                <w:p w14:paraId="7EDA742D"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40%</w:t>
                  </w:r>
                </w:p>
              </w:tc>
              <w:tc>
                <w:tcPr>
                  <w:tcW w:w="1077" w:type="pct"/>
                </w:tcPr>
                <w:p w14:paraId="1DA7EF5D"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223</w:t>
                  </w:r>
                </w:p>
              </w:tc>
              <w:tc>
                <w:tcPr>
                  <w:tcW w:w="762" w:type="pct"/>
                  <w:vAlign w:val="center"/>
                  <w:hideMark/>
                </w:tcPr>
                <w:p w14:paraId="4E9696EE"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60%</w:t>
                  </w:r>
                </w:p>
              </w:tc>
              <w:tc>
                <w:tcPr>
                  <w:tcW w:w="757" w:type="pct"/>
                </w:tcPr>
                <w:p w14:paraId="022901A1"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335</w:t>
                  </w:r>
                </w:p>
              </w:tc>
            </w:tr>
            <w:tr w:rsidR="009406C2" w:rsidRPr="00B213CD" w14:paraId="434F99DA" w14:textId="77777777" w:rsidTr="002A750F">
              <w:trPr>
                <w:trHeight w:val="20"/>
              </w:trPr>
              <w:tc>
                <w:tcPr>
                  <w:tcW w:w="428" w:type="pct"/>
                  <w:vAlign w:val="center"/>
                  <w:hideMark/>
                </w:tcPr>
                <w:p w14:paraId="26B37B52"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Y5</w:t>
                  </w:r>
                </w:p>
              </w:tc>
              <w:tc>
                <w:tcPr>
                  <w:tcW w:w="1217" w:type="pct"/>
                  <w:vAlign w:val="center"/>
                  <w:hideMark/>
                </w:tcPr>
                <w:p w14:paraId="4E8EB45B"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568</w:t>
                  </w:r>
                </w:p>
              </w:tc>
              <w:tc>
                <w:tcPr>
                  <w:tcW w:w="759" w:type="pct"/>
                  <w:vAlign w:val="center"/>
                  <w:hideMark/>
                </w:tcPr>
                <w:p w14:paraId="53A9F06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40%</w:t>
                  </w:r>
                </w:p>
              </w:tc>
              <w:tc>
                <w:tcPr>
                  <w:tcW w:w="1077" w:type="pct"/>
                </w:tcPr>
                <w:p w14:paraId="3978AE7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227</w:t>
                  </w:r>
                </w:p>
              </w:tc>
              <w:tc>
                <w:tcPr>
                  <w:tcW w:w="762" w:type="pct"/>
                  <w:vAlign w:val="center"/>
                  <w:hideMark/>
                </w:tcPr>
                <w:p w14:paraId="65C98ED3"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60%</w:t>
                  </w:r>
                </w:p>
              </w:tc>
              <w:tc>
                <w:tcPr>
                  <w:tcW w:w="757" w:type="pct"/>
                </w:tcPr>
                <w:p w14:paraId="00792A12"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341</w:t>
                  </w:r>
                </w:p>
              </w:tc>
            </w:tr>
            <w:tr w:rsidR="009406C2" w:rsidRPr="00B213CD" w14:paraId="74DD83F3" w14:textId="77777777" w:rsidTr="002A750F">
              <w:trPr>
                <w:trHeight w:val="20"/>
              </w:trPr>
              <w:tc>
                <w:tcPr>
                  <w:tcW w:w="428" w:type="pct"/>
                  <w:vAlign w:val="center"/>
                  <w:hideMark/>
                </w:tcPr>
                <w:p w14:paraId="5FCE2B91"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Y6</w:t>
                  </w:r>
                </w:p>
              </w:tc>
              <w:tc>
                <w:tcPr>
                  <w:tcW w:w="1217" w:type="pct"/>
                  <w:vAlign w:val="center"/>
                  <w:hideMark/>
                </w:tcPr>
                <w:p w14:paraId="036A4A26"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578</w:t>
                  </w:r>
                </w:p>
              </w:tc>
              <w:tc>
                <w:tcPr>
                  <w:tcW w:w="759" w:type="pct"/>
                  <w:vAlign w:val="center"/>
                  <w:hideMark/>
                </w:tcPr>
                <w:p w14:paraId="1FAB3992"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40%</w:t>
                  </w:r>
                </w:p>
              </w:tc>
              <w:tc>
                <w:tcPr>
                  <w:tcW w:w="1077" w:type="pct"/>
                </w:tcPr>
                <w:p w14:paraId="06CC5E80"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231</w:t>
                  </w:r>
                </w:p>
              </w:tc>
              <w:tc>
                <w:tcPr>
                  <w:tcW w:w="762" w:type="pct"/>
                  <w:vAlign w:val="center"/>
                  <w:hideMark/>
                </w:tcPr>
                <w:p w14:paraId="6951FA69"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60%</w:t>
                  </w:r>
                </w:p>
              </w:tc>
              <w:tc>
                <w:tcPr>
                  <w:tcW w:w="757" w:type="pct"/>
                </w:tcPr>
                <w:p w14:paraId="09008AE7"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347</w:t>
                  </w:r>
                </w:p>
              </w:tc>
            </w:tr>
          </w:tbl>
          <w:p w14:paraId="711BFEC8" w14:textId="77777777" w:rsidR="009406C2" w:rsidRPr="00B213CD" w:rsidRDefault="009406C2" w:rsidP="002A750F">
            <w:pPr>
              <w:pStyle w:val="TableText0"/>
              <w:keepNext w:val="0"/>
              <w:widowControl w:val="0"/>
              <w:rPr>
                <w:sz w:val="18"/>
                <w:szCs w:val="18"/>
              </w:rPr>
            </w:pPr>
          </w:p>
        </w:tc>
        <w:tc>
          <w:tcPr>
            <w:tcW w:w="777" w:type="pct"/>
          </w:tcPr>
          <w:p w14:paraId="5A0A2216" w14:textId="77777777" w:rsidR="009406C2" w:rsidRPr="00B213CD" w:rsidRDefault="009406C2" w:rsidP="002A750F">
            <w:pPr>
              <w:pStyle w:val="TableText0"/>
              <w:widowControl w:val="0"/>
              <w:rPr>
                <w:sz w:val="18"/>
                <w:szCs w:val="18"/>
              </w:rPr>
            </w:pPr>
            <w:r w:rsidRPr="00B213CD">
              <w:rPr>
                <w:sz w:val="18"/>
                <w:szCs w:val="18"/>
              </w:rPr>
              <w:t>2025 V (VO/IV) scripts: PBS/ RPBS (Jun 2024–May 2025). Growth (2026–2031): 1.7% = population growth (ABS 2024).</w:t>
            </w:r>
          </w:p>
          <w:p w14:paraId="51CA8154" w14:textId="2D9F1293" w:rsidR="009406C2" w:rsidRPr="00B213CD" w:rsidRDefault="009406C2" w:rsidP="002A750F">
            <w:pPr>
              <w:pStyle w:val="TableText0"/>
              <w:keepNext w:val="0"/>
              <w:widowControl w:val="0"/>
              <w:rPr>
                <w:sz w:val="18"/>
                <w:szCs w:val="18"/>
              </w:rPr>
            </w:pPr>
            <w:r w:rsidRPr="00B213CD">
              <w:rPr>
                <w:sz w:val="18"/>
                <w:szCs w:val="18"/>
              </w:rPr>
              <w:t>Market shares: para 6.89, ibrutinib PSD, PBAC Mar 2024.</w:t>
            </w:r>
          </w:p>
        </w:tc>
        <w:tc>
          <w:tcPr>
            <w:tcW w:w="1065" w:type="pct"/>
          </w:tcPr>
          <w:p w14:paraId="60D05D76" w14:textId="25F156A1" w:rsidR="009406C2" w:rsidRPr="00B213CD" w:rsidRDefault="009406C2" w:rsidP="002A750F">
            <w:pPr>
              <w:jc w:val="left"/>
              <w:rPr>
                <w:rFonts w:ascii="Arial Narrow" w:eastAsiaTheme="majorEastAsia" w:hAnsi="Arial Narrow" w:cstheme="majorBidi"/>
                <w:bCs/>
                <w:sz w:val="18"/>
                <w:szCs w:val="18"/>
              </w:rPr>
            </w:pPr>
            <w:r w:rsidRPr="00B213CD">
              <w:rPr>
                <w:rFonts w:ascii="Arial Narrow" w:eastAsiaTheme="majorEastAsia" w:hAnsi="Arial Narrow" w:cstheme="majorBidi"/>
                <w:bCs/>
                <w:sz w:val="18"/>
                <w:szCs w:val="18"/>
              </w:rPr>
              <w:t xml:space="preserve">V (VO/IV) market growth projections (i.e., +1.7%/year) may be overestimated, </w:t>
            </w:r>
            <w:r w:rsidR="006A7E85" w:rsidRPr="00B213CD">
              <w:rPr>
                <w:rFonts w:ascii="Arial Narrow" w:eastAsiaTheme="majorEastAsia" w:hAnsi="Arial Narrow" w:cstheme="majorBidi"/>
                <w:bCs/>
                <w:sz w:val="18"/>
                <w:szCs w:val="18"/>
              </w:rPr>
              <w:t>particularly</w:t>
            </w:r>
            <w:r w:rsidRPr="00B213CD">
              <w:rPr>
                <w:rFonts w:ascii="Arial Narrow" w:eastAsiaTheme="majorEastAsia" w:hAnsi="Arial Narrow" w:cstheme="majorBidi"/>
                <w:bCs/>
                <w:sz w:val="18"/>
                <w:szCs w:val="18"/>
              </w:rPr>
              <w:t xml:space="preserve"> considering shifts</w:t>
            </w:r>
            <w:r w:rsidR="006A7E85" w:rsidRPr="00B213CD">
              <w:rPr>
                <w:rFonts w:ascii="Arial Narrow" w:eastAsiaTheme="majorEastAsia" w:hAnsi="Arial Narrow" w:cstheme="majorBidi"/>
                <w:bCs/>
                <w:sz w:val="18"/>
                <w:szCs w:val="18"/>
              </w:rPr>
              <w:t xml:space="preserve"> in utilisation</w:t>
            </w:r>
            <w:r w:rsidRPr="00B213CD">
              <w:rPr>
                <w:rFonts w:ascii="Arial Narrow" w:eastAsiaTheme="majorEastAsia" w:hAnsi="Arial Narrow" w:cstheme="majorBidi"/>
                <w:bCs/>
                <w:sz w:val="18"/>
                <w:szCs w:val="18"/>
              </w:rPr>
              <w:t xml:space="preserve"> to TTP regimens (para 6.89, ibrutinib</w:t>
            </w:r>
            <w:r w:rsidR="003D445F" w:rsidRPr="00B213CD">
              <w:rPr>
                <w:rFonts w:ascii="Arial Narrow" w:eastAsiaTheme="majorEastAsia" w:hAnsi="Arial Narrow" w:cstheme="majorBidi"/>
                <w:bCs/>
                <w:sz w:val="18"/>
                <w:szCs w:val="18"/>
              </w:rPr>
              <w:t xml:space="preserve"> </w:t>
            </w:r>
            <w:r w:rsidRPr="00B213CD">
              <w:rPr>
                <w:rFonts w:ascii="Arial Narrow" w:eastAsiaTheme="majorEastAsia" w:hAnsi="Arial Narrow" w:cstheme="majorBidi"/>
                <w:bCs/>
                <w:sz w:val="18"/>
                <w:szCs w:val="18"/>
              </w:rPr>
              <w:t>PSD, March 2024</w:t>
            </w:r>
            <w:r w:rsidR="003D445F" w:rsidRPr="00B213CD">
              <w:rPr>
                <w:rFonts w:ascii="Arial Narrow" w:eastAsiaTheme="majorEastAsia" w:hAnsi="Arial Narrow" w:cstheme="majorBidi"/>
                <w:bCs/>
                <w:sz w:val="18"/>
                <w:szCs w:val="18"/>
              </w:rPr>
              <w:t xml:space="preserve"> PBAC meeting</w:t>
            </w:r>
            <w:r w:rsidRPr="00B213CD">
              <w:rPr>
                <w:rFonts w:ascii="Arial Narrow" w:eastAsiaTheme="majorEastAsia" w:hAnsi="Arial Narrow" w:cstheme="majorBidi"/>
                <w:bCs/>
                <w:sz w:val="18"/>
                <w:szCs w:val="18"/>
              </w:rPr>
              <w:t>). Additionally, the estimated uptake rate of IV from VO (in the absence of AV) may be overstated given alternative 1L CLL/SLL options, particularly zanubrutinib.</w:t>
            </w:r>
          </w:p>
        </w:tc>
      </w:tr>
      <w:tr w:rsidR="009406C2" w:rsidRPr="00B213CD" w14:paraId="7DE7C45E" w14:textId="77777777" w:rsidTr="00B213CD">
        <w:trPr>
          <w:trHeight w:val="20"/>
        </w:trPr>
        <w:tc>
          <w:tcPr>
            <w:tcW w:w="595" w:type="pct"/>
          </w:tcPr>
          <w:p w14:paraId="3D8566D1" w14:textId="77777777" w:rsidR="009406C2" w:rsidRPr="00B213CD" w:rsidRDefault="009406C2" w:rsidP="002A750F">
            <w:pPr>
              <w:pStyle w:val="TableText0"/>
              <w:keepNext w:val="0"/>
              <w:widowControl w:val="0"/>
              <w:rPr>
                <w:bCs w:val="0"/>
                <w:sz w:val="18"/>
                <w:szCs w:val="18"/>
              </w:rPr>
            </w:pPr>
            <w:r w:rsidRPr="00B213CD">
              <w:rPr>
                <w:bCs w:val="0"/>
                <w:sz w:val="18"/>
                <w:szCs w:val="18"/>
              </w:rPr>
              <w:t>Total scripts (projected current market)</w:t>
            </w:r>
          </w:p>
        </w:tc>
        <w:tc>
          <w:tcPr>
            <w:tcW w:w="2563" w:type="pct"/>
          </w:tcPr>
          <w:tbl>
            <w:tblPr>
              <w:tblW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02"/>
              <w:gridCol w:w="984"/>
              <w:gridCol w:w="984"/>
              <w:gridCol w:w="701"/>
              <w:gridCol w:w="734"/>
            </w:tblGrid>
            <w:tr w:rsidR="009406C2" w:rsidRPr="00B213CD" w14:paraId="4B197649" w14:textId="77777777" w:rsidTr="002A750F">
              <w:trPr>
                <w:trHeight w:val="20"/>
              </w:trPr>
              <w:tc>
                <w:tcPr>
                  <w:tcW w:w="574" w:type="pct"/>
                  <w:vAlign w:val="center"/>
                </w:tcPr>
                <w:p w14:paraId="41C631F9" w14:textId="77777777" w:rsidR="009406C2" w:rsidRPr="00B213CD" w:rsidRDefault="009406C2" w:rsidP="002A750F">
                  <w:pPr>
                    <w:jc w:val="left"/>
                    <w:rPr>
                      <w:rFonts w:ascii="Arial Narrow" w:hAnsi="Arial Narrow"/>
                      <w:b/>
                      <w:bCs/>
                      <w:sz w:val="18"/>
                      <w:szCs w:val="18"/>
                    </w:rPr>
                  </w:pPr>
                  <w:r w:rsidRPr="00B213CD">
                    <w:rPr>
                      <w:rFonts w:ascii="Arial Narrow" w:hAnsi="Arial Narrow"/>
                      <w:b/>
                      <w:bCs/>
                      <w:sz w:val="18"/>
                      <w:szCs w:val="18"/>
                    </w:rPr>
                    <w:t>Yr</w:t>
                  </w:r>
                </w:p>
              </w:tc>
              <w:tc>
                <w:tcPr>
                  <w:tcW w:w="757" w:type="pct"/>
                  <w:vAlign w:val="center"/>
                </w:tcPr>
                <w:p w14:paraId="6B77F353"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Total * V (VO) scripts</w:t>
                  </w:r>
                </w:p>
              </w:tc>
              <w:tc>
                <w:tcPr>
                  <w:tcW w:w="1061" w:type="pct"/>
                </w:tcPr>
                <w:p w14:paraId="73BE9722"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sz w:val="18"/>
                      <w:szCs w:val="18"/>
                    </w:rPr>
                    <w:t>O (VO) scripts (public)</w:t>
                  </w:r>
                </w:p>
              </w:tc>
              <w:tc>
                <w:tcPr>
                  <w:tcW w:w="1061" w:type="pct"/>
                  <w:vAlign w:val="center"/>
                </w:tcPr>
                <w:p w14:paraId="71B8E76A"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sz w:val="18"/>
                      <w:szCs w:val="18"/>
                    </w:rPr>
                    <w:t>O (VO) scripts (private)</w:t>
                  </w:r>
                </w:p>
              </w:tc>
              <w:tc>
                <w:tcPr>
                  <w:tcW w:w="756" w:type="pct"/>
                  <w:vAlign w:val="center"/>
                </w:tcPr>
                <w:p w14:paraId="5D92B548"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Total * V (IV) scripts</w:t>
                  </w:r>
                </w:p>
              </w:tc>
              <w:tc>
                <w:tcPr>
                  <w:tcW w:w="792" w:type="pct"/>
                </w:tcPr>
                <w:p w14:paraId="60417B06" w14:textId="77777777" w:rsidR="009406C2" w:rsidRPr="00B213CD" w:rsidRDefault="009406C2" w:rsidP="002A750F">
                  <w:pPr>
                    <w:jc w:val="left"/>
                    <w:rPr>
                      <w:rFonts w:ascii="Arial Narrow" w:hAnsi="Arial Narrow"/>
                      <w:b/>
                      <w:bCs/>
                      <w:sz w:val="18"/>
                      <w:szCs w:val="18"/>
                    </w:rPr>
                  </w:pPr>
                  <w:r w:rsidRPr="00B213CD">
                    <w:rPr>
                      <w:rFonts w:ascii="Arial Narrow" w:hAnsi="Arial Narrow"/>
                      <w:b/>
                      <w:bCs/>
                      <w:sz w:val="18"/>
                      <w:szCs w:val="18"/>
                    </w:rPr>
                    <w:t>I (IV) scripts</w:t>
                  </w:r>
                </w:p>
              </w:tc>
            </w:tr>
            <w:tr w:rsidR="009406C2" w:rsidRPr="00B213CD" w14:paraId="1CB9595C" w14:textId="77777777" w:rsidTr="002A750F">
              <w:trPr>
                <w:trHeight w:val="20"/>
              </w:trPr>
              <w:tc>
                <w:tcPr>
                  <w:tcW w:w="574" w:type="pct"/>
                  <w:vAlign w:val="center"/>
                </w:tcPr>
                <w:p w14:paraId="2ADBB7F2" w14:textId="77777777" w:rsidR="009406C2" w:rsidRPr="00B213CD" w:rsidRDefault="009406C2" w:rsidP="002A750F">
                  <w:pPr>
                    <w:jc w:val="left"/>
                    <w:rPr>
                      <w:rFonts w:ascii="Arial Narrow" w:hAnsi="Arial Narrow"/>
                      <w:sz w:val="18"/>
                      <w:szCs w:val="18"/>
                    </w:rPr>
                  </w:pPr>
                  <w:r w:rsidRPr="00B213CD">
                    <w:rPr>
                      <w:rFonts w:ascii="Arial Narrow" w:hAnsi="Arial Narrow"/>
                      <w:sz w:val="18"/>
                      <w:szCs w:val="18"/>
                    </w:rPr>
                    <w:t>Calc</w:t>
                  </w:r>
                </w:p>
              </w:tc>
              <w:tc>
                <w:tcPr>
                  <w:tcW w:w="757" w:type="pct"/>
                  <w:vAlign w:val="center"/>
                </w:tcPr>
                <w:p w14:paraId="4A2C8832"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Initial V (VO) × 9.67</w:t>
                  </w:r>
                </w:p>
              </w:tc>
              <w:tc>
                <w:tcPr>
                  <w:tcW w:w="1061" w:type="pct"/>
                </w:tcPr>
                <w:p w14:paraId="2971B25E"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Initial V (VO)×7.355 × 34%</w:t>
                  </w:r>
                </w:p>
              </w:tc>
              <w:tc>
                <w:tcPr>
                  <w:tcW w:w="1061" w:type="pct"/>
                </w:tcPr>
                <w:p w14:paraId="09D48F93"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Initial V (VO)×7.355 × 66%</w:t>
                  </w:r>
                </w:p>
              </w:tc>
              <w:tc>
                <w:tcPr>
                  <w:tcW w:w="756" w:type="pct"/>
                  <w:vAlign w:val="center"/>
                </w:tcPr>
                <w:p w14:paraId="3A94C28F"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Initial V (IV) ×10.43</w:t>
                  </w:r>
                </w:p>
              </w:tc>
              <w:tc>
                <w:tcPr>
                  <w:tcW w:w="792" w:type="pct"/>
                  <w:vAlign w:val="center"/>
                </w:tcPr>
                <w:p w14:paraId="77F8BEB7" w14:textId="77777777" w:rsidR="009406C2" w:rsidRPr="00B213CD" w:rsidRDefault="009406C2" w:rsidP="002A750F">
                  <w:pPr>
                    <w:jc w:val="left"/>
                    <w:rPr>
                      <w:rFonts w:ascii="Arial Narrow" w:hAnsi="Arial Narrow"/>
                      <w:sz w:val="18"/>
                      <w:szCs w:val="18"/>
                    </w:rPr>
                  </w:pPr>
                  <w:r w:rsidRPr="00B213CD">
                    <w:rPr>
                      <w:rFonts w:ascii="Arial Narrow" w:hAnsi="Arial Narrow"/>
                      <w:color w:val="000000"/>
                      <w:sz w:val="18"/>
                      <w:szCs w:val="18"/>
                    </w:rPr>
                    <w:t>Initial V (IV) ×</w:t>
                  </w:r>
                  <w:r w:rsidRPr="00B213CD">
                    <w:rPr>
                      <w:rFonts w:ascii="Arial Narrow" w:hAnsi="Arial Narrow"/>
                      <w:sz w:val="18"/>
                      <w:szCs w:val="18"/>
                    </w:rPr>
                    <w:t xml:space="preserve"> </w:t>
                  </w:r>
                  <w:r w:rsidRPr="00B213CD">
                    <w:rPr>
                      <w:rFonts w:ascii="Arial Narrow" w:hAnsi="Arial Narrow"/>
                      <w:color w:val="000000"/>
                      <w:sz w:val="18"/>
                      <w:szCs w:val="18"/>
                    </w:rPr>
                    <w:t>12.06</w:t>
                  </w:r>
                </w:p>
              </w:tc>
            </w:tr>
            <w:tr w:rsidR="009406C2" w:rsidRPr="00B213CD" w14:paraId="2E6D06E9" w14:textId="77777777" w:rsidTr="002A750F">
              <w:trPr>
                <w:trHeight w:val="20"/>
              </w:trPr>
              <w:tc>
                <w:tcPr>
                  <w:tcW w:w="574" w:type="pct"/>
                  <w:vAlign w:val="center"/>
                  <w:hideMark/>
                </w:tcPr>
                <w:p w14:paraId="0DA5E109"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Y1</w:t>
                  </w:r>
                </w:p>
              </w:tc>
              <w:tc>
                <w:tcPr>
                  <w:tcW w:w="757" w:type="pct"/>
                  <w:vAlign w:val="center"/>
                </w:tcPr>
                <w:p w14:paraId="2FB6DC1B" w14:textId="3E1E5DE7" w:rsidR="009406C2" w:rsidRPr="00A01E35" w:rsidRDefault="009406C2" w:rsidP="002A750F">
                  <w:pPr>
                    <w:jc w:val="left"/>
                    <w:rPr>
                      <w:rFonts w:ascii="Arial Narrow" w:hAnsi="Arial Narrow"/>
                      <w:color w:val="000000"/>
                      <w:sz w:val="18"/>
                      <w:szCs w:val="18"/>
                      <w:vertAlign w:val="superscript"/>
                    </w:rPr>
                  </w:pPr>
                  <w:r w:rsidRPr="00A01E35">
                    <w:rPr>
                      <w:rFonts w:ascii="Arial Narrow" w:hAnsi="Arial Narrow"/>
                      <w:color w:val="000000"/>
                      <w:sz w:val="18"/>
                      <w:szCs w:val="18"/>
                    </w:rPr>
                    <w:t>3593</w:t>
                  </w:r>
                </w:p>
              </w:tc>
              <w:tc>
                <w:tcPr>
                  <w:tcW w:w="1061" w:type="pct"/>
                  <w:vAlign w:val="center"/>
                </w:tcPr>
                <w:p w14:paraId="1526B660"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917</w:t>
                  </w:r>
                </w:p>
              </w:tc>
              <w:tc>
                <w:tcPr>
                  <w:tcW w:w="1061" w:type="pct"/>
                  <w:vAlign w:val="center"/>
                </w:tcPr>
                <w:p w14:paraId="092F4E0E"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1816</w:t>
                  </w:r>
                </w:p>
              </w:tc>
              <w:tc>
                <w:tcPr>
                  <w:tcW w:w="756" w:type="pct"/>
                  <w:vAlign w:val="center"/>
                </w:tcPr>
                <w:p w14:paraId="76D22601"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1661</w:t>
                  </w:r>
                </w:p>
              </w:tc>
              <w:tc>
                <w:tcPr>
                  <w:tcW w:w="792" w:type="pct"/>
                  <w:vAlign w:val="center"/>
                </w:tcPr>
                <w:p w14:paraId="7708FA0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1921</w:t>
                  </w:r>
                </w:p>
              </w:tc>
            </w:tr>
            <w:tr w:rsidR="009406C2" w:rsidRPr="00B213CD" w14:paraId="5F4E8336" w14:textId="77777777" w:rsidTr="002A750F">
              <w:trPr>
                <w:trHeight w:val="20"/>
              </w:trPr>
              <w:tc>
                <w:tcPr>
                  <w:tcW w:w="574" w:type="pct"/>
                  <w:vAlign w:val="center"/>
                </w:tcPr>
                <w:p w14:paraId="27AED1D1"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Y2</w:t>
                  </w:r>
                </w:p>
              </w:tc>
              <w:tc>
                <w:tcPr>
                  <w:tcW w:w="757" w:type="pct"/>
                  <w:vAlign w:val="center"/>
                </w:tcPr>
                <w:p w14:paraId="78B4091A"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3132</w:t>
                  </w:r>
                </w:p>
              </w:tc>
              <w:tc>
                <w:tcPr>
                  <w:tcW w:w="1061" w:type="pct"/>
                  <w:vAlign w:val="center"/>
                </w:tcPr>
                <w:p w14:paraId="2DCE23E8"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800</w:t>
                  </w:r>
                </w:p>
              </w:tc>
              <w:tc>
                <w:tcPr>
                  <w:tcW w:w="1061" w:type="pct"/>
                  <w:vAlign w:val="center"/>
                </w:tcPr>
                <w:p w14:paraId="58443FB1"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1583</w:t>
                  </w:r>
                </w:p>
              </w:tc>
              <w:tc>
                <w:tcPr>
                  <w:tcW w:w="756" w:type="pct"/>
                  <w:vAlign w:val="center"/>
                </w:tcPr>
                <w:p w14:paraId="4D4C3CEC"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2252</w:t>
                  </w:r>
                </w:p>
              </w:tc>
              <w:tc>
                <w:tcPr>
                  <w:tcW w:w="792" w:type="pct"/>
                  <w:vAlign w:val="center"/>
                </w:tcPr>
                <w:p w14:paraId="00C9F87D"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2604</w:t>
                  </w:r>
                </w:p>
              </w:tc>
            </w:tr>
            <w:tr w:rsidR="009406C2" w:rsidRPr="00B213CD" w14:paraId="1A9F2E7C" w14:textId="77777777" w:rsidTr="002A750F">
              <w:trPr>
                <w:trHeight w:val="20"/>
              </w:trPr>
              <w:tc>
                <w:tcPr>
                  <w:tcW w:w="574" w:type="pct"/>
                  <w:vAlign w:val="center"/>
                </w:tcPr>
                <w:p w14:paraId="620CAA79"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Y3</w:t>
                  </w:r>
                </w:p>
              </w:tc>
              <w:tc>
                <w:tcPr>
                  <w:tcW w:w="757" w:type="pct"/>
                  <w:vAlign w:val="center"/>
                </w:tcPr>
                <w:p w14:paraId="1AF4D2EE"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2655</w:t>
                  </w:r>
                </w:p>
              </w:tc>
              <w:tc>
                <w:tcPr>
                  <w:tcW w:w="1061" w:type="pct"/>
                  <w:vAlign w:val="center"/>
                </w:tcPr>
                <w:p w14:paraId="3D4CA850"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678</w:t>
                  </w:r>
                </w:p>
              </w:tc>
              <w:tc>
                <w:tcPr>
                  <w:tcW w:w="1061" w:type="pct"/>
                  <w:vAlign w:val="center"/>
                </w:tcPr>
                <w:p w14:paraId="40E1D337"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1342</w:t>
                  </w:r>
                </w:p>
              </w:tc>
              <w:tc>
                <w:tcPr>
                  <w:tcW w:w="756" w:type="pct"/>
                  <w:vAlign w:val="center"/>
                </w:tcPr>
                <w:p w14:paraId="3270A9C4"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2863</w:t>
                  </w:r>
                </w:p>
              </w:tc>
              <w:tc>
                <w:tcPr>
                  <w:tcW w:w="792" w:type="pct"/>
                  <w:vAlign w:val="center"/>
                </w:tcPr>
                <w:p w14:paraId="272D944E"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3311</w:t>
                  </w:r>
                </w:p>
              </w:tc>
            </w:tr>
            <w:tr w:rsidR="009406C2" w:rsidRPr="00B213CD" w14:paraId="76BABFC5" w14:textId="77777777" w:rsidTr="002A750F">
              <w:trPr>
                <w:trHeight w:val="20"/>
              </w:trPr>
              <w:tc>
                <w:tcPr>
                  <w:tcW w:w="574" w:type="pct"/>
                  <w:vAlign w:val="center"/>
                </w:tcPr>
                <w:p w14:paraId="67C6FCB9"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Y4</w:t>
                  </w:r>
                </w:p>
              </w:tc>
              <w:tc>
                <w:tcPr>
                  <w:tcW w:w="757" w:type="pct"/>
                  <w:vAlign w:val="center"/>
                </w:tcPr>
                <w:p w14:paraId="57DA2F74"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2160</w:t>
                  </w:r>
                </w:p>
              </w:tc>
              <w:tc>
                <w:tcPr>
                  <w:tcW w:w="1061" w:type="pct"/>
                  <w:vAlign w:val="center"/>
                </w:tcPr>
                <w:p w14:paraId="685B64B5"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551</w:t>
                  </w:r>
                </w:p>
              </w:tc>
              <w:tc>
                <w:tcPr>
                  <w:tcW w:w="1061" w:type="pct"/>
                  <w:vAlign w:val="center"/>
                </w:tcPr>
                <w:p w14:paraId="15335F5B"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1092</w:t>
                  </w:r>
                </w:p>
              </w:tc>
              <w:tc>
                <w:tcPr>
                  <w:tcW w:w="756" w:type="pct"/>
                  <w:vAlign w:val="center"/>
                </w:tcPr>
                <w:p w14:paraId="6EDDD33D"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3495</w:t>
                  </w:r>
                </w:p>
              </w:tc>
              <w:tc>
                <w:tcPr>
                  <w:tcW w:w="792" w:type="pct"/>
                  <w:vAlign w:val="center"/>
                </w:tcPr>
                <w:p w14:paraId="4EFDB94E"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4041</w:t>
                  </w:r>
                </w:p>
              </w:tc>
            </w:tr>
            <w:tr w:rsidR="009406C2" w:rsidRPr="00B213CD" w14:paraId="73AE6389" w14:textId="77777777" w:rsidTr="002A750F">
              <w:trPr>
                <w:trHeight w:val="20"/>
              </w:trPr>
              <w:tc>
                <w:tcPr>
                  <w:tcW w:w="574" w:type="pct"/>
                  <w:vAlign w:val="center"/>
                </w:tcPr>
                <w:p w14:paraId="755BF1FB"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Y5</w:t>
                  </w:r>
                </w:p>
              </w:tc>
              <w:tc>
                <w:tcPr>
                  <w:tcW w:w="757" w:type="pct"/>
                  <w:vAlign w:val="center"/>
                </w:tcPr>
                <w:p w14:paraId="635F2F7B"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2197</w:t>
                  </w:r>
                </w:p>
              </w:tc>
              <w:tc>
                <w:tcPr>
                  <w:tcW w:w="1061" w:type="pct"/>
                  <w:vAlign w:val="center"/>
                </w:tcPr>
                <w:p w14:paraId="55AD60EB"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561</w:t>
                  </w:r>
                </w:p>
              </w:tc>
              <w:tc>
                <w:tcPr>
                  <w:tcW w:w="1061" w:type="pct"/>
                  <w:vAlign w:val="center"/>
                </w:tcPr>
                <w:p w14:paraId="776BEC09"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1110</w:t>
                  </w:r>
                </w:p>
              </w:tc>
              <w:tc>
                <w:tcPr>
                  <w:tcW w:w="756" w:type="pct"/>
                  <w:vAlign w:val="center"/>
                </w:tcPr>
                <w:p w14:paraId="024B1F37"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3554</w:t>
                  </w:r>
                </w:p>
              </w:tc>
              <w:tc>
                <w:tcPr>
                  <w:tcW w:w="792" w:type="pct"/>
                  <w:vAlign w:val="center"/>
                </w:tcPr>
                <w:p w14:paraId="16F943E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4109</w:t>
                  </w:r>
                </w:p>
              </w:tc>
            </w:tr>
            <w:tr w:rsidR="009406C2" w:rsidRPr="00B213CD" w14:paraId="406AC37B" w14:textId="77777777" w:rsidTr="002A750F">
              <w:trPr>
                <w:trHeight w:val="20"/>
              </w:trPr>
              <w:tc>
                <w:tcPr>
                  <w:tcW w:w="574" w:type="pct"/>
                  <w:vAlign w:val="center"/>
                </w:tcPr>
                <w:p w14:paraId="042D6A38"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Y6</w:t>
                  </w:r>
                </w:p>
              </w:tc>
              <w:tc>
                <w:tcPr>
                  <w:tcW w:w="757" w:type="pct"/>
                  <w:vAlign w:val="center"/>
                </w:tcPr>
                <w:p w14:paraId="5D50AC1A"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2234</w:t>
                  </w:r>
                </w:p>
              </w:tc>
              <w:tc>
                <w:tcPr>
                  <w:tcW w:w="1061" w:type="pct"/>
                  <w:vAlign w:val="center"/>
                </w:tcPr>
                <w:p w14:paraId="7AE73F67"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570</w:t>
                  </w:r>
                </w:p>
              </w:tc>
              <w:tc>
                <w:tcPr>
                  <w:tcW w:w="1061" w:type="pct"/>
                  <w:vAlign w:val="center"/>
                </w:tcPr>
                <w:p w14:paraId="14784A15"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1129</w:t>
                  </w:r>
                </w:p>
              </w:tc>
              <w:tc>
                <w:tcPr>
                  <w:tcW w:w="756" w:type="pct"/>
                  <w:vAlign w:val="center"/>
                </w:tcPr>
                <w:p w14:paraId="65BEBE40" w14:textId="77777777" w:rsidR="009406C2" w:rsidRPr="00A01E35" w:rsidRDefault="009406C2" w:rsidP="002A750F">
                  <w:pPr>
                    <w:jc w:val="left"/>
                    <w:rPr>
                      <w:rFonts w:ascii="Arial Narrow" w:hAnsi="Arial Narrow"/>
                      <w:color w:val="000000"/>
                      <w:sz w:val="18"/>
                      <w:szCs w:val="18"/>
                    </w:rPr>
                  </w:pPr>
                  <w:r w:rsidRPr="00A01E35">
                    <w:rPr>
                      <w:rFonts w:ascii="Arial Narrow" w:hAnsi="Arial Narrow"/>
                      <w:color w:val="000000"/>
                      <w:sz w:val="18"/>
                      <w:szCs w:val="18"/>
                    </w:rPr>
                    <w:t>3614</w:t>
                  </w:r>
                </w:p>
              </w:tc>
              <w:tc>
                <w:tcPr>
                  <w:tcW w:w="792" w:type="pct"/>
                  <w:vAlign w:val="center"/>
                </w:tcPr>
                <w:p w14:paraId="6195870C"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color w:val="000000"/>
                      <w:sz w:val="18"/>
                      <w:szCs w:val="18"/>
                    </w:rPr>
                    <w:t>4179</w:t>
                  </w:r>
                </w:p>
              </w:tc>
            </w:tr>
          </w:tbl>
          <w:p w14:paraId="5ADA23A4" w14:textId="77777777" w:rsidR="009406C2" w:rsidRPr="00B213CD" w:rsidRDefault="009406C2" w:rsidP="002A750F">
            <w:pPr>
              <w:rPr>
                <w:rFonts w:ascii="Arial Narrow" w:hAnsi="Arial Narrow"/>
                <w:sz w:val="18"/>
                <w:szCs w:val="18"/>
              </w:rPr>
            </w:pPr>
            <w:r w:rsidRPr="00B213CD">
              <w:rPr>
                <w:rFonts w:ascii="Arial Narrow" w:hAnsi="Arial Narrow"/>
                <w:b/>
                <w:bCs/>
                <w:sz w:val="18"/>
                <w:szCs w:val="18"/>
              </w:rPr>
              <w:t>*</w:t>
            </w:r>
            <w:r w:rsidRPr="00B213CD">
              <w:rPr>
                <w:rFonts w:ascii="Arial Narrow" w:hAnsi="Arial Narrow"/>
                <w:sz w:val="18"/>
                <w:szCs w:val="18"/>
              </w:rPr>
              <w:t xml:space="preserve"> Total: initiating + continuing scripts</w:t>
            </w:r>
          </w:p>
        </w:tc>
        <w:tc>
          <w:tcPr>
            <w:tcW w:w="777" w:type="pct"/>
          </w:tcPr>
          <w:p w14:paraId="7D96423C" w14:textId="369518EF" w:rsidR="009406C2" w:rsidRPr="00B213CD" w:rsidRDefault="009406C2" w:rsidP="002A750F">
            <w:pPr>
              <w:pStyle w:val="TableText0"/>
              <w:keepNext w:val="0"/>
              <w:widowControl w:val="0"/>
              <w:rPr>
                <w:sz w:val="18"/>
                <w:szCs w:val="18"/>
              </w:rPr>
            </w:pPr>
            <w:r w:rsidRPr="00B213CD">
              <w:rPr>
                <w:sz w:val="18"/>
                <w:szCs w:val="18"/>
              </w:rPr>
              <w:t xml:space="preserve">The estimate was derived by multiplying the number of V (VO/IV) initiation scripts by the equi-effective doses. O (VO) scripts </w:t>
            </w:r>
            <w:r w:rsidR="006A7E85" w:rsidRPr="00B213CD">
              <w:rPr>
                <w:sz w:val="18"/>
                <w:szCs w:val="18"/>
              </w:rPr>
              <w:t>were</w:t>
            </w:r>
            <w:r w:rsidRPr="00B213CD">
              <w:rPr>
                <w:sz w:val="18"/>
                <w:szCs w:val="18"/>
              </w:rPr>
              <w:t xml:space="preserve"> also estimated using the public/private hospital share.</w:t>
            </w:r>
          </w:p>
        </w:tc>
        <w:tc>
          <w:tcPr>
            <w:tcW w:w="1065" w:type="pct"/>
          </w:tcPr>
          <w:p w14:paraId="0877FB13" w14:textId="5B1063BC" w:rsidR="009406C2" w:rsidRPr="00B213CD" w:rsidRDefault="009406C2" w:rsidP="002A750F">
            <w:pPr>
              <w:pStyle w:val="TableText0"/>
              <w:keepNext w:val="0"/>
              <w:widowControl w:val="0"/>
              <w:rPr>
                <w:sz w:val="18"/>
                <w:szCs w:val="18"/>
              </w:rPr>
            </w:pPr>
            <w:r w:rsidRPr="00B213CD">
              <w:rPr>
                <w:sz w:val="18"/>
                <w:szCs w:val="18"/>
              </w:rPr>
              <w:t>The number of scripts was consistent with previous PBAC decisions (para 7.12, ibrutinib</w:t>
            </w:r>
            <w:r w:rsidR="003D445F" w:rsidRPr="00B213CD">
              <w:rPr>
                <w:sz w:val="18"/>
                <w:szCs w:val="18"/>
              </w:rPr>
              <w:t xml:space="preserve"> </w:t>
            </w:r>
            <w:r w:rsidRPr="00B213CD">
              <w:rPr>
                <w:sz w:val="18"/>
                <w:szCs w:val="18"/>
              </w:rPr>
              <w:t>PSD, March 2024</w:t>
            </w:r>
            <w:r w:rsidR="003D445F" w:rsidRPr="00B213CD">
              <w:rPr>
                <w:sz w:val="18"/>
                <w:szCs w:val="18"/>
              </w:rPr>
              <w:t xml:space="preserve"> PBAC meeting</w:t>
            </w:r>
            <w:r w:rsidRPr="00B213CD">
              <w:rPr>
                <w:sz w:val="18"/>
                <w:szCs w:val="18"/>
              </w:rPr>
              <w:t>) and with Section 3 of the current submission.</w:t>
            </w:r>
          </w:p>
        </w:tc>
      </w:tr>
      <w:tr w:rsidR="009406C2" w:rsidRPr="00B213CD" w14:paraId="297DEC11" w14:textId="77777777" w:rsidTr="00B213CD">
        <w:trPr>
          <w:trHeight w:val="20"/>
        </w:trPr>
        <w:tc>
          <w:tcPr>
            <w:tcW w:w="5000" w:type="pct"/>
            <w:gridSpan w:val="4"/>
          </w:tcPr>
          <w:p w14:paraId="3F653A64" w14:textId="77777777" w:rsidR="009406C2" w:rsidRPr="00B213CD" w:rsidRDefault="009406C2" w:rsidP="002A750F">
            <w:pPr>
              <w:pStyle w:val="TableText0"/>
              <w:keepNext w:val="0"/>
              <w:widowControl w:val="0"/>
              <w:rPr>
                <w:b/>
                <w:bCs w:val="0"/>
                <w:sz w:val="18"/>
                <w:szCs w:val="18"/>
              </w:rPr>
            </w:pPr>
            <w:r w:rsidRPr="00B213CD">
              <w:rPr>
                <w:b/>
                <w:bCs w:val="0"/>
                <w:sz w:val="18"/>
                <w:szCs w:val="18"/>
              </w:rPr>
              <w:t>Expected market</w:t>
            </w:r>
          </w:p>
        </w:tc>
      </w:tr>
      <w:tr w:rsidR="009406C2" w:rsidRPr="00B213CD" w14:paraId="1F55793F" w14:textId="77777777" w:rsidTr="00B213CD">
        <w:trPr>
          <w:trHeight w:val="20"/>
        </w:trPr>
        <w:tc>
          <w:tcPr>
            <w:tcW w:w="595" w:type="pct"/>
          </w:tcPr>
          <w:p w14:paraId="5ED60491" w14:textId="77777777" w:rsidR="009406C2" w:rsidRPr="00B213CD" w:rsidRDefault="009406C2" w:rsidP="002A750F">
            <w:pPr>
              <w:pStyle w:val="TableText0"/>
              <w:keepNext w:val="0"/>
              <w:widowControl w:val="0"/>
              <w:rPr>
                <w:bCs w:val="0"/>
                <w:sz w:val="18"/>
                <w:szCs w:val="18"/>
              </w:rPr>
            </w:pPr>
            <w:r w:rsidRPr="00B213CD">
              <w:rPr>
                <w:rFonts w:eastAsia="Times New Roman"/>
                <w:bCs w:val="0"/>
                <w:color w:val="000000"/>
                <w:sz w:val="18"/>
                <w:szCs w:val="18"/>
              </w:rPr>
              <w:t>Displacement of IV &amp; VO by AV</w:t>
            </w:r>
          </w:p>
        </w:tc>
        <w:tc>
          <w:tcPr>
            <w:tcW w:w="2563"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869"/>
              <w:gridCol w:w="925"/>
              <w:gridCol w:w="816"/>
              <w:gridCol w:w="816"/>
              <w:gridCol w:w="816"/>
            </w:tblGrid>
            <w:tr w:rsidR="009406C2" w:rsidRPr="00B213CD" w14:paraId="20EFBCF5" w14:textId="77777777" w:rsidTr="002A750F">
              <w:trPr>
                <w:trHeight w:val="20"/>
              </w:trPr>
              <w:tc>
                <w:tcPr>
                  <w:tcW w:w="455" w:type="pct"/>
                  <w:vAlign w:val="center"/>
                  <w:hideMark/>
                </w:tcPr>
                <w:p w14:paraId="537A17F3" w14:textId="77777777"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Yr</w:t>
                  </w:r>
                </w:p>
              </w:tc>
              <w:tc>
                <w:tcPr>
                  <w:tcW w:w="1083" w:type="pct"/>
                  <w:vAlign w:val="center"/>
                  <w:hideMark/>
                </w:tcPr>
                <w:p w14:paraId="0DF5A6FD" w14:textId="6D84F7ED"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AV uptake from VO</w:t>
                  </w:r>
                  <w:r w:rsidR="00634F35">
                    <w:rPr>
                      <w:rFonts w:ascii="Arial Narrow" w:hAnsi="Arial Narrow"/>
                      <w:b/>
                      <w:bCs/>
                      <w:color w:val="000000"/>
                      <w:sz w:val="18"/>
                      <w:szCs w:val="18"/>
                    </w:rPr>
                    <w:t xml:space="preserve"> (%)</w:t>
                  </w:r>
                </w:p>
              </w:tc>
              <w:tc>
                <w:tcPr>
                  <w:tcW w:w="1083" w:type="pct"/>
                  <w:vAlign w:val="center"/>
                  <w:hideMark/>
                </w:tcPr>
                <w:p w14:paraId="2413E5FE" w14:textId="2D05967C"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AV uptake from IV</w:t>
                  </w:r>
                  <w:r w:rsidR="00634F35">
                    <w:rPr>
                      <w:rFonts w:ascii="Arial Narrow" w:hAnsi="Arial Narrow"/>
                      <w:b/>
                      <w:bCs/>
                      <w:color w:val="000000"/>
                      <w:sz w:val="18"/>
                      <w:szCs w:val="18"/>
                    </w:rPr>
                    <w:t xml:space="preserve"> (%)</w:t>
                  </w:r>
                </w:p>
              </w:tc>
              <w:tc>
                <w:tcPr>
                  <w:tcW w:w="851" w:type="pct"/>
                  <w:vAlign w:val="center"/>
                  <w:hideMark/>
                </w:tcPr>
                <w:p w14:paraId="2A6B0FF3" w14:textId="0CFCE8DC"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AV share</w:t>
                  </w:r>
                  <w:r w:rsidR="00634F35">
                    <w:rPr>
                      <w:rFonts w:ascii="Arial Narrow" w:hAnsi="Arial Narrow"/>
                      <w:b/>
                      <w:bCs/>
                      <w:color w:val="000000"/>
                      <w:sz w:val="18"/>
                      <w:szCs w:val="18"/>
                    </w:rPr>
                    <w:t xml:space="preserve"> (%)</w:t>
                  </w:r>
                </w:p>
              </w:tc>
              <w:tc>
                <w:tcPr>
                  <w:tcW w:w="801" w:type="pct"/>
                  <w:vAlign w:val="center"/>
                </w:tcPr>
                <w:p w14:paraId="684FAC79" w14:textId="4ECE5834"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VO share</w:t>
                  </w:r>
                  <w:r w:rsidR="00634F35">
                    <w:rPr>
                      <w:rFonts w:ascii="Arial Narrow" w:hAnsi="Arial Narrow"/>
                      <w:b/>
                      <w:bCs/>
                      <w:color w:val="000000"/>
                      <w:sz w:val="18"/>
                      <w:szCs w:val="18"/>
                    </w:rPr>
                    <w:t xml:space="preserve"> (%)</w:t>
                  </w:r>
                </w:p>
              </w:tc>
              <w:tc>
                <w:tcPr>
                  <w:tcW w:w="727" w:type="pct"/>
                  <w:vAlign w:val="center"/>
                </w:tcPr>
                <w:p w14:paraId="53989DEF" w14:textId="0505A3A8" w:rsidR="009406C2" w:rsidRPr="00B213CD" w:rsidRDefault="009406C2" w:rsidP="002A750F">
                  <w:pPr>
                    <w:jc w:val="left"/>
                    <w:rPr>
                      <w:rFonts w:ascii="Arial Narrow" w:hAnsi="Arial Narrow"/>
                      <w:b/>
                      <w:bCs/>
                      <w:color w:val="000000"/>
                      <w:sz w:val="18"/>
                      <w:szCs w:val="18"/>
                    </w:rPr>
                  </w:pPr>
                  <w:r w:rsidRPr="00B213CD">
                    <w:rPr>
                      <w:rFonts w:ascii="Arial Narrow" w:hAnsi="Arial Narrow"/>
                      <w:b/>
                      <w:bCs/>
                      <w:color w:val="000000"/>
                      <w:sz w:val="18"/>
                      <w:szCs w:val="18"/>
                    </w:rPr>
                    <w:t>IV share</w:t>
                  </w:r>
                  <w:r w:rsidR="00634F35">
                    <w:rPr>
                      <w:rFonts w:ascii="Arial Narrow" w:hAnsi="Arial Narrow"/>
                      <w:b/>
                      <w:bCs/>
                      <w:color w:val="000000"/>
                      <w:sz w:val="18"/>
                      <w:szCs w:val="18"/>
                    </w:rPr>
                    <w:t xml:space="preserve"> (%)</w:t>
                  </w:r>
                </w:p>
              </w:tc>
            </w:tr>
            <w:tr w:rsidR="009406C2" w:rsidRPr="00B213CD" w14:paraId="70A322D0" w14:textId="77777777" w:rsidTr="002A750F">
              <w:trPr>
                <w:trHeight w:val="20"/>
              </w:trPr>
              <w:tc>
                <w:tcPr>
                  <w:tcW w:w="455" w:type="pct"/>
                  <w:vAlign w:val="center"/>
                  <w:hideMark/>
                </w:tcPr>
                <w:p w14:paraId="2830C26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Y0</w:t>
                  </w:r>
                </w:p>
              </w:tc>
              <w:tc>
                <w:tcPr>
                  <w:tcW w:w="1083" w:type="pct"/>
                  <w:vAlign w:val="center"/>
                  <w:hideMark/>
                </w:tcPr>
                <w:p w14:paraId="719E69CA" w14:textId="77777777" w:rsidR="009406C2" w:rsidRPr="00634F35" w:rsidRDefault="009406C2" w:rsidP="002A750F">
                  <w:pPr>
                    <w:jc w:val="left"/>
                    <w:rPr>
                      <w:rFonts w:ascii="Arial Narrow" w:hAnsi="Arial Narrow"/>
                      <w:color w:val="000000"/>
                      <w:sz w:val="18"/>
                      <w:szCs w:val="18"/>
                    </w:rPr>
                  </w:pPr>
                  <w:r w:rsidRPr="00634F35">
                    <w:rPr>
                      <w:rFonts w:ascii="Arial Narrow" w:hAnsi="Arial Narrow"/>
                      <w:color w:val="000000"/>
                      <w:sz w:val="18"/>
                      <w:szCs w:val="18"/>
                    </w:rPr>
                    <w:t>NA</w:t>
                  </w:r>
                </w:p>
              </w:tc>
              <w:tc>
                <w:tcPr>
                  <w:tcW w:w="1083" w:type="pct"/>
                  <w:vAlign w:val="center"/>
                  <w:hideMark/>
                </w:tcPr>
                <w:p w14:paraId="654D6710" w14:textId="77777777" w:rsidR="009406C2" w:rsidRPr="00634F35" w:rsidRDefault="009406C2" w:rsidP="002A750F">
                  <w:pPr>
                    <w:jc w:val="left"/>
                    <w:rPr>
                      <w:rFonts w:ascii="Arial Narrow" w:hAnsi="Arial Narrow"/>
                      <w:color w:val="000000"/>
                      <w:sz w:val="18"/>
                      <w:szCs w:val="18"/>
                    </w:rPr>
                  </w:pPr>
                  <w:r w:rsidRPr="00634F35">
                    <w:rPr>
                      <w:rFonts w:ascii="Arial Narrow" w:hAnsi="Arial Narrow"/>
                      <w:color w:val="000000"/>
                      <w:sz w:val="18"/>
                      <w:szCs w:val="18"/>
                    </w:rPr>
                    <w:t>NA</w:t>
                  </w:r>
                </w:p>
              </w:tc>
              <w:tc>
                <w:tcPr>
                  <w:tcW w:w="851" w:type="pct"/>
                  <w:vAlign w:val="center"/>
                  <w:hideMark/>
                </w:tcPr>
                <w:p w14:paraId="6577B43E" w14:textId="77777777" w:rsidR="009406C2" w:rsidRPr="00DD5C7A" w:rsidRDefault="009406C2" w:rsidP="002A750F">
                  <w:pPr>
                    <w:jc w:val="left"/>
                    <w:rPr>
                      <w:rFonts w:ascii="Arial Narrow" w:hAnsi="Arial Narrow"/>
                      <w:color w:val="000000"/>
                      <w:sz w:val="18"/>
                      <w:szCs w:val="18"/>
                    </w:rPr>
                  </w:pPr>
                  <w:r w:rsidRPr="00DD5C7A">
                    <w:rPr>
                      <w:rFonts w:ascii="Arial Narrow" w:hAnsi="Arial Narrow"/>
                      <w:color w:val="000000"/>
                      <w:sz w:val="18"/>
                      <w:szCs w:val="18"/>
                    </w:rPr>
                    <w:t>0%</w:t>
                  </w:r>
                </w:p>
              </w:tc>
              <w:tc>
                <w:tcPr>
                  <w:tcW w:w="801" w:type="pct"/>
                  <w:vAlign w:val="center"/>
                </w:tcPr>
                <w:p w14:paraId="3C4A89C9" w14:textId="77777777" w:rsidR="009406C2" w:rsidRPr="00DD5C7A" w:rsidRDefault="009406C2" w:rsidP="002A750F">
                  <w:pPr>
                    <w:jc w:val="left"/>
                    <w:rPr>
                      <w:rFonts w:ascii="Arial Narrow" w:hAnsi="Arial Narrow"/>
                      <w:color w:val="000000"/>
                      <w:sz w:val="18"/>
                      <w:szCs w:val="18"/>
                    </w:rPr>
                  </w:pPr>
                  <w:r w:rsidRPr="00DD5C7A">
                    <w:rPr>
                      <w:rFonts w:ascii="Arial Narrow" w:hAnsi="Arial Narrow"/>
                      <w:color w:val="000000"/>
                      <w:sz w:val="18"/>
                      <w:szCs w:val="18"/>
                    </w:rPr>
                    <w:t>75%</w:t>
                  </w:r>
                </w:p>
              </w:tc>
              <w:tc>
                <w:tcPr>
                  <w:tcW w:w="727" w:type="pct"/>
                  <w:vAlign w:val="center"/>
                </w:tcPr>
                <w:p w14:paraId="1294C701" w14:textId="77777777" w:rsidR="009406C2" w:rsidRPr="00DD5C7A" w:rsidRDefault="009406C2" w:rsidP="002A750F">
                  <w:pPr>
                    <w:jc w:val="left"/>
                    <w:rPr>
                      <w:rFonts w:ascii="Arial Narrow" w:hAnsi="Arial Narrow"/>
                      <w:color w:val="000000"/>
                      <w:sz w:val="18"/>
                      <w:szCs w:val="18"/>
                    </w:rPr>
                  </w:pPr>
                  <w:r w:rsidRPr="00DD5C7A">
                    <w:rPr>
                      <w:rFonts w:ascii="Arial Narrow" w:hAnsi="Arial Narrow"/>
                      <w:sz w:val="18"/>
                      <w:szCs w:val="18"/>
                    </w:rPr>
                    <w:t>25%</w:t>
                  </w:r>
                </w:p>
              </w:tc>
            </w:tr>
            <w:tr w:rsidR="009406C2" w:rsidRPr="00B213CD" w14:paraId="27EF921A" w14:textId="77777777" w:rsidTr="002A750F">
              <w:trPr>
                <w:trHeight w:val="20"/>
              </w:trPr>
              <w:tc>
                <w:tcPr>
                  <w:tcW w:w="455" w:type="pct"/>
                  <w:vAlign w:val="center"/>
                  <w:hideMark/>
                </w:tcPr>
                <w:p w14:paraId="3D7B8145"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Y1</w:t>
                  </w:r>
                </w:p>
              </w:tc>
              <w:tc>
                <w:tcPr>
                  <w:tcW w:w="1083" w:type="pct"/>
                  <w:vAlign w:val="center"/>
                  <w:hideMark/>
                </w:tcPr>
                <w:p w14:paraId="461B09B6" w14:textId="11DE3D9C"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16505633" w14:textId="6EC6B6D2"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23079628" w14:textId="0A130D33"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751835C6" w14:textId="23F7FA90"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3CD3E471" w14:textId="6614B90B"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r w:rsidR="009406C2" w:rsidRPr="00B213CD" w14:paraId="3D778D13" w14:textId="77777777" w:rsidTr="002A750F">
              <w:trPr>
                <w:trHeight w:val="20"/>
              </w:trPr>
              <w:tc>
                <w:tcPr>
                  <w:tcW w:w="455" w:type="pct"/>
                  <w:vAlign w:val="center"/>
                  <w:hideMark/>
                </w:tcPr>
                <w:p w14:paraId="2CC4BB20"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Y2</w:t>
                  </w:r>
                </w:p>
              </w:tc>
              <w:tc>
                <w:tcPr>
                  <w:tcW w:w="1083" w:type="pct"/>
                  <w:vAlign w:val="center"/>
                  <w:hideMark/>
                </w:tcPr>
                <w:p w14:paraId="124B7FA3" w14:textId="114A7A3A"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756C4EDA" w14:textId="3478E877"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5719FBB4" w14:textId="0D37EF53"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1ADA01A2" w14:textId="2B8B9386"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387D6424" w14:textId="4146AF79"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r w:rsidR="009406C2" w:rsidRPr="00B213CD" w14:paraId="0B67B017" w14:textId="77777777" w:rsidTr="002A750F">
              <w:trPr>
                <w:trHeight w:val="20"/>
              </w:trPr>
              <w:tc>
                <w:tcPr>
                  <w:tcW w:w="455" w:type="pct"/>
                  <w:vAlign w:val="center"/>
                  <w:hideMark/>
                </w:tcPr>
                <w:p w14:paraId="2E6BDD22"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Y3</w:t>
                  </w:r>
                </w:p>
              </w:tc>
              <w:tc>
                <w:tcPr>
                  <w:tcW w:w="1083" w:type="pct"/>
                  <w:vAlign w:val="center"/>
                  <w:hideMark/>
                </w:tcPr>
                <w:p w14:paraId="7B0F22E9" w14:textId="0F7DB87E"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0EBB4261" w14:textId="67BC879C"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40EE2EEC" w14:textId="37B294EE"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0C8AE99B" w14:textId="2BE7995F"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483098EE" w14:textId="15352B0B"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r w:rsidR="009406C2" w:rsidRPr="00B213CD" w14:paraId="7D134841" w14:textId="77777777" w:rsidTr="002A750F">
              <w:trPr>
                <w:trHeight w:val="20"/>
              </w:trPr>
              <w:tc>
                <w:tcPr>
                  <w:tcW w:w="455" w:type="pct"/>
                  <w:vAlign w:val="center"/>
                  <w:hideMark/>
                </w:tcPr>
                <w:p w14:paraId="23DB1CBA"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Y4</w:t>
                  </w:r>
                </w:p>
              </w:tc>
              <w:tc>
                <w:tcPr>
                  <w:tcW w:w="1083" w:type="pct"/>
                  <w:vAlign w:val="center"/>
                  <w:hideMark/>
                </w:tcPr>
                <w:p w14:paraId="27E9D228" w14:textId="0D598803"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5030000D" w14:textId="6F2463A3"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5C7EE36A" w14:textId="03E82A7C"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0AE73A8B" w14:textId="66EF3A11"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63BDA296" w14:textId="7280944E"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r w:rsidR="009406C2" w:rsidRPr="00B213CD" w14:paraId="49178D2D" w14:textId="77777777" w:rsidTr="002A750F">
              <w:trPr>
                <w:trHeight w:val="20"/>
              </w:trPr>
              <w:tc>
                <w:tcPr>
                  <w:tcW w:w="455" w:type="pct"/>
                  <w:vAlign w:val="center"/>
                  <w:hideMark/>
                </w:tcPr>
                <w:p w14:paraId="67C7D7CD"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Y5</w:t>
                  </w:r>
                </w:p>
              </w:tc>
              <w:tc>
                <w:tcPr>
                  <w:tcW w:w="1083" w:type="pct"/>
                  <w:vAlign w:val="center"/>
                  <w:hideMark/>
                </w:tcPr>
                <w:p w14:paraId="78AECCC7" w14:textId="5E073415"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64F2F16A" w14:textId="41C89946"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57246AEA" w14:textId="4F1F0E2E"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2B267311" w14:textId="5D3FE225"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7D1927C4" w14:textId="2CB52896"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r w:rsidR="009406C2" w:rsidRPr="00B213CD" w14:paraId="51DB7DF6" w14:textId="77777777" w:rsidTr="002A750F">
              <w:trPr>
                <w:trHeight w:val="20"/>
              </w:trPr>
              <w:tc>
                <w:tcPr>
                  <w:tcW w:w="455" w:type="pct"/>
                  <w:vAlign w:val="center"/>
                  <w:hideMark/>
                </w:tcPr>
                <w:p w14:paraId="278FE4AB" w14:textId="77777777" w:rsidR="009406C2" w:rsidRPr="00B213CD" w:rsidRDefault="009406C2" w:rsidP="002A750F">
                  <w:pPr>
                    <w:jc w:val="left"/>
                    <w:rPr>
                      <w:rFonts w:ascii="Arial Narrow" w:hAnsi="Arial Narrow"/>
                      <w:color w:val="000000"/>
                      <w:sz w:val="18"/>
                      <w:szCs w:val="18"/>
                    </w:rPr>
                  </w:pPr>
                  <w:r w:rsidRPr="00B213CD">
                    <w:rPr>
                      <w:rFonts w:ascii="Arial Narrow" w:hAnsi="Arial Narrow"/>
                      <w:sz w:val="18"/>
                      <w:szCs w:val="18"/>
                    </w:rPr>
                    <w:t>Y6</w:t>
                  </w:r>
                </w:p>
              </w:tc>
              <w:tc>
                <w:tcPr>
                  <w:tcW w:w="1083" w:type="pct"/>
                  <w:vAlign w:val="center"/>
                  <w:hideMark/>
                </w:tcPr>
                <w:p w14:paraId="56444E7C" w14:textId="63629A9F"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1083" w:type="pct"/>
                  <w:vAlign w:val="center"/>
                  <w:hideMark/>
                </w:tcPr>
                <w:p w14:paraId="1583C723" w14:textId="26DF3EFA"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51" w:type="pct"/>
                  <w:vAlign w:val="center"/>
                  <w:hideMark/>
                </w:tcPr>
                <w:p w14:paraId="7B7B4641" w14:textId="08E58AE7"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801" w:type="pct"/>
                  <w:vAlign w:val="center"/>
                </w:tcPr>
                <w:p w14:paraId="434322D3" w14:textId="6ADAF672"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color w:val="000000"/>
                      <w:sz w:val="18"/>
                      <w:szCs w:val="18"/>
                      <w:highlight w:val="black"/>
                    </w:rPr>
                    <w:t>@@@@</w:t>
                  </w:r>
                </w:p>
              </w:tc>
              <w:tc>
                <w:tcPr>
                  <w:tcW w:w="727" w:type="pct"/>
                  <w:vAlign w:val="center"/>
                </w:tcPr>
                <w:p w14:paraId="019BD232" w14:textId="032F4C5B" w:rsidR="009406C2" w:rsidRPr="00634F35" w:rsidRDefault="007C5080" w:rsidP="002A750F">
                  <w:pPr>
                    <w:jc w:val="left"/>
                    <w:rPr>
                      <w:rFonts w:ascii="Arial Narrow" w:hAnsi="Arial Narrow"/>
                      <w:color w:val="000000"/>
                      <w:sz w:val="18"/>
                      <w:szCs w:val="18"/>
                      <w:highlight w:val="darkGray"/>
                    </w:rPr>
                  </w:pPr>
                  <w:r w:rsidRPr="007C5080">
                    <w:rPr>
                      <w:rFonts w:ascii="Arial Narrow" w:hAnsi="Arial Narrow"/>
                      <w:sz w:val="18"/>
                      <w:szCs w:val="18"/>
                      <w:highlight w:val="black"/>
                    </w:rPr>
                    <w:t>@@@@</w:t>
                  </w:r>
                </w:p>
              </w:tc>
            </w:tr>
          </w:tbl>
          <w:p w14:paraId="6C7C303D" w14:textId="77777777" w:rsidR="009406C2" w:rsidRPr="00B213CD" w:rsidRDefault="009406C2" w:rsidP="002A750F">
            <w:pPr>
              <w:pStyle w:val="TableText0"/>
              <w:keepNext w:val="0"/>
              <w:widowControl w:val="0"/>
              <w:rPr>
                <w:sz w:val="18"/>
                <w:szCs w:val="18"/>
              </w:rPr>
            </w:pPr>
          </w:p>
        </w:tc>
        <w:tc>
          <w:tcPr>
            <w:tcW w:w="777" w:type="pct"/>
          </w:tcPr>
          <w:p w14:paraId="735392B6" w14:textId="77777777" w:rsidR="009406C2" w:rsidRPr="00B213CD" w:rsidRDefault="009406C2" w:rsidP="002A750F">
            <w:pPr>
              <w:pStyle w:val="TableText0"/>
              <w:keepNext w:val="0"/>
              <w:widowControl w:val="0"/>
              <w:rPr>
                <w:sz w:val="18"/>
                <w:szCs w:val="18"/>
              </w:rPr>
            </w:pPr>
            <w:r w:rsidRPr="00B213CD">
              <w:rPr>
                <w:sz w:val="18"/>
                <w:szCs w:val="18"/>
              </w:rPr>
              <w:t>Sponsor’s estimation of displacement</w:t>
            </w:r>
          </w:p>
        </w:tc>
        <w:tc>
          <w:tcPr>
            <w:tcW w:w="1065" w:type="pct"/>
          </w:tcPr>
          <w:p w14:paraId="68304860" w14:textId="7D982DB7" w:rsidR="009406C2" w:rsidRPr="00B213CD" w:rsidRDefault="009406C2" w:rsidP="002A750F">
            <w:pPr>
              <w:jc w:val="left"/>
              <w:rPr>
                <w:rFonts w:ascii="Arial Narrow" w:eastAsiaTheme="majorEastAsia" w:hAnsi="Arial Narrow" w:cstheme="majorBidi"/>
                <w:bCs/>
                <w:sz w:val="18"/>
                <w:szCs w:val="18"/>
              </w:rPr>
            </w:pPr>
            <w:r w:rsidRPr="00B213CD">
              <w:rPr>
                <w:rFonts w:ascii="Arial Narrow" w:hAnsi="Arial Narrow"/>
                <w:sz w:val="18"/>
                <w:szCs w:val="18"/>
              </w:rPr>
              <w:t xml:space="preserve">The </w:t>
            </w:r>
            <w:r w:rsidR="00B87ACD" w:rsidRPr="00B213CD">
              <w:rPr>
                <w:rFonts w:ascii="Arial Narrow" w:hAnsi="Arial Narrow"/>
                <w:sz w:val="18"/>
                <w:szCs w:val="18"/>
              </w:rPr>
              <w:t xml:space="preserve">ESC considered the </w:t>
            </w:r>
            <w:r w:rsidRPr="00B213CD">
              <w:rPr>
                <w:rFonts w:ascii="Arial Narrow" w:hAnsi="Arial Narrow"/>
                <w:sz w:val="18"/>
                <w:szCs w:val="18"/>
              </w:rPr>
              <w:t xml:space="preserve">proposed uptake rates of AV </w:t>
            </w:r>
            <w:r w:rsidR="000D0298" w:rsidRPr="00B213CD">
              <w:rPr>
                <w:rFonts w:ascii="Arial Narrow" w:hAnsi="Arial Narrow"/>
                <w:sz w:val="18"/>
                <w:szCs w:val="18"/>
              </w:rPr>
              <w:t xml:space="preserve">to be too </w:t>
            </w:r>
            <w:r w:rsidRPr="00B213CD">
              <w:rPr>
                <w:rFonts w:ascii="Arial Narrow" w:hAnsi="Arial Narrow"/>
                <w:sz w:val="18"/>
                <w:szCs w:val="18"/>
              </w:rPr>
              <w:t>high</w:t>
            </w:r>
            <w:r w:rsidR="00206E89" w:rsidRPr="00B213CD">
              <w:rPr>
                <w:rFonts w:ascii="Arial Narrow" w:hAnsi="Arial Narrow"/>
                <w:sz w:val="18"/>
                <w:szCs w:val="18"/>
              </w:rPr>
              <w:t xml:space="preserve"> and that </w:t>
            </w:r>
            <w:r w:rsidR="00DC4073" w:rsidRPr="00B213CD">
              <w:rPr>
                <w:rFonts w:ascii="Arial Narrow" w:hAnsi="Arial Narrow"/>
                <w:sz w:val="18"/>
                <w:szCs w:val="18"/>
              </w:rPr>
              <w:t>it</w:t>
            </w:r>
            <w:r w:rsidR="00A71114" w:rsidRPr="00B213CD">
              <w:rPr>
                <w:rFonts w:ascii="Arial Narrow" w:hAnsi="Arial Narrow"/>
                <w:sz w:val="18"/>
                <w:szCs w:val="18"/>
              </w:rPr>
              <w:t xml:space="preserve"> was</w:t>
            </w:r>
            <w:r w:rsidR="00DC4073" w:rsidRPr="00B213CD">
              <w:rPr>
                <w:rFonts w:ascii="Arial Narrow" w:hAnsi="Arial Narrow"/>
                <w:sz w:val="18"/>
                <w:szCs w:val="18"/>
              </w:rPr>
              <w:t xml:space="preserve"> more likely that VO would maintain a </w:t>
            </w:r>
            <w:r w:rsidR="007C5080" w:rsidRPr="007C5080">
              <w:rPr>
                <w:rFonts w:ascii="Arial Narrow" w:hAnsi="Arial Narrow"/>
                <w:sz w:val="18"/>
                <w:szCs w:val="18"/>
                <w:highlight w:val="black"/>
              </w:rPr>
              <w:t>@@@@</w:t>
            </w:r>
            <w:r w:rsidR="00DC4073" w:rsidRPr="00B213CD">
              <w:rPr>
                <w:rFonts w:ascii="Arial Narrow" w:hAnsi="Arial Narrow"/>
                <w:sz w:val="18"/>
                <w:szCs w:val="18"/>
              </w:rPr>
              <w:t>% market share by year 6</w:t>
            </w:r>
            <w:r w:rsidRPr="00B213CD">
              <w:rPr>
                <w:rFonts w:ascii="Arial Narrow" w:hAnsi="Arial Narrow"/>
                <w:sz w:val="18"/>
                <w:szCs w:val="18"/>
              </w:rPr>
              <w:t xml:space="preserve">. </w:t>
            </w:r>
          </w:p>
        </w:tc>
      </w:tr>
      <w:tr w:rsidR="009406C2" w:rsidRPr="00B213CD" w14:paraId="1DEEB4D6" w14:textId="77777777" w:rsidTr="00B213CD">
        <w:trPr>
          <w:cantSplit/>
          <w:trHeight w:val="20"/>
        </w:trPr>
        <w:tc>
          <w:tcPr>
            <w:tcW w:w="595" w:type="pct"/>
          </w:tcPr>
          <w:p w14:paraId="2D192EB8" w14:textId="77777777" w:rsidR="009406C2" w:rsidRPr="00B213CD" w:rsidRDefault="009406C2" w:rsidP="002A750F">
            <w:pPr>
              <w:pStyle w:val="TableText0"/>
              <w:keepNext w:val="0"/>
              <w:widowControl w:val="0"/>
              <w:rPr>
                <w:bCs w:val="0"/>
                <w:sz w:val="18"/>
                <w:szCs w:val="18"/>
              </w:rPr>
            </w:pPr>
            <w:r w:rsidRPr="00B213CD">
              <w:rPr>
                <w:rFonts w:eastAsia="Times New Roman"/>
                <w:bCs w:val="0"/>
                <w:color w:val="000000" w:themeColor="text1"/>
                <w:sz w:val="18"/>
                <w:szCs w:val="18"/>
              </w:rPr>
              <w:t>Substitution rates</w:t>
            </w:r>
          </w:p>
        </w:tc>
        <w:tc>
          <w:tcPr>
            <w:tcW w:w="2563"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4"/>
              <w:gridCol w:w="722"/>
              <w:gridCol w:w="722"/>
              <w:gridCol w:w="1201"/>
            </w:tblGrid>
            <w:tr w:rsidR="009406C2" w:rsidRPr="00B213CD" w14:paraId="00473871" w14:textId="77777777" w:rsidTr="002A750F">
              <w:trPr>
                <w:trHeight w:val="20"/>
              </w:trPr>
              <w:tc>
                <w:tcPr>
                  <w:tcW w:w="2150" w:type="pct"/>
                  <w:noWrap/>
                  <w:vAlign w:val="center"/>
                  <w:hideMark/>
                </w:tcPr>
                <w:p w14:paraId="3A22119A"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A (AV) subst. V (IV)</w:t>
                  </w:r>
                </w:p>
              </w:tc>
              <w:tc>
                <w:tcPr>
                  <w:tcW w:w="778" w:type="pct"/>
                  <w:noWrap/>
                  <w:vAlign w:val="center"/>
                  <w:hideMark/>
                </w:tcPr>
                <w:p w14:paraId="480A02BB"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V (IV)</w:t>
                  </w:r>
                </w:p>
              </w:tc>
              <w:tc>
                <w:tcPr>
                  <w:tcW w:w="778" w:type="pct"/>
                  <w:noWrap/>
                  <w:vAlign w:val="center"/>
                  <w:hideMark/>
                </w:tcPr>
                <w:p w14:paraId="4317AC35"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A (AV)</w:t>
                  </w:r>
                </w:p>
              </w:tc>
              <w:tc>
                <w:tcPr>
                  <w:tcW w:w="1294" w:type="pct"/>
                  <w:noWrap/>
                  <w:vAlign w:val="center"/>
                  <w:hideMark/>
                </w:tcPr>
                <w:p w14:paraId="7E3632C9"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Subst. rate</w:t>
                  </w:r>
                </w:p>
              </w:tc>
            </w:tr>
            <w:tr w:rsidR="009406C2" w:rsidRPr="00B213CD" w14:paraId="18D731FB" w14:textId="77777777" w:rsidTr="002A750F">
              <w:trPr>
                <w:trHeight w:val="20"/>
              </w:trPr>
              <w:tc>
                <w:tcPr>
                  <w:tcW w:w="2150" w:type="pct"/>
                  <w:noWrap/>
                  <w:vAlign w:val="center"/>
                  <w:hideMark/>
                </w:tcPr>
                <w:p w14:paraId="474CFE6C"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Venetoclax Initial</w:t>
                  </w:r>
                </w:p>
              </w:tc>
              <w:tc>
                <w:tcPr>
                  <w:tcW w:w="778" w:type="pct"/>
                  <w:noWrap/>
                  <w:vAlign w:val="center"/>
                  <w:hideMark/>
                </w:tcPr>
                <w:p w14:paraId="6FC957FD"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w:t>
                  </w:r>
                </w:p>
              </w:tc>
              <w:tc>
                <w:tcPr>
                  <w:tcW w:w="778" w:type="pct"/>
                  <w:noWrap/>
                  <w:vAlign w:val="center"/>
                  <w:hideMark/>
                </w:tcPr>
                <w:p w14:paraId="1A417C9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2</w:t>
                  </w:r>
                </w:p>
              </w:tc>
              <w:tc>
                <w:tcPr>
                  <w:tcW w:w="1294" w:type="pct"/>
                  <w:noWrap/>
                  <w:vAlign w:val="center"/>
                  <w:hideMark/>
                </w:tcPr>
                <w:p w14:paraId="5D54CA06"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2.00</w:t>
                  </w:r>
                </w:p>
              </w:tc>
            </w:tr>
            <w:tr w:rsidR="009406C2" w:rsidRPr="00B213CD" w14:paraId="7AFDCAB4" w14:textId="77777777" w:rsidTr="002A750F">
              <w:trPr>
                <w:trHeight w:val="20"/>
              </w:trPr>
              <w:tc>
                <w:tcPr>
                  <w:tcW w:w="2150" w:type="pct"/>
                  <w:noWrap/>
                  <w:vAlign w:val="center"/>
                  <w:hideMark/>
                </w:tcPr>
                <w:p w14:paraId="12A52FF2"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Venetoclax 1st continuing</w:t>
                  </w:r>
                </w:p>
              </w:tc>
              <w:tc>
                <w:tcPr>
                  <w:tcW w:w="778" w:type="pct"/>
                  <w:noWrap/>
                  <w:vAlign w:val="center"/>
                  <w:hideMark/>
                </w:tcPr>
                <w:p w14:paraId="662D0E82"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w:t>
                  </w:r>
                </w:p>
              </w:tc>
              <w:tc>
                <w:tcPr>
                  <w:tcW w:w="778" w:type="pct"/>
                  <w:noWrap/>
                  <w:vAlign w:val="center"/>
                  <w:hideMark/>
                </w:tcPr>
                <w:p w14:paraId="699288E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w:t>
                  </w:r>
                </w:p>
              </w:tc>
              <w:tc>
                <w:tcPr>
                  <w:tcW w:w="1294" w:type="pct"/>
                  <w:noWrap/>
                  <w:vAlign w:val="center"/>
                  <w:hideMark/>
                </w:tcPr>
                <w:p w14:paraId="359A4960"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1.00</w:t>
                  </w:r>
                </w:p>
              </w:tc>
            </w:tr>
            <w:tr w:rsidR="009406C2" w:rsidRPr="00B213CD" w14:paraId="1ABB167F" w14:textId="77777777" w:rsidTr="002A750F">
              <w:trPr>
                <w:trHeight w:val="20"/>
              </w:trPr>
              <w:tc>
                <w:tcPr>
                  <w:tcW w:w="2150" w:type="pct"/>
                  <w:noWrap/>
                  <w:vAlign w:val="center"/>
                  <w:hideMark/>
                </w:tcPr>
                <w:p w14:paraId="75564BA1"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Venetoclax 2nd continuing</w:t>
                  </w:r>
                </w:p>
              </w:tc>
              <w:tc>
                <w:tcPr>
                  <w:tcW w:w="778" w:type="pct"/>
                  <w:noWrap/>
                  <w:vAlign w:val="center"/>
                  <w:hideMark/>
                </w:tcPr>
                <w:p w14:paraId="0AA06397"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4.43</w:t>
                  </w:r>
                </w:p>
              </w:tc>
              <w:tc>
                <w:tcPr>
                  <w:tcW w:w="778" w:type="pct"/>
                  <w:noWrap/>
                  <w:vAlign w:val="center"/>
                  <w:hideMark/>
                </w:tcPr>
                <w:p w14:paraId="4619545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5.97</w:t>
                  </w:r>
                </w:p>
              </w:tc>
              <w:tc>
                <w:tcPr>
                  <w:tcW w:w="1294" w:type="pct"/>
                  <w:noWrap/>
                  <w:vAlign w:val="center"/>
                  <w:hideMark/>
                </w:tcPr>
                <w:p w14:paraId="54C4BE08"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1.35</w:t>
                  </w:r>
                </w:p>
              </w:tc>
            </w:tr>
            <w:tr w:rsidR="009406C2" w:rsidRPr="00B213CD" w14:paraId="5F1BA526" w14:textId="77777777" w:rsidTr="002A750F">
              <w:trPr>
                <w:trHeight w:val="20"/>
              </w:trPr>
              <w:tc>
                <w:tcPr>
                  <w:tcW w:w="2150" w:type="pct"/>
                  <w:noWrap/>
                  <w:vAlign w:val="center"/>
                  <w:hideMark/>
                </w:tcPr>
                <w:p w14:paraId="165AB498"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V (AV) subst.  I (IV)</w:t>
                  </w:r>
                </w:p>
              </w:tc>
              <w:tc>
                <w:tcPr>
                  <w:tcW w:w="778" w:type="pct"/>
                  <w:noWrap/>
                  <w:vAlign w:val="center"/>
                  <w:hideMark/>
                </w:tcPr>
                <w:p w14:paraId="30CEF660"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I (IV)</w:t>
                  </w:r>
                </w:p>
              </w:tc>
              <w:tc>
                <w:tcPr>
                  <w:tcW w:w="778" w:type="pct"/>
                  <w:noWrap/>
                  <w:vAlign w:val="center"/>
                  <w:hideMark/>
                </w:tcPr>
                <w:p w14:paraId="0ECE7B79"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V (AV)</w:t>
                  </w:r>
                </w:p>
              </w:tc>
              <w:tc>
                <w:tcPr>
                  <w:tcW w:w="1294" w:type="pct"/>
                  <w:noWrap/>
                  <w:vAlign w:val="center"/>
                  <w:hideMark/>
                </w:tcPr>
                <w:p w14:paraId="22638615"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Subst. rate</w:t>
                  </w:r>
                </w:p>
              </w:tc>
            </w:tr>
            <w:tr w:rsidR="009406C2" w:rsidRPr="00B213CD" w14:paraId="3898AA7C" w14:textId="77777777" w:rsidTr="002A750F">
              <w:trPr>
                <w:trHeight w:val="20"/>
              </w:trPr>
              <w:tc>
                <w:tcPr>
                  <w:tcW w:w="2150" w:type="pct"/>
                  <w:noWrap/>
                  <w:vAlign w:val="center"/>
                  <w:hideMark/>
                </w:tcPr>
                <w:p w14:paraId="429B949F"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Initial</w:t>
                  </w:r>
                </w:p>
              </w:tc>
              <w:tc>
                <w:tcPr>
                  <w:tcW w:w="778" w:type="pct"/>
                  <w:noWrap/>
                  <w:vAlign w:val="center"/>
                  <w:hideMark/>
                </w:tcPr>
                <w:p w14:paraId="65A16E3A"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3</w:t>
                  </w:r>
                </w:p>
              </w:tc>
              <w:tc>
                <w:tcPr>
                  <w:tcW w:w="778" w:type="pct"/>
                  <w:noWrap/>
                  <w:vAlign w:val="center"/>
                  <w:hideMark/>
                </w:tcPr>
                <w:p w14:paraId="7D0E986F"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1.00</w:t>
                  </w:r>
                </w:p>
              </w:tc>
              <w:tc>
                <w:tcPr>
                  <w:tcW w:w="1294" w:type="pct"/>
                  <w:noWrap/>
                  <w:vAlign w:val="center"/>
                  <w:hideMark/>
                </w:tcPr>
                <w:p w14:paraId="33FAD3B6"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0.33</w:t>
                  </w:r>
                </w:p>
              </w:tc>
            </w:tr>
            <w:tr w:rsidR="009406C2" w:rsidRPr="00B213CD" w14:paraId="6CA2C15F" w14:textId="77777777" w:rsidTr="002A750F">
              <w:trPr>
                <w:trHeight w:val="20"/>
              </w:trPr>
              <w:tc>
                <w:tcPr>
                  <w:tcW w:w="2150" w:type="pct"/>
                  <w:noWrap/>
                  <w:vAlign w:val="center"/>
                  <w:hideMark/>
                </w:tcPr>
                <w:p w14:paraId="53D127D2"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1st continuing</w:t>
                  </w:r>
                </w:p>
              </w:tc>
              <w:tc>
                <w:tcPr>
                  <w:tcW w:w="778" w:type="pct"/>
                  <w:noWrap/>
                  <w:vAlign w:val="center"/>
                  <w:hideMark/>
                </w:tcPr>
                <w:p w14:paraId="19F175CA"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6</w:t>
                  </w:r>
                </w:p>
              </w:tc>
              <w:tc>
                <w:tcPr>
                  <w:tcW w:w="778" w:type="pct"/>
                  <w:noWrap/>
                  <w:vAlign w:val="center"/>
                  <w:hideMark/>
                </w:tcPr>
                <w:p w14:paraId="5F407955"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5.00</w:t>
                  </w:r>
                </w:p>
              </w:tc>
              <w:tc>
                <w:tcPr>
                  <w:tcW w:w="1294" w:type="pct"/>
                  <w:noWrap/>
                  <w:vAlign w:val="center"/>
                  <w:hideMark/>
                </w:tcPr>
                <w:p w14:paraId="477B9F80"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0.83</w:t>
                  </w:r>
                </w:p>
              </w:tc>
            </w:tr>
            <w:tr w:rsidR="009406C2" w:rsidRPr="00B213CD" w14:paraId="2FB3A632" w14:textId="77777777" w:rsidTr="002A750F">
              <w:trPr>
                <w:trHeight w:val="20"/>
              </w:trPr>
              <w:tc>
                <w:tcPr>
                  <w:tcW w:w="2150" w:type="pct"/>
                  <w:noWrap/>
                  <w:vAlign w:val="center"/>
                  <w:hideMark/>
                </w:tcPr>
                <w:p w14:paraId="3AE14B7A"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2nd continuing</w:t>
                  </w:r>
                </w:p>
              </w:tc>
              <w:tc>
                <w:tcPr>
                  <w:tcW w:w="778" w:type="pct"/>
                  <w:noWrap/>
                  <w:vAlign w:val="center"/>
                  <w:hideMark/>
                </w:tcPr>
                <w:p w14:paraId="70196BCC"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3.06</w:t>
                  </w:r>
                </w:p>
              </w:tc>
              <w:tc>
                <w:tcPr>
                  <w:tcW w:w="778" w:type="pct"/>
                  <w:noWrap/>
                  <w:vAlign w:val="center"/>
                  <w:hideMark/>
                </w:tcPr>
                <w:p w14:paraId="1A496134"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4.84</w:t>
                  </w:r>
                </w:p>
              </w:tc>
              <w:tc>
                <w:tcPr>
                  <w:tcW w:w="1294" w:type="pct"/>
                  <w:noWrap/>
                  <w:vAlign w:val="center"/>
                  <w:hideMark/>
                </w:tcPr>
                <w:p w14:paraId="0C22D78B"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1.58</w:t>
                  </w:r>
                </w:p>
              </w:tc>
            </w:tr>
            <w:tr w:rsidR="009406C2" w:rsidRPr="00B213CD" w14:paraId="19C3EE81" w14:textId="77777777" w:rsidTr="002A750F">
              <w:trPr>
                <w:trHeight w:val="20"/>
              </w:trPr>
              <w:tc>
                <w:tcPr>
                  <w:tcW w:w="2150" w:type="pct"/>
                  <w:noWrap/>
                  <w:vAlign w:val="center"/>
                  <w:hideMark/>
                </w:tcPr>
                <w:p w14:paraId="19FB9692"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Total</w:t>
                  </w:r>
                </w:p>
              </w:tc>
              <w:tc>
                <w:tcPr>
                  <w:tcW w:w="778" w:type="pct"/>
                  <w:noWrap/>
                  <w:vAlign w:val="center"/>
                  <w:hideMark/>
                </w:tcPr>
                <w:p w14:paraId="63CC20AD"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12.06</w:t>
                  </w:r>
                </w:p>
              </w:tc>
              <w:tc>
                <w:tcPr>
                  <w:tcW w:w="778" w:type="pct"/>
                  <w:noWrap/>
                  <w:vAlign w:val="center"/>
                  <w:hideMark/>
                </w:tcPr>
                <w:p w14:paraId="290E6B2F"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10.84</w:t>
                  </w:r>
                </w:p>
              </w:tc>
              <w:tc>
                <w:tcPr>
                  <w:tcW w:w="1294" w:type="pct"/>
                  <w:noWrap/>
                  <w:vAlign w:val="center"/>
                  <w:hideMark/>
                </w:tcPr>
                <w:p w14:paraId="2932B7DA"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0.90</w:t>
                  </w:r>
                </w:p>
              </w:tc>
            </w:tr>
            <w:tr w:rsidR="009406C2" w:rsidRPr="00B213CD" w14:paraId="497B713B" w14:textId="77777777" w:rsidTr="002A750F">
              <w:trPr>
                <w:trHeight w:val="20"/>
              </w:trPr>
              <w:tc>
                <w:tcPr>
                  <w:tcW w:w="2150" w:type="pct"/>
                  <w:noWrap/>
                  <w:vAlign w:val="center"/>
                  <w:hideMark/>
                </w:tcPr>
                <w:p w14:paraId="0CA18935" w14:textId="77777777" w:rsidR="009406C2" w:rsidRPr="00B213CD" w:rsidRDefault="009406C2" w:rsidP="002A750F">
                  <w:pPr>
                    <w:keepLines/>
                    <w:widowControl w:val="0"/>
                    <w:jc w:val="left"/>
                    <w:rPr>
                      <w:rFonts w:ascii="Arial Narrow" w:hAnsi="Arial Narrow" w:cs="Times New Roman"/>
                      <w:b/>
                      <w:bCs/>
                      <w:sz w:val="18"/>
                      <w:szCs w:val="18"/>
                    </w:rPr>
                  </w:pPr>
                  <w:r w:rsidRPr="00B213CD">
                    <w:rPr>
                      <w:rFonts w:ascii="Arial Narrow" w:hAnsi="Arial Narrow" w:cs="Times New Roman"/>
                      <w:b/>
                      <w:bCs/>
                      <w:sz w:val="18"/>
                      <w:szCs w:val="18"/>
                    </w:rPr>
                    <w:t xml:space="preserve">A (AV) </w:t>
                  </w:r>
                  <w:r w:rsidRPr="00B213CD">
                    <w:rPr>
                      <w:rFonts w:ascii="Arial Narrow" w:hAnsi="Arial Narrow"/>
                      <w:b/>
                      <w:bCs/>
                      <w:sz w:val="18"/>
                      <w:szCs w:val="18"/>
                    </w:rPr>
                    <w:t xml:space="preserve">subst. </w:t>
                  </w:r>
                  <w:r w:rsidRPr="00B213CD">
                    <w:rPr>
                      <w:rFonts w:ascii="Arial Narrow" w:hAnsi="Arial Narrow" w:cs="Times New Roman"/>
                      <w:b/>
                      <w:bCs/>
                      <w:sz w:val="18"/>
                      <w:szCs w:val="18"/>
                    </w:rPr>
                    <w:t>V (VO)</w:t>
                  </w:r>
                </w:p>
              </w:tc>
              <w:tc>
                <w:tcPr>
                  <w:tcW w:w="778" w:type="pct"/>
                  <w:noWrap/>
                  <w:vAlign w:val="center"/>
                  <w:hideMark/>
                </w:tcPr>
                <w:p w14:paraId="2C196E87"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cs="Times New Roman"/>
                      <w:b/>
                      <w:bCs/>
                      <w:sz w:val="18"/>
                      <w:szCs w:val="18"/>
                    </w:rPr>
                    <w:t>V (VO)</w:t>
                  </w:r>
                </w:p>
              </w:tc>
              <w:tc>
                <w:tcPr>
                  <w:tcW w:w="778" w:type="pct"/>
                  <w:noWrap/>
                  <w:vAlign w:val="center"/>
                  <w:hideMark/>
                </w:tcPr>
                <w:p w14:paraId="66B1F454"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cs="Times New Roman"/>
                      <w:b/>
                      <w:bCs/>
                      <w:sz w:val="18"/>
                      <w:szCs w:val="18"/>
                    </w:rPr>
                    <w:t>A (AV)</w:t>
                  </w:r>
                </w:p>
              </w:tc>
              <w:tc>
                <w:tcPr>
                  <w:tcW w:w="1294" w:type="pct"/>
                  <w:noWrap/>
                  <w:vAlign w:val="center"/>
                  <w:hideMark/>
                </w:tcPr>
                <w:p w14:paraId="53F718B3"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Subst. rate</w:t>
                  </w:r>
                </w:p>
              </w:tc>
            </w:tr>
            <w:tr w:rsidR="009406C2" w:rsidRPr="00B213CD" w14:paraId="19787E18" w14:textId="77777777" w:rsidTr="002A750F">
              <w:trPr>
                <w:trHeight w:val="20"/>
              </w:trPr>
              <w:tc>
                <w:tcPr>
                  <w:tcW w:w="2150" w:type="pct"/>
                  <w:noWrap/>
                  <w:vAlign w:val="center"/>
                  <w:hideMark/>
                </w:tcPr>
                <w:p w14:paraId="1FB3B4FC"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sz w:val="18"/>
                      <w:szCs w:val="18"/>
                    </w:rPr>
                    <w:t>Venetoclax Initial</w:t>
                  </w:r>
                </w:p>
              </w:tc>
              <w:tc>
                <w:tcPr>
                  <w:tcW w:w="778" w:type="pct"/>
                  <w:noWrap/>
                  <w:vAlign w:val="center"/>
                  <w:hideMark/>
                </w:tcPr>
                <w:p w14:paraId="4C32E52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w:t>
                  </w:r>
                </w:p>
              </w:tc>
              <w:tc>
                <w:tcPr>
                  <w:tcW w:w="778" w:type="pct"/>
                  <w:noWrap/>
                  <w:vAlign w:val="center"/>
                  <w:hideMark/>
                </w:tcPr>
                <w:p w14:paraId="578D5564"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2</w:t>
                  </w:r>
                </w:p>
              </w:tc>
              <w:tc>
                <w:tcPr>
                  <w:tcW w:w="1294" w:type="pct"/>
                  <w:noWrap/>
                  <w:vAlign w:val="center"/>
                  <w:hideMark/>
                </w:tcPr>
                <w:p w14:paraId="6411C9D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2.00</w:t>
                  </w:r>
                </w:p>
              </w:tc>
            </w:tr>
            <w:tr w:rsidR="009406C2" w:rsidRPr="00B213CD" w14:paraId="7AE6C1E7" w14:textId="77777777" w:rsidTr="002A750F">
              <w:trPr>
                <w:trHeight w:val="20"/>
              </w:trPr>
              <w:tc>
                <w:tcPr>
                  <w:tcW w:w="2150" w:type="pct"/>
                  <w:noWrap/>
                  <w:vAlign w:val="center"/>
                  <w:hideMark/>
                </w:tcPr>
                <w:p w14:paraId="3E8A1B69"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Venetoclax 1st continuing</w:t>
                  </w:r>
                </w:p>
              </w:tc>
              <w:tc>
                <w:tcPr>
                  <w:tcW w:w="778" w:type="pct"/>
                  <w:noWrap/>
                  <w:vAlign w:val="center"/>
                  <w:hideMark/>
                </w:tcPr>
                <w:p w14:paraId="534A69EE"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w:t>
                  </w:r>
                </w:p>
              </w:tc>
              <w:tc>
                <w:tcPr>
                  <w:tcW w:w="778" w:type="pct"/>
                  <w:noWrap/>
                  <w:vAlign w:val="center"/>
                  <w:hideMark/>
                </w:tcPr>
                <w:p w14:paraId="68CEA0AE"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w:t>
                  </w:r>
                </w:p>
              </w:tc>
              <w:tc>
                <w:tcPr>
                  <w:tcW w:w="1294" w:type="pct"/>
                  <w:noWrap/>
                  <w:vAlign w:val="center"/>
                  <w:hideMark/>
                </w:tcPr>
                <w:p w14:paraId="59F72F84"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1.00</w:t>
                  </w:r>
                </w:p>
              </w:tc>
            </w:tr>
            <w:tr w:rsidR="009406C2" w:rsidRPr="00B213CD" w14:paraId="019C41FC" w14:textId="77777777" w:rsidTr="002A750F">
              <w:trPr>
                <w:trHeight w:val="20"/>
              </w:trPr>
              <w:tc>
                <w:tcPr>
                  <w:tcW w:w="2150" w:type="pct"/>
                  <w:noWrap/>
                  <w:vAlign w:val="center"/>
                  <w:hideMark/>
                </w:tcPr>
                <w:p w14:paraId="01A9AACA"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Venetoclax 2nd continuing</w:t>
                  </w:r>
                </w:p>
              </w:tc>
              <w:tc>
                <w:tcPr>
                  <w:tcW w:w="778" w:type="pct"/>
                  <w:noWrap/>
                  <w:vAlign w:val="center"/>
                  <w:hideMark/>
                </w:tcPr>
                <w:p w14:paraId="6509C23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3.67</w:t>
                  </w:r>
                </w:p>
              </w:tc>
              <w:tc>
                <w:tcPr>
                  <w:tcW w:w="778" w:type="pct"/>
                  <w:noWrap/>
                  <w:vAlign w:val="center"/>
                  <w:hideMark/>
                </w:tcPr>
                <w:p w14:paraId="426C0EEC"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5.97</w:t>
                  </w:r>
                </w:p>
              </w:tc>
              <w:tc>
                <w:tcPr>
                  <w:tcW w:w="1294" w:type="pct"/>
                  <w:noWrap/>
                  <w:vAlign w:val="center"/>
                  <w:hideMark/>
                </w:tcPr>
                <w:p w14:paraId="4685445B"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1.63</w:t>
                  </w:r>
                </w:p>
              </w:tc>
            </w:tr>
            <w:tr w:rsidR="009406C2" w:rsidRPr="00B213CD" w14:paraId="145B01E1" w14:textId="77777777" w:rsidTr="002A750F">
              <w:trPr>
                <w:trHeight w:val="20"/>
              </w:trPr>
              <w:tc>
                <w:tcPr>
                  <w:tcW w:w="2150" w:type="pct"/>
                  <w:vAlign w:val="center"/>
                </w:tcPr>
                <w:p w14:paraId="629C1BBD" w14:textId="77777777" w:rsidR="009406C2" w:rsidRPr="00B213CD" w:rsidRDefault="009406C2" w:rsidP="002A750F">
                  <w:pPr>
                    <w:pStyle w:val="TableText0"/>
                    <w:keepNext w:val="0"/>
                    <w:widowControl w:val="0"/>
                    <w:rPr>
                      <w:b/>
                      <w:bCs w:val="0"/>
                      <w:sz w:val="18"/>
                      <w:szCs w:val="18"/>
                    </w:rPr>
                  </w:pPr>
                  <w:r w:rsidRPr="00B213CD">
                    <w:rPr>
                      <w:b/>
                      <w:sz w:val="18"/>
                      <w:szCs w:val="18"/>
                    </w:rPr>
                    <w:t>V (AV) subst</w:t>
                  </w:r>
                  <w:r w:rsidRPr="00B213CD">
                    <w:rPr>
                      <w:b/>
                      <w:bCs w:val="0"/>
                      <w:sz w:val="18"/>
                      <w:szCs w:val="18"/>
                    </w:rPr>
                    <w:t>.</w:t>
                  </w:r>
                  <w:r w:rsidRPr="00B213CD">
                    <w:rPr>
                      <w:b/>
                      <w:sz w:val="18"/>
                      <w:szCs w:val="18"/>
                    </w:rPr>
                    <w:t xml:space="preserve"> O (VO)</w:t>
                  </w:r>
                </w:p>
              </w:tc>
              <w:tc>
                <w:tcPr>
                  <w:tcW w:w="778" w:type="pct"/>
                  <w:noWrap/>
                  <w:vAlign w:val="center"/>
                  <w:hideMark/>
                </w:tcPr>
                <w:p w14:paraId="19E10E89"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sz w:val="18"/>
                      <w:szCs w:val="18"/>
                    </w:rPr>
                    <w:t>O (VO)</w:t>
                  </w:r>
                </w:p>
              </w:tc>
              <w:tc>
                <w:tcPr>
                  <w:tcW w:w="778" w:type="pct"/>
                  <w:noWrap/>
                  <w:vAlign w:val="center"/>
                  <w:hideMark/>
                </w:tcPr>
                <w:p w14:paraId="69F759C9"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sz w:val="18"/>
                      <w:szCs w:val="18"/>
                    </w:rPr>
                    <w:t>V (AV)</w:t>
                  </w:r>
                </w:p>
              </w:tc>
              <w:tc>
                <w:tcPr>
                  <w:tcW w:w="1294" w:type="pct"/>
                  <w:noWrap/>
                  <w:vAlign w:val="center"/>
                  <w:hideMark/>
                </w:tcPr>
                <w:p w14:paraId="513C60D1" w14:textId="77777777" w:rsidR="009406C2" w:rsidRPr="00B213CD" w:rsidRDefault="009406C2" w:rsidP="002A750F">
                  <w:pPr>
                    <w:keepLines/>
                    <w:widowControl w:val="0"/>
                    <w:jc w:val="left"/>
                    <w:rPr>
                      <w:rFonts w:ascii="Arial Narrow" w:hAnsi="Arial Narrow"/>
                      <w:b/>
                      <w:bCs/>
                      <w:sz w:val="18"/>
                      <w:szCs w:val="18"/>
                    </w:rPr>
                  </w:pPr>
                  <w:r w:rsidRPr="00B213CD">
                    <w:rPr>
                      <w:rFonts w:ascii="Arial Narrow" w:hAnsi="Arial Narrow"/>
                      <w:b/>
                      <w:bCs/>
                      <w:sz w:val="18"/>
                      <w:szCs w:val="18"/>
                    </w:rPr>
                    <w:t>Subst. rate</w:t>
                  </w:r>
                </w:p>
              </w:tc>
            </w:tr>
            <w:tr w:rsidR="009406C2" w:rsidRPr="00B213CD" w14:paraId="0439C21C" w14:textId="77777777" w:rsidTr="002A750F">
              <w:trPr>
                <w:trHeight w:val="20"/>
              </w:trPr>
              <w:tc>
                <w:tcPr>
                  <w:tcW w:w="2150" w:type="pct"/>
                  <w:vAlign w:val="center"/>
                </w:tcPr>
                <w:p w14:paraId="0263C0F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Obinutuzumab</w:t>
                  </w:r>
                </w:p>
              </w:tc>
              <w:tc>
                <w:tcPr>
                  <w:tcW w:w="778" w:type="pct"/>
                  <w:noWrap/>
                  <w:vAlign w:val="center"/>
                  <w:hideMark/>
                </w:tcPr>
                <w:p w14:paraId="47EDE432"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7.36</w:t>
                  </w:r>
                </w:p>
              </w:tc>
              <w:tc>
                <w:tcPr>
                  <w:tcW w:w="778" w:type="pct"/>
                  <w:noWrap/>
                  <w:vAlign w:val="center"/>
                  <w:hideMark/>
                </w:tcPr>
                <w:p w14:paraId="0C583BAB"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10.84</w:t>
                  </w:r>
                </w:p>
              </w:tc>
              <w:tc>
                <w:tcPr>
                  <w:tcW w:w="1294" w:type="pct"/>
                  <w:noWrap/>
                  <w:vAlign w:val="center"/>
                  <w:hideMark/>
                </w:tcPr>
                <w:p w14:paraId="2FF5D003" w14:textId="77777777" w:rsidR="009406C2" w:rsidRPr="00B213CD" w:rsidRDefault="009406C2" w:rsidP="002A750F">
                  <w:pPr>
                    <w:keepLines/>
                    <w:widowControl w:val="0"/>
                    <w:jc w:val="left"/>
                    <w:rPr>
                      <w:rFonts w:ascii="Arial Narrow" w:hAnsi="Arial Narrow"/>
                      <w:sz w:val="18"/>
                      <w:szCs w:val="18"/>
                    </w:rPr>
                  </w:pPr>
                  <w:r w:rsidRPr="00B213CD">
                    <w:rPr>
                      <w:rFonts w:ascii="Arial Narrow" w:hAnsi="Arial Narrow"/>
                      <w:sz w:val="18"/>
                      <w:szCs w:val="18"/>
                    </w:rPr>
                    <w:t>1.47</w:t>
                  </w:r>
                </w:p>
              </w:tc>
            </w:tr>
          </w:tbl>
          <w:p w14:paraId="36D8566F" w14:textId="77777777" w:rsidR="009406C2" w:rsidRPr="00B213CD" w:rsidRDefault="009406C2" w:rsidP="002A750F">
            <w:pPr>
              <w:pStyle w:val="TableText0"/>
              <w:keepNext w:val="0"/>
              <w:widowControl w:val="0"/>
              <w:rPr>
                <w:sz w:val="18"/>
                <w:szCs w:val="18"/>
              </w:rPr>
            </w:pPr>
          </w:p>
        </w:tc>
        <w:tc>
          <w:tcPr>
            <w:tcW w:w="777" w:type="pct"/>
          </w:tcPr>
          <w:p w14:paraId="2478A4E3" w14:textId="5BB1FCF6" w:rsidR="009406C2" w:rsidRPr="00B213CD" w:rsidRDefault="009406C2" w:rsidP="002A750F">
            <w:pPr>
              <w:pStyle w:val="TableText0"/>
              <w:widowControl w:val="0"/>
              <w:rPr>
                <w:sz w:val="18"/>
                <w:szCs w:val="18"/>
              </w:rPr>
            </w:pPr>
            <w:r w:rsidRPr="00B213CD">
              <w:rPr>
                <w:sz w:val="18"/>
                <w:szCs w:val="18"/>
              </w:rPr>
              <w:t xml:space="preserve">The equi-effective doses for VO and IV: Para 6.78, ibrutinib PSD, March 2024 PBAC meeting. </w:t>
            </w:r>
          </w:p>
          <w:p w14:paraId="435A53A9" w14:textId="77777777" w:rsidR="009406C2" w:rsidRPr="00B213CD" w:rsidRDefault="009406C2" w:rsidP="002A750F">
            <w:pPr>
              <w:pStyle w:val="TableText0"/>
              <w:widowControl w:val="0"/>
              <w:rPr>
                <w:sz w:val="18"/>
                <w:szCs w:val="18"/>
              </w:rPr>
            </w:pPr>
            <w:r w:rsidRPr="00B213CD">
              <w:rPr>
                <w:sz w:val="18"/>
                <w:szCs w:val="18"/>
              </w:rPr>
              <w:t>The equi-effective doses for AV: estimated by the submission.</w:t>
            </w:r>
          </w:p>
        </w:tc>
        <w:tc>
          <w:tcPr>
            <w:tcW w:w="1065" w:type="pct"/>
          </w:tcPr>
          <w:p w14:paraId="7B4840E6" w14:textId="77777777" w:rsidR="009406C2" w:rsidRPr="00B213CD" w:rsidRDefault="009406C2" w:rsidP="002A750F">
            <w:pPr>
              <w:pStyle w:val="TableText0"/>
              <w:keepNext w:val="0"/>
              <w:widowControl w:val="0"/>
              <w:rPr>
                <w:sz w:val="18"/>
                <w:szCs w:val="18"/>
              </w:rPr>
            </w:pPr>
            <w:r w:rsidRPr="00B213CD">
              <w:rPr>
                <w:sz w:val="18"/>
                <w:szCs w:val="18"/>
              </w:rPr>
              <w:t>Substitution rates were correctly calculated.</w:t>
            </w:r>
          </w:p>
        </w:tc>
      </w:tr>
      <w:tr w:rsidR="009406C2" w:rsidRPr="00B213CD" w14:paraId="2AF0EC76" w14:textId="77777777" w:rsidTr="00B213CD">
        <w:trPr>
          <w:trHeight w:val="20"/>
        </w:trPr>
        <w:tc>
          <w:tcPr>
            <w:tcW w:w="5000" w:type="pct"/>
            <w:gridSpan w:val="4"/>
          </w:tcPr>
          <w:p w14:paraId="699C4431" w14:textId="77777777" w:rsidR="009406C2" w:rsidRPr="00B213CD" w:rsidRDefault="009406C2" w:rsidP="002A750F">
            <w:pPr>
              <w:pStyle w:val="In-tableHeading"/>
              <w:keepNext w:val="0"/>
              <w:widowControl w:val="0"/>
              <w:rPr>
                <w:sz w:val="18"/>
                <w:szCs w:val="18"/>
                <w:lang w:val="en-AU"/>
              </w:rPr>
            </w:pPr>
            <w:r w:rsidRPr="00B213CD">
              <w:rPr>
                <w:sz w:val="18"/>
                <w:szCs w:val="18"/>
                <w:lang w:val="en-AU"/>
              </w:rPr>
              <w:t>Costs</w:t>
            </w:r>
          </w:p>
        </w:tc>
      </w:tr>
      <w:tr w:rsidR="009406C2" w:rsidRPr="00B213CD" w14:paraId="64A953F8" w14:textId="77777777" w:rsidTr="00B213CD">
        <w:trPr>
          <w:trHeight w:val="20"/>
        </w:trPr>
        <w:tc>
          <w:tcPr>
            <w:tcW w:w="595" w:type="pct"/>
          </w:tcPr>
          <w:p w14:paraId="77AC2A7A" w14:textId="77777777" w:rsidR="009406C2" w:rsidRPr="00B213CD" w:rsidRDefault="009406C2" w:rsidP="002A750F">
            <w:pPr>
              <w:pStyle w:val="TableText0"/>
              <w:keepNext w:val="0"/>
              <w:widowControl w:val="0"/>
              <w:rPr>
                <w:sz w:val="18"/>
                <w:szCs w:val="18"/>
              </w:rPr>
            </w:pPr>
            <w:r w:rsidRPr="00B213CD">
              <w:rPr>
                <w:sz w:val="18"/>
                <w:szCs w:val="18"/>
              </w:rPr>
              <w:lastRenderedPageBreak/>
              <w:t>Proposed regimen (effective prices)</w:t>
            </w:r>
          </w:p>
        </w:tc>
        <w:tc>
          <w:tcPr>
            <w:tcW w:w="2563" w:type="pct"/>
          </w:tcPr>
          <w:tbl>
            <w:tblPr>
              <w:tblStyle w:val="TableGrid"/>
              <w:tblW w:w="0" w:type="auto"/>
              <w:tblLook w:val="04A0" w:firstRow="1" w:lastRow="0" w:firstColumn="1" w:lastColumn="0" w:noHBand="0" w:noVBand="1"/>
            </w:tblPr>
            <w:tblGrid>
              <w:gridCol w:w="836"/>
              <w:gridCol w:w="1195"/>
              <w:gridCol w:w="709"/>
              <w:gridCol w:w="850"/>
              <w:gridCol w:w="1049"/>
            </w:tblGrid>
            <w:tr w:rsidR="009406C2" w:rsidRPr="00B213CD" w14:paraId="7E95903B" w14:textId="77777777" w:rsidTr="007D7F47">
              <w:trPr>
                <w:trHeight w:val="20"/>
                <w:tblHeader/>
              </w:trPr>
              <w:tc>
                <w:tcPr>
                  <w:tcW w:w="836" w:type="dxa"/>
                  <w:tcBorders>
                    <w:top w:val="single" w:sz="4" w:space="0" w:color="auto"/>
                    <w:left w:val="single" w:sz="4" w:space="0" w:color="auto"/>
                    <w:bottom w:val="single" w:sz="4" w:space="0" w:color="auto"/>
                    <w:right w:val="single" w:sz="4" w:space="0" w:color="auto"/>
                  </w:tcBorders>
                  <w:hideMark/>
                </w:tcPr>
                <w:p w14:paraId="22E692B1" w14:textId="77777777" w:rsidR="009406C2" w:rsidRPr="00B213CD" w:rsidRDefault="009406C2" w:rsidP="002A750F">
                  <w:pPr>
                    <w:pStyle w:val="TableText0"/>
                    <w:rPr>
                      <w:b/>
                      <w:bCs w:val="0"/>
                      <w:sz w:val="18"/>
                      <w:szCs w:val="18"/>
                    </w:rPr>
                  </w:pPr>
                  <w:r w:rsidRPr="00B213CD">
                    <w:rPr>
                      <w:b/>
                      <w:bCs w:val="0"/>
                      <w:sz w:val="18"/>
                      <w:szCs w:val="18"/>
                    </w:rPr>
                    <w:t>Drug</w:t>
                  </w:r>
                </w:p>
              </w:tc>
              <w:tc>
                <w:tcPr>
                  <w:tcW w:w="1195" w:type="dxa"/>
                  <w:tcBorders>
                    <w:top w:val="single" w:sz="4" w:space="0" w:color="auto"/>
                    <w:left w:val="single" w:sz="4" w:space="0" w:color="auto"/>
                    <w:bottom w:val="single" w:sz="4" w:space="0" w:color="auto"/>
                    <w:right w:val="single" w:sz="4" w:space="0" w:color="auto"/>
                  </w:tcBorders>
                </w:tcPr>
                <w:p w14:paraId="02965A42" w14:textId="77777777" w:rsidR="009406C2" w:rsidRPr="00B213CD" w:rsidRDefault="009406C2" w:rsidP="002A750F">
                  <w:pPr>
                    <w:pStyle w:val="TableText0"/>
                    <w:rPr>
                      <w:b/>
                      <w:bCs w:val="0"/>
                      <w:sz w:val="18"/>
                      <w:szCs w:val="18"/>
                    </w:rPr>
                  </w:pPr>
                  <w:r w:rsidRPr="00B213CD">
                    <w:rPr>
                      <w:sz w:val="18"/>
                      <w:szCs w:val="18"/>
                    </w:rPr>
                    <w:t>I</w:t>
                  </w:r>
                  <w:r w:rsidRPr="00B213CD">
                    <w:rPr>
                      <w:b/>
                      <w:bCs w:val="0"/>
                      <w:sz w:val="18"/>
                      <w:szCs w:val="18"/>
                    </w:rPr>
                    <w:t>ndex</w:t>
                  </w:r>
                </w:p>
              </w:tc>
              <w:tc>
                <w:tcPr>
                  <w:tcW w:w="709" w:type="dxa"/>
                  <w:tcBorders>
                    <w:top w:val="single" w:sz="4" w:space="0" w:color="auto"/>
                    <w:left w:val="single" w:sz="4" w:space="0" w:color="auto"/>
                    <w:bottom w:val="single" w:sz="4" w:space="0" w:color="auto"/>
                    <w:right w:val="single" w:sz="4" w:space="0" w:color="auto"/>
                  </w:tcBorders>
                  <w:hideMark/>
                </w:tcPr>
                <w:p w14:paraId="5D11542A" w14:textId="77777777" w:rsidR="009406C2" w:rsidRPr="00B213CD" w:rsidRDefault="009406C2" w:rsidP="002A750F">
                  <w:pPr>
                    <w:pStyle w:val="TableText0"/>
                    <w:rPr>
                      <w:b/>
                      <w:bCs w:val="0"/>
                      <w:sz w:val="18"/>
                      <w:szCs w:val="18"/>
                    </w:rPr>
                  </w:pPr>
                  <w:r w:rsidRPr="00B213CD">
                    <w:rPr>
                      <w:b/>
                      <w:bCs w:val="0"/>
                      <w:sz w:val="18"/>
                      <w:szCs w:val="18"/>
                    </w:rPr>
                    <w:t>Max Q</w:t>
                  </w:r>
                </w:p>
              </w:tc>
              <w:tc>
                <w:tcPr>
                  <w:tcW w:w="850" w:type="dxa"/>
                  <w:tcBorders>
                    <w:top w:val="single" w:sz="4" w:space="0" w:color="auto"/>
                    <w:left w:val="single" w:sz="4" w:space="0" w:color="auto"/>
                    <w:bottom w:val="single" w:sz="4" w:space="0" w:color="auto"/>
                    <w:right w:val="single" w:sz="4" w:space="0" w:color="auto"/>
                  </w:tcBorders>
                  <w:hideMark/>
                </w:tcPr>
                <w:p w14:paraId="7CD6C651" w14:textId="18A2648D" w:rsidR="009406C2" w:rsidRPr="00B213CD" w:rsidRDefault="009406C2" w:rsidP="002A750F">
                  <w:pPr>
                    <w:pStyle w:val="TableText0"/>
                    <w:rPr>
                      <w:b/>
                      <w:bCs w:val="0"/>
                      <w:sz w:val="18"/>
                      <w:szCs w:val="18"/>
                    </w:rPr>
                  </w:pPr>
                  <w:r w:rsidRPr="00B213CD">
                    <w:rPr>
                      <w:b/>
                      <w:bCs w:val="0"/>
                      <w:sz w:val="18"/>
                      <w:szCs w:val="18"/>
                    </w:rPr>
                    <w:t xml:space="preserve">AEMP </w:t>
                  </w:r>
                  <w:r w:rsidR="007D7F47">
                    <w:rPr>
                      <w:b/>
                      <w:bCs w:val="0"/>
                      <w:sz w:val="18"/>
                      <w:szCs w:val="18"/>
                    </w:rPr>
                    <w:t>($)</w:t>
                  </w:r>
                </w:p>
              </w:tc>
              <w:tc>
                <w:tcPr>
                  <w:tcW w:w="1049" w:type="dxa"/>
                  <w:tcBorders>
                    <w:top w:val="single" w:sz="4" w:space="0" w:color="auto"/>
                    <w:left w:val="single" w:sz="4" w:space="0" w:color="auto"/>
                    <w:bottom w:val="single" w:sz="4" w:space="0" w:color="auto"/>
                    <w:right w:val="single" w:sz="4" w:space="0" w:color="auto"/>
                  </w:tcBorders>
                  <w:hideMark/>
                </w:tcPr>
                <w:p w14:paraId="56831A52" w14:textId="17E0A782" w:rsidR="009406C2" w:rsidRPr="00B213CD" w:rsidRDefault="009406C2" w:rsidP="002A750F">
                  <w:pPr>
                    <w:pStyle w:val="TableText0"/>
                    <w:rPr>
                      <w:b/>
                      <w:bCs w:val="0"/>
                      <w:sz w:val="18"/>
                      <w:szCs w:val="18"/>
                    </w:rPr>
                  </w:pPr>
                  <w:r w:rsidRPr="00B213CD">
                    <w:rPr>
                      <w:b/>
                      <w:bCs w:val="0"/>
                      <w:sz w:val="18"/>
                      <w:szCs w:val="18"/>
                    </w:rPr>
                    <w:t>DPMQ</w:t>
                  </w:r>
                  <w:r w:rsidR="007D7F47">
                    <w:rPr>
                      <w:b/>
                      <w:bCs w:val="0"/>
                      <w:sz w:val="18"/>
                      <w:szCs w:val="18"/>
                    </w:rPr>
                    <w:t xml:space="preserve"> ($)</w:t>
                  </w:r>
                </w:p>
              </w:tc>
            </w:tr>
            <w:tr w:rsidR="009406C2" w:rsidRPr="00B213CD" w14:paraId="669EEC5D" w14:textId="77777777" w:rsidTr="007D7F47">
              <w:trPr>
                <w:trHeight w:val="20"/>
              </w:trPr>
              <w:tc>
                <w:tcPr>
                  <w:tcW w:w="836" w:type="dxa"/>
                  <w:tcBorders>
                    <w:top w:val="single" w:sz="4" w:space="0" w:color="auto"/>
                    <w:left w:val="single" w:sz="4" w:space="0" w:color="auto"/>
                    <w:bottom w:val="single" w:sz="4" w:space="0" w:color="auto"/>
                    <w:right w:val="single" w:sz="4" w:space="0" w:color="auto"/>
                  </w:tcBorders>
                  <w:hideMark/>
                </w:tcPr>
                <w:p w14:paraId="4ACB1C79" w14:textId="77777777" w:rsidR="009406C2" w:rsidRPr="00B213CD" w:rsidRDefault="009406C2" w:rsidP="002A750F">
                  <w:pPr>
                    <w:pStyle w:val="TableText0"/>
                    <w:rPr>
                      <w:sz w:val="18"/>
                      <w:szCs w:val="18"/>
                    </w:rPr>
                  </w:pPr>
                  <w:r w:rsidRPr="00B213CD">
                    <w:rPr>
                      <w:sz w:val="18"/>
                      <w:szCs w:val="18"/>
                    </w:rPr>
                    <w:t>A (AV)</w:t>
                  </w:r>
                </w:p>
              </w:tc>
              <w:tc>
                <w:tcPr>
                  <w:tcW w:w="1195" w:type="dxa"/>
                  <w:tcBorders>
                    <w:top w:val="single" w:sz="4" w:space="0" w:color="auto"/>
                    <w:left w:val="single" w:sz="4" w:space="0" w:color="auto"/>
                    <w:bottom w:val="single" w:sz="4" w:space="0" w:color="auto"/>
                    <w:right w:val="single" w:sz="4" w:space="0" w:color="auto"/>
                  </w:tcBorders>
                </w:tcPr>
                <w:p w14:paraId="6D101D4E" w14:textId="77777777" w:rsidR="009406C2" w:rsidRPr="00B213CD" w:rsidRDefault="009406C2" w:rsidP="002A750F">
                  <w:pPr>
                    <w:pStyle w:val="TableText0"/>
                    <w:rPr>
                      <w:sz w:val="18"/>
                      <w:szCs w:val="18"/>
                    </w:rPr>
                  </w:pPr>
                  <w:r w:rsidRPr="00B213CD">
                    <w:rPr>
                      <w:sz w:val="18"/>
                      <w:szCs w:val="18"/>
                    </w:rPr>
                    <w:t>All</w:t>
                  </w:r>
                </w:p>
              </w:tc>
              <w:tc>
                <w:tcPr>
                  <w:tcW w:w="709" w:type="dxa"/>
                  <w:tcBorders>
                    <w:top w:val="single" w:sz="4" w:space="0" w:color="auto"/>
                    <w:left w:val="single" w:sz="4" w:space="0" w:color="auto"/>
                    <w:bottom w:val="single" w:sz="4" w:space="0" w:color="auto"/>
                    <w:right w:val="single" w:sz="4" w:space="0" w:color="auto"/>
                  </w:tcBorders>
                  <w:hideMark/>
                </w:tcPr>
                <w:p w14:paraId="1E4120E4" w14:textId="77777777" w:rsidR="009406C2" w:rsidRPr="00B213CD" w:rsidRDefault="009406C2" w:rsidP="002A750F">
                  <w:pPr>
                    <w:pStyle w:val="TableText0"/>
                    <w:rPr>
                      <w:sz w:val="18"/>
                      <w:szCs w:val="18"/>
                    </w:rPr>
                  </w:pPr>
                  <w:r w:rsidRPr="00B213CD">
                    <w:rPr>
                      <w:sz w:val="18"/>
                      <w:szCs w:val="18"/>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977F81" w14:textId="7EEF1AA2" w:rsidR="009406C2" w:rsidRPr="007D7F47" w:rsidRDefault="007C5080" w:rsidP="002A750F">
                  <w:pPr>
                    <w:pStyle w:val="TableText0"/>
                    <w:rPr>
                      <w:sz w:val="18"/>
                      <w:szCs w:val="18"/>
                      <w:highlight w:val="darkGray"/>
                    </w:rPr>
                  </w:pPr>
                  <w:r w:rsidRPr="007C5080">
                    <w:rPr>
                      <w:color w:val="000000"/>
                      <w:sz w:val="18"/>
                      <w:szCs w:val="18"/>
                      <w:highlight w:val="black"/>
                    </w:rPr>
                    <w:t>@@@@</w:t>
                  </w:r>
                </w:p>
              </w:tc>
              <w:tc>
                <w:tcPr>
                  <w:tcW w:w="1049" w:type="dxa"/>
                  <w:tcBorders>
                    <w:top w:val="single" w:sz="4" w:space="0" w:color="auto"/>
                    <w:left w:val="single" w:sz="4" w:space="0" w:color="auto"/>
                    <w:bottom w:val="single" w:sz="4" w:space="0" w:color="auto"/>
                    <w:right w:val="single" w:sz="4" w:space="0" w:color="auto"/>
                  </w:tcBorders>
                  <w:vAlign w:val="center"/>
                  <w:hideMark/>
                </w:tcPr>
                <w:p w14:paraId="260345F1" w14:textId="17673085" w:rsidR="009406C2" w:rsidRPr="00A105BD" w:rsidRDefault="007C5080" w:rsidP="002A750F">
                  <w:pPr>
                    <w:pStyle w:val="TableText0"/>
                    <w:rPr>
                      <w:sz w:val="18"/>
                      <w:szCs w:val="18"/>
                      <w:highlight w:val="darkGray"/>
                    </w:rPr>
                  </w:pPr>
                  <w:r w:rsidRPr="007C5080">
                    <w:rPr>
                      <w:color w:val="000000"/>
                      <w:sz w:val="18"/>
                      <w:szCs w:val="18"/>
                      <w:highlight w:val="black"/>
                    </w:rPr>
                    <w:t>@@@@</w:t>
                  </w:r>
                </w:p>
              </w:tc>
            </w:tr>
            <w:tr w:rsidR="009406C2" w:rsidRPr="00B213CD" w14:paraId="15621A57" w14:textId="77777777" w:rsidTr="007D7F47">
              <w:trPr>
                <w:trHeight w:val="20"/>
              </w:trPr>
              <w:tc>
                <w:tcPr>
                  <w:tcW w:w="836" w:type="dxa"/>
                  <w:tcBorders>
                    <w:top w:val="single" w:sz="4" w:space="0" w:color="auto"/>
                    <w:left w:val="single" w:sz="4" w:space="0" w:color="auto"/>
                    <w:bottom w:val="single" w:sz="4" w:space="0" w:color="auto"/>
                    <w:right w:val="single" w:sz="4" w:space="0" w:color="auto"/>
                  </w:tcBorders>
                  <w:hideMark/>
                </w:tcPr>
                <w:p w14:paraId="79DEA65D" w14:textId="77777777" w:rsidR="009406C2" w:rsidRPr="00B213CD" w:rsidRDefault="009406C2" w:rsidP="002A750F">
                  <w:pPr>
                    <w:pStyle w:val="TableText0"/>
                    <w:rPr>
                      <w:sz w:val="18"/>
                      <w:szCs w:val="18"/>
                    </w:rPr>
                  </w:pPr>
                  <w:r w:rsidRPr="00B213CD">
                    <w:rPr>
                      <w:sz w:val="18"/>
                      <w:szCs w:val="18"/>
                    </w:rPr>
                    <w:t xml:space="preserve">V (AV) </w:t>
                  </w:r>
                </w:p>
              </w:tc>
              <w:tc>
                <w:tcPr>
                  <w:tcW w:w="1195" w:type="dxa"/>
                  <w:tcBorders>
                    <w:top w:val="single" w:sz="4" w:space="0" w:color="auto"/>
                    <w:left w:val="single" w:sz="4" w:space="0" w:color="auto"/>
                    <w:bottom w:val="single" w:sz="4" w:space="0" w:color="auto"/>
                    <w:right w:val="single" w:sz="4" w:space="0" w:color="auto"/>
                  </w:tcBorders>
                  <w:vAlign w:val="center"/>
                </w:tcPr>
                <w:p w14:paraId="6DA14447" w14:textId="77777777" w:rsidR="009406C2" w:rsidRPr="00B213CD" w:rsidRDefault="009406C2" w:rsidP="002A750F">
                  <w:pPr>
                    <w:pStyle w:val="TableText0"/>
                    <w:rPr>
                      <w:sz w:val="18"/>
                      <w:szCs w:val="18"/>
                    </w:rPr>
                  </w:pPr>
                  <w:r w:rsidRPr="00B213CD">
                    <w:rPr>
                      <w:sz w:val="18"/>
                      <w:szCs w:val="18"/>
                    </w:rPr>
                    <w:t>Initial</w:t>
                  </w:r>
                </w:p>
              </w:tc>
              <w:tc>
                <w:tcPr>
                  <w:tcW w:w="709" w:type="dxa"/>
                  <w:tcBorders>
                    <w:top w:val="single" w:sz="4" w:space="0" w:color="auto"/>
                    <w:left w:val="single" w:sz="4" w:space="0" w:color="auto"/>
                    <w:bottom w:val="single" w:sz="4" w:space="0" w:color="auto"/>
                    <w:right w:val="single" w:sz="4" w:space="0" w:color="auto"/>
                  </w:tcBorders>
                  <w:hideMark/>
                </w:tcPr>
                <w:p w14:paraId="5EC559CB" w14:textId="77777777" w:rsidR="009406C2" w:rsidRPr="00B213CD" w:rsidRDefault="009406C2" w:rsidP="002A750F">
                  <w:pPr>
                    <w:pStyle w:val="TableText0"/>
                    <w:rPr>
                      <w:sz w:val="18"/>
                      <w:szCs w:val="18"/>
                    </w:rPr>
                  </w:pPr>
                  <w:r w:rsidRPr="00B213CD">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12A047" w14:textId="2FA4E4C9" w:rsidR="009406C2" w:rsidRPr="007D7F47" w:rsidRDefault="007C5080" w:rsidP="002A750F">
                  <w:pPr>
                    <w:pStyle w:val="TableText0"/>
                    <w:rPr>
                      <w:sz w:val="18"/>
                      <w:szCs w:val="18"/>
                      <w:highlight w:val="darkGray"/>
                    </w:rPr>
                  </w:pPr>
                  <w:r w:rsidRPr="007C5080">
                    <w:rPr>
                      <w:sz w:val="18"/>
                      <w:szCs w:val="18"/>
                      <w:highlight w:val="black"/>
                    </w:rPr>
                    <w:t>@@@@</w:t>
                  </w:r>
                </w:p>
              </w:tc>
              <w:tc>
                <w:tcPr>
                  <w:tcW w:w="1049" w:type="dxa"/>
                  <w:tcBorders>
                    <w:top w:val="single" w:sz="4" w:space="0" w:color="auto"/>
                    <w:left w:val="single" w:sz="4" w:space="0" w:color="auto"/>
                    <w:bottom w:val="single" w:sz="4" w:space="0" w:color="auto"/>
                    <w:right w:val="single" w:sz="4" w:space="0" w:color="auto"/>
                  </w:tcBorders>
                  <w:vAlign w:val="center"/>
                  <w:hideMark/>
                </w:tcPr>
                <w:p w14:paraId="699BB455" w14:textId="19D83771" w:rsidR="009406C2" w:rsidRPr="00830592" w:rsidRDefault="007C5080" w:rsidP="002A750F">
                  <w:pPr>
                    <w:pStyle w:val="TableText0"/>
                    <w:rPr>
                      <w:sz w:val="18"/>
                      <w:szCs w:val="18"/>
                      <w:highlight w:val="darkGray"/>
                    </w:rPr>
                  </w:pPr>
                  <w:r w:rsidRPr="007C5080">
                    <w:rPr>
                      <w:color w:val="000000"/>
                      <w:sz w:val="18"/>
                      <w:szCs w:val="18"/>
                      <w:highlight w:val="black"/>
                    </w:rPr>
                    <w:t>@@@@</w:t>
                  </w:r>
                </w:p>
              </w:tc>
            </w:tr>
            <w:tr w:rsidR="009406C2" w:rsidRPr="00B213CD" w14:paraId="27332C9A" w14:textId="77777777" w:rsidTr="007D7F47">
              <w:trPr>
                <w:trHeight w:val="20"/>
              </w:trPr>
              <w:tc>
                <w:tcPr>
                  <w:tcW w:w="836" w:type="dxa"/>
                  <w:tcBorders>
                    <w:top w:val="single" w:sz="4" w:space="0" w:color="auto"/>
                    <w:left w:val="single" w:sz="4" w:space="0" w:color="auto"/>
                    <w:bottom w:val="single" w:sz="4" w:space="0" w:color="auto"/>
                    <w:right w:val="single" w:sz="4" w:space="0" w:color="auto"/>
                  </w:tcBorders>
                  <w:hideMark/>
                </w:tcPr>
                <w:p w14:paraId="6F993FF0" w14:textId="77777777" w:rsidR="009406C2" w:rsidRPr="00B213CD" w:rsidRDefault="009406C2" w:rsidP="002A750F">
                  <w:pPr>
                    <w:pStyle w:val="TableText0"/>
                    <w:rPr>
                      <w:sz w:val="18"/>
                      <w:szCs w:val="18"/>
                    </w:rPr>
                  </w:pPr>
                  <w:r w:rsidRPr="00B213CD">
                    <w:rPr>
                      <w:sz w:val="18"/>
                      <w:szCs w:val="18"/>
                    </w:rPr>
                    <w:t>V (AV)</w:t>
                  </w:r>
                </w:p>
              </w:tc>
              <w:tc>
                <w:tcPr>
                  <w:tcW w:w="1195" w:type="dxa"/>
                  <w:tcBorders>
                    <w:top w:val="single" w:sz="4" w:space="0" w:color="auto"/>
                    <w:left w:val="single" w:sz="4" w:space="0" w:color="auto"/>
                    <w:bottom w:val="single" w:sz="4" w:space="0" w:color="auto"/>
                    <w:right w:val="single" w:sz="4" w:space="0" w:color="auto"/>
                  </w:tcBorders>
                  <w:vAlign w:val="center"/>
                </w:tcPr>
                <w:p w14:paraId="6536CD33" w14:textId="77777777" w:rsidR="009406C2" w:rsidRPr="00B213CD" w:rsidRDefault="009406C2" w:rsidP="002A750F">
                  <w:pPr>
                    <w:pStyle w:val="TableText0"/>
                    <w:rPr>
                      <w:sz w:val="18"/>
                      <w:szCs w:val="18"/>
                    </w:rPr>
                  </w:pPr>
                  <w:r w:rsidRPr="00B213CD">
                    <w:rPr>
                      <w:sz w:val="18"/>
                      <w:szCs w:val="18"/>
                    </w:rPr>
                    <w:t>Continuing</w:t>
                  </w:r>
                </w:p>
              </w:tc>
              <w:tc>
                <w:tcPr>
                  <w:tcW w:w="709" w:type="dxa"/>
                  <w:tcBorders>
                    <w:top w:val="single" w:sz="4" w:space="0" w:color="auto"/>
                    <w:left w:val="single" w:sz="4" w:space="0" w:color="auto"/>
                    <w:bottom w:val="single" w:sz="4" w:space="0" w:color="auto"/>
                    <w:right w:val="single" w:sz="4" w:space="0" w:color="auto"/>
                  </w:tcBorders>
                  <w:hideMark/>
                </w:tcPr>
                <w:p w14:paraId="026B16D7" w14:textId="77777777" w:rsidR="009406C2" w:rsidRPr="00B213CD" w:rsidRDefault="009406C2" w:rsidP="002A750F">
                  <w:pPr>
                    <w:pStyle w:val="TableText0"/>
                    <w:rPr>
                      <w:sz w:val="18"/>
                      <w:szCs w:val="18"/>
                    </w:rPr>
                  </w:pPr>
                  <w:r w:rsidRPr="00B213CD">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57EC80" w14:textId="53FADFEA" w:rsidR="009406C2" w:rsidRPr="007D7F47" w:rsidRDefault="007C5080" w:rsidP="002A750F">
                  <w:pPr>
                    <w:pStyle w:val="TableText0"/>
                    <w:rPr>
                      <w:sz w:val="18"/>
                      <w:szCs w:val="18"/>
                      <w:highlight w:val="darkGray"/>
                    </w:rPr>
                  </w:pPr>
                  <w:r w:rsidRPr="007C5080">
                    <w:rPr>
                      <w:sz w:val="18"/>
                      <w:szCs w:val="18"/>
                      <w:highlight w:val="black"/>
                    </w:rPr>
                    <w:t>@@@@</w:t>
                  </w:r>
                </w:p>
              </w:tc>
              <w:tc>
                <w:tcPr>
                  <w:tcW w:w="1049" w:type="dxa"/>
                  <w:tcBorders>
                    <w:top w:val="single" w:sz="4" w:space="0" w:color="auto"/>
                    <w:left w:val="single" w:sz="4" w:space="0" w:color="auto"/>
                    <w:bottom w:val="single" w:sz="4" w:space="0" w:color="auto"/>
                    <w:right w:val="single" w:sz="4" w:space="0" w:color="auto"/>
                  </w:tcBorders>
                  <w:vAlign w:val="center"/>
                  <w:hideMark/>
                </w:tcPr>
                <w:p w14:paraId="0518E5C3" w14:textId="21A81B97" w:rsidR="009406C2" w:rsidRPr="00830592" w:rsidRDefault="007C5080" w:rsidP="002A750F">
                  <w:pPr>
                    <w:pStyle w:val="TableText0"/>
                    <w:rPr>
                      <w:color w:val="000000"/>
                      <w:sz w:val="18"/>
                      <w:szCs w:val="18"/>
                      <w:highlight w:val="darkGray"/>
                    </w:rPr>
                  </w:pPr>
                  <w:r w:rsidRPr="007C5080">
                    <w:rPr>
                      <w:color w:val="000000"/>
                      <w:sz w:val="18"/>
                      <w:szCs w:val="18"/>
                      <w:highlight w:val="black"/>
                    </w:rPr>
                    <w:t>@@@@</w:t>
                  </w:r>
                </w:p>
              </w:tc>
            </w:tr>
          </w:tbl>
          <w:p w14:paraId="7142E3B6" w14:textId="77777777" w:rsidR="009406C2" w:rsidRPr="00B213CD" w:rsidRDefault="009406C2" w:rsidP="002A750F">
            <w:pPr>
              <w:pStyle w:val="TableText0"/>
              <w:keepNext w:val="0"/>
              <w:widowControl w:val="0"/>
              <w:rPr>
                <w:sz w:val="18"/>
                <w:szCs w:val="18"/>
              </w:rPr>
            </w:pPr>
          </w:p>
        </w:tc>
        <w:tc>
          <w:tcPr>
            <w:tcW w:w="777" w:type="pct"/>
          </w:tcPr>
          <w:p w14:paraId="2E26C02B" w14:textId="1AB1BB3A" w:rsidR="009406C2" w:rsidRPr="00B213CD" w:rsidRDefault="007053E4" w:rsidP="002A750F">
            <w:pPr>
              <w:pStyle w:val="TableText0"/>
              <w:keepNext w:val="0"/>
              <w:widowControl w:val="0"/>
              <w:rPr>
                <w:sz w:val="18"/>
                <w:szCs w:val="18"/>
              </w:rPr>
            </w:pPr>
            <w:r w:rsidRPr="00B213CD">
              <w:rPr>
                <w:sz w:val="18"/>
                <w:szCs w:val="18"/>
              </w:rPr>
              <w:t xml:space="preserve"> Proposed by the sponsor, </w:t>
            </w:r>
          </w:p>
        </w:tc>
        <w:tc>
          <w:tcPr>
            <w:tcW w:w="1065" w:type="pct"/>
          </w:tcPr>
          <w:p w14:paraId="1FA6FFA0" w14:textId="65E2A810" w:rsidR="009406C2" w:rsidRPr="00B213CD" w:rsidRDefault="00086B67" w:rsidP="002A750F">
            <w:pPr>
              <w:pStyle w:val="TableText0"/>
              <w:keepNext w:val="0"/>
              <w:widowControl w:val="0"/>
              <w:rPr>
                <w:sz w:val="18"/>
                <w:szCs w:val="18"/>
              </w:rPr>
            </w:pPr>
            <w:r w:rsidRPr="00B213CD">
              <w:rPr>
                <w:sz w:val="18"/>
                <w:szCs w:val="18"/>
              </w:rPr>
              <w:t>C</w:t>
            </w:r>
            <w:r w:rsidR="009406C2" w:rsidRPr="00B213CD">
              <w:rPr>
                <w:sz w:val="18"/>
                <w:szCs w:val="18"/>
              </w:rPr>
              <w:t>onsistent with Section 3</w:t>
            </w:r>
            <w:r w:rsidR="00DA2688" w:rsidRPr="00B213CD">
              <w:rPr>
                <w:sz w:val="18"/>
                <w:szCs w:val="18"/>
              </w:rPr>
              <w:t xml:space="preserve"> of the submission</w:t>
            </w:r>
            <w:r w:rsidR="009406C2" w:rsidRPr="00B213CD">
              <w:rPr>
                <w:sz w:val="18"/>
                <w:szCs w:val="18"/>
              </w:rPr>
              <w:t>. Using this, the total treatment cost of AV was $</w:t>
            </w:r>
            <w:r w:rsidR="007C5080" w:rsidRPr="007C5080">
              <w:rPr>
                <w:sz w:val="18"/>
                <w:szCs w:val="18"/>
                <w:highlight w:val="black"/>
              </w:rPr>
              <w:t>@@@@</w:t>
            </w:r>
            <w:r w:rsidR="009406C2" w:rsidRPr="00B213CD">
              <w:rPr>
                <w:sz w:val="18"/>
                <w:szCs w:val="18"/>
              </w:rPr>
              <w:t>.</w:t>
            </w:r>
          </w:p>
        </w:tc>
      </w:tr>
      <w:tr w:rsidR="009406C2" w:rsidRPr="00B213CD" w14:paraId="01F26E5E" w14:textId="77777777" w:rsidTr="00B213CD">
        <w:trPr>
          <w:trHeight w:val="568"/>
        </w:trPr>
        <w:tc>
          <w:tcPr>
            <w:tcW w:w="595" w:type="pct"/>
          </w:tcPr>
          <w:p w14:paraId="4F074FCC" w14:textId="77777777" w:rsidR="009406C2" w:rsidRPr="00B213CD" w:rsidRDefault="009406C2" w:rsidP="002A750F">
            <w:pPr>
              <w:pStyle w:val="TableText0"/>
              <w:keepNext w:val="0"/>
              <w:widowControl w:val="0"/>
              <w:rPr>
                <w:sz w:val="18"/>
                <w:szCs w:val="18"/>
              </w:rPr>
            </w:pPr>
            <w:r w:rsidRPr="00B213CD">
              <w:rPr>
                <w:sz w:val="18"/>
                <w:szCs w:val="18"/>
              </w:rPr>
              <w:t>PBS/RPBS split</w:t>
            </w:r>
          </w:p>
        </w:tc>
        <w:tc>
          <w:tcPr>
            <w:tcW w:w="2563" w:type="pct"/>
          </w:tcPr>
          <w:p w14:paraId="668D24DE" w14:textId="77777777" w:rsidR="009406C2" w:rsidRPr="00B213CD" w:rsidRDefault="009406C2" w:rsidP="002A750F">
            <w:pPr>
              <w:pStyle w:val="TableText0"/>
              <w:rPr>
                <w:b/>
                <w:bCs w:val="0"/>
                <w:sz w:val="18"/>
                <w:szCs w:val="18"/>
              </w:rPr>
            </w:pPr>
            <w:r w:rsidRPr="00B213CD">
              <w:rPr>
                <w:color w:val="000000"/>
                <w:sz w:val="18"/>
                <w:szCs w:val="18"/>
              </w:rPr>
              <w:t>PBS: 97.20%, RPBS: 2.80%</w:t>
            </w:r>
          </w:p>
        </w:tc>
        <w:tc>
          <w:tcPr>
            <w:tcW w:w="777" w:type="pct"/>
            <w:vMerge w:val="restart"/>
          </w:tcPr>
          <w:p w14:paraId="4FCC37BB" w14:textId="77777777" w:rsidR="009406C2" w:rsidRPr="00B213CD" w:rsidRDefault="009406C2" w:rsidP="002A750F">
            <w:pPr>
              <w:pStyle w:val="TableText0"/>
              <w:keepNext w:val="0"/>
              <w:widowControl w:val="0"/>
              <w:rPr>
                <w:sz w:val="18"/>
                <w:szCs w:val="18"/>
              </w:rPr>
            </w:pPr>
            <w:r w:rsidRPr="00B213CD">
              <w:rPr>
                <w:sz w:val="18"/>
                <w:szCs w:val="18"/>
              </w:rPr>
              <w:t>Estimated from V (VO), O (VO), I (IV), &amp; V (IV) markets (initial, continuing, GF) in PBS (Jun24-May25).</w:t>
            </w:r>
          </w:p>
        </w:tc>
        <w:tc>
          <w:tcPr>
            <w:tcW w:w="1065" w:type="pct"/>
            <w:vMerge w:val="restart"/>
          </w:tcPr>
          <w:p w14:paraId="6882EE07" w14:textId="7B905F5E" w:rsidR="009406C2" w:rsidRPr="00B213CD" w:rsidRDefault="003D445F" w:rsidP="002A750F">
            <w:pPr>
              <w:pStyle w:val="TableText0"/>
              <w:keepNext w:val="0"/>
              <w:widowControl w:val="0"/>
              <w:rPr>
                <w:sz w:val="18"/>
                <w:szCs w:val="18"/>
              </w:rPr>
            </w:pPr>
            <w:r w:rsidRPr="00B213CD">
              <w:rPr>
                <w:sz w:val="18"/>
                <w:szCs w:val="22"/>
              </w:rPr>
              <w:t>This was reasonable.</w:t>
            </w:r>
          </w:p>
        </w:tc>
      </w:tr>
      <w:tr w:rsidR="009406C2" w:rsidRPr="00B213CD" w14:paraId="717F29B5" w14:textId="77777777" w:rsidTr="00B213CD">
        <w:trPr>
          <w:trHeight w:val="20"/>
        </w:trPr>
        <w:tc>
          <w:tcPr>
            <w:tcW w:w="595" w:type="pct"/>
          </w:tcPr>
          <w:p w14:paraId="4C80CE3C" w14:textId="77777777" w:rsidR="009406C2" w:rsidRPr="00B213CD" w:rsidRDefault="009406C2" w:rsidP="002A750F">
            <w:pPr>
              <w:pStyle w:val="TableText0"/>
              <w:keepNext w:val="0"/>
              <w:widowControl w:val="0"/>
              <w:rPr>
                <w:sz w:val="18"/>
                <w:szCs w:val="18"/>
              </w:rPr>
            </w:pPr>
            <w:r w:rsidRPr="00B213CD">
              <w:rPr>
                <w:sz w:val="18"/>
                <w:szCs w:val="18"/>
              </w:rPr>
              <w:t>Average co-pay</w:t>
            </w:r>
          </w:p>
        </w:tc>
        <w:tc>
          <w:tcPr>
            <w:tcW w:w="2563" w:type="pct"/>
          </w:tcPr>
          <w:p w14:paraId="0474B596" w14:textId="77777777" w:rsidR="009406C2" w:rsidRPr="00B213CD" w:rsidRDefault="009406C2" w:rsidP="002A750F">
            <w:pPr>
              <w:pStyle w:val="TableText0"/>
              <w:rPr>
                <w:b/>
                <w:bCs w:val="0"/>
                <w:sz w:val="18"/>
                <w:szCs w:val="18"/>
              </w:rPr>
            </w:pPr>
            <w:r w:rsidRPr="00B213CD">
              <w:rPr>
                <w:color w:val="000000"/>
                <w:sz w:val="18"/>
                <w:szCs w:val="18"/>
              </w:rPr>
              <w:t>PBS: $16.18, RPBS: $5.71</w:t>
            </w:r>
          </w:p>
        </w:tc>
        <w:tc>
          <w:tcPr>
            <w:tcW w:w="777" w:type="pct"/>
            <w:vMerge/>
          </w:tcPr>
          <w:p w14:paraId="0C66E12F" w14:textId="77777777" w:rsidR="009406C2" w:rsidRPr="00B213CD" w:rsidRDefault="009406C2" w:rsidP="002A750F">
            <w:pPr>
              <w:pStyle w:val="TableText0"/>
              <w:keepNext w:val="0"/>
              <w:widowControl w:val="0"/>
              <w:rPr>
                <w:sz w:val="18"/>
                <w:szCs w:val="18"/>
              </w:rPr>
            </w:pPr>
          </w:p>
        </w:tc>
        <w:tc>
          <w:tcPr>
            <w:tcW w:w="1065" w:type="pct"/>
            <w:vMerge/>
          </w:tcPr>
          <w:p w14:paraId="61D9898F" w14:textId="77777777" w:rsidR="009406C2" w:rsidRPr="00B213CD" w:rsidRDefault="009406C2" w:rsidP="002A750F">
            <w:pPr>
              <w:pStyle w:val="TableText0"/>
              <w:keepNext w:val="0"/>
              <w:widowControl w:val="0"/>
              <w:rPr>
                <w:sz w:val="18"/>
                <w:szCs w:val="18"/>
              </w:rPr>
            </w:pPr>
          </w:p>
        </w:tc>
      </w:tr>
      <w:tr w:rsidR="009406C2" w:rsidRPr="00B213CD" w14:paraId="71017CAF" w14:textId="77777777" w:rsidTr="00B213CD">
        <w:trPr>
          <w:trHeight w:val="20"/>
        </w:trPr>
        <w:tc>
          <w:tcPr>
            <w:tcW w:w="595" w:type="pct"/>
          </w:tcPr>
          <w:p w14:paraId="36700123" w14:textId="77777777" w:rsidR="009406C2" w:rsidRPr="00B213CD" w:rsidRDefault="009406C2" w:rsidP="002A750F">
            <w:pPr>
              <w:pStyle w:val="TableText0"/>
              <w:keepNext w:val="0"/>
              <w:widowControl w:val="0"/>
              <w:rPr>
                <w:sz w:val="18"/>
                <w:szCs w:val="18"/>
              </w:rPr>
            </w:pPr>
            <w:r w:rsidRPr="00B213CD">
              <w:rPr>
                <w:sz w:val="18"/>
                <w:szCs w:val="18"/>
              </w:rPr>
              <w:t>Comparator (effective prices)</w:t>
            </w:r>
          </w:p>
        </w:tc>
        <w:tc>
          <w:tcPr>
            <w:tcW w:w="2563" w:type="pct"/>
          </w:tcPr>
          <w:tbl>
            <w:tblPr>
              <w:tblStyle w:val="TableGrid"/>
              <w:tblW w:w="5000" w:type="pct"/>
              <w:tblCellMar>
                <w:left w:w="28" w:type="dxa"/>
                <w:right w:w="28" w:type="dxa"/>
              </w:tblCellMar>
              <w:tblLook w:val="04A0" w:firstRow="1" w:lastRow="0" w:firstColumn="1" w:lastColumn="0" w:noHBand="0" w:noVBand="1"/>
            </w:tblPr>
            <w:tblGrid>
              <w:gridCol w:w="837"/>
              <w:gridCol w:w="1273"/>
              <w:gridCol w:w="788"/>
              <w:gridCol w:w="871"/>
              <w:gridCol w:w="870"/>
            </w:tblGrid>
            <w:tr w:rsidR="009406C2" w:rsidRPr="00B213CD" w14:paraId="096248BB" w14:textId="77777777" w:rsidTr="002A750F">
              <w:trPr>
                <w:trHeight w:val="20"/>
              </w:trPr>
              <w:tc>
                <w:tcPr>
                  <w:tcW w:w="902" w:type="pct"/>
                  <w:tcBorders>
                    <w:top w:val="single" w:sz="4" w:space="0" w:color="auto"/>
                    <w:left w:val="single" w:sz="4" w:space="0" w:color="auto"/>
                    <w:bottom w:val="single" w:sz="4" w:space="0" w:color="auto"/>
                    <w:right w:val="single" w:sz="4" w:space="0" w:color="auto"/>
                  </w:tcBorders>
                  <w:vAlign w:val="center"/>
                  <w:hideMark/>
                </w:tcPr>
                <w:p w14:paraId="01E86347" w14:textId="77777777" w:rsidR="009406C2" w:rsidRPr="00B213CD" w:rsidRDefault="009406C2" w:rsidP="002A750F">
                  <w:pPr>
                    <w:pStyle w:val="TableHeading0"/>
                    <w:spacing w:before="0" w:after="0"/>
                    <w:jc w:val="left"/>
                    <w:rPr>
                      <w:sz w:val="18"/>
                      <w:szCs w:val="18"/>
                    </w:rPr>
                  </w:pPr>
                  <w:r w:rsidRPr="00B213CD">
                    <w:rPr>
                      <w:sz w:val="18"/>
                      <w:szCs w:val="18"/>
                    </w:rPr>
                    <w:t>Drug</w:t>
                  </w:r>
                </w:p>
              </w:tc>
              <w:tc>
                <w:tcPr>
                  <w:tcW w:w="1372" w:type="pct"/>
                  <w:tcBorders>
                    <w:top w:val="single" w:sz="4" w:space="0" w:color="auto"/>
                    <w:left w:val="single" w:sz="4" w:space="0" w:color="auto"/>
                    <w:bottom w:val="single" w:sz="4" w:space="0" w:color="auto"/>
                    <w:right w:val="single" w:sz="4" w:space="0" w:color="auto"/>
                  </w:tcBorders>
                  <w:vAlign w:val="center"/>
                </w:tcPr>
                <w:p w14:paraId="4B3539D0" w14:textId="77777777" w:rsidR="009406C2" w:rsidRPr="00B213CD" w:rsidRDefault="009406C2" w:rsidP="002A750F">
                  <w:pPr>
                    <w:pStyle w:val="TableHeading0"/>
                    <w:spacing w:before="0" w:after="0"/>
                    <w:jc w:val="left"/>
                    <w:rPr>
                      <w:sz w:val="18"/>
                      <w:szCs w:val="18"/>
                    </w:rPr>
                  </w:pPr>
                  <w:r w:rsidRPr="00B213CD">
                    <w:rPr>
                      <w:sz w:val="18"/>
                      <w:szCs w:val="18"/>
                    </w:rPr>
                    <w:t>Index</w:t>
                  </w:r>
                </w:p>
              </w:tc>
              <w:tc>
                <w:tcPr>
                  <w:tcW w:w="849" w:type="pct"/>
                  <w:tcBorders>
                    <w:top w:val="single" w:sz="4" w:space="0" w:color="auto"/>
                    <w:left w:val="single" w:sz="4" w:space="0" w:color="auto"/>
                    <w:bottom w:val="single" w:sz="4" w:space="0" w:color="auto"/>
                    <w:right w:val="single" w:sz="4" w:space="0" w:color="auto"/>
                  </w:tcBorders>
                  <w:vAlign w:val="center"/>
                  <w:hideMark/>
                </w:tcPr>
                <w:p w14:paraId="53F7C20C" w14:textId="77777777" w:rsidR="009406C2" w:rsidRPr="00B213CD" w:rsidRDefault="009406C2" w:rsidP="002A750F">
                  <w:pPr>
                    <w:pStyle w:val="TableHeading0"/>
                    <w:spacing w:before="0" w:after="0"/>
                    <w:jc w:val="left"/>
                    <w:rPr>
                      <w:sz w:val="18"/>
                      <w:szCs w:val="18"/>
                    </w:rPr>
                  </w:pPr>
                  <w:r w:rsidRPr="00B213CD">
                    <w:rPr>
                      <w:sz w:val="18"/>
                      <w:szCs w:val="18"/>
                    </w:rPr>
                    <w:t>Max Q</w:t>
                  </w:r>
                </w:p>
              </w:tc>
              <w:tc>
                <w:tcPr>
                  <w:tcW w:w="939" w:type="pct"/>
                  <w:tcBorders>
                    <w:top w:val="single" w:sz="4" w:space="0" w:color="auto"/>
                    <w:left w:val="single" w:sz="4" w:space="0" w:color="auto"/>
                    <w:bottom w:val="single" w:sz="4" w:space="0" w:color="auto"/>
                    <w:right w:val="single" w:sz="4" w:space="0" w:color="auto"/>
                  </w:tcBorders>
                  <w:vAlign w:val="center"/>
                  <w:hideMark/>
                </w:tcPr>
                <w:p w14:paraId="62DC1CE6" w14:textId="382EEA9B" w:rsidR="009406C2" w:rsidRPr="00B213CD" w:rsidRDefault="009406C2" w:rsidP="002A750F">
                  <w:pPr>
                    <w:pStyle w:val="TableHeading0"/>
                    <w:spacing w:before="0" w:after="0"/>
                    <w:jc w:val="left"/>
                    <w:rPr>
                      <w:sz w:val="18"/>
                      <w:szCs w:val="18"/>
                    </w:rPr>
                  </w:pPr>
                  <w:r w:rsidRPr="00B213CD">
                    <w:rPr>
                      <w:sz w:val="18"/>
                      <w:szCs w:val="18"/>
                    </w:rPr>
                    <w:t>AEMP</w:t>
                  </w:r>
                  <w:r w:rsidR="00737A75">
                    <w:rPr>
                      <w:sz w:val="18"/>
                      <w:szCs w:val="18"/>
                    </w:rPr>
                    <w:t xml:space="preserve"> ($)</w:t>
                  </w:r>
                </w:p>
              </w:tc>
              <w:tc>
                <w:tcPr>
                  <w:tcW w:w="939" w:type="pct"/>
                  <w:tcBorders>
                    <w:top w:val="single" w:sz="4" w:space="0" w:color="auto"/>
                    <w:left w:val="single" w:sz="4" w:space="0" w:color="auto"/>
                    <w:bottom w:val="single" w:sz="4" w:space="0" w:color="auto"/>
                    <w:right w:val="single" w:sz="4" w:space="0" w:color="auto"/>
                  </w:tcBorders>
                  <w:vAlign w:val="center"/>
                  <w:hideMark/>
                </w:tcPr>
                <w:p w14:paraId="314D9BE4" w14:textId="23C3CEF0" w:rsidR="009406C2" w:rsidRPr="00B213CD" w:rsidRDefault="009406C2" w:rsidP="002A750F">
                  <w:pPr>
                    <w:pStyle w:val="TableHeading0"/>
                    <w:spacing w:before="0" w:after="0"/>
                    <w:jc w:val="left"/>
                    <w:rPr>
                      <w:sz w:val="18"/>
                      <w:szCs w:val="18"/>
                    </w:rPr>
                  </w:pPr>
                  <w:r w:rsidRPr="00B213CD">
                    <w:rPr>
                      <w:sz w:val="18"/>
                      <w:szCs w:val="18"/>
                    </w:rPr>
                    <w:t>DPMQ</w:t>
                  </w:r>
                  <w:r w:rsidR="00737A75">
                    <w:rPr>
                      <w:sz w:val="18"/>
                      <w:szCs w:val="18"/>
                    </w:rPr>
                    <w:t xml:space="preserve"> ($)</w:t>
                  </w:r>
                </w:p>
              </w:tc>
            </w:tr>
            <w:tr w:rsidR="009406C2" w:rsidRPr="00B213CD" w14:paraId="046C6D45" w14:textId="77777777" w:rsidTr="002A750F">
              <w:trPr>
                <w:trHeight w:val="20"/>
              </w:trPr>
              <w:tc>
                <w:tcPr>
                  <w:tcW w:w="902" w:type="pct"/>
                  <w:vMerge w:val="restart"/>
                  <w:tcBorders>
                    <w:top w:val="single" w:sz="4" w:space="0" w:color="auto"/>
                    <w:left w:val="single" w:sz="4" w:space="0" w:color="auto"/>
                    <w:right w:val="single" w:sz="4" w:space="0" w:color="auto"/>
                  </w:tcBorders>
                  <w:vAlign w:val="center"/>
                  <w:hideMark/>
                </w:tcPr>
                <w:p w14:paraId="1A8CEBAD" w14:textId="77777777" w:rsidR="009406C2" w:rsidRPr="00B213CD" w:rsidRDefault="009406C2" w:rsidP="002A750F">
                  <w:pPr>
                    <w:pStyle w:val="TableHeading0"/>
                    <w:spacing w:before="0" w:after="0"/>
                    <w:jc w:val="left"/>
                    <w:rPr>
                      <w:b w:val="0"/>
                      <w:bCs/>
                      <w:sz w:val="18"/>
                      <w:szCs w:val="18"/>
                    </w:rPr>
                  </w:pPr>
                  <w:r w:rsidRPr="00B213CD">
                    <w:rPr>
                      <w:b w:val="0"/>
                      <w:bCs/>
                      <w:sz w:val="18"/>
                      <w:szCs w:val="18"/>
                    </w:rPr>
                    <w:t>V (VO)</w:t>
                  </w:r>
                </w:p>
              </w:tc>
              <w:tc>
                <w:tcPr>
                  <w:tcW w:w="1372" w:type="pct"/>
                  <w:tcBorders>
                    <w:top w:val="single" w:sz="4" w:space="0" w:color="auto"/>
                    <w:left w:val="single" w:sz="4" w:space="0" w:color="auto"/>
                    <w:bottom w:val="single" w:sz="4" w:space="0" w:color="auto"/>
                    <w:right w:val="single" w:sz="4" w:space="0" w:color="auto"/>
                  </w:tcBorders>
                  <w:vAlign w:val="center"/>
                </w:tcPr>
                <w:p w14:paraId="2B3A191A" w14:textId="77777777" w:rsidR="009406C2" w:rsidRPr="00B213CD" w:rsidRDefault="009406C2" w:rsidP="002A750F">
                  <w:pPr>
                    <w:pStyle w:val="TableHeading0"/>
                    <w:spacing w:before="0" w:after="0"/>
                    <w:jc w:val="left"/>
                    <w:rPr>
                      <w:b w:val="0"/>
                      <w:bCs/>
                      <w:sz w:val="18"/>
                      <w:szCs w:val="18"/>
                    </w:rPr>
                  </w:pPr>
                  <w:r w:rsidRPr="00B213CD">
                    <w:rPr>
                      <w:b w:val="0"/>
                      <w:bCs/>
                      <w:sz w:val="18"/>
                      <w:szCs w:val="18"/>
                    </w:rPr>
                    <w:t>Initial</w:t>
                  </w:r>
                </w:p>
              </w:tc>
              <w:tc>
                <w:tcPr>
                  <w:tcW w:w="849" w:type="pct"/>
                  <w:tcBorders>
                    <w:top w:val="single" w:sz="4" w:space="0" w:color="auto"/>
                    <w:left w:val="single" w:sz="4" w:space="0" w:color="auto"/>
                    <w:bottom w:val="single" w:sz="4" w:space="0" w:color="auto"/>
                    <w:right w:val="single" w:sz="4" w:space="0" w:color="auto"/>
                  </w:tcBorders>
                  <w:vAlign w:val="center"/>
                  <w:hideMark/>
                </w:tcPr>
                <w:p w14:paraId="6EE1B855" w14:textId="77777777" w:rsidR="009406C2" w:rsidRPr="00B213CD" w:rsidRDefault="009406C2" w:rsidP="002A750F">
                  <w:pPr>
                    <w:pStyle w:val="TableHeading0"/>
                    <w:spacing w:before="0" w:after="0"/>
                    <w:jc w:val="left"/>
                    <w:rPr>
                      <w:b w:val="0"/>
                      <w:bCs/>
                      <w:sz w:val="18"/>
                      <w:szCs w:val="18"/>
                    </w:rPr>
                  </w:pPr>
                  <w:r w:rsidRPr="00B213CD">
                    <w:rPr>
                      <w:b w:val="0"/>
                      <w:bCs/>
                      <w:sz w:val="18"/>
                      <w:szCs w:val="18"/>
                    </w:rPr>
                    <w:t>28</w:t>
                  </w:r>
                </w:p>
              </w:tc>
              <w:tc>
                <w:tcPr>
                  <w:tcW w:w="939" w:type="pct"/>
                  <w:tcBorders>
                    <w:top w:val="single" w:sz="4" w:space="0" w:color="auto"/>
                    <w:left w:val="single" w:sz="4" w:space="0" w:color="auto"/>
                    <w:bottom w:val="single" w:sz="4" w:space="0" w:color="auto"/>
                    <w:right w:val="single" w:sz="4" w:space="0" w:color="auto"/>
                  </w:tcBorders>
                  <w:vAlign w:val="center"/>
                  <w:hideMark/>
                </w:tcPr>
                <w:p w14:paraId="6469966E" w14:textId="62E1C27D" w:rsidR="009406C2" w:rsidRPr="00737A75" w:rsidRDefault="007C5080" w:rsidP="002A750F">
                  <w:pPr>
                    <w:pStyle w:val="TableHeading0"/>
                    <w:spacing w:before="0" w:after="0"/>
                    <w:jc w:val="left"/>
                    <w:rPr>
                      <w:b w:val="0"/>
                      <w:bCs/>
                      <w:sz w:val="18"/>
                      <w:szCs w:val="18"/>
                      <w:highlight w:val="darkGray"/>
                    </w:rPr>
                  </w:pPr>
                  <w:r w:rsidRPr="007C5080">
                    <w:rPr>
                      <w:b w:val="0"/>
                      <w:bCs/>
                      <w:sz w:val="18"/>
                      <w:szCs w:val="18"/>
                      <w:highlight w:val="black"/>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41BCD60C" w14:textId="3733AD5E" w:rsidR="009406C2" w:rsidRPr="00737A75" w:rsidRDefault="007C5080" w:rsidP="002A750F">
                  <w:pPr>
                    <w:pStyle w:val="TableHeading0"/>
                    <w:spacing w:before="0" w:after="0"/>
                    <w:jc w:val="left"/>
                    <w:rPr>
                      <w:b w:val="0"/>
                      <w:bCs/>
                      <w:sz w:val="18"/>
                      <w:szCs w:val="18"/>
                      <w:highlight w:val="darkGray"/>
                    </w:rPr>
                  </w:pPr>
                  <w:r w:rsidRPr="007C5080">
                    <w:rPr>
                      <w:b w:val="0"/>
                      <w:bCs/>
                      <w:sz w:val="18"/>
                      <w:szCs w:val="18"/>
                      <w:highlight w:val="black"/>
                    </w:rPr>
                    <w:t>@@@@</w:t>
                  </w:r>
                </w:p>
              </w:tc>
            </w:tr>
            <w:tr w:rsidR="009406C2" w:rsidRPr="00B213CD" w14:paraId="0B2013EB" w14:textId="77777777" w:rsidTr="002A750F">
              <w:trPr>
                <w:trHeight w:val="20"/>
              </w:trPr>
              <w:tc>
                <w:tcPr>
                  <w:tcW w:w="902" w:type="pct"/>
                  <w:vMerge/>
                  <w:tcBorders>
                    <w:left w:val="single" w:sz="4" w:space="0" w:color="auto"/>
                    <w:bottom w:val="single" w:sz="4" w:space="0" w:color="auto"/>
                    <w:right w:val="single" w:sz="4" w:space="0" w:color="auto"/>
                  </w:tcBorders>
                  <w:vAlign w:val="center"/>
                  <w:hideMark/>
                </w:tcPr>
                <w:p w14:paraId="4EA89A8D" w14:textId="77777777" w:rsidR="009406C2" w:rsidRPr="00B213CD" w:rsidRDefault="009406C2" w:rsidP="002A750F">
                  <w:pPr>
                    <w:pStyle w:val="TableHeading0"/>
                    <w:spacing w:before="0" w:after="0"/>
                    <w:jc w:val="left"/>
                    <w:rPr>
                      <w:b w:val="0"/>
                      <w:bCs/>
                      <w:sz w:val="18"/>
                      <w:szCs w:val="18"/>
                    </w:rPr>
                  </w:pPr>
                </w:p>
              </w:tc>
              <w:tc>
                <w:tcPr>
                  <w:tcW w:w="1372" w:type="pct"/>
                  <w:tcBorders>
                    <w:top w:val="single" w:sz="4" w:space="0" w:color="auto"/>
                    <w:left w:val="single" w:sz="4" w:space="0" w:color="auto"/>
                    <w:bottom w:val="single" w:sz="4" w:space="0" w:color="auto"/>
                    <w:right w:val="single" w:sz="4" w:space="0" w:color="auto"/>
                  </w:tcBorders>
                  <w:vAlign w:val="center"/>
                </w:tcPr>
                <w:p w14:paraId="353DECB0" w14:textId="77777777" w:rsidR="009406C2" w:rsidRPr="00B213CD" w:rsidRDefault="009406C2" w:rsidP="002A750F">
                  <w:pPr>
                    <w:pStyle w:val="TableHeading0"/>
                    <w:spacing w:before="0" w:after="0"/>
                    <w:jc w:val="left"/>
                    <w:rPr>
                      <w:b w:val="0"/>
                      <w:bCs/>
                      <w:sz w:val="18"/>
                      <w:szCs w:val="18"/>
                    </w:rPr>
                  </w:pPr>
                  <w:r w:rsidRPr="00B213CD">
                    <w:rPr>
                      <w:b w:val="0"/>
                      <w:bCs/>
                      <w:sz w:val="18"/>
                      <w:szCs w:val="18"/>
                    </w:rPr>
                    <w:t>Continuing</w:t>
                  </w:r>
                </w:p>
              </w:tc>
              <w:tc>
                <w:tcPr>
                  <w:tcW w:w="849" w:type="pct"/>
                  <w:tcBorders>
                    <w:top w:val="single" w:sz="4" w:space="0" w:color="auto"/>
                    <w:left w:val="single" w:sz="4" w:space="0" w:color="auto"/>
                    <w:bottom w:val="single" w:sz="4" w:space="0" w:color="auto"/>
                    <w:right w:val="single" w:sz="4" w:space="0" w:color="auto"/>
                  </w:tcBorders>
                  <w:vAlign w:val="center"/>
                  <w:hideMark/>
                </w:tcPr>
                <w:p w14:paraId="23ADF122" w14:textId="77777777" w:rsidR="009406C2" w:rsidRPr="00B213CD" w:rsidRDefault="009406C2" w:rsidP="002A750F">
                  <w:pPr>
                    <w:pStyle w:val="TableHeading0"/>
                    <w:spacing w:before="0" w:after="0"/>
                    <w:jc w:val="left"/>
                    <w:rPr>
                      <w:b w:val="0"/>
                      <w:bCs/>
                      <w:sz w:val="18"/>
                      <w:szCs w:val="18"/>
                    </w:rPr>
                  </w:pPr>
                  <w:r w:rsidRPr="00B213CD">
                    <w:rPr>
                      <w:b w:val="0"/>
                      <w:bCs/>
                      <w:sz w:val="18"/>
                      <w:szCs w:val="18"/>
                    </w:rPr>
                    <w:t>28</w:t>
                  </w:r>
                </w:p>
              </w:tc>
              <w:tc>
                <w:tcPr>
                  <w:tcW w:w="939" w:type="pct"/>
                  <w:tcBorders>
                    <w:top w:val="single" w:sz="4" w:space="0" w:color="auto"/>
                    <w:left w:val="single" w:sz="4" w:space="0" w:color="auto"/>
                    <w:bottom w:val="single" w:sz="4" w:space="0" w:color="auto"/>
                    <w:right w:val="single" w:sz="4" w:space="0" w:color="auto"/>
                  </w:tcBorders>
                  <w:vAlign w:val="center"/>
                  <w:hideMark/>
                </w:tcPr>
                <w:p w14:paraId="63086CFB" w14:textId="00D350DA" w:rsidR="009406C2" w:rsidRPr="00FA2E02" w:rsidRDefault="007C5080" w:rsidP="002A750F">
                  <w:pPr>
                    <w:pStyle w:val="TableHeading0"/>
                    <w:spacing w:before="0" w:after="0"/>
                    <w:jc w:val="left"/>
                    <w:rPr>
                      <w:b w:val="0"/>
                      <w:bCs/>
                      <w:sz w:val="18"/>
                      <w:szCs w:val="18"/>
                      <w:highlight w:val="darkGray"/>
                    </w:rPr>
                  </w:pPr>
                  <w:r w:rsidRPr="007C5080">
                    <w:rPr>
                      <w:b w:val="0"/>
                      <w:bCs/>
                      <w:sz w:val="18"/>
                      <w:szCs w:val="18"/>
                      <w:highlight w:val="black"/>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5549CBE6" w14:textId="0C2E2994" w:rsidR="009406C2" w:rsidRPr="00FA2E02" w:rsidRDefault="007C5080" w:rsidP="002A750F">
                  <w:pPr>
                    <w:pStyle w:val="TableHeading0"/>
                    <w:spacing w:before="0" w:after="0"/>
                    <w:jc w:val="left"/>
                    <w:rPr>
                      <w:b w:val="0"/>
                      <w:bCs/>
                      <w:sz w:val="18"/>
                      <w:szCs w:val="18"/>
                      <w:highlight w:val="darkGray"/>
                    </w:rPr>
                  </w:pPr>
                  <w:r w:rsidRPr="007C5080">
                    <w:rPr>
                      <w:b w:val="0"/>
                      <w:bCs/>
                      <w:sz w:val="18"/>
                      <w:szCs w:val="18"/>
                      <w:highlight w:val="black"/>
                    </w:rPr>
                    <w:t>@@@@</w:t>
                  </w:r>
                </w:p>
              </w:tc>
            </w:tr>
            <w:tr w:rsidR="009406C2" w:rsidRPr="00B213CD" w14:paraId="6894B91C" w14:textId="77777777" w:rsidTr="002A750F">
              <w:trPr>
                <w:trHeight w:val="20"/>
              </w:trPr>
              <w:tc>
                <w:tcPr>
                  <w:tcW w:w="902" w:type="pct"/>
                  <w:vMerge w:val="restart"/>
                  <w:tcBorders>
                    <w:top w:val="single" w:sz="4" w:space="0" w:color="auto"/>
                    <w:left w:val="single" w:sz="4" w:space="0" w:color="auto"/>
                    <w:right w:val="single" w:sz="4" w:space="0" w:color="auto"/>
                  </w:tcBorders>
                  <w:vAlign w:val="center"/>
                  <w:hideMark/>
                </w:tcPr>
                <w:p w14:paraId="68A8DE48" w14:textId="77777777" w:rsidR="009406C2" w:rsidRPr="00B213CD" w:rsidRDefault="009406C2" w:rsidP="002A750F">
                  <w:pPr>
                    <w:pStyle w:val="TableText0"/>
                    <w:rPr>
                      <w:sz w:val="18"/>
                      <w:szCs w:val="18"/>
                    </w:rPr>
                  </w:pPr>
                  <w:r w:rsidRPr="00B213CD">
                    <w:rPr>
                      <w:sz w:val="18"/>
                      <w:szCs w:val="18"/>
                    </w:rPr>
                    <w:t xml:space="preserve">O (VO) </w:t>
                  </w:r>
                </w:p>
              </w:tc>
              <w:tc>
                <w:tcPr>
                  <w:tcW w:w="1372" w:type="pct"/>
                  <w:tcBorders>
                    <w:top w:val="single" w:sz="4" w:space="0" w:color="auto"/>
                    <w:left w:val="single" w:sz="4" w:space="0" w:color="auto"/>
                    <w:bottom w:val="single" w:sz="4" w:space="0" w:color="auto"/>
                    <w:right w:val="single" w:sz="4" w:space="0" w:color="auto"/>
                  </w:tcBorders>
                  <w:vAlign w:val="center"/>
                </w:tcPr>
                <w:p w14:paraId="31646E09" w14:textId="77777777" w:rsidR="009406C2" w:rsidRPr="00B213CD" w:rsidRDefault="009406C2" w:rsidP="002A750F">
                  <w:pPr>
                    <w:pStyle w:val="TableText0"/>
                    <w:rPr>
                      <w:sz w:val="18"/>
                      <w:szCs w:val="18"/>
                    </w:rPr>
                  </w:pPr>
                  <w:r w:rsidRPr="00B213CD">
                    <w:rPr>
                      <w:sz w:val="18"/>
                      <w:szCs w:val="18"/>
                    </w:rPr>
                    <w:t>Public hospital</w:t>
                  </w:r>
                </w:p>
              </w:tc>
              <w:tc>
                <w:tcPr>
                  <w:tcW w:w="849" w:type="pct"/>
                  <w:tcBorders>
                    <w:top w:val="single" w:sz="4" w:space="0" w:color="auto"/>
                    <w:left w:val="single" w:sz="4" w:space="0" w:color="auto"/>
                    <w:bottom w:val="single" w:sz="4" w:space="0" w:color="auto"/>
                    <w:right w:val="single" w:sz="4" w:space="0" w:color="auto"/>
                  </w:tcBorders>
                  <w:vAlign w:val="center"/>
                  <w:hideMark/>
                </w:tcPr>
                <w:p w14:paraId="74DE2F1A" w14:textId="77777777" w:rsidR="009406C2" w:rsidRPr="00B213CD" w:rsidRDefault="009406C2" w:rsidP="002A750F">
                  <w:pPr>
                    <w:pStyle w:val="TableText0"/>
                    <w:rPr>
                      <w:sz w:val="18"/>
                      <w:szCs w:val="18"/>
                    </w:rPr>
                  </w:pPr>
                  <w:r w:rsidRPr="00B213CD">
                    <w:rPr>
                      <w:sz w:val="18"/>
                      <w:szCs w:val="18"/>
                    </w:rPr>
                    <w:t>1</w:t>
                  </w:r>
                </w:p>
              </w:tc>
              <w:tc>
                <w:tcPr>
                  <w:tcW w:w="939" w:type="pct"/>
                  <w:vMerge w:val="restart"/>
                  <w:tcBorders>
                    <w:top w:val="single" w:sz="4" w:space="0" w:color="auto"/>
                    <w:left w:val="single" w:sz="4" w:space="0" w:color="auto"/>
                    <w:bottom w:val="single" w:sz="4" w:space="0" w:color="auto"/>
                    <w:right w:val="single" w:sz="4" w:space="0" w:color="auto"/>
                  </w:tcBorders>
                  <w:vAlign w:val="center"/>
                  <w:hideMark/>
                </w:tcPr>
                <w:p w14:paraId="0AC1DE80" w14:textId="77777777" w:rsidR="009406C2" w:rsidRPr="00B213CD" w:rsidRDefault="009406C2" w:rsidP="002A750F">
                  <w:pPr>
                    <w:pStyle w:val="TableText0"/>
                    <w:rPr>
                      <w:sz w:val="18"/>
                      <w:szCs w:val="18"/>
                    </w:rPr>
                  </w:pPr>
                  <w:r w:rsidRPr="00B213CD">
                    <w:rPr>
                      <w:sz w:val="18"/>
                      <w:szCs w:val="18"/>
                    </w:rPr>
                    <w:t>$4,525.52</w:t>
                  </w:r>
                </w:p>
              </w:tc>
              <w:tc>
                <w:tcPr>
                  <w:tcW w:w="939" w:type="pct"/>
                  <w:tcBorders>
                    <w:top w:val="single" w:sz="4" w:space="0" w:color="auto"/>
                    <w:left w:val="single" w:sz="4" w:space="0" w:color="auto"/>
                    <w:bottom w:val="single" w:sz="4" w:space="0" w:color="auto"/>
                    <w:right w:val="single" w:sz="4" w:space="0" w:color="auto"/>
                  </w:tcBorders>
                  <w:vAlign w:val="center"/>
                  <w:hideMark/>
                </w:tcPr>
                <w:p w14:paraId="4A819743" w14:textId="77777777" w:rsidR="009406C2" w:rsidRPr="00B213CD" w:rsidRDefault="009406C2" w:rsidP="002A750F">
                  <w:pPr>
                    <w:pStyle w:val="TableText0"/>
                    <w:rPr>
                      <w:sz w:val="18"/>
                      <w:szCs w:val="18"/>
                    </w:rPr>
                  </w:pPr>
                  <w:r w:rsidRPr="00B213CD">
                    <w:rPr>
                      <w:color w:val="000000"/>
                      <w:sz w:val="18"/>
                      <w:szCs w:val="18"/>
                    </w:rPr>
                    <w:t>$4,616.75</w:t>
                  </w:r>
                </w:p>
              </w:tc>
            </w:tr>
            <w:tr w:rsidR="009406C2" w:rsidRPr="00B213CD" w14:paraId="4704473A" w14:textId="77777777" w:rsidTr="002A750F">
              <w:trPr>
                <w:trHeight w:val="20"/>
              </w:trPr>
              <w:tc>
                <w:tcPr>
                  <w:tcW w:w="902" w:type="pct"/>
                  <w:vMerge/>
                  <w:tcBorders>
                    <w:left w:val="single" w:sz="4" w:space="0" w:color="auto"/>
                    <w:bottom w:val="single" w:sz="4" w:space="0" w:color="auto"/>
                    <w:right w:val="single" w:sz="4" w:space="0" w:color="auto"/>
                  </w:tcBorders>
                  <w:vAlign w:val="center"/>
                  <w:hideMark/>
                </w:tcPr>
                <w:p w14:paraId="2C8E43DC" w14:textId="77777777" w:rsidR="009406C2" w:rsidRPr="00B213CD" w:rsidRDefault="009406C2" w:rsidP="002A750F">
                  <w:pPr>
                    <w:pStyle w:val="TableText0"/>
                    <w:rPr>
                      <w:sz w:val="18"/>
                      <w:szCs w:val="18"/>
                    </w:rPr>
                  </w:pPr>
                </w:p>
              </w:tc>
              <w:tc>
                <w:tcPr>
                  <w:tcW w:w="1372" w:type="pct"/>
                  <w:tcBorders>
                    <w:top w:val="single" w:sz="4" w:space="0" w:color="auto"/>
                    <w:left w:val="single" w:sz="4" w:space="0" w:color="auto"/>
                    <w:bottom w:val="single" w:sz="4" w:space="0" w:color="auto"/>
                    <w:right w:val="single" w:sz="4" w:space="0" w:color="auto"/>
                  </w:tcBorders>
                  <w:vAlign w:val="center"/>
                </w:tcPr>
                <w:p w14:paraId="68CE1CD8" w14:textId="77777777" w:rsidR="009406C2" w:rsidRPr="00B213CD" w:rsidRDefault="009406C2" w:rsidP="002A750F">
                  <w:pPr>
                    <w:pStyle w:val="TableText0"/>
                    <w:rPr>
                      <w:sz w:val="18"/>
                      <w:szCs w:val="18"/>
                    </w:rPr>
                  </w:pPr>
                  <w:r w:rsidRPr="00B213CD">
                    <w:rPr>
                      <w:sz w:val="18"/>
                      <w:szCs w:val="18"/>
                    </w:rPr>
                    <w:t>Private hospital</w:t>
                  </w:r>
                </w:p>
              </w:tc>
              <w:tc>
                <w:tcPr>
                  <w:tcW w:w="849" w:type="pct"/>
                  <w:tcBorders>
                    <w:top w:val="single" w:sz="4" w:space="0" w:color="auto"/>
                    <w:left w:val="single" w:sz="4" w:space="0" w:color="auto"/>
                    <w:bottom w:val="single" w:sz="4" w:space="0" w:color="auto"/>
                    <w:right w:val="single" w:sz="4" w:space="0" w:color="auto"/>
                  </w:tcBorders>
                  <w:vAlign w:val="center"/>
                  <w:hideMark/>
                </w:tcPr>
                <w:p w14:paraId="46358713" w14:textId="77777777" w:rsidR="009406C2" w:rsidRPr="00B213CD" w:rsidRDefault="009406C2" w:rsidP="002A750F">
                  <w:pPr>
                    <w:pStyle w:val="TableText0"/>
                    <w:rPr>
                      <w:sz w:val="18"/>
                      <w:szCs w:val="18"/>
                    </w:rPr>
                  </w:pPr>
                  <w:r w:rsidRPr="00B213CD">
                    <w:rPr>
                      <w:sz w:val="18"/>
                      <w:szCs w:val="18"/>
                    </w:rPr>
                    <w:t>1</w:t>
                  </w: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0E8BC05E" w14:textId="77777777" w:rsidR="009406C2" w:rsidRPr="00B213CD" w:rsidRDefault="009406C2" w:rsidP="002A750F">
                  <w:pPr>
                    <w:jc w:val="left"/>
                    <w:rPr>
                      <w:rFonts w:ascii="Arial Narrow" w:eastAsiaTheme="majorEastAsia" w:hAnsi="Arial Narrow"/>
                      <w:bCs/>
                      <w:sz w:val="18"/>
                      <w:szCs w:val="18"/>
                      <w:lang w:bidi="en-US"/>
                    </w:rPr>
                  </w:pPr>
                </w:p>
              </w:tc>
              <w:tc>
                <w:tcPr>
                  <w:tcW w:w="939" w:type="pct"/>
                  <w:tcBorders>
                    <w:top w:val="nil"/>
                    <w:left w:val="single" w:sz="4" w:space="0" w:color="auto"/>
                    <w:bottom w:val="single" w:sz="4" w:space="0" w:color="auto"/>
                    <w:right w:val="single" w:sz="4" w:space="0" w:color="auto"/>
                  </w:tcBorders>
                  <w:vAlign w:val="center"/>
                  <w:hideMark/>
                </w:tcPr>
                <w:p w14:paraId="225F8F2C" w14:textId="77777777" w:rsidR="009406C2" w:rsidRPr="00B213CD" w:rsidRDefault="009406C2" w:rsidP="002A750F">
                  <w:pPr>
                    <w:pStyle w:val="TableText0"/>
                    <w:rPr>
                      <w:sz w:val="18"/>
                      <w:szCs w:val="18"/>
                    </w:rPr>
                  </w:pPr>
                  <w:r w:rsidRPr="00B213CD">
                    <w:rPr>
                      <w:color w:val="000000"/>
                      <w:sz w:val="18"/>
                      <w:szCs w:val="18"/>
                    </w:rPr>
                    <w:t>$4,725.78</w:t>
                  </w:r>
                </w:p>
              </w:tc>
            </w:tr>
            <w:tr w:rsidR="009406C2" w:rsidRPr="00B213CD" w14:paraId="49C6D3EA" w14:textId="77777777" w:rsidTr="002A750F">
              <w:trPr>
                <w:trHeight w:val="20"/>
              </w:trPr>
              <w:tc>
                <w:tcPr>
                  <w:tcW w:w="902" w:type="pct"/>
                  <w:tcBorders>
                    <w:top w:val="single" w:sz="4" w:space="0" w:color="auto"/>
                    <w:left w:val="single" w:sz="4" w:space="0" w:color="auto"/>
                    <w:bottom w:val="single" w:sz="4" w:space="0" w:color="auto"/>
                    <w:right w:val="single" w:sz="4" w:space="0" w:color="auto"/>
                  </w:tcBorders>
                  <w:vAlign w:val="center"/>
                  <w:hideMark/>
                </w:tcPr>
                <w:p w14:paraId="0A2D5769" w14:textId="77777777" w:rsidR="009406C2" w:rsidRPr="00B213CD" w:rsidRDefault="009406C2" w:rsidP="002A750F">
                  <w:pPr>
                    <w:pStyle w:val="TableText0"/>
                    <w:rPr>
                      <w:sz w:val="18"/>
                      <w:szCs w:val="18"/>
                    </w:rPr>
                  </w:pPr>
                  <w:r w:rsidRPr="00B213CD">
                    <w:rPr>
                      <w:sz w:val="18"/>
                      <w:szCs w:val="18"/>
                    </w:rPr>
                    <w:t>V (IV)</w:t>
                  </w:r>
                </w:p>
              </w:tc>
              <w:tc>
                <w:tcPr>
                  <w:tcW w:w="1372" w:type="pct"/>
                  <w:tcBorders>
                    <w:top w:val="single" w:sz="4" w:space="0" w:color="auto"/>
                    <w:left w:val="single" w:sz="4" w:space="0" w:color="auto"/>
                    <w:bottom w:val="single" w:sz="4" w:space="0" w:color="auto"/>
                    <w:right w:val="single" w:sz="4" w:space="0" w:color="auto"/>
                  </w:tcBorders>
                  <w:vAlign w:val="center"/>
                </w:tcPr>
                <w:p w14:paraId="087F1ABC" w14:textId="77777777" w:rsidR="009406C2" w:rsidRPr="00B213CD" w:rsidRDefault="009406C2" w:rsidP="002A750F">
                  <w:pPr>
                    <w:pStyle w:val="TableText0"/>
                    <w:rPr>
                      <w:sz w:val="18"/>
                      <w:szCs w:val="18"/>
                    </w:rPr>
                  </w:pPr>
                  <w:r w:rsidRPr="00B213CD">
                    <w:rPr>
                      <w:sz w:val="18"/>
                      <w:szCs w:val="18"/>
                    </w:rPr>
                    <w:t>Initial</w:t>
                  </w:r>
                </w:p>
              </w:tc>
              <w:tc>
                <w:tcPr>
                  <w:tcW w:w="849" w:type="pct"/>
                  <w:tcBorders>
                    <w:top w:val="single" w:sz="4" w:space="0" w:color="auto"/>
                    <w:left w:val="single" w:sz="4" w:space="0" w:color="auto"/>
                    <w:bottom w:val="single" w:sz="4" w:space="0" w:color="auto"/>
                    <w:right w:val="single" w:sz="4" w:space="0" w:color="auto"/>
                  </w:tcBorders>
                  <w:vAlign w:val="center"/>
                  <w:hideMark/>
                </w:tcPr>
                <w:p w14:paraId="0F314BA2" w14:textId="77777777" w:rsidR="009406C2" w:rsidRPr="00B213CD" w:rsidRDefault="009406C2" w:rsidP="002A750F">
                  <w:pPr>
                    <w:pStyle w:val="TableText0"/>
                    <w:rPr>
                      <w:sz w:val="18"/>
                      <w:szCs w:val="18"/>
                    </w:rPr>
                  </w:pPr>
                  <w:r w:rsidRPr="00B213CD">
                    <w:rPr>
                      <w:sz w:val="18"/>
                      <w:szCs w:val="18"/>
                    </w:rPr>
                    <w:t>28</w:t>
                  </w:r>
                </w:p>
              </w:tc>
              <w:tc>
                <w:tcPr>
                  <w:tcW w:w="939" w:type="pct"/>
                  <w:tcBorders>
                    <w:top w:val="single" w:sz="4" w:space="0" w:color="auto"/>
                    <w:left w:val="single" w:sz="4" w:space="0" w:color="auto"/>
                    <w:bottom w:val="single" w:sz="4" w:space="0" w:color="auto"/>
                    <w:right w:val="single" w:sz="4" w:space="0" w:color="auto"/>
                  </w:tcBorders>
                  <w:vAlign w:val="center"/>
                  <w:hideMark/>
                </w:tcPr>
                <w:p w14:paraId="712F3534" w14:textId="6004262F" w:rsidR="009406C2" w:rsidRPr="00DA112E" w:rsidRDefault="007C5080" w:rsidP="002A750F">
                  <w:pPr>
                    <w:pStyle w:val="TableText0"/>
                    <w:rPr>
                      <w:sz w:val="18"/>
                      <w:szCs w:val="18"/>
                      <w:highlight w:val="darkGray"/>
                    </w:rPr>
                  </w:pPr>
                  <w:r w:rsidRPr="007C5080">
                    <w:rPr>
                      <w:sz w:val="18"/>
                      <w:szCs w:val="18"/>
                      <w:highlight w:val="black"/>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3B19044D" w14:textId="365A4119" w:rsidR="009406C2" w:rsidRPr="00DA112E" w:rsidRDefault="007C5080" w:rsidP="002A750F">
                  <w:pPr>
                    <w:pStyle w:val="TableText0"/>
                    <w:rPr>
                      <w:sz w:val="18"/>
                      <w:szCs w:val="18"/>
                      <w:highlight w:val="darkGray"/>
                    </w:rPr>
                  </w:pPr>
                  <w:r w:rsidRPr="007C5080">
                    <w:rPr>
                      <w:sz w:val="18"/>
                      <w:szCs w:val="18"/>
                      <w:highlight w:val="black"/>
                    </w:rPr>
                    <w:t>@@@@</w:t>
                  </w:r>
                </w:p>
              </w:tc>
            </w:tr>
            <w:tr w:rsidR="009406C2" w:rsidRPr="00B213CD" w14:paraId="51BC63BA" w14:textId="77777777" w:rsidTr="002A750F">
              <w:trPr>
                <w:trHeight w:val="20"/>
              </w:trPr>
              <w:tc>
                <w:tcPr>
                  <w:tcW w:w="902" w:type="pct"/>
                  <w:tcBorders>
                    <w:top w:val="single" w:sz="4" w:space="0" w:color="auto"/>
                    <w:left w:val="single" w:sz="4" w:space="0" w:color="auto"/>
                    <w:bottom w:val="single" w:sz="4" w:space="0" w:color="auto"/>
                    <w:right w:val="single" w:sz="4" w:space="0" w:color="auto"/>
                  </w:tcBorders>
                  <w:vAlign w:val="center"/>
                  <w:hideMark/>
                </w:tcPr>
                <w:p w14:paraId="6BBC9EF5" w14:textId="77777777" w:rsidR="009406C2" w:rsidRPr="00B213CD" w:rsidRDefault="009406C2" w:rsidP="002A750F">
                  <w:pPr>
                    <w:pStyle w:val="TableText0"/>
                    <w:rPr>
                      <w:b/>
                      <w:bCs w:val="0"/>
                      <w:sz w:val="18"/>
                      <w:szCs w:val="18"/>
                    </w:rPr>
                  </w:pPr>
                  <w:r w:rsidRPr="00B213CD">
                    <w:rPr>
                      <w:sz w:val="18"/>
                      <w:szCs w:val="18"/>
                    </w:rPr>
                    <w:t>V (IV)</w:t>
                  </w:r>
                </w:p>
              </w:tc>
              <w:tc>
                <w:tcPr>
                  <w:tcW w:w="1372" w:type="pct"/>
                  <w:tcBorders>
                    <w:top w:val="single" w:sz="4" w:space="0" w:color="auto"/>
                    <w:left w:val="single" w:sz="4" w:space="0" w:color="auto"/>
                    <w:bottom w:val="single" w:sz="4" w:space="0" w:color="auto"/>
                    <w:right w:val="single" w:sz="4" w:space="0" w:color="auto"/>
                  </w:tcBorders>
                  <w:vAlign w:val="center"/>
                </w:tcPr>
                <w:p w14:paraId="3E2B0CDF" w14:textId="77777777" w:rsidR="009406C2" w:rsidRPr="00B213CD" w:rsidRDefault="009406C2" w:rsidP="002A750F">
                  <w:pPr>
                    <w:pStyle w:val="TableText0"/>
                    <w:rPr>
                      <w:sz w:val="18"/>
                      <w:szCs w:val="18"/>
                    </w:rPr>
                  </w:pPr>
                  <w:r w:rsidRPr="00B213CD">
                    <w:rPr>
                      <w:sz w:val="18"/>
                      <w:szCs w:val="18"/>
                    </w:rPr>
                    <w:t>Continuing</w:t>
                  </w:r>
                </w:p>
              </w:tc>
              <w:tc>
                <w:tcPr>
                  <w:tcW w:w="849" w:type="pct"/>
                  <w:tcBorders>
                    <w:top w:val="single" w:sz="4" w:space="0" w:color="auto"/>
                    <w:left w:val="single" w:sz="4" w:space="0" w:color="auto"/>
                    <w:bottom w:val="single" w:sz="4" w:space="0" w:color="auto"/>
                    <w:right w:val="single" w:sz="4" w:space="0" w:color="auto"/>
                  </w:tcBorders>
                  <w:vAlign w:val="center"/>
                  <w:hideMark/>
                </w:tcPr>
                <w:p w14:paraId="1499A832" w14:textId="77777777" w:rsidR="009406C2" w:rsidRPr="00B213CD" w:rsidRDefault="009406C2" w:rsidP="002A750F">
                  <w:pPr>
                    <w:pStyle w:val="TableText0"/>
                    <w:rPr>
                      <w:sz w:val="18"/>
                      <w:szCs w:val="18"/>
                    </w:rPr>
                  </w:pPr>
                  <w:r w:rsidRPr="00B213CD">
                    <w:rPr>
                      <w:sz w:val="18"/>
                      <w:szCs w:val="18"/>
                    </w:rPr>
                    <w:t>28</w:t>
                  </w:r>
                </w:p>
              </w:tc>
              <w:tc>
                <w:tcPr>
                  <w:tcW w:w="939" w:type="pct"/>
                  <w:tcBorders>
                    <w:top w:val="single" w:sz="4" w:space="0" w:color="auto"/>
                    <w:left w:val="single" w:sz="4" w:space="0" w:color="auto"/>
                    <w:bottom w:val="single" w:sz="4" w:space="0" w:color="auto"/>
                    <w:right w:val="single" w:sz="4" w:space="0" w:color="auto"/>
                  </w:tcBorders>
                  <w:vAlign w:val="center"/>
                  <w:hideMark/>
                </w:tcPr>
                <w:p w14:paraId="65D65031" w14:textId="33681E81" w:rsidR="009406C2" w:rsidRPr="00DA112E" w:rsidRDefault="007C5080" w:rsidP="002A750F">
                  <w:pPr>
                    <w:pStyle w:val="TableText0"/>
                    <w:rPr>
                      <w:sz w:val="18"/>
                      <w:szCs w:val="18"/>
                      <w:highlight w:val="darkGray"/>
                    </w:rPr>
                  </w:pPr>
                  <w:r w:rsidRPr="007C5080">
                    <w:rPr>
                      <w:sz w:val="18"/>
                      <w:szCs w:val="18"/>
                      <w:highlight w:val="black"/>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69CF5352" w14:textId="57D4831B" w:rsidR="009406C2" w:rsidRPr="00DA112E" w:rsidRDefault="007C5080" w:rsidP="002A750F">
                  <w:pPr>
                    <w:pStyle w:val="TableText0"/>
                    <w:rPr>
                      <w:sz w:val="18"/>
                      <w:szCs w:val="18"/>
                      <w:highlight w:val="darkGray"/>
                    </w:rPr>
                  </w:pPr>
                  <w:r w:rsidRPr="007C5080">
                    <w:rPr>
                      <w:sz w:val="18"/>
                      <w:szCs w:val="18"/>
                      <w:highlight w:val="black"/>
                    </w:rPr>
                    <w:t>@@@@</w:t>
                  </w:r>
                </w:p>
              </w:tc>
            </w:tr>
            <w:tr w:rsidR="009406C2" w:rsidRPr="00B213CD" w14:paraId="45A595B6" w14:textId="77777777" w:rsidTr="002A750F">
              <w:trPr>
                <w:trHeight w:val="20"/>
              </w:trPr>
              <w:tc>
                <w:tcPr>
                  <w:tcW w:w="902" w:type="pct"/>
                  <w:tcBorders>
                    <w:top w:val="single" w:sz="4" w:space="0" w:color="auto"/>
                    <w:left w:val="single" w:sz="4" w:space="0" w:color="auto"/>
                    <w:bottom w:val="single" w:sz="4" w:space="0" w:color="auto"/>
                    <w:right w:val="single" w:sz="4" w:space="0" w:color="auto"/>
                  </w:tcBorders>
                  <w:vAlign w:val="center"/>
                  <w:hideMark/>
                </w:tcPr>
                <w:p w14:paraId="434AC8D6" w14:textId="77777777" w:rsidR="009406C2" w:rsidRPr="00B213CD" w:rsidRDefault="009406C2" w:rsidP="002A750F">
                  <w:pPr>
                    <w:pStyle w:val="TableText0"/>
                    <w:rPr>
                      <w:sz w:val="18"/>
                      <w:szCs w:val="18"/>
                    </w:rPr>
                  </w:pPr>
                  <w:r w:rsidRPr="00B213CD">
                    <w:rPr>
                      <w:sz w:val="18"/>
                      <w:szCs w:val="18"/>
                    </w:rPr>
                    <w:t>I (IV)</w:t>
                  </w:r>
                </w:p>
              </w:tc>
              <w:tc>
                <w:tcPr>
                  <w:tcW w:w="1372" w:type="pct"/>
                  <w:tcBorders>
                    <w:top w:val="single" w:sz="4" w:space="0" w:color="auto"/>
                    <w:left w:val="single" w:sz="4" w:space="0" w:color="auto"/>
                    <w:bottom w:val="single" w:sz="4" w:space="0" w:color="auto"/>
                    <w:right w:val="single" w:sz="4" w:space="0" w:color="auto"/>
                  </w:tcBorders>
                  <w:vAlign w:val="center"/>
                </w:tcPr>
                <w:p w14:paraId="270793A8" w14:textId="77777777" w:rsidR="009406C2" w:rsidRPr="00B213CD" w:rsidRDefault="009406C2" w:rsidP="002A750F">
                  <w:pPr>
                    <w:pStyle w:val="TableText0"/>
                    <w:rPr>
                      <w:sz w:val="18"/>
                      <w:szCs w:val="18"/>
                    </w:rPr>
                  </w:pPr>
                  <w:r w:rsidRPr="00B213CD">
                    <w:rPr>
                      <w:sz w:val="18"/>
                      <w:szCs w:val="18"/>
                    </w:rPr>
                    <w:t>All</w:t>
                  </w:r>
                </w:p>
              </w:tc>
              <w:tc>
                <w:tcPr>
                  <w:tcW w:w="849" w:type="pct"/>
                  <w:tcBorders>
                    <w:top w:val="single" w:sz="4" w:space="0" w:color="auto"/>
                    <w:left w:val="single" w:sz="4" w:space="0" w:color="auto"/>
                    <w:bottom w:val="single" w:sz="4" w:space="0" w:color="auto"/>
                    <w:right w:val="single" w:sz="4" w:space="0" w:color="auto"/>
                  </w:tcBorders>
                  <w:vAlign w:val="center"/>
                  <w:hideMark/>
                </w:tcPr>
                <w:p w14:paraId="68B86CAB" w14:textId="77777777" w:rsidR="009406C2" w:rsidRPr="00B213CD" w:rsidRDefault="009406C2" w:rsidP="002A750F">
                  <w:pPr>
                    <w:pStyle w:val="TableText0"/>
                    <w:rPr>
                      <w:sz w:val="18"/>
                      <w:szCs w:val="18"/>
                    </w:rPr>
                  </w:pPr>
                  <w:r w:rsidRPr="00B213CD">
                    <w:rPr>
                      <w:sz w:val="18"/>
                      <w:szCs w:val="18"/>
                    </w:rPr>
                    <w:t>30</w:t>
                  </w:r>
                </w:p>
              </w:tc>
              <w:tc>
                <w:tcPr>
                  <w:tcW w:w="939" w:type="pct"/>
                  <w:tcBorders>
                    <w:top w:val="single" w:sz="4" w:space="0" w:color="auto"/>
                    <w:left w:val="single" w:sz="4" w:space="0" w:color="auto"/>
                    <w:bottom w:val="single" w:sz="4" w:space="0" w:color="auto"/>
                    <w:right w:val="single" w:sz="4" w:space="0" w:color="auto"/>
                  </w:tcBorders>
                  <w:vAlign w:val="center"/>
                  <w:hideMark/>
                </w:tcPr>
                <w:p w14:paraId="062DD7C2" w14:textId="0D84B3B1" w:rsidR="009406C2" w:rsidRPr="00DA112E" w:rsidRDefault="007C5080" w:rsidP="002A750F">
                  <w:pPr>
                    <w:pStyle w:val="TableText0"/>
                    <w:rPr>
                      <w:sz w:val="18"/>
                      <w:szCs w:val="18"/>
                      <w:highlight w:val="darkGray"/>
                    </w:rPr>
                  </w:pPr>
                  <w:r w:rsidRPr="007C5080">
                    <w:rPr>
                      <w:sz w:val="18"/>
                      <w:szCs w:val="18"/>
                      <w:highlight w:val="black"/>
                    </w:rPr>
                    <w:t>@@@@</w:t>
                  </w:r>
                </w:p>
              </w:tc>
              <w:tc>
                <w:tcPr>
                  <w:tcW w:w="939" w:type="pct"/>
                  <w:tcBorders>
                    <w:top w:val="single" w:sz="4" w:space="0" w:color="auto"/>
                    <w:left w:val="single" w:sz="4" w:space="0" w:color="auto"/>
                    <w:bottom w:val="single" w:sz="4" w:space="0" w:color="auto"/>
                    <w:right w:val="single" w:sz="4" w:space="0" w:color="auto"/>
                  </w:tcBorders>
                  <w:vAlign w:val="center"/>
                  <w:hideMark/>
                </w:tcPr>
                <w:p w14:paraId="27BAD5B7" w14:textId="6C6BCD25" w:rsidR="009406C2" w:rsidRPr="00DA112E" w:rsidRDefault="007C5080" w:rsidP="002A750F">
                  <w:pPr>
                    <w:pStyle w:val="TableText0"/>
                    <w:rPr>
                      <w:sz w:val="18"/>
                      <w:szCs w:val="18"/>
                      <w:highlight w:val="darkGray"/>
                    </w:rPr>
                  </w:pPr>
                  <w:r w:rsidRPr="007C5080">
                    <w:rPr>
                      <w:sz w:val="18"/>
                      <w:szCs w:val="18"/>
                      <w:highlight w:val="black"/>
                    </w:rPr>
                    <w:t>@@@@</w:t>
                  </w:r>
                </w:p>
              </w:tc>
            </w:tr>
          </w:tbl>
          <w:p w14:paraId="7C6D44D9" w14:textId="77777777" w:rsidR="009406C2" w:rsidRPr="00B213CD" w:rsidRDefault="009406C2" w:rsidP="002A750F">
            <w:pPr>
              <w:pStyle w:val="TableText0"/>
              <w:keepNext w:val="0"/>
              <w:widowControl w:val="0"/>
              <w:rPr>
                <w:sz w:val="18"/>
                <w:szCs w:val="18"/>
              </w:rPr>
            </w:pPr>
          </w:p>
        </w:tc>
        <w:tc>
          <w:tcPr>
            <w:tcW w:w="777" w:type="pct"/>
          </w:tcPr>
          <w:p w14:paraId="06F741F4" w14:textId="77777777" w:rsidR="009406C2" w:rsidRPr="00B213CD" w:rsidRDefault="009406C2" w:rsidP="002A750F">
            <w:pPr>
              <w:pStyle w:val="TableText0"/>
              <w:widowControl w:val="0"/>
              <w:rPr>
                <w:sz w:val="18"/>
                <w:szCs w:val="18"/>
              </w:rPr>
            </w:pPr>
            <w:r w:rsidRPr="00B213CD">
              <w:rPr>
                <w:sz w:val="18"/>
                <w:szCs w:val="18"/>
              </w:rPr>
              <w:t xml:space="preserve">PBS item codes </w:t>
            </w:r>
            <w:r w:rsidRPr="00B213CD">
              <w:rPr>
                <w:vertAlign w:val="superscript"/>
              </w:rPr>
              <w:t>a</w:t>
            </w:r>
          </w:p>
          <w:p w14:paraId="56A9F0B3" w14:textId="77777777" w:rsidR="009406C2" w:rsidRPr="00B213CD" w:rsidRDefault="009406C2" w:rsidP="002A750F">
            <w:pPr>
              <w:pStyle w:val="TableText0"/>
              <w:keepNext w:val="0"/>
              <w:widowControl w:val="0"/>
              <w:rPr>
                <w:sz w:val="18"/>
                <w:szCs w:val="18"/>
              </w:rPr>
            </w:pPr>
          </w:p>
        </w:tc>
        <w:tc>
          <w:tcPr>
            <w:tcW w:w="1065" w:type="pct"/>
          </w:tcPr>
          <w:p w14:paraId="5083F2AB" w14:textId="05F53689" w:rsidR="009406C2" w:rsidRPr="00B213CD" w:rsidRDefault="009406C2" w:rsidP="002A750F">
            <w:pPr>
              <w:pStyle w:val="TableText0"/>
              <w:keepNext w:val="0"/>
              <w:widowControl w:val="0"/>
              <w:rPr>
                <w:sz w:val="18"/>
                <w:szCs w:val="18"/>
              </w:rPr>
            </w:pPr>
            <w:r w:rsidRPr="00B213CD">
              <w:rPr>
                <w:sz w:val="18"/>
                <w:szCs w:val="18"/>
              </w:rPr>
              <w:t>Consistent with the estimated effective AEMPs in Section 3</w:t>
            </w:r>
            <w:r w:rsidR="00A352CE" w:rsidRPr="00B213CD">
              <w:rPr>
                <w:sz w:val="18"/>
                <w:szCs w:val="18"/>
              </w:rPr>
              <w:t xml:space="preserve"> of the submission</w:t>
            </w:r>
            <w:r w:rsidRPr="00B213CD">
              <w:rPr>
                <w:sz w:val="18"/>
                <w:szCs w:val="18"/>
              </w:rPr>
              <w:t>. Using these, the total treatment cost of VO and IV regimens w</w:t>
            </w:r>
            <w:r w:rsidR="006A7E85" w:rsidRPr="00B213CD">
              <w:rPr>
                <w:sz w:val="18"/>
                <w:szCs w:val="18"/>
              </w:rPr>
              <w:t>as</w:t>
            </w:r>
            <w:r w:rsidRPr="00B213CD">
              <w:rPr>
                <w:sz w:val="18"/>
                <w:szCs w:val="18"/>
              </w:rPr>
              <w:t xml:space="preserve"> $</w:t>
            </w:r>
            <w:r w:rsidR="007C5080" w:rsidRPr="007C5080">
              <w:rPr>
                <w:sz w:val="18"/>
                <w:szCs w:val="18"/>
                <w:highlight w:val="black"/>
              </w:rPr>
              <w:t>@@@@</w:t>
            </w:r>
            <w:r w:rsidRPr="00B213CD">
              <w:rPr>
                <w:sz w:val="18"/>
                <w:szCs w:val="18"/>
              </w:rPr>
              <w:t xml:space="preserve"> and $</w:t>
            </w:r>
            <w:r w:rsidR="007C5080" w:rsidRPr="007C5080">
              <w:rPr>
                <w:sz w:val="18"/>
                <w:szCs w:val="18"/>
                <w:highlight w:val="black"/>
              </w:rPr>
              <w:t>@@@@</w:t>
            </w:r>
            <w:r w:rsidRPr="00B213CD">
              <w:rPr>
                <w:sz w:val="18"/>
                <w:szCs w:val="18"/>
              </w:rPr>
              <w:t>, respectively.</w:t>
            </w:r>
          </w:p>
        </w:tc>
      </w:tr>
      <w:tr w:rsidR="009406C2" w:rsidRPr="00B213CD" w14:paraId="1E886B92" w14:textId="77777777" w:rsidTr="00B213CD">
        <w:trPr>
          <w:trHeight w:val="20"/>
        </w:trPr>
        <w:tc>
          <w:tcPr>
            <w:tcW w:w="595" w:type="pct"/>
          </w:tcPr>
          <w:p w14:paraId="61193B5C" w14:textId="77777777" w:rsidR="009406C2" w:rsidRPr="00B213CD" w:rsidRDefault="009406C2" w:rsidP="002A750F">
            <w:pPr>
              <w:pStyle w:val="TableText0"/>
              <w:keepNext w:val="0"/>
              <w:widowControl w:val="0"/>
              <w:rPr>
                <w:sz w:val="18"/>
                <w:szCs w:val="18"/>
              </w:rPr>
            </w:pPr>
            <w:r w:rsidRPr="00B213CD">
              <w:rPr>
                <w:sz w:val="18"/>
                <w:szCs w:val="18"/>
              </w:rPr>
              <w:t>MBS costs</w:t>
            </w:r>
          </w:p>
        </w:tc>
        <w:tc>
          <w:tcPr>
            <w:tcW w:w="2563" w:type="pct"/>
          </w:tcPr>
          <w:p w14:paraId="200726F2" w14:textId="77777777" w:rsidR="009406C2" w:rsidRPr="00B213CD" w:rsidRDefault="009406C2" w:rsidP="002A750F">
            <w:pPr>
              <w:pStyle w:val="TableText0"/>
              <w:keepNext w:val="0"/>
              <w:widowControl w:val="0"/>
              <w:rPr>
                <w:sz w:val="18"/>
                <w:szCs w:val="18"/>
              </w:rPr>
            </w:pPr>
            <w:r w:rsidRPr="00B213CD">
              <w:rPr>
                <w:sz w:val="18"/>
                <w:szCs w:val="18"/>
              </w:rPr>
              <w:t>Intravenous administration for O (VO):</w:t>
            </w:r>
          </w:p>
          <w:p w14:paraId="4D6DC251" w14:textId="77777777" w:rsidR="009406C2" w:rsidRPr="00B213CD" w:rsidRDefault="009406C2" w:rsidP="002A750F">
            <w:pPr>
              <w:pStyle w:val="TableText0"/>
              <w:keepNext w:val="0"/>
              <w:widowControl w:val="0"/>
              <w:rPr>
                <w:sz w:val="18"/>
                <w:szCs w:val="18"/>
              </w:rPr>
            </w:pPr>
            <w:r w:rsidRPr="00B213CD">
              <w:rPr>
                <w:sz w:val="18"/>
                <w:szCs w:val="18"/>
              </w:rPr>
              <w:t>Parenteral administration, MBS item 13950= $126.00</w:t>
            </w:r>
          </w:p>
          <w:p w14:paraId="06C4844E" w14:textId="77777777" w:rsidR="009406C2" w:rsidRPr="00B213CD" w:rsidRDefault="009406C2" w:rsidP="002A750F">
            <w:pPr>
              <w:pStyle w:val="TableText0"/>
              <w:keepNext w:val="0"/>
              <w:widowControl w:val="0"/>
              <w:rPr>
                <w:sz w:val="18"/>
                <w:szCs w:val="18"/>
              </w:rPr>
            </w:pPr>
            <w:r w:rsidRPr="00B213CD">
              <w:rPr>
                <w:sz w:val="18"/>
                <w:szCs w:val="18"/>
              </w:rPr>
              <w:t>Professional attendance, MBS item 116= $89.40.</w:t>
            </w:r>
          </w:p>
          <w:p w14:paraId="3C1466DF" w14:textId="77777777" w:rsidR="009406C2" w:rsidRPr="00B213CD" w:rsidRDefault="009406C2" w:rsidP="002A750F">
            <w:pPr>
              <w:pStyle w:val="TableText0"/>
              <w:keepNext w:val="0"/>
              <w:widowControl w:val="0"/>
              <w:rPr>
                <w:sz w:val="18"/>
                <w:szCs w:val="18"/>
              </w:rPr>
            </w:pPr>
            <w:r w:rsidRPr="00B213CD">
              <w:rPr>
                <w:sz w:val="18"/>
                <w:szCs w:val="18"/>
              </w:rPr>
              <w:t>MBS costs of I (IV) regarding AF monitoring, were excluded.</w:t>
            </w:r>
          </w:p>
        </w:tc>
        <w:tc>
          <w:tcPr>
            <w:tcW w:w="777" w:type="pct"/>
          </w:tcPr>
          <w:p w14:paraId="75BB5E3D" w14:textId="77777777" w:rsidR="009406C2" w:rsidRPr="00B213CD" w:rsidRDefault="009406C2" w:rsidP="002A750F">
            <w:pPr>
              <w:pStyle w:val="TableText0"/>
              <w:keepNext w:val="0"/>
              <w:widowControl w:val="0"/>
              <w:rPr>
                <w:sz w:val="18"/>
                <w:szCs w:val="18"/>
              </w:rPr>
            </w:pPr>
            <w:r w:rsidRPr="00B213CD">
              <w:rPr>
                <w:sz w:val="18"/>
                <w:szCs w:val="18"/>
              </w:rPr>
              <w:t>MBS item codes</w:t>
            </w:r>
          </w:p>
        </w:tc>
        <w:tc>
          <w:tcPr>
            <w:tcW w:w="1065" w:type="pct"/>
          </w:tcPr>
          <w:p w14:paraId="301B3336" w14:textId="77777777" w:rsidR="009406C2" w:rsidRPr="00B213CD" w:rsidRDefault="009406C2" w:rsidP="002A750F">
            <w:pPr>
              <w:pStyle w:val="TableText0"/>
              <w:keepNext w:val="0"/>
              <w:widowControl w:val="0"/>
              <w:rPr>
                <w:sz w:val="18"/>
                <w:szCs w:val="18"/>
              </w:rPr>
            </w:pPr>
            <w:r w:rsidRPr="00B213CD">
              <w:rPr>
                <w:sz w:val="18"/>
                <w:szCs w:val="18"/>
              </w:rPr>
              <w:t>MBS item 116 should be excluded from the calculation for savings in MBS.</w:t>
            </w:r>
          </w:p>
        </w:tc>
      </w:tr>
    </w:tbl>
    <w:p w14:paraId="7293886B" w14:textId="77777777" w:rsidR="009406C2" w:rsidRPr="00A55C25" w:rsidRDefault="009406C2" w:rsidP="009406C2">
      <w:pPr>
        <w:pStyle w:val="TableFigureFooter"/>
        <w:rPr>
          <w:rStyle w:val="CommentReference"/>
          <w:b w:val="0"/>
          <w:sz w:val="18"/>
          <w:szCs w:val="18"/>
        </w:rPr>
      </w:pPr>
      <w:r w:rsidRPr="00A55C25">
        <w:rPr>
          <w:rStyle w:val="CommentReference"/>
          <w:b w:val="0"/>
          <w:sz w:val="18"/>
          <w:szCs w:val="18"/>
        </w:rPr>
        <w:t>Source: Compiled during the evaluation from Table 4-1, pp137-138, Table 4-2, p140, Tables 4-3 and 4-4, p143, Table 4-5, p144, Table 4-6 and 4-7, p146, Table 4-7, p147, Tables 4-9 and 4-10, p148, Tables 4-11 and 4-12, p149, Table 4-16, p153, Tables 4-17 and 4-18, p154, Table 4-19, p155, and Table 4-21, p157 of the submission.</w:t>
      </w:r>
    </w:p>
    <w:p w14:paraId="20E55C8C" w14:textId="77777777" w:rsidR="009406C2" w:rsidRPr="00A55C25" w:rsidRDefault="009406C2" w:rsidP="009406C2">
      <w:pPr>
        <w:pStyle w:val="TableFigureFooter"/>
        <w:rPr>
          <w:rStyle w:val="CommentReference"/>
          <w:b w:val="0"/>
          <w:sz w:val="18"/>
          <w:szCs w:val="18"/>
        </w:rPr>
      </w:pPr>
      <w:r w:rsidRPr="00A55C25">
        <w:rPr>
          <w:rStyle w:val="CommentReference"/>
          <w:b w:val="0"/>
          <w:sz w:val="18"/>
          <w:szCs w:val="18"/>
        </w:rPr>
        <w:t>A=acalabrutinib; AV=</w:t>
      </w:r>
      <w:proofErr w:type="spellStart"/>
      <w:r w:rsidRPr="00A55C25">
        <w:rPr>
          <w:rStyle w:val="CommentReference"/>
          <w:b w:val="0"/>
          <w:sz w:val="18"/>
          <w:szCs w:val="18"/>
        </w:rPr>
        <w:t>acalabrutinib+venetoclax</w:t>
      </w:r>
      <w:proofErr w:type="spellEnd"/>
      <w:r w:rsidRPr="00A55C25">
        <w:rPr>
          <w:rStyle w:val="CommentReference"/>
          <w:b w:val="0"/>
          <w:sz w:val="18"/>
          <w:szCs w:val="18"/>
        </w:rPr>
        <w:t xml:space="preserve">; CLL=chronic lymphocytic leukaemia; </w:t>
      </w:r>
      <w:proofErr w:type="spellStart"/>
      <w:r w:rsidRPr="00A55C25">
        <w:rPr>
          <w:rStyle w:val="CommentReference"/>
          <w:b w:val="0"/>
          <w:sz w:val="18"/>
          <w:szCs w:val="18"/>
        </w:rPr>
        <w:t>cont</w:t>
      </w:r>
      <w:proofErr w:type="spellEnd"/>
      <w:r w:rsidRPr="00A55C25">
        <w:rPr>
          <w:rStyle w:val="CommentReference"/>
          <w:b w:val="0"/>
          <w:sz w:val="18"/>
          <w:szCs w:val="18"/>
        </w:rPr>
        <w:t>=continuing; FD=fixed duration; GF=grandfather; I=ibrutinib; IV=</w:t>
      </w:r>
      <w:proofErr w:type="spellStart"/>
      <w:r w:rsidRPr="00A55C25">
        <w:rPr>
          <w:rStyle w:val="CommentReference"/>
          <w:b w:val="0"/>
          <w:sz w:val="18"/>
          <w:szCs w:val="18"/>
        </w:rPr>
        <w:t>ibrutinib+venetoclax</w:t>
      </w:r>
      <w:proofErr w:type="spellEnd"/>
      <w:r w:rsidRPr="00A55C25">
        <w:rPr>
          <w:rStyle w:val="CommentReference"/>
          <w:b w:val="0"/>
          <w:sz w:val="18"/>
          <w:szCs w:val="18"/>
        </w:rPr>
        <w:t>; MBS=Medicare Benefits Schedule; O=obinutuzumab; PBS=Pharmaceutical Benefits Scheme; PSD=Product Specific Document; Q=quantity; RPBS=Repatriation Pharmaceutical Benefits Scheme; TTP=treat to progression; V=venetoclax; VO=</w:t>
      </w:r>
      <w:proofErr w:type="spellStart"/>
      <w:r w:rsidRPr="00A55C25">
        <w:rPr>
          <w:rStyle w:val="CommentReference"/>
          <w:b w:val="0"/>
          <w:sz w:val="18"/>
          <w:szCs w:val="18"/>
        </w:rPr>
        <w:t>venetoclax+obinutuzumab</w:t>
      </w:r>
      <w:proofErr w:type="spellEnd"/>
      <w:r w:rsidRPr="00A55C25">
        <w:rPr>
          <w:rStyle w:val="CommentReference"/>
          <w:b w:val="0"/>
          <w:sz w:val="18"/>
          <w:szCs w:val="18"/>
        </w:rPr>
        <w:t>.</w:t>
      </w:r>
    </w:p>
    <w:p w14:paraId="1A1C1B16" w14:textId="77777777" w:rsidR="009406C2" w:rsidRPr="00A55C25" w:rsidRDefault="009406C2" w:rsidP="009406C2">
      <w:pPr>
        <w:pStyle w:val="TableFigureFooter"/>
      </w:pPr>
      <w:r w:rsidRPr="00A55C25">
        <w:rPr>
          <w:rStyle w:val="CommentReference"/>
          <w:b w:val="0"/>
          <w:sz w:val="18"/>
          <w:szCs w:val="18"/>
        </w:rPr>
        <w:t>Note: X (XZ) refers to treatment X as part of the XZ regimen</w:t>
      </w:r>
      <w:r w:rsidRPr="00A55C25">
        <w:t>.</w:t>
      </w:r>
    </w:p>
    <w:p w14:paraId="4347E59F" w14:textId="77777777" w:rsidR="009406C2" w:rsidRPr="00A55C25" w:rsidRDefault="009406C2" w:rsidP="009406C2">
      <w:pPr>
        <w:pStyle w:val="TableFigureFooter"/>
      </w:pPr>
      <w:r w:rsidRPr="00A55C25">
        <w:rPr>
          <w:rStyle w:val="CommentReference"/>
          <w:b w:val="0"/>
          <w:sz w:val="18"/>
          <w:szCs w:val="18"/>
          <w:vertAlign w:val="superscript"/>
        </w:rPr>
        <w:t>a</w:t>
      </w:r>
      <w:r w:rsidRPr="00A55C25">
        <w:rPr>
          <w:rStyle w:val="CommentReference"/>
          <w:b w:val="0"/>
          <w:sz w:val="18"/>
          <w:szCs w:val="18"/>
        </w:rPr>
        <w:t xml:space="preserve"> PBS item codes: V (VO): 12188L (initial), 2205J (1st continuing), 2199C (2nd continuing), O (VO): 12204H (public hospital), 12193R (private hospital); V (IV): 14584N (initial), 14585P (1st continuing), 14595E (2nd continuing), I (IV): 14597G, 14580J, 14598H (initial) 14604P, 14620L, 14603N (1st continuing) 14596F, 14621M (2nd continuing)</w:t>
      </w:r>
      <w:r w:rsidRPr="00A55C25">
        <w:t>.</w:t>
      </w:r>
    </w:p>
    <w:p w14:paraId="53915785" w14:textId="49666FEC" w:rsidR="00EE4176" w:rsidRPr="005113F1" w:rsidRDefault="00EE4176" w:rsidP="009406C2">
      <w:pPr>
        <w:pStyle w:val="3-BodyText"/>
        <w:numPr>
          <w:ilvl w:val="1"/>
          <w:numId w:val="1"/>
        </w:numPr>
      </w:pPr>
      <w:r w:rsidRPr="005113F1">
        <w:t>The ESC considered the proposed up</w:t>
      </w:r>
      <w:r w:rsidR="001C161D" w:rsidRPr="005113F1">
        <w:t>take rate of AV to be overestimated</w:t>
      </w:r>
      <w:r w:rsidR="002E6858" w:rsidRPr="005113F1">
        <w:t xml:space="preserve"> given the lack of </w:t>
      </w:r>
      <w:r w:rsidR="005B0CF0" w:rsidRPr="005113F1">
        <w:t>added benefit</w:t>
      </w:r>
      <w:r w:rsidR="00DD2C3F" w:rsidRPr="005113F1">
        <w:t xml:space="preserve"> </w:t>
      </w:r>
      <w:r w:rsidR="005B0CF0" w:rsidRPr="005113F1">
        <w:t xml:space="preserve">for most </w:t>
      </w:r>
      <w:r w:rsidR="00B775C2" w:rsidRPr="005113F1">
        <w:t>patients</w:t>
      </w:r>
      <w:r w:rsidR="00D4385A" w:rsidRPr="005113F1">
        <w:t xml:space="preserve">, noting </w:t>
      </w:r>
      <w:r w:rsidR="00091664" w:rsidRPr="005113F1">
        <w:t xml:space="preserve">AV </w:t>
      </w:r>
      <w:r w:rsidR="008F5F66" w:rsidRPr="005113F1">
        <w:t xml:space="preserve">has </w:t>
      </w:r>
      <w:r w:rsidR="00DF747F" w:rsidRPr="005113F1">
        <w:t xml:space="preserve">non-inferior efficacy and </w:t>
      </w:r>
      <w:r w:rsidR="008F5F66" w:rsidRPr="005113F1">
        <w:t>a</w:t>
      </w:r>
      <w:r w:rsidR="00091664" w:rsidRPr="005113F1">
        <w:t xml:space="preserve"> potentially </w:t>
      </w:r>
      <w:r w:rsidR="008F5F66" w:rsidRPr="005113F1">
        <w:t>favourable safety profile compared to</w:t>
      </w:r>
      <w:r w:rsidR="00091664" w:rsidRPr="005113F1">
        <w:t xml:space="preserve"> </w:t>
      </w:r>
      <w:r w:rsidR="008F5F66" w:rsidRPr="005113F1">
        <w:t>OV</w:t>
      </w:r>
      <w:r w:rsidR="001C161D" w:rsidRPr="005113F1">
        <w:t xml:space="preserve">. The ESC </w:t>
      </w:r>
      <w:r w:rsidR="00CB4A27" w:rsidRPr="005113F1">
        <w:t xml:space="preserve">advised that in clinical practice </w:t>
      </w:r>
      <w:r w:rsidR="005C276E" w:rsidRPr="005113F1">
        <w:t>clinicians</w:t>
      </w:r>
      <w:r w:rsidR="003D0C2C" w:rsidRPr="005113F1">
        <w:t xml:space="preserve"> will </w:t>
      </w:r>
      <w:r w:rsidR="00663A2D" w:rsidRPr="005113F1">
        <w:t xml:space="preserve">be somewhat reluctant to use </w:t>
      </w:r>
      <w:r w:rsidR="00DA2688">
        <w:t>two</w:t>
      </w:r>
      <w:r w:rsidR="00DA2688" w:rsidRPr="005113F1">
        <w:t xml:space="preserve"> </w:t>
      </w:r>
      <w:r w:rsidR="00663A2D" w:rsidRPr="005113F1">
        <w:t xml:space="preserve">effective </w:t>
      </w:r>
      <w:r w:rsidR="00862C50" w:rsidRPr="005113F1">
        <w:t>therapies</w:t>
      </w:r>
      <w:r w:rsidR="00663A2D" w:rsidRPr="005113F1">
        <w:t xml:space="preserve"> up front</w:t>
      </w:r>
      <w:r w:rsidR="00862C50" w:rsidRPr="005113F1">
        <w:t xml:space="preserve"> </w:t>
      </w:r>
      <w:r w:rsidR="00A25ABB" w:rsidRPr="005113F1">
        <w:t xml:space="preserve">that will </w:t>
      </w:r>
      <w:r w:rsidR="00486C9B" w:rsidRPr="005113F1">
        <w:t>mean there are no effective treatment options when patients relapse,</w:t>
      </w:r>
      <w:r w:rsidR="00443CF9" w:rsidRPr="005113F1">
        <w:t xml:space="preserve"> </w:t>
      </w:r>
      <w:r w:rsidR="00862C50" w:rsidRPr="005113F1">
        <w:t>and it</w:t>
      </w:r>
      <w:r w:rsidR="003D0C2C" w:rsidRPr="005113F1">
        <w:t xml:space="preserve"> </w:t>
      </w:r>
      <w:r w:rsidR="001C161D" w:rsidRPr="005113F1">
        <w:t xml:space="preserve">considered it </w:t>
      </w:r>
      <w:r w:rsidR="00862C50" w:rsidRPr="005113F1">
        <w:t xml:space="preserve">was </w:t>
      </w:r>
      <w:r w:rsidR="001C161D" w:rsidRPr="005113F1">
        <w:t>more likely that VO</w:t>
      </w:r>
      <w:r w:rsidR="00A466D2" w:rsidRPr="005113F1">
        <w:t>, as the current market leader in first-line,</w:t>
      </w:r>
      <w:r w:rsidR="001C161D" w:rsidRPr="005113F1">
        <w:t xml:space="preserve"> would maintain a</w:t>
      </w:r>
      <w:r w:rsidR="00F35624" w:rsidRPr="005113F1">
        <w:t xml:space="preserve">bout a </w:t>
      </w:r>
      <w:r w:rsidR="007C5080" w:rsidRPr="007C5080">
        <w:rPr>
          <w:highlight w:val="black"/>
        </w:rPr>
        <w:t>@@@@</w:t>
      </w:r>
      <w:r w:rsidR="00F35624" w:rsidRPr="005113F1">
        <w:t>% market share by Year 6</w:t>
      </w:r>
      <w:r w:rsidR="0074543A" w:rsidRPr="005113F1">
        <w:t xml:space="preserve">. </w:t>
      </w:r>
      <w:r w:rsidR="00443CF9" w:rsidRPr="005113F1">
        <w:t>Acalabrutinib as a second generation BTKi is generally better tolerated as compared to ibrutinib</w:t>
      </w:r>
      <w:r w:rsidR="00CC5B2C" w:rsidRPr="005113F1">
        <w:t>. As such, t</w:t>
      </w:r>
      <w:r w:rsidR="0074543A" w:rsidRPr="005113F1">
        <w:t xml:space="preserve">he ESC expected </w:t>
      </w:r>
      <w:r w:rsidR="00F35624" w:rsidRPr="005113F1">
        <w:t>that AV</w:t>
      </w:r>
      <w:r w:rsidR="00461469" w:rsidRPr="005113F1">
        <w:t>,</w:t>
      </w:r>
      <w:r w:rsidR="00F35624" w:rsidRPr="005113F1">
        <w:t xml:space="preserve"> </w:t>
      </w:r>
      <w:r w:rsidR="0074543A" w:rsidRPr="005113F1">
        <w:t xml:space="preserve">as an </w:t>
      </w:r>
      <w:r w:rsidR="0089219B" w:rsidRPr="005113F1">
        <w:t>all-oral</w:t>
      </w:r>
      <w:r w:rsidR="0074543A" w:rsidRPr="005113F1">
        <w:t xml:space="preserve"> </w:t>
      </w:r>
      <w:r w:rsidR="00461469" w:rsidRPr="005113F1">
        <w:t>therapy</w:t>
      </w:r>
      <w:r w:rsidR="0074543A" w:rsidRPr="005113F1">
        <w:t xml:space="preserve"> and with fewer side effects tha</w:t>
      </w:r>
      <w:r w:rsidR="00461469" w:rsidRPr="005113F1">
        <w:t>n</w:t>
      </w:r>
      <w:r w:rsidR="0074543A" w:rsidRPr="005113F1">
        <w:t xml:space="preserve"> ibrutinib</w:t>
      </w:r>
      <w:r w:rsidR="00461469" w:rsidRPr="005113F1">
        <w:t xml:space="preserve">, </w:t>
      </w:r>
      <w:r w:rsidR="00F35624" w:rsidRPr="005113F1">
        <w:t>would dominate IV for the remainder of the market</w:t>
      </w:r>
      <w:r w:rsidR="00943347" w:rsidRPr="005113F1">
        <w:t xml:space="preserve"> (</w:t>
      </w:r>
      <w:r w:rsidR="007C5080" w:rsidRPr="007C5080">
        <w:rPr>
          <w:highlight w:val="black"/>
        </w:rPr>
        <w:t>@@@@</w:t>
      </w:r>
      <w:r w:rsidR="00943347" w:rsidRPr="005113F1">
        <w:t xml:space="preserve">% to </w:t>
      </w:r>
      <w:r w:rsidR="007C5080" w:rsidRPr="007C5080">
        <w:rPr>
          <w:highlight w:val="black"/>
        </w:rPr>
        <w:t>@@@@</w:t>
      </w:r>
      <w:r w:rsidR="00943347" w:rsidRPr="005113F1">
        <w:t>%)</w:t>
      </w:r>
      <w:r w:rsidR="00F35624" w:rsidRPr="005113F1">
        <w:t xml:space="preserve">. </w:t>
      </w:r>
    </w:p>
    <w:p w14:paraId="5DA45B9F" w14:textId="77777777" w:rsidR="00717804" w:rsidRPr="00A55C25" w:rsidRDefault="009406C2">
      <w:pPr>
        <w:jc w:val="left"/>
        <w:rPr>
          <w:rFonts w:ascii="Arial Narrow" w:hAnsi="Arial Narrow"/>
          <w:b/>
          <w:bCs/>
          <w:sz w:val="20"/>
          <w:szCs w:val="18"/>
        </w:rPr>
      </w:pPr>
      <w:r w:rsidRPr="00A55C25">
        <w:fldChar w:fldCharType="begin"/>
      </w:r>
      <w:r w:rsidRPr="00A55C25">
        <w:instrText xml:space="preserve"> REF _Ref207112492 \h </w:instrText>
      </w:r>
      <w:r w:rsidRPr="00A55C25">
        <w:fldChar w:fldCharType="separate"/>
      </w:r>
    </w:p>
    <w:p w14:paraId="3840DB4E" w14:textId="2C5386A0" w:rsidR="009406C2" w:rsidRPr="00A55C25" w:rsidRDefault="00717804" w:rsidP="009406C2">
      <w:pPr>
        <w:pStyle w:val="3-BodyText"/>
        <w:numPr>
          <w:ilvl w:val="1"/>
          <w:numId w:val="1"/>
        </w:numPr>
      </w:pPr>
      <w:r w:rsidRPr="00A55C25">
        <w:t xml:space="preserve">Table </w:t>
      </w:r>
      <w:r>
        <w:rPr>
          <w:noProof/>
        </w:rPr>
        <w:t>11</w:t>
      </w:r>
      <w:r w:rsidR="009406C2" w:rsidRPr="00A55C25">
        <w:fldChar w:fldCharType="end"/>
      </w:r>
      <w:r w:rsidR="009406C2" w:rsidRPr="00A55C25">
        <w:t xml:space="preserve"> presents the estimated utilisation and financial implications (using the estimated effective DPMQ) of the PBS listing of AV for the first-line treatment of CLL/SLL.</w:t>
      </w:r>
    </w:p>
    <w:p w14:paraId="61AB731C" w14:textId="780BFF9B" w:rsidR="005F2928" w:rsidRPr="00A55C25" w:rsidRDefault="005F2928">
      <w:pPr>
        <w:jc w:val="left"/>
        <w:rPr>
          <w:rFonts w:ascii="Arial Narrow" w:hAnsi="Arial Narrow"/>
          <w:b/>
          <w:bCs/>
          <w:sz w:val="20"/>
          <w:szCs w:val="18"/>
        </w:rPr>
      </w:pPr>
      <w:bookmarkStart w:id="46" w:name="_Ref207112492"/>
    </w:p>
    <w:p w14:paraId="2B2A114F" w14:textId="15C15C33" w:rsidR="009406C2" w:rsidRPr="00A55C25" w:rsidRDefault="009406C2" w:rsidP="009406C2">
      <w:pPr>
        <w:pStyle w:val="Caption"/>
      </w:pPr>
      <w:r w:rsidRPr="00A55C25">
        <w:lastRenderedPageBreak/>
        <w:t xml:space="preserve">Table </w:t>
      </w:r>
      <w:r w:rsidR="00075C2F">
        <w:fldChar w:fldCharType="begin"/>
      </w:r>
      <w:r w:rsidR="00075C2F">
        <w:instrText xml:space="preserve"> SEQ Table \* ARABIC </w:instrText>
      </w:r>
      <w:r w:rsidR="00075C2F">
        <w:fldChar w:fldCharType="separate"/>
      </w:r>
      <w:r w:rsidR="00717804">
        <w:rPr>
          <w:noProof/>
        </w:rPr>
        <w:t>11</w:t>
      </w:r>
      <w:r w:rsidR="00075C2F">
        <w:fldChar w:fldCharType="end"/>
      </w:r>
      <w:bookmarkEnd w:id="46"/>
      <w:r w:rsidRPr="00A55C25">
        <w:t>: Estimated use and financial implications</w:t>
      </w:r>
    </w:p>
    <w:tbl>
      <w:tblPr>
        <w:tblStyle w:val="ASDTable2"/>
        <w:tblW w:w="5266" w:type="pct"/>
        <w:tblInd w:w="-5" w:type="dxa"/>
        <w:tblCellMar>
          <w:left w:w="28" w:type="dxa"/>
          <w:right w:w="28" w:type="dxa"/>
        </w:tblCellMar>
        <w:tblLook w:val="04A0" w:firstRow="1" w:lastRow="0" w:firstColumn="1" w:lastColumn="0" w:noHBand="0" w:noVBand="1"/>
        <w:tblCaption w:val="Table 11: Estimated use and financial implications"/>
      </w:tblPr>
      <w:tblGrid>
        <w:gridCol w:w="1985"/>
        <w:gridCol w:w="1134"/>
        <w:gridCol w:w="1064"/>
        <w:gridCol w:w="1041"/>
        <w:gridCol w:w="1010"/>
        <w:gridCol w:w="1138"/>
        <w:gridCol w:w="993"/>
        <w:gridCol w:w="1132"/>
      </w:tblGrid>
      <w:tr w:rsidR="00FD1EB0" w:rsidRPr="004D2F9F" w14:paraId="072779BC" w14:textId="77777777" w:rsidTr="00A73D2F">
        <w:trPr>
          <w:trHeight w:val="20"/>
          <w:tblHeader/>
        </w:trPr>
        <w:tc>
          <w:tcPr>
            <w:tcW w:w="1045" w:type="pct"/>
            <w:vAlign w:val="center"/>
          </w:tcPr>
          <w:p w14:paraId="07E6D29A" w14:textId="77777777" w:rsidR="009406C2" w:rsidRPr="004D2F9F" w:rsidRDefault="009406C2" w:rsidP="002A750F">
            <w:pPr>
              <w:keepNext/>
              <w:widowControl w:val="0"/>
              <w:jc w:val="left"/>
              <w:rPr>
                <w:rFonts w:ascii="Arial Narrow" w:hAnsi="Arial Narrow" w:cs="Times New Roman"/>
                <w:sz w:val="18"/>
                <w:szCs w:val="18"/>
                <w:lang w:eastAsia="en-GB"/>
              </w:rPr>
            </w:pPr>
          </w:p>
        </w:tc>
        <w:tc>
          <w:tcPr>
            <w:tcW w:w="597" w:type="pct"/>
            <w:vAlign w:val="center"/>
          </w:tcPr>
          <w:p w14:paraId="3D2A1BB0"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2026</w:t>
            </w:r>
          </w:p>
        </w:tc>
        <w:tc>
          <w:tcPr>
            <w:tcW w:w="560" w:type="pct"/>
            <w:vAlign w:val="center"/>
          </w:tcPr>
          <w:p w14:paraId="1374FC31"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2027</w:t>
            </w:r>
          </w:p>
        </w:tc>
        <w:tc>
          <w:tcPr>
            <w:tcW w:w="548" w:type="pct"/>
            <w:vAlign w:val="center"/>
          </w:tcPr>
          <w:p w14:paraId="09FBA1B2"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2028</w:t>
            </w:r>
          </w:p>
        </w:tc>
        <w:tc>
          <w:tcPr>
            <w:tcW w:w="532" w:type="pct"/>
            <w:vAlign w:val="center"/>
          </w:tcPr>
          <w:p w14:paraId="1576DE7E"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2029</w:t>
            </w:r>
          </w:p>
        </w:tc>
        <w:tc>
          <w:tcPr>
            <w:tcW w:w="599" w:type="pct"/>
            <w:vAlign w:val="center"/>
          </w:tcPr>
          <w:p w14:paraId="0C423D6D"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2030</w:t>
            </w:r>
          </w:p>
        </w:tc>
        <w:tc>
          <w:tcPr>
            <w:tcW w:w="523" w:type="pct"/>
            <w:vAlign w:val="center"/>
            <w:hideMark/>
          </w:tcPr>
          <w:p w14:paraId="643B342B"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2031</w:t>
            </w:r>
          </w:p>
        </w:tc>
        <w:tc>
          <w:tcPr>
            <w:tcW w:w="596" w:type="pct"/>
            <w:vAlign w:val="center"/>
            <w:hideMark/>
          </w:tcPr>
          <w:p w14:paraId="4E4D50F4"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Total</w:t>
            </w:r>
          </w:p>
        </w:tc>
      </w:tr>
      <w:tr w:rsidR="009406C2" w:rsidRPr="004D2F9F" w14:paraId="1345638B" w14:textId="77777777" w:rsidTr="00A73D2F">
        <w:trPr>
          <w:trHeight w:val="20"/>
        </w:trPr>
        <w:tc>
          <w:tcPr>
            <w:tcW w:w="5000" w:type="pct"/>
            <w:gridSpan w:val="8"/>
            <w:vAlign w:val="center"/>
          </w:tcPr>
          <w:p w14:paraId="1075D3A7" w14:textId="77777777" w:rsidR="009406C2" w:rsidRPr="004D2F9F" w:rsidRDefault="009406C2" w:rsidP="002A750F">
            <w:pPr>
              <w:keepNext/>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Estimated extent of use of the proposed medicine (AV)</w:t>
            </w:r>
          </w:p>
        </w:tc>
      </w:tr>
      <w:tr w:rsidR="00FD1EB0" w:rsidRPr="004D2F9F" w14:paraId="097D4AF6" w14:textId="77777777" w:rsidTr="00A73D2F">
        <w:trPr>
          <w:trHeight w:val="20"/>
        </w:trPr>
        <w:tc>
          <w:tcPr>
            <w:tcW w:w="1045" w:type="pct"/>
            <w:vAlign w:val="center"/>
          </w:tcPr>
          <w:p w14:paraId="680895F9" w14:textId="77777777" w:rsidR="009406C2" w:rsidRPr="004D2F9F" w:rsidRDefault="009406C2" w:rsidP="002A750F">
            <w:pPr>
              <w:keepNext/>
              <w:widowControl w:val="0"/>
              <w:tabs>
                <w:tab w:val="right" w:pos="2058"/>
              </w:tabs>
              <w:jc w:val="left"/>
              <w:rPr>
                <w:rFonts w:ascii="Arial Narrow" w:hAnsi="Arial Narrow" w:cs="Times New Roman"/>
                <w:sz w:val="18"/>
                <w:szCs w:val="18"/>
                <w:lang w:eastAsia="en-GB"/>
              </w:rPr>
            </w:pPr>
            <w:r w:rsidRPr="004D2F9F">
              <w:rPr>
                <w:rFonts w:ascii="Arial Narrow" w:hAnsi="Arial Narrow" w:cs="Times New Roman"/>
                <w:bCs/>
                <w:sz w:val="18"/>
                <w:szCs w:val="18"/>
                <w:lang w:eastAsia="en-GB"/>
              </w:rPr>
              <w:t xml:space="preserve">Number of A (AV) scripts </w:t>
            </w:r>
          </w:p>
        </w:tc>
        <w:tc>
          <w:tcPr>
            <w:tcW w:w="597" w:type="pct"/>
            <w:vAlign w:val="center"/>
          </w:tcPr>
          <w:p w14:paraId="2C6E606D" w14:textId="6114AE95"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11E64" w:rsidRPr="004D2F9F">
              <w:rPr>
                <w:rFonts w:ascii="Arial Narrow" w:hAnsi="Arial Narrow" w:cs="Times New Roman"/>
                <w:bCs/>
                <w:sz w:val="18"/>
                <w:szCs w:val="18"/>
                <w:vertAlign w:val="superscript"/>
                <w:lang w:eastAsia="en-GB"/>
              </w:rPr>
              <w:t>1</w:t>
            </w:r>
          </w:p>
        </w:tc>
        <w:tc>
          <w:tcPr>
            <w:tcW w:w="560" w:type="pct"/>
            <w:vAlign w:val="center"/>
          </w:tcPr>
          <w:p w14:paraId="21760FD0" w14:textId="07F7D94F"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1</w:t>
            </w:r>
          </w:p>
        </w:tc>
        <w:tc>
          <w:tcPr>
            <w:tcW w:w="548" w:type="pct"/>
            <w:vAlign w:val="center"/>
          </w:tcPr>
          <w:p w14:paraId="49496CB6" w14:textId="3A5F3D7F"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1</w:t>
            </w:r>
          </w:p>
        </w:tc>
        <w:tc>
          <w:tcPr>
            <w:tcW w:w="532" w:type="pct"/>
            <w:vAlign w:val="center"/>
          </w:tcPr>
          <w:p w14:paraId="20DC6D44" w14:textId="5733DF0E"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1</w:t>
            </w:r>
          </w:p>
        </w:tc>
        <w:tc>
          <w:tcPr>
            <w:tcW w:w="599" w:type="pct"/>
            <w:vAlign w:val="center"/>
          </w:tcPr>
          <w:p w14:paraId="435899CD" w14:textId="4C4ED21D"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1</w:t>
            </w:r>
          </w:p>
        </w:tc>
        <w:tc>
          <w:tcPr>
            <w:tcW w:w="523" w:type="pct"/>
            <w:vAlign w:val="center"/>
          </w:tcPr>
          <w:p w14:paraId="39112DFB" w14:textId="476B3845"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1</w:t>
            </w:r>
          </w:p>
        </w:tc>
        <w:tc>
          <w:tcPr>
            <w:tcW w:w="596" w:type="pct"/>
            <w:vAlign w:val="center"/>
          </w:tcPr>
          <w:p w14:paraId="631DCE39" w14:textId="4A58AE64"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2</w:t>
            </w:r>
          </w:p>
        </w:tc>
      </w:tr>
      <w:tr w:rsidR="00FD1EB0" w:rsidRPr="004D2F9F" w14:paraId="401A116D" w14:textId="77777777" w:rsidTr="00A73D2F">
        <w:trPr>
          <w:trHeight w:val="20"/>
        </w:trPr>
        <w:tc>
          <w:tcPr>
            <w:tcW w:w="1045" w:type="pct"/>
            <w:vAlign w:val="center"/>
          </w:tcPr>
          <w:p w14:paraId="26B16236" w14:textId="77777777" w:rsidR="009406C2" w:rsidRPr="004D2F9F" w:rsidRDefault="009406C2" w:rsidP="002A750F">
            <w:pPr>
              <w:keepNext/>
              <w:widowControl w:val="0"/>
              <w:tabs>
                <w:tab w:val="right" w:pos="2058"/>
              </w:tabs>
              <w:jc w:val="left"/>
              <w:rPr>
                <w:rFonts w:ascii="Arial Narrow" w:hAnsi="Arial Narrow" w:cs="Times New Roman"/>
                <w:sz w:val="18"/>
                <w:szCs w:val="18"/>
                <w:lang w:eastAsia="en-GB"/>
              </w:rPr>
            </w:pPr>
            <w:r w:rsidRPr="004D2F9F">
              <w:rPr>
                <w:rFonts w:ascii="Arial Narrow" w:hAnsi="Arial Narrow" w:cs="Times New Roman"/>
                <w:bCs/>
                <w:sz w:val="18"/>
                <w:szCs w:val="18"/>
                <w:lang w:eastAsia="en-GB"/>
              </w:rPr>
              <w:t>Number of V (AV) scripts</w:t>
            </w:r>
          </w:p>
        </w:tc>
        <w:tc>
          <w:tcPr>
            <w:tcW w:w="597" w:type="pct"/>
            <w:vAlign w:val="center"/>
          </w:tcPr>
          <w:p w14:paraId="7E1176D9" w14:textId="35923C5C"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60" w:type="pct"/>
            <w:vAlign w:val="center"/>
          </w:tcPr>
          <w:p w14:paraId="7F095CBD" w14:textId="322A2DFA"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48" w:type="pct"/>
            <w:vAlign w:val="center"/>
          </w:tcPr>
          <w:p w14:paraId="2537ACE2" w14:textId="0E614189"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32" w:type="pct"/>
            <w:vAlign w:val="center"/>
          </w:tcPr>
          <w:p w14:paraId="63F01511" w14:textId="7AAE4148"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99" w:type="pct"/>
            <w:vAlign w:val="center"/>
          </w:tcPr>
          <w:p w14:paraId="0C652B82" w14:textId="7016625C"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23" w:type="pct"/>
            <w:vAlign w:val="center"/>
          </w:tcPr>
          <w:p w14:paraId="2042D725" w14:textId="11443E16"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1</w:t>
            </w:r>
          </w:p>
        </w:tc>
        <w:tc>
          <w:tcPr>
            <w:tcW w:w="596" w:type="pct"/>
            <w:vAlign w:val="center"/>
          </w:tcPr>
          <w:p w14:paraId="3F4473C5" w14:textId="05E612F2" w:rsidR="009406C2" w:rsidRPr="00DD75CA"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DD75CA" w:rsidRPr="004D2F9F">
              <w:rPr>
                <w:rFonts w:ascii="Arial Narrow" w:hAnsi="Arial Narrow" w:cs="Times New Roman"/>
                <w:bCs/>
                <w:sz w:val="18"/>
                <w:szCs w:val="18"/>
                <w:vertAlign w:val="superscript"/>
                <w:lang w:eastAsia="en-GB"/>
              </w:rPr>
              <w:t>2</w:t>
            </w:r>
          </w:p>
        </w:tc>
      </w:tr>
      <w:tr w:rsidR="00FD1EB0" w:rsidRPr="004D2F9F" w14:paraId="6FAE57E9" w14:textId="77777777" w:rsidTr="00A73D2F">
        <w:trPr>
          <w:trHeight w:val="20"/>
        </w:trPr>
        <w:tc>
          <w:tcPr>
            <w:tcW w:w="1045" w:type="pct"/>
            <w:vAlign w:val="center"/>
          </w:tcPr>
          <w:p w14:paraId="431B59AA"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Total AV scripts</w:t>
            </w:r>
          </w:p>
        </w:tc>
        <w:tc>
          <w:tcPr>
            <w:tcW w:w="597" w:type="pct"/>
            <w:vAlign w:val="center"/>
          </w:tcPr>
          <w:p w14:paraId="0B4BAB26" w14:textId="2B80A1DE" w:rsidR="009406C2" w:rsidRPr="004D2F9F"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60" w:type="pct"/>
            <w:vAlign w:val="center"/>
          </w:tcPr>
          <w:p w14:paraId="70F182DB" w14:textId="0CDA4E01"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48" w:type="pct"/>
            <w:vAlign w:val="center"/>
          </w:tcPr>
          <w:p w14:paraId="7C35F248" w14:textId="4EA60A46"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32" w:type="pct"/>
            <w:vAlign w:val="center"/>
          </w:tcPr>
          <w:p w14:paraId="3C9CB58F" w14:textId="37CF5019"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99" w:type="pct"/>
            <w:vAlign w:val="center"/>
          </w:tcPr>
          <w:p w14:paraId="62EDFD19" w14:textId="73501D6D"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23" w:type="pct"/>
            <w:vAlign w:val="center"/>
          </w:tcPr>
          <w:p w14:paraId="5F13933A" w14:textId="1F48CCAC" w:rsidR="009406C2" w:rsidRPr="004D2F9F"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57724A" w:rsidRPr="004D2F9F">
              <w:rPr>
                <w:rFonts w:ascii="Arial Narrow" w:hAnsi="Arial Narrow" w:cs="Times New Roman"/>
                <w:bCs/>
                <w:sz w:val="18"/>
                <w:szCs w:val="18"/>
                <w:vertAlign w:val="superscript"/>
                <w:lang w:eastAsia="en-GB"/>
              </w:rPr>
              <w:t>3</w:t>
            </w:r>
          </w:p>
        </w:tc>
        <w:tc>
          <w:tcPr>
            <w:tcW w:w="596" w:type="pct"/>
            <w:vAlign w:val="center"/>
          </w:tcPr>
          <w:p w14:paraId="0D040E89" w14:textId="35833AE3" w:rsidR="009406C2" w:rsidRPr="004D2F9F"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AC3CE8" w:rsidRPr="004D2F9F">
              <w:rPr>
                <w:rFonts w:ascii="Arial Narrow" w:hAnsi="Arial Narrow" w:cs="Times New Roman"/>
                <w:bCs/>
                <w:sz w:val="18"/>
                <w:szCs w:val="18"/>
                <w:vertAlign w:val="superscript"/>
                <w:lang w:eastAsia="en-GB"/>
              </w:rPr>
              <w:t>4</w:t>
            </w:r>
          </w:p>
        </w:tc>
      </w:tr>
      <w:tr w:rsidR="009406C2" w:rsidRPr="004D2F9F" w14:paraId="6729AAAE" w14:textId="77777777" w:rsidTr="00A73D2F">
        <w:trPr>
          <w:trHeight w:val="20"/>
        </w:trPr>
        <w:tc>
          <w:tcPr>
            <w:tcW w:w="5000" w:type="pct"/>
            <w:gridSpan w:val="8"/>
            <w:vAlign w:val="center"/>
          </w:tcPr>
          <w:p w14:paraId="0E6F840D" w14:textId="77777777" w:rsidR="009406C2" w:rsidRPr="004D2F9F" w:rsidRDefault="009406C2" w:rsidP="002A750F">
            <w:pPr>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 xml:space="preserve">Cost to PBS/RPBS of the proposed medicine (AV), (less co-payments) </w:t>
            </w:r>
          </w:p>
        </w:tc>
      </w:tr>
      <w:tr w:rsidR="00FD1EB0" w:rsidRPr="004D2F9F" w14:paraId="39EA40A6" w14:textId="77777777" w:rsidTr="00A73D2F">
        <w:trPr>
          <w:trHeight w:val="20"/>
        </w:trPr>
        <w:tc>
          <w:tcPr>
            <w:tcW w:w="1045" w:type="pct"/>
            <w:vAlign w:val="center"/>
          </w:tcPr>
          <w:p w14:paraId="4485CBBF" w14:textId="393E6A9E"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Costs of A (AV)</w:t>
            </w:r>
            <w:r w:rsidR="00C41025" w:rsidRPr="004D2F9F">
              <w:rPr>
                <w:rFonts w:ascii="Arial Narrow" w:hAnsi="Arial Narrow" w:cs="Times New Roman"/>
                <w:bCs/>
                <w:sz w:val="18"/>
                <w:szCs w:val="18"/>
                <w:lang w:eastAsia="en-GB"/>
              </w:rPr>
              <w:t xml:space="preserve"> ($)</w:t>
            </w:r>
          </w:p>
        </w:tc>
        <w:tc>
          <w:tcPr>
            <w:tcW w:w="597" w:type="pct"/>
            <w:vAlign w:val="center"/>
          </w:tcPr>
          <w:p w14:paraId="5BE645DC" w14:textId="1AFF1CBF" w:rsidR="009406C2" w:rsidRPr="004D2F9F"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961BE3" w:rsidRPr="004D2F9F">
              <w:rPr>
                <w:rFonts w:ascii="Arial Narrow" w:hAnsi="Arial Narrow" w:cs="Times New Roman"/>
                <w:bCs/>
                <w:sz w:val="18"/>
                <w:szCs w:val="18"/>
                <w:vertAlign w:val="superscript"/>
                <w:lang w:eastAsia="en-GB"/>
              </w:rPr>
              <w:t>5</w:t>
            </w:r>
          </w:p>
        </w:tc>
        <w:tc>
          <w:tcPr>
            <w:tcW w:w="560" w:type="pct"/>
            <w:vAlign w:val="center"/>
          </w:tcPr>
          <w:p w14:paraId="2C130335" w14:textId="08C8DC4C"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41025" w:rsidRPr="004D2F9F">
              <w:rPr>
                <w:rFonts w:ascii="Arial Narrow" w:hAnsi="Arial Narrow" w:cs="Times New Roman"/>
                <w:bCs/>
                <w:sz w:val="18"/>
                <w:szCs w:val="18"/>
                <w:vertAlign w:val="superscript"/>
                <w:lang w:eastAsia="en-GB"/>
              </w:rPr>
              <w:t>5</w:t>
            </w:r>
          </w:p>
        </w:tc>
        <w:tc>
          <w:tcPr>
            <w:tcW w:w="548" w:type="pct"/>
            <w:vAlign w:val="center"/>
          </w:tcPr>
          <w:p w14:paraId="706ECC83" w14:textId="5BCE03FB" w:rsidR="009406C2" w:rsidRPr="004D2F9F"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C41025" w:rsidRPr="004D2F9F">
              <w:rPr>
                <w:rFonts w:ascii="Arial Narrow" w:hAnsi="Arial Narrow" w:cs="Times New Roman"/>
                <w:bCs/>
                <w:sz w:val="18"/>
                <w:szCs w:val="18"/>
                <w:vertAlign w:val="superscript"/>
                <w:lang w:eastAsia="en-GB"/>
              </w:rPr>
              <w:t>6</w:t>
            </w:r>
          </w:p>
        </w:tc>
        <w:tc>
          <w:tcPr>
            <w:tcW w:w="532" w:type="pct"/>
            <w:vAlign w:val="center"/>
          </w:tcPr>
          <w:p w14:paraId="65A8A9A2" w14:textId="64C4E52F"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41025" w:rsidRPr="004D2F9F">
              <w:rPr>
                <w:rFonts w:ascii="Arial Narrow" w:hAnsi="Arial Narrow" w:cs="Times New Roman"/>
                <w:bCs/>
                <w:sz w:val="18"/>
                <w:szCs w:val="18"/>
                <w:vertAlign w:val="superscript"/>
                <w:lang w:eastAsia="en-GB"/>
              </w:rPr>
              <w:t>6</w:t>
            </w:r>
          </w:p>
        </w:tc>
        <w:tc>
          <w:tcPr>
            <w:tcW w:w="599" w:type="pct"/>
            <w:vAlign w:val="center"/>
          </w:tcPr>
          <w:p w14:paraId="1280A95C" w14:textId="4076AF4E"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41025" w:rsidRPr="004D2F9F">
              <w:rPr>
                <w:rFonts w:ascii="Arial Narrow" w:hAnsi="Arial Narrow" w:cs="Times New Roman"/>
                <w:bCs/>
                <w:sz w:val="18"/>
                <w:szCs w:val="18"/>
                <w:vertAlign w:val="superscript"/>
                <w:lang w:eastAsia="en-GB"/>
              </w:rPr>
              <w:t>6</w:t>
            </w:r>
          </w:p>
        </w:tc>
        <w:tc>
          <w:tcPr>
            <w:tcW w:w="523" w:type="pct"/>
            <w:vAlign w:val="center"/>
          </w:tcPr>
          <w:p w14:paraId="6CEDEB69" w14:textId="61E53B29"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4D2F9F" w:rsidRPr="004D2F9F">
              <w:rPr>
                <w:rFonts w:ascii="Arial Narrow" w:hAnsi="Arial Narrow" w:cs="Times New Roman"/>
                <w:bCs/>
                <w:sz w:val="18"/>
                <w:szCs w:val="18"/>
                <w:vertAlign w:val="superscript"/>
                <w:lang w:eastAsia="en-GB"/>
              </w:rPr>
              <w:t>6</w:t>
            </w:r>
          </w:p>
        </w:tc>
        <w:tc>
          <w:tcPr>
            <w:tcW w:w="596" w:type="pct"/>
            <w:vAlign w:val="center"/>
          </w:tcPr>
          <w:p w14:paraId="7E6D15CC" w14:textId="634D3FF2" w:rsidR="009406C2" w:rsidRPr="004D2F9F"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4D2F9F">
              <w:rPr>
                <w:rFonts w:ascii="Arial Narrow" w:hAnsi="Arial Narrow" w:cs="Times New Roman"/>
                <w:bCs/>
                <w:sz w:val="18"/>
                <w:szCs w:val="18"/>
                <w:vertAlign w:val="superscript"/>
                <w:lang w:eastAsia="en-GB"/>
              </w:rPr>
              <w:t>7</w:t>
            </w:r>
          </w:p>
        </w:tc>
      </w:tr>
      <w:tr w:rsidR="00FD1EB0" w:rsidRPr="004D2F9F" w14:paraId="0B91F52A" w14:textId="77777777" w:rsidTr="00A73D2F">
        <w:trPr>
          <w:trHeight w:val="20"/>
        </w:trPr>
        <w:tc>
          <w:tcPr>
            <w:tcW w:w="1045" w:type="pct"/>
            <w:vAlign w:val="center"/>
          </w:tcPr>
          <w:p w14:paraId="6ABEFEC9" w14:textId="351E4AB8"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Costs of V (AV)</w:t>
            </w:r>
            <w:r w:rsidR="00C41025" w:rsidRPr="004D2F9F">
              <w:rPr>
                <w:rFonts w:ascii="Arial Narrow" w:hAnsi="Arial Narrow" w:cs="Times New Roman"/>
                <w:bCs/>
                <w:sz w:val="18"/>
                <w:szCs w:val="18"/>
                <w:lang w:eastAsia="en-GB"/>
              </w:rPr>
              <w:t xml:space="preserve"> ($)</w:t>
            </w:r>
          </w:p>
        </w:tc>
        <w:tc>
          <w:tcPr>
            <w:tcW w:w="597" w:type="pct"/>
            <w:vAlign w:val="center"/>
          </w:tcPr>
          <w:p w14:paraId="3C416718" w14:textId="4B75045D"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sidRPr="004D2F9F">
              <w:rPr>
                <w:rFonts w:ascii="Arial Narrow" w:hAnsi="Arial Narrow" w:cs="Times New Roman"/>
                <w:bCs/>
                <w:sz w:val="18"/>
                <w:szCs w:val="18"/>
                <w:vertAlign w:val="superscript"/>
                <w:lang w:eastAsia="en-GB"/>
              </w:rPr>
              <w:t>5</w:t>
            </w:r>
          </w:p>
        </w:tc>
        <w:tc>
          <w:tcPr>
            <w:tcW w:w="560" w:type="pct"/>
            <w:vAlign w:val="center"/>
          </w:tcPr>
          <w:p w14:paraId="341CEA26" w14:textId="0E392167"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6</w:t>
            </w:r>
          </w:p>
        </w:tc>
        <w:tc>
          <w:tcPr>
            <w:tcW w:w="548" w:type="pct"/>
            <w:vAlign w:val="center"/>
          </w:tcPr>
          <w:p w14:paraId="544F72E5" w14:textId="17F36E25"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6</w:t>
            </w:r>
          </w:p>
        </w:tc>
        <w:tc>
          <w:tcPr>
            <w:tcW w:w="532" w:type="pct"/>
            <w:vAlign w:val="center"/>
          </w:tcPr>
          <w:p w14:paraId="06F792C9" w14:textId="3D92B619"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6</w:t>
            </w:r>
          </w:p>
        </w:tc>
        <w:tc>
          <w:tcPr>
            <w:tcW w:w="599" w:type="pct"/>
            <w:vAlign w:val="center"/>
          </w:tcPr>
          <w:p w14:paraId="62C6E975" w14:textId="5681EDFF"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6</w:t>
            </w:r>
          </w:p>
        </w:tc>
        <w:tc>
          <w:tcPr>
            <w:tcW w:w="523" w:type="pct"/>
            <w:vAlign w:val="center"/>
          </w:tcPr>
          <w:p w14:paraId="03F70F70" w14:textId="3C5E3B1D"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6</w:t>
            </w:r>
          </w:p>
        </w:tc>
        <w:tc>
          <w:tcPr>
            <w:tcW w:w="596" w:type="pct"/>
            <w:vAlign w:val="center"/>
          </w:tcPr>
          <w:p w14:paraId="3817FEAD" w14:textId="78F8C110" w:rsidR="009406C2" w:rsidRPr="003B1382"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3B1382">
              <w:rPr>
                <w:rFonts w:ascii="Arial Narrow" w:hAnsi="Arial Narrow" w:cs="Times New Roman"/>
                <w:bCs/>
                <w:sz w:val="18"/>
                <w:szCs w:val="18"/>
                <w:vertAlign w:val="superscript"/>
                <w:lang w:eastAsia="en-GB"/>
              </w:rPr>
              <w:t>8</w:t>
            </w:r>
          </w:p>
        </w:tc>
      </w:tr>
      <w:tr w:rsidR="00FD1EB0" w:rsidRPr="004D2F9F" w14:paraId="4B02F97D" w14:textId="77777777" w:rsidTr="00A73D2F">
        <w:trPr>
          <w:trHeight w:val="20"/>
        </w:trPr>
        <w:tc>
          <w:tcPr>
            <w:tcW w:w="1045" w:type="pct"/>
            <w:vAlign w:val="center"/>
            <w:hideMark/>
          </w:tcPr>
          <w:p w14:paraId="7976F637" w14:textId="615654F6"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Total costs of AV</w:t>
            </w:r>
            <w:r w:rsidR="00C41025" w:rsidRPr="004D2F9F">
              <w:rPr>
                <w:rFonts w:ascii="Arial Narrow" w:hAnsi="Arial Narrow" w:cs="Times New Roman"/>
                <w:bCs/>
                <w:sz w:val="18"/>
                <w:szCs w:val="18"/>
                <w:lang w:eastAsia="en-GB"/>
              </w:rPr>
              <w:t xml:space="preserve"> ($)</w:t>
            </w:r>
          </w:p>
        </w:tc>
        <w:tc>
          <w:tcPr>
            <w:tcW w:w="597" w:type="pct"/>
            <w:vAlign w:val="center"/>
          </w:tcPr>
          <w:p w14:paraId="63D09164" w14:textId="58E3CA38"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E10C8D" w:rsidRPr="004D2F9F">
              <w:rPr>
                <w:rFonts w:ascii="Arial Narrow" w:hAnsi="Arial Narrow" w:cs="Times New Roman"/>
                <w:bCs/>
                <w:sz w:val="18"/>
                <w:szCs w:val="18"/>
                <w:vertAlign w:val="superscript"/>
                <w:lang w:eastAsia="en-GB"/>
              </w:rPr>
              <w:t>6</w:t>
            </w:r>
          </w:p>
        </w:tc>
        <w:tc>
          <w:tcPr>
            <w:tcW w:w="560" w:type="pct"/>
            <w:vAlign w:val="center"/>
          </w:tcPr>
          <w:p w14:paraId="53669B71" w14:textId="4503C7DE"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E10C8D" w:rsidRPr="004D2F9F">
              <w:rPr>
                <w:rFonts w:ascii="Arial Narrow" w:hAnsi="Arial Narrow" w:cs="Times New Roman"/>
                <w:bCs/>
                <w:sz w:val="18"/>
                <w:szCs w:val="18"/>
                <w:vertAlign w:val="superscript"/>
                <w:lang w:eastAsia="en-GB"/>
              </w:rPr>
              <w:t>6</w:t>
            </w:r>
          </w:p>
        </w:tc>
        <w:tc>
          <w:tcPr>
            <w:tcW w:w="548" w:type="pct"/>
            <w:vAlign w:val="center"/>
          </w:tcPr>
          <w:p w14:paraId="22663065" w14:textId="47842314"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97118" w:rsidRPr="00C97118">
              <w:rPr>
                <w:rFonts w:ascii="Arial Narrow" w:hAnsi="Arial Narrow" w:cs="Times New Roman"/>
                <w:bCs/>
                <w:sz w:val="18"/>
                <w:szCs w:val="18"/>
                <w:vertAlign w:val="superscript"/>
                <w:lang w:eastAsia="en-GB"/>
              </w:rPr>
              <w:t>9</w:t>
            </w:r>
          </w:p>
        </w:tc>
        <w:tc>
          <w:tcPr>
            <w:tcW w:w="532" w:type="pct"/>
            <w:vAlign w:val="center"/>
          </w:tcPr>
          <w:p w14:paraId="455B4D36" w14:textId="28DEAFB2"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97118" w:rsidRPr="00C97118">
              <w:rPr>
                <w:rFonts w:ascii="Arial Narrow" w:hAnsi="Arial Narrow" w:cs="Times New Roman"/>
                <w:bCs/>
                <w:sz w:val="18"/>
                <w:szCs w:val="18"/>
                <w:vertAlign w:val="superscript"/>
                <w:lang w:eastAsia="en-GB"/>
              </w:rPr>
              <w:t>9</w:t>
            </w:r>
          </w:p>
        </w:tc>
        <w:tc>
          <w:tcPr>
            <w:tcW w:w="599" w:type="pct"/>
            <w:vAlign w:val="center"/>
          </w:tcPr>
          <w:p w14:paraId="5AADE523" w14:textId="5BCCBADF"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97118" w:rsidRPr="00C97118">
              <w:rPr>
                <w:rFonts w:ascii="Arial Narrow" w:hAnsi="Arial Narrow" w:cs="Times New Roman"/>
                <w:bCs/>
                <w:sz w:val="18"/>
                <w:szCs w:val="18"/>
                <w:vertAlign w:val="superscript"/>
                <w:lang w:eastAsia="en-GB"/>
              </w:rPr>
              <w:t>9</w:t>
            </w:r>
          </w:p>
        </w:tc>
        <w:tc>
          <w:tcPr>
            <w:tcW w:w="523" w:type="pct"/>
            <w:vAlign w:val="center"/>
          </w:tcPr>
          <w:p w14:paraId="5C3C455B" w14:textId="5D03C2BD"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C97118" w:rsidRPr="00C97118">
              <w:rPr>
                <w:rFonts w:ascii="Arial Narrow" w:hAnsi="Arial Narrow" w:cs="Times New Roman"/>
                <w:bCs/>
                <w:sz w:val="18"/>
                <w:szCs w:val="18"/>
                <w:vertAlign w:val="superscript"/>
                <w:lang w:eastAsia="en-GB"/>
              </w:rPr>
              <w:t>9</w:t>
            </w:r>
          </w:p>
        </w:tc>
        <w:tc>
          <w:tcPr>
            <w:tcW w:w="596" w:type="pct"/>
            <w:vAlign w:val="center"/>
          </w:tcPr>
          <w:p w14:paraId="0F3DA581" w14:textId="23E6B5DC" w:rsidR="009406C2" w:rsidRPr="00C97118"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C97118">
              <w:rPr>
                <w:rFonts w:ascii="Arial Narrow" w:hAnsi="Arial Narrow" w:cs="Times New Roman"/>
                <w:bCs/>
                <w:sz w:val="18"/>
                <w:szCs w:val="18"/>
                <w:vertAlign w:val="superscript"/>
                <w:lang w:eastAsia="en-GB"/>
              </w:rPr>
              <w:t>10</w:t>
            </w:r>
          </w:p>
        </w:tc>
      </w:tr>
      <w:tr w:rsidR="009406C2" w:rsidRPr="004D2F9F" w14:paraId="04B560F8" w14:textId="77777777" w:rsidTr="00A73D2F">
        <w:trPr>
          <w:trHeight w:val="20"/>
        </w:trPr>
        <w:tc>
          <w:tcPr>
            <w:tcW w:w="5000" w:type="pct"/>
            <w:gridSpan w:val="8"/>
            <w:vAlign w:val="center"/>
          </w:tcPr>
          <w:p w14:paraId="4C2A1005" w14:textId="77777777" w:rsidR="009406C2" w:rsidRPr="004D2F9F" w:rsidRDefault="009406C2" w:rsidP="002A750F">
            <w:pPr>
              <w:keepNext/>
              <w:widowControl w:val="0"/>
              <w:tabs>
                <w:tab w:val="right" w:pos="2058"/>
              </w:tabs>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 xml:space="preserve">Estimated change in use of other medicines (IV, VO) </w:t>
            </w:r>
          </w:p>
        </w:tc>
      </w:tr>
      <w:tr w:rsidR="00FD1EB0" w:rsidRPr="004D2F9F" w14:paraId="220E04A3" w14:textId="77777777" w:rsidTr="00A73D2F">
        <w:trPr>
          <w:trHeight w:val="20"/>
        </w:trPr>
        <w:tc>
          <w:tcPr>
            <w:tcW w:w="1045" w:type="pct"/>
            <w:vAlign w:val="center"/>
          </w:tcPr>
          <w:p w14:paraId="3D55B2B5"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 xml:space="preserve">Number of V (VO) scripts </w:t>
            </w:r>
          </w:p>
        </w:tc>
        <w:tc>
          <w:tcPr>
            <w:tcW w:w="597" w:type="pct"/>
            <w:vAlign w:val="center"/>
          </w:tcPr>
          <w:p w14:paraId="1BB58E77" w14:textId="556F21F6"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60" w:type="pct"/>
            <w:vAlign w:val="center"/>
          </w:tcPr>
          <w:p w14:paraId="1F27345D" w14:textId="1CD7DC53"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48" w:type="pct"/>
            <w:vAlign w:val="center"/>
          </w:tcPr>
          <w:p w14:paraId="3E10920D" w14:textId="5668D943"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32" w:type="pct"/>
            <w:vAlign w:val="center"/>
          </w:tcPr>
          <w:p w14:paraId="1CBFD464" w14:textId="005F2467"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9" w:type="pct"/>
            <w:vAlign w:val="center"/>
          </w:tcPr>
          <w:p w14:paraId="0643C7BD" w14:textId="06CEB474"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23" w:type="pct"/>
            <w:vAlign w:val="center"/>
          </w:tcPr>
          <w:p w14:paraId="7152551B" w14:textId="2BAA30B6"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6" w:type="pct"/>
            <w:vAlign w:val="center"/>
          </w:tcPr>
          <w:p w14:paraId="7E97D687" w14:textId="26CE30F6"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Pr>
                <w:rFonts w:ascii="Arial Narrow" w:hAnsi="Arial Narrow" w:cs="Times New Roman"/>
                <w:bCs/>
                <w:sz w:val="18"/>
                <w:szCs w:val="18"/>
                <w:vertAlign w:val="superscript"/>
                <w:lang w:eastAsia="en-GB"/>
              </w:rPr>
              <w:t>3</w:t>
            </w:r>
          </w:p>
        </w:tc>
      </w:tr>
      <w:tr w:rsidR="00FD1EB0" w:rsidRPr="004D2F9F" w14:paraId="29C1BE80" w14:textId="77777777" w:rsidTr="00A73D2F">
        <w:trPr>
          <w:trHeight w:val="20"/>
        </w:trPr>
        <w:tc>
          <w:tcPr>
            <w:tcW w:w="1045" w:type="pct"/>
            <w:vAlign w:val="center"/>
          </w:tcPr>
          <w:p w14:paraId="0ED4A3FB"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Number of O (VO) scripts</w:t>
            </w:r>
          </w:p>
        </w:tc>
        <w:tc>
          <w:tcPr>
            <w:tcW w:w="597" w:type="pct"/>
            <w:vAlign w:val="center"/>
          </w:tcPr>
          <w:p w14:paraId="0EA38198" w14:textId="5A4C5FD8"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60" w:type="pct"/>
            <w:vAlign w:val="center"/>
          </w:tcPr>
          <w:p w14:paraId="31AF5A8B" w14:textId="5C8A795E"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48" w:type="pct"/>
            <w:vAlign w:val="center"/>
          </w:tcPr>
          <w:p w14:paraId="2F31546C" w14:textId="1EE54B30"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32" w:type="pct"/>
            <w:vAlign w:val="center"/>
          </w:tcPr>
          <w:p w14:paraId="1280897B" w14:textId="6697036F"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9" w:type="pct"/>
            <w:vAlign w:val="center"/>
          </w:tcPr>
          <w:p w14:paraId="6826E9C8" w14:textId="1EEAA20C"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23" w:type="pct"/>
            <w:vAlign w:val="center"/>
          </w:tcPr>
          <w:p w14:paraId="37E37D0A" w14:textId="78F8008B"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6" w:type="pct"/>
            <w:vAlign w:val="center"/>
          </w:tcPr>
          <w:p w14:paraId="2D40CB3D" w14:textId="0C3A8474"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A73D2F" w:rsidRPr="004D2F9F">
              <w:rPr>
                <w:rFonts w:ascii="Arial Narrow" w:hAnsi="Arial Narrow" w:cs="Times New Roman"/>
                <w:bCs/>
                <w:sz w:val="18"/>
                <w:szCs w:val="18"/>
                <w:vertAlign w:val="superscript"/>
                <w:lang w:eastAsia="en-GB"/>
              </w:rPr>
              <w:t>1</w:t>
            </w:r>
          </w:p>
        </w:tc>
      </w:tr>
      <w:tr w:rsidR="00FD1EB0" w:rsidRPr="004D2F9F" w14:paraId="461B9742" w14:textId="77777777" w:rsidTr="00A73D2F">
        <w:trPr>
          <w:trHeight w:val="20"/>
        </w:trPr>
        <w:tc>
          <w:tcPr>
            <w:tcW w:w="1045" w:type="pct"/>
            <w:vAlign w:val="center"/>
          </w:tcPr>
          <w:p w14:paraId="08B5F817"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 xml:space="preserve">Number of I (IV) scripts </w:t>
            </w:r>
          </w:p>
        </w:tc>
        <w:tc>
          <w:tcPr>
            <w:tcW w:w="597" w:type="pct"/>
            <w:vAlign w:val="center"/>
          </w:tcPr>
          <w:p w14:paraId="47FB37B0" w14:textId="367E9999"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60" w:type="pct"/>
            <w:vAlign w:val="center"/>
          </w:tcPr>
          <w:p w14:paraId="0B9430A9" w14:textId="29E83C1D"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48" w:type="pct"/>
            <w:vAlign w:val="center"/>
          </w:tcPr>
          <w:p w14:paraId="4F1B6F14" w14:textId="18CC0FB4"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32" w:type="pct"/>
            <w:vAlign w:val="center"/>
          </w:tcPr>
          <w:p w14:paraId="6A812822" w14:textId="2D367024"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9" w:type="pct"/>
            <w:vAlign w:val="center"/>
          </w:tcPr>
          <w:p w14:paraId="77ED8055" w14:textId="62C68955"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23" w:type="pct"/>
            <w:vAlign w:val="center"/>
          </w:tcPr>
          <w:p w14:paraId="6D6130DE" w14:textId="18680BE3"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6" w:type="pct"/>
            <w:vAlign w:val="center"/>
          </w:tcPr>
          <w:p w14:paraId="449C9562" w14:textId="1CE32208"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A73D2F" w:rsidRPr="004D2F9F">
              <w:rPr>
                <w:rFonts w:ascii="Arial Narrow" w:hAnsi="Arial Narrow" w:cs="Times New Roman"/>
                <w:bCs/>
                <w:sz w:val="18"/>
                <w:szCs w:val="18"/>
                <w:vertAlign w:val="superscript"/>
                <w:lang w:eastAsia="en-GB"/>
              </w:rPr>
              <w:t>1</w:t>
            </w:r>
            <w:r w:rsidR="00A73D2F">
              <w:rPr>
                <w:rFonts w:ascii="Arial Narrow" w:hAnsi="Arial Narrow" w:cs="Times New Roman"/>
                <w:bCs/>
                <w:sz w:val="18"/>
                <w:szCs w:val="18"/>
                <w:vertAlign w:val="superscript"/>
                <w:lang w:eastAsia="en-GB"/>
              </w:rPr>
              <w:t>1</w:t>
            </w:r>
          </w:p>
        </w:tc>
      </w:tr>
      <w:tr w:rsidR="00FD1EB0" w:rsidRPr="004D2F9F" w14:paraId="523AE38E" w14:textId="77777777" w:rsidTr="00A73D2F">
        <w:trPr>
          <w:trHeight w:val="20"/>
        </w:trPr>
        <w:tc>
          <w:tcPr>
            <w:tcW w:w="1045" w:type="pct"/>
            <w:vAlign w:val="center"/>
          </w:tcPr>
          <w:p w14:paraId="2B86A3D5"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Number of V (IV) scripts</w:t>
            </w:r>
          </w:p>
        </w:tc>
        <w:tc>
          <w:tcPr>
            <w:tcW w:w="597" w:type="pct"/>
            <w:vAlign w:val="center"/>
          </w:tcPr>
          <w:p w14:paraId="6747E896" w14:textId="3C5CBA08"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60" w:type="pct"/>
            <w:vAlign w:val="center"/>
          </w:tcPr>
          <w:p w14:paraId="4CB2A3E6" w14:textId="250398DF"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48" w:type="pct"/>
            <w:vAlign w:val="center"/>
          </w:tcPr>
          <w:p w14:paraId="7C468D7C" w14:textId="75332A7D"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32" w:type="pct"/>
            <w:vAlign w:val="center"/>
          </w:tcPr>
          <w:p w14:paraId="39AED392" w14:textId="4C228737"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4679C" w:rsidRPr="004D2F9F">
              <w:rPr>
                <w:rFonts w:ascii="Arial Narrow" w:hAnsi="Arial Narrow" w:cs="Times New Roman"/>
                <w:bCs/>
                <w:sz w:val="18"/>
                <w:szCs w:val="18"/>
                <w:vertAlign w:val="superscript"/>
                <w:lang w:eastAsia="en-GB"/>
              </w:rPr>
              <w:t>1</w:t>
            </w:r>
          </w:p>
        </w:tc>
        <w:tc>
          <w:tcPr>
            <w:tcW w:w="599" w:type="pct"/>
            <w:vAlign w:val="center"/>
          </w:tcPr>
          <w:p w14:paraId="02F755E5" w14:textId="520870DD"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A73D2F" w:rsidRPr="004D2F9F">
              <w:rPr>
                <w:rFonts w:ascii="Arial Narrow" w:hAnsi="Arial Narrow" w:cs="Times New Roman"/>
                <w:bCs/>
                <w:sz w:val="18"/>
                <w:szCs w:val="18"/>
                <w:vertAlign w:val="superscript"/>
                <w:lang w:eastAsia="en-GB"/>
              </w:rPr>
              <w:t>1</w:t>
            </w:r>
          </w:p>
        </w:tc>
        <w:tc>
          <w:tcPr>
            <w:tcW w:w="523" w:type="pct"/>
            <w:vAlign w:val="center"/>
          </w:tcPr>
          <w:p w14:paraId="65A6DB1A" w14:textId="770FCFAA"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A73D2F" w:rsidRPr="004D2F9F">
              <w:rPr>
                <w:rFonts w:ascii="Arial Narrow" w:hAnsi="Arial Narrow" w:cs="Times New Roman"/>
                <w:bCs/>
                <w:sz w:val="18"/>
                <w:szCs w:val="18"/>
                <w:vertAlign w:val="superscript"/>
                <w:lang w:eastAsia="en-GB"/>
              </w:rPr>
              <w:t>1</w:t>
            </w:r>
          </w:p>
        </w:tc>
        <w:tc>
          <w:tcPr>
            <w:tcW w:w="596" w:type="pct"/>
            <w:vAlign w:val="center"/>
          </w:tcPr>
          <w:p w14:paraId="4D305508" w14:textId="47A8BC51" w:rsidR="009406C2" w:rsidRPr="00E4679C"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A73D2F" w:rsidRPr="004D2F9F">
              <w:rPr>
                <w:rFonts w:ascii="Arial Narrow" w:hAnsi="Arial Narrow" w:cs="Times New Roman"/>
                <w:bCs/>
                <w:sz w:val="18"/>
                <w:szCs w:val="18"/>
                <w:vertAlign w:val="superscript"/>
                <w:lang w:eastAsia="en-GB"/>
              </w:rPr>
              <w:t>1</w:t>
            </w:r>
            <w:r w:rsidR="00A73D2F">
              <w:rPr>
                <w:rFonts w:ascii="Arial Narrow" w:hAnsi="Arial Narrow" w:cs="Times New Roman"/>
                <w:bCs/>
                <w:sz w:val="18"/>
                <w:szCs w:val="18"/>
                <w:vertAlign w:val="superscript"/>
                <w:lang w:eastAsia="en-GB"/>
              </w:rPr>
              <w:t>1</w:t>
            </w:r>
          </w:p>
        </w:tc>
      </w:tr>
      <w:tr w:rsidR="009406C2" w:rsidRPr="004D2F9F" w14:paraId="6EB7F9B5" w14:textId="77777777" w:rsidTr="00A73D2F">
        <w:trPr>
          <w:trHeight w:val="20"/>
        </w:trPr>
        <w:tc>
          <w:tcPr>
            <w:tcW w:w="5000" w:type="pct"/>
            <w:gridSpan w:val="8"/>
            <w:vAlign w:val="center"/>
          </w:tcPr>
          <w:p w14:paraId="38389BA6" w14:textId="77777777"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
                <w:sz w:val="18"/>
                <w:szCs w:val="18"/>
                <w:lang w:eastAsia="en-GB"/>
              </w:rPr>
              <w:t xml:space="preserve">Cost to PBS/RPBS of other medicines (IV, VO) (less co-payments) </w:t>
            </w:r>
          </w:p>
        </w:tc>
      </w:tr>
      <w:tr w:rsidR="00FD1EB0" w:rsidRPr="004D2F9F" w14:paraId="36ADBF9F" w14:textId="77777777" w:rsidTr="00A73D2F">
        <w:trPr>
          <w:trHeight w:val="20"/>
        </w:trPr>
        <w:tc>
          <w:tcPr>
            <w:tcW w:w="1045" w:type="pct"/>
            <w:vAlign w:val="center"/>
          </w:tcPr>
          <w:p w14:paraId="22F37CC2" w14:textId="5F37EC80" w:rsidR="009406C2" w:rsidRPr="004D2F9F" w:rsidRDefault="009406C2" w:rsidP="002A750F">
            <w:pPr>
              <w:keepNext/>
              <w:widowControl w:val="0"/>
              <w:tabs>
                <w:tab w:val="right" w:pos="2058"/>
              </w:tabs>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Cost-offsets (VO)</w:t>
            </w:r>
            <w:r w:rsidR="00E649B0">
              <w:rPr>
                <w:rFonts w:ascii="Arial Narrow" w:hAnsi="Arial Narrow" w:cs="Times New Roman"/>
                <w:bCs/>
                <w:sz w:val="18"/>
                <w:szCs w:val="18"/>
                <w:lang w:eastAsia="en-GB"/>
              </w:rPr>
              <w:t xml:space="preserve"> (-$)</w:t>
            </w:r>
          </w:p>
        </w:tc>
        <w:tc>
          <w:tcPr>
            <w:tcW w:w="597" w:type="pct"/>
            <w:vAlign w:val="center"/>
          </w:tcPr>
          <w:p w14:paraId="7205D672" w14:textId="42FDA781"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60" w:type="pct"/>
            <w:vAlign w:val="center"/>
          </w:tcPr>
          <w:p w14:paraId="6500C78D" w14:textId="33AC79BA"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48" w:type="pct"/>
            <w:vAlign w:val="center"/>
          </w:tcPr>
          <w:p w14:paraId="69F45B0A" w14:textId="3188760D"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32" w:type="pct"/>
            <w:vAlign w:val="center"/>
          </w:tcPr>
          <w:p w14:paraId="5E558146" w14:textId="4FD65EEE"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99" w:type="pct"/>
            <w:vAlign w:val="center"/>
          </w:tcPr>
          <w:p w14:paraId="114D30D3" w14:textId="46B7FE9B"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23" w:type="pct"/>
            <w:vAlign w:val="center"/>
          </w:tcPr>
          <w:p w14:paraId="5956D2B0" w14:textId="3258A783" w:rsidR="009406C2" w:rsidRPr="00E649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649B0" w:rsidRPr="004D2F9F">
              <w:rPr>
                <w:rFonts w:ascii="Arial Narrow" w:hAnsi="Arial Narrow" w:cs="Times New Roman"/>
                <w:bCs/>
                <w:sz w:val="18"/>
                <w:szCs w:val="18"/>
                <w:vertAlign w:val="superscript"/>
                <w:lang w:eastAsia="en-GB"/>
              </w:rPr>
              <w:t>5</w:t>
            </w:r>
          </w:p>
        </w:tc>
        <w:tc>
          <w:tcPr>
            <w:tcW w:w="596" w:type="pct"/>
            <w:vAlign w:val="center"/>
          </w:tcPr>
          <w:p w14:paraId="72DD8114" w14:textId="588B843D" w:rsidR="009406C2" w:rsidRPr="00E77DB1" w:rsidRDefault="007C5080" w:rsidP="002A750F">
            <w:pPr>
              <w:keepNext/>
              <w:widowControl w:val="0"/>
              <w:tabs>
                <w:tab w:val="right" w:pos="2058"/>
              </w:tabs>
              <w:jc w:val="left"/>
              <w:rPr>
                <w:rFonts w:ascii="Arial Narrow" w:hAnsi="Arial Narrow" w:cs="Times New Roman"/>
                <w:bCs/>
                <w:sz w:val="18"/>
                <w:szCs w:val="18"/>
                <w:vertAlign w:val="superscript"/>
                <w:lang w:eastAsia="en-GB"/>
              </w:rPr>
            </w:pPr>
            <w:r w:rsidRPr="007C5080">
              <w:rPr>
                <w:rFonts w:ascii="Arial Narrow" w:hAnsi="Arial Narrow" w:cs="Times New Roman"/>
                <w:bCs/>
                <w:sz w:val="18"/>
                <w:szCs w:val="18"/>
                <w:highlight w:val="black"/>
                <w:lang w:eastAsia="en-GB"/>
              </w:rPr>
              <w:t>@@@@</w:t>
            </w:r>
            <w:r w:rsidR="00E77DB1">
              <w:rPr>
                <w:rFonts w:ascii="Arial Narrow" w:hAnsi="Arial Narrow" w:cs="Times New Roman"/>
                <w:bCs/>
                <w:sz w:val="18"/>
                <w:szCs w:val="18"/>
                <w:vertAlign w:val="superscript"/>
                <w:lang w:eastAsia="en-GB"/>
              </w:rPr>
              <w:t>1</w:t>
            </w:r>
            <w:r w:rsidR="00A73D2F">
              <w:rPr>
                <w:rFonts w:ascii="Arial Narrow" w:hAnsi="Arial Narrow" w:cs="Times New Roman"/>
                <w:bCs/>
                <w:sz w:val="18"/>
                <w:szCs w:val="18"/>
                <w:vertAlign w:val="superscript"/>
                <w:lang w:eastAsia="en-GB"/>
              </w:rPr>
              <w:t>2</w:t>
            </w:r>
            <w:r w:rsidR="00E77DB1">
              <w:rPr>
                <w:rFonts w:ascii="Arial Narrow" w:hAnsi="Arial Narrow" w:cs="Times New Roman"/>
                <w:bCs/>
                <w:sz w:val="18"/>
                <w:szCs w:val="18"/>
                <w:vertAlign w:val="superscript"/>
                <w:lang w:eastAsia="en-GB"/>
              </w:rPr>
              <w:t>1</w:t>
            </w:r>
          </w:p>
        </w:tc>
      </w:tr>
      <w:tr w:rsidR="00FD1EB0" w:rsidRPr="004D2F9F" w14:paraId="6A3D83D4" w14:textId="77777777" w:rsidTr="00A73D2F">
        <w:trPr>
          <w:trHeight w:val="20"/>
        </w:trPr>
        <w:tc>
          <w:tcPr>
            <w:tcW w:w="1045" w:type="pct"/>
            <w:vAlign w:val="center"/>
          </w:tcPr>
          <w:p w14:paraId="429D0B35" w14:textId="5558F284" w:rsidR="009406C2" w:rsidRPr="004D2F9F" w:rsidRDefault="009406C2" w:rsidP="002A750F">
            <w:pPr>
              <w:widowControl w:val="0"/>
              <w:jc w:val="left"/>
              <w:rPr>
                <w:rFonts w:ascii="Arial Narrow" w:hAnsi="Arial Narrow" w:cs="Times New Roman"/>
                <w:sz w:val="18"/>
                <w:szCs w:val="18"/>
                <w:lang w:eastAsia="en-GB"/>
              </w:rPr>
            </w:pPr>
            <w:r w:rsidRPr="004D2F9F">
              <w:rPr>
                <w:rFonts w:ascii="Arial Narrow" w:hAnsi="Arial Narrow" w:cs="Times New Roman"/>
                <w:bCs/>
                <w:sz w:val="18"/>
                <w:szCs w:val="18"/>
                <w:lang w:eastAsia="en-GB"/>
              </w:rPr>
              <w:t>Cost-offsets (IV)</w:t>
            </w:r>
            <w:r w:rsidR="00E649B0">
              <w:rPr>
                <w:rFonts w:ascii="Arial Narrow" w:hAnsi="Arial Narrow" w:cs="Times New Roman"/>
                <w:bCs/>
                <w:sz w:val="18"/>
                <w:szCs w:val="18"/>
                <w:lang w:eastAsia="en-GB"/>
              </w:rPr>
              <w:t xml:space="preserve"> (-$)</w:t>
            </w:r>
          </w:p>
        </w:tc>
        <w:tc>
          <w:tcPr>
            <w:tcW w:w="597" w:type="pct"/>
            <w:vAlign w:val="center"/>
          </w:tcPr>
          <w:p w14:paraId="1DC3BEEE" w14:textId="3BDE8C15"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77DB1" w:rsidRPr="004D2F9F">
              <w:rPr>
                <w:rFonts w:ascii="Arial Narrow" w:hAnsi="Arial Narrow" w:cs="Times New Roman"/>
                <w:bCs/>
                <w:sz w:val="18"/>
                <w:szCs w:val="18"/>
                <w:vertAlign w:val="superscript"/>
                <w:lang w:eastAsia="en-GB"/>
              </w:rPr>
              <w:t>5</w:t>
            </w:r>
          </w:p>
        </w:tc>
        <w:tc>
          <w:tcPr>
            <w:tcW w:w="560" w:type="pct"/>
            <w:vAlign w:val="center"/>
          </w:tcPr>
          <w:p w14:paraId="79807FA8" w14:textId="0FC6FFF6"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77DB1">
              <w:rPr>
                <w:rFonts w:ascii="Arial Narrow" w:hAnsi="Arial Narrow" w:cs="Times New Roman"/>
                <w:bCs/>
                <w:sz w:val="18"/>
                <w:szCs w:val="18"/>
                <w:vertAlign w:val="superscript"/>
                <w:lang w:eastAsia="en-GB"/>
              </w:rPr>
              <w:t>6</w:t>
            </w:r>
          </w:p>
        </w:tc>
        <w:tc>
          <w:tcPr>
            <w:tcW w:w="548" w:type="pct"/>
            <w:vAlign w:val="center"/>
          </w:tcPr>
          <w:p w14:paraId="51AE5002" w14:textId="69B8CCFA"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E77DB1">
              <w:rPr>
                <w:rFonts w:ascii="Arial Narrow" w:hAnsi="Arial Narrow" w:cs="Times New Roman"/>
                <w:bCs/>
                <w:sz w:val="18"/>
                <w:szCs w:val="18"/>
                <w:vertAlign w:val="superscript"/>
                <w:lang w:eastAsia="en-GB"/>
              </w:rPr>
              <w:t>6</w:t>
            </w:r>
          </w:p>
        </w:tc>
        <w:tc>
          <w:tcPr>
            <w:tcW w:w="532" w:type="pct"/>
            <w:vAlign w:val="center"/>
          </w:tcPr>
          <w:p w14:paraId="27403FDC" w14:textId="1E9320EC"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99" w:type="pct"/>
            <w:vAlign w:val="center"/>
          </w:tcPr>
          <w:p w14:paraId="66DE9A4F" w14:textId="224B8737"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23" w:type="pct"/>
            <w:vAlign w:val="center"/>
          </w:tcPr>
          <w:p w14:paraId="04D2BC2B" w14:textId="7B90EB75"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96" w:type="pct"/>
            <w:vAlign w:val="center"/>
          </w:tcPr>
          <w:p w14:paraId="23896D94" w14:textId="55F8CE04" w:rsidR="009406C2" w:rsidRPr="00E77DB1"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FD1EB0">
              <w:rPr>
                <w:rFonts w:ascii="Arial Narrow" w:hAnsi="Arial Narrow" w:cs="Times New Roman"/>
                <w:bCs/>
                <w:sz w:val="18"/>
                <w:szCs w:val="18"/>
                <w:vertAlign w:val="superscript"/>
                <w:lang w:eastAsia="en-GB"/>
              </w:rPr>
              <w:t>1</w:t>
            </w:r>
            <w:r w:rsidR="00A73D2F">
              <w:rPr>
                <w:rFonts w:ascii="Arial Narrow" w:hAnsi="Arial Narrow" w:cs="Times New Roman"/>
                <w:bCs/>
                <w:sz w:val="18"/>
                <w:szCs w:val="18"/>
                <w:vertAlign w:val="superscript"/>
                <w:lang w:eastAsia="en-GB"/>
              </w:rPr>
              <w:t>3</w:t>
            </w:r>
          </w:p>
        </w:tc>
      </w:tr>
      <w:tr w:rsidR="00FD1EB0" w:rsidRPr="004D2F9F" w14:paraId="39C811CD" w14:textId="77777777" w:rsidTr="00A73D2F">
        <w:trPr>
          <w:trHeight w:val="20"/>
        </w:trPr>
        <w:tc>
          <w:tcPr>
            <w:tcW w:w="1045" w:type="pct"/>
            <w:vAlign w:val="center"/>
          </w:tcPr>
          <w:p w14:paraId="54F75DA4" w14:textId="47B4B882" w:rsidR="009406C2" w:rsidRPr="004D2F9F" w:rsidRDefault="009406C2" w:rsidP="002A750F">
            <w:pPr>
              <w:widowControl w:val="0"/>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Total cost-offsets</w:t>
            </w:r>
            <w:r w:rsidR="00FD1EB0">
              <w:rPr>
                <w:rFonts w:ascii="Arial Narrow" w:hAnsi="Arial Narrow" w:cs="Times New Roman"/>
                <w:bCs/>
                <w:sz w:val="18"/>
                <w:szCs w:val="18"/>
                <w:lang w:eastAsia="en-GB"/>
              </w:rPr>
              <w:t xml:space="preserve"> (-$)</w:t>
            </w:r>
          </w:p>
        </w:tc>
        <w:tc>
          <w:tcPr>
            <w:tcW w:w="597" w:type="pct"/>
            <w:vAlign w:val="center"/>
          </w:tcPr>
          <w:p w14:paraId="30D03F8F" w14:textId="5148B633" w:rsidR="009406C2" w:rsidRPr="004D2F9F" w:rsidRDefault="007C5080" w:rsidP="002A750F">
            <w:pPr>
              <w:keepNext/>
              <w:widowControl w:val="0"/>
              <w:tabs>
                <w:tab w:val="right" w:pos="2058"/>
              </w:tabs>
              <w:jc w:val="left"/>
              <w:rPr>
                <w:rFonts w:ascii="Arial Narrow" w:hAnsi="Arial Narrow" w:cs="Times New Roman"/>
                <w:bCs/>
                <w:sz w:val="18"/>
                <w:szCs w:val="18"/>
                <w:lang w:eastAsia="en-GB"/>
              </w:rPr>
            </w:pPr>
            <w:r w:rsidRPr="007C5080">
              <w:rPr>
                <w:rFonts w:ascii="Arial Narrow" w:hAnsi="Arial Narrow" w:cs="Times New Roman"/>
                <w:bCs/>
                <w:sz w:val="18"/>
                <w:szCs w:val="18"/>
                <w:highlight w:val="black"/>
                <w:lang w:eastAsia="en-GB"/>
              </w:rPr>
              <w:t>@@@@</w:t>
            </w:r>
            <w:r w:rsidR="00FD1EB0">
              <w:rPr>
                <w:rFonts w:ascii="Arial Narrow" w:hAnsi="Arial Narrow" w:cs="Times New Roman"/>
                <w:bCs/>
                <w:sz w:val="18"/>
                <w:szCs w:val="18"/>
                <w:vertAlign w:val="superscript"/>
                <w:lang w:eastAsia="en-GB"/>
              </w:rPr>
              <w:t>6</w:t>
            </w:r>
          </w:p>
        </w:tc>
        <w:tc>
          <w:tcPr>
            <w:tcW w:w="560" w:type="pct"/>
            <w:vAlign w:val="center"/>
          </w:tcPr>
          <w:p w14:paraId="402328C4" w14:textId="4795C9BC"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Pr>
                <w:rFonts w:ascii="Arial Narrow" w:hAnsi="Arial Narrow" w:cs="Times New Roman"/>
                <w:bCs/>
                <w:sz w:val="18"/>
                <w:szCs w:val="18"/>
                <w:vertAlign w:val="superscript"/>
                <w:lang w:eastAsia="en-GB"/>
              </w:rPr>
              <w:t>6</w:t>
            </w:r>
          </w:p>
        </w:tc>
        <w:tc>
          <w:tcPr>
            <w:tcW w:w="548" w:type="pct"/>
            <w:vAlign w:val="center"/>
          </w:tcPr>
          <w:p w14:paraId="1FDFBC8C" w14:textId="4E9E2940"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32" w:type="pct"/>
            <w:vAlign w:val="center"/>
          </w:tcPr>
          <w:p w14:paraId="65511C6D" w14:textId="5F2822BB"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99" w:type="pct"/>
            <w:vAlign w:val="center"/>
          </w:tcPr>
          <w:p w14:paraId="73BC6C11" w14:textId="3FAEB31F"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23" w:type="pct"/>
            <w:vAlign w:val="center"/>
          </w:tcPr>
          <w:p w14:paraId="1E8ACCA7" w14:textId="0D3ECBA9"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sidRPr="00C97118">
              <w:rPr>
                <w:rFonts w:ascii="Arial Narrow" w:hAnsi="Arial Narrow" w:cs="Times New Roman"/>
                <w:bCs/>
                <w:sz w:val="18"/>
                <w:szCs w:val="18"/>
                <w:vertAlign w:val="superscript"/>
                <w:lang w:eastAsia="en-GB"/>
              </w:rPr>
              <w:t>9</w:t>
            </w:r>
          </w:p>
        </w:tc>
        <w:tc>
          <w:tcPr>
            <w:tcW w:w="596" w:type="pct"/>
            <w:vAlign w:val="center"/>
          </w:tcPr>
          <w:p w14:paraId="4DD9DB8A" w14:textId="540ECDAF" w:rsidR="009406C2" w:rsidRPr="00FD1EB0" w:rsidRDefault="007C5080" w:rsidP="002A750F">
            <w:pPr>
              <w:keepNext/>
              <w:widowControl w:val="0"/>
              <w:tabs>
                <w:tab w:val="right" w:pos="2058"/>
              </w:tabs>
              <w:jc w:val="left"/>
              <w:rPr>
                <w:rFonts w:ascii="Arial Narrow" w:hAnsi="Arial Narrow" w:cs="Times New Roman"/>
                <w:bCs/>
                <w:sz w:val="18"/>
                <w:szCs w:val="18"/>
                <w:highlight w:val="darkGray"/>
                <w:lang w:eastAsia="en-GB"/>
              </w:rPr>
            </w:pPr>
            <w:r w:rsidRPr="007C5080">
              <w:rPr>
                <w:rFonts w:ascii="Arial Narrow" w:hAnsi="Arial Narrow" w:cs="Times New Roman"/>
                <w:bCs/>
                <w:sz w:val="18"/>
                <w:szCs w:val="18"/>
                <w:highlight w:val="black"/>
                <w:lang w:eastAsia="en-GB"/>
              </w:rPr>
              <w:t>@@@@</w:t>
            </w:r>
            <w:r w:rsidR="00FD1EB0">
              <w:rPr>
                <w:rFonts w:ascii="Arial Narrow" w:hAnsi="Arial Narrow" w:cs="Times New Roman"/>
                <w:bCs/>
                <w:sz w:val="18"/>
                <w:szCs w:val="18"/>
                <w:vertAlign w:val="superscript"/>
                <w:lang w:eastAsia="en-GB"/>
              </w:rPr>
              <w:t>10</w:t>
            </w:r>
          </w:p>
        </w:tc>
      </w:tr>
      <w:tr w:rsidR="00FD1EB0" w:rsidRPr="004D2F9F" w14:paraId="2946368E" w14:textId="77777777" w:rsidTr="00A73D2F">
        <w:trPr>
          <w:trHeight w:val="20"/>
        </w:trPr>
        <w:tc>
          <w:tcPr>
            <w:tcW w:w="1045" w:type="pct"/>
            <w:vAlign w:val="center"/>
          </w:tcPr>
          <w:p w14:paraId="4B5FC90D" w14:textId="2E7BD13C" w:rsidR="009406C2" w:rsidRPr="004D2F9F" w:rsidRDefault="009406C2" w:rsidP="002A750F">
            <w:pPr>
              <w:widowControl w:val="0"/>
              <w:jc w:val="left"/>
              <w:rPr>
                <w:rFonts w:ascii="Arial Narrow" w:hAnsi="Arial Narrow" w:cs="Times New Roman"/>
                <w:sz w:val="18"/>
                <w:szCs w:val="18"/>
                <w:lang w:eastAsia="en-GB"/>
              </w:rPr>
            </w:pPr>
            <w:r w:rsidRPr="004D2F9F">
              <w:rPr>
                <w:rFonts w:ascii="Arial Narrow" w:hAnsi="Arial Narrow" w:cs="Times New Roman"/>
                <w:b/>
                <w:bCs/>
                <w:sz w:val="18"/>
                <w:szCs w:val="18"/>
                <w:lang w:eastAsia="en-GB"/>
              </w:rPr>
              <w:t>Net cost, PBS/RPBS</w:t>
            </w:r>
            <w:r w:rsidR="009006AF">
              <w:rPr>
                <w:rFonts w:ascii="Arial Narrow" w:hAnsi="Arial Narrow" w:cs="Times New Roman"/>
                <w:b/>
                <w:bCs/>
                <w:sz w:val="18"/>
                <w:szCs w:val="18"/>
                <w:lang w:eastAsia="en-GB"/>
              </w:rPr>
              <w:t xml:space="preserve"> ($)</w:t>
            </w:r>
          </w:p>
        </w:tc>
        <w:tc>
          <w:tcPr>
            <w:tcW w:w="597" w:type="pct"/>
            <w:vAlign w:val="center"/>
          </w:tcPr>
          <w:p w14:paraId="34B0E0EC" w14:textId="250750F5" w:rsidR="009406C2" w:rsidRPr="009006AF" w:rsidRDefault="007C5080" w:rsidP="002A750F">
            <w:pPr>
              <w:keepNext/>
              <w:widowControl w:val="0"/>
              <w:tabs>
                <w:tab w:val="right" w:pos="2058"/>
              </w:tabs>
              <w:jc w:val="left"/>
              <w:rPr>
                <w:rFonts w:ascii="Arial Narrow" w:hAnsi="Arial Narrow" w:cs="Times New Roman"/>
                <w:b/>
                <w:sz w:val="18"/>
                <w:szCs w:val="18"/>
                <w:vertAlign w:val="superscript"/>
                <w:lang w:eastAsia="en-GB"/>
              </w:rPr>
            </w:pPr>
            <w:r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60" w:type="pct"/>
            <w:vAlign w:val="center"/>
          </w:tcPr>
          <w:p w14:paraId="00B1987A" w14:textId="7E3FE873" w:rsidR="009406C2" w:rsidRPr="004D2F9F" w:rsidRDefault="007C5080" w:rsidP="002A750F">
            <w:pPr>
              <w:keepNext/>
              <w:widowControl w:val="0"/>
              <w:tabs>
                <w:tab w:val="right" w:pos="2058"/>
              </w:tabs>
              <w:jc w:val="left"/>
              <w:rPr>
                <w:rFonts w:ascii="Arial Narrow" w:hAnsi="Arial Narrow" w:cs="Times New Roman"/>
                <w:b/>
                <w:sz w:val="18"/>
                <w:szCs w:val="18"/>
                <w:lang w:eastAsia="en-GB"/>
              </w:rPr>
            </w:pPr>
            <w:r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48" w:type="pct"/>
            <w:vAlign w:val="center"/>
          </w:tcPr>
          <w:p w14:paraId="38333286" w14:textId="597339C6" w:rsidR="009406C2" w:rsidRPr="004D2F9F" w:rsidRDefault="007C5080" w:rsidP="002A750F">
            <w:pPr>
              <w:keepNext/>
              <w:widowControl w:val="0"/>
              <w:tabs>
                <w:tab w:val="right" w:pos="2058"/>
              </w:tabs>
              <w:jc w:val="left"/>
              <w:rPr>
                <w:rFonts w:ascii="Arial Narrow" w:hAnsi="Arial Narrow" w:cs="Times New Roman"/>
                <w:b/>
                <w:sz w:val="18"/>
                <w:szCs w:val="18"/>
                <w:lang w:eastAsia="en-GB"/>
              </w:rPr>
            </w:pPr>
            <w:r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32" w:type="pct"/>
            <w:vAlign w:val="center"/>
          </w:tcPr>
          <w:p w14:paraId="1F260CFC" w14:textId="1D54A454" w:rsidR="009406C2" w:rsidRPr="004D2F9F" w:rsidRDefault="009406C2" w:rsidP="002A750F">
            <w:pPr>
              <w:keepNext/>
              <w:widowControl w:val="0"/>
              <w:tabs>
                <w:tab w:val="right" w:pos="2058"/>
              </w:tabs>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w:t>
            </w:r>
            <w:r w:rsidR="007C5080"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99" w:type="pct"/>
            <w:vAlign w:val="center"/>
          </w:tcPr>
          <w:p w14:paraId="11CCD75F" w14:textId="14373128" w:rsidR="009406C2" w:rsidRPr="004D2F9F" w:rsidRDefault="009406C2" w:rsidP="002A750F">
            <w:pPr>
              <w:keepNext/>
              <w:widowControl w:val="0"/>
              <w:tabs>
                <w:tab w:val="right" w:pos="2058"/>
              </w:tabs>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w:t>
            </w:r>
            <w:r w:rsidR="007C5080"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23" w:type="pct"/>
            <w:vAlign w:val="center"/>
          </w:tcPr>
          <w:p w14:paraId="7A6F1759" w14:textId="659AF7D4" w:rsidR="009406C2" w:rsidRPr="004D2F9F" w:rsidRDefault="009406C2" w:rsidP="002A750F">
            <w:pPr>
              <w:keepNext/>
              <w:widowControl w:val="0"/>
              <w:tabs>
                <w:tab w:val="right" w:pos="2058"/>
              </w:tabs>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w:t>
            </w:r>
            <w:r w:rsidR="007C5080"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c>
          <w:tcPr>
            <w:tcW w:w="596" w:type="pct"/>
            <w:vAlign w:val="center"/>
          </w:tcPr>
          <w:p w14:paraId="12DFA83F" w14:textId="121775A6" w:rsidR="009406C2" w:rsidRPr="004D2F9F" w:rsidRDefault="009406C2" w:rsidP="002A750F">
            <w:pPr>
              <w:keepNext/>
              <w:widowControl w:val="0"/>
              <w:tabs>
                <w:tab w:val="right" w:pos="2058"/>
              </w:tabs>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w:t>
            </w:r>
            <w:r w:rsidR="007C5080" w:rsidRPr="007C5080">
              <w:rPr>
                <w:rFonts w:ascii="Arial Narrow" w:hAnsi="Arial Narrow" w:cs="Times New Roman"/>
                <w:b/>
                <w:sz w:val="18"/>
                <w:szCs w:val="18"/>
                <w:highlight w:val="black"/>
                <w:lang w:eastAsia="en-GB"/>
              </w:rPr>
              <w:t>@@@@</w:t>
            </w:r>
            <w:r w:rsidR="00AC3FA6" w:rsidRPr="004D2F9F">
              <w:rPr>
                <w:rFonts w:ascii="Arial Narrow" w:hAnsi="Arial Narrow" w:cs="Times New Roman"/>
                <w:bCs/>
                <w:sz w:val="18"/>
                <w:szCs w:val="18"/>
                <w:vertAlign w:val="superscript"/>
                <w:lang w:eastAsia="en-GB"/>
              </w:rPr>
              <w:t>5</w:t>
            </w:r>
          </w:p>
        </w:tc>
      </w:tr>
      <w:tr w:rsidR="009406C2" w:rsidRPr="004D2F9F" w14:paraId="0C794C07" w14:textId="77777777" w:rsidTr="00A73D2F">
        <w:trPr>
          <w:trHeight w:val="20"/>
        </w:trPr>
        <w:tc>
          <w:tcPr>
            <w:tcW w:w="5000" w:type="pct"/>
            <w:gridSpan w:val="8"/>
            <w:vAlign w:val="center"/>
          </w:tcPr>
          <w:p w14:paraId="05A7ABDF" w14:textId="77777777" w:rsidR="009406C2" w:rsidRPr="004D2F9F" w:rsidRDefault="009406C2" w:rsidP="002A750F">
            <w:pPr>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Cost to MBS</w:t>
            </w:r>
          </w:p>
        </w:tc>
      </w:tr>
      <w:tr w:rsidR="00FD1EB0" w:rsidRPr="004D2F9F" w14:paraId="05838705" w14:textId="77777777" w:rsidTr="00A73D2F">
        <w:trPr>
          <w:trHeight w:val="20"/>
        </w:trPr>
        <w:tc>
          <w:tcPr>
            <w:tcW w:w="1045" w:type="pct"/>
            <w:vAlign w:val="center"/>
            <w:hideMark/>
          </w:tcPr>
          <w:p w14:paraId="24665CFF" w14:textId="76E29560" w:rsidR="009406C2" w:rsidRPr="004D2F9F" w:rsidRDefault="009406C2" w:rsidP="002A750F">
            <w:pPr>
              <w:widowControl w:val="0"/>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Administration of O (VO)</w:t>
            </w:r>
            <w:r w:rsidR="00A73D2F">
              <w:rPr>
                <w:rFonts w:ascii="Arial Narrow" w:hAnsi="Arial Narrow" w:cs="Times New Roman"/>
                <w:bCs/>
                <w:sz w:val="18"/>
                <w:szCs w:val="18"/>
                <w:lang w:eastAsia="en-GB"/>
              </w:rPr>
              <w:t xml:space="preserve"> (-$)</w:t>
            </w:r>
          </w:p>
        </w:tc>
        <w:tc>
          <w:tcPr>
            <w:tcW w:w="597" w:type="pct"/>
            <w:vAlign w:val="center"/>
          </w:tcPr>
          <w:p w14:paraId="060A5BD0" w14:textId="5B8358EE"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60" w:type="pct"/>
            <w:vAlign w:val="center"/>
          </w:tcPr>
          <w:p w14:paraId="5670DE61" w14:textId="2DFD32E2"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48" w:type="pct"/>
            <w:vAlign w:val="center"/>
          </w:tcPr>
          <w:p w14:paraId="43100255" w14:textId="3D35A3D5"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32" w:type="pct"/>
            <w:vAlign w:val="center"/>
          </w:tcPr>
          <w:p w14:paraId="58366193" w14:textId="6613361E"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9" w:type="pct"/>
            <w:vAlign w:val="center"/>
          </w:tcPr>
          <w:p w14:paraId="394A376B" w14:textId="2214BB5A"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23" w:type="pct"/>
            <w:vAlign w:val="center"/>
          </w:tcPr>
          <w:p w14:paraId="6F3CD6BD" w14:textId="6D20A03D"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6" w:type="pct"/>
            <w:vAlign w:val="center"/>
          </w:tcPr>
          <w:p w14:paraId="0C070CD2" w14:textId="5E5E4B00"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r>
      <w:tr w:rsidR="00FD1EB0" w:rsidRPr="004D2F9F" w14:paraId="5DCFC25D" w14:textId="77777777" w:rsidTr="00A73D2F">
        <w:trPr>
          <w:trHeight w:val="20"/>
        </w:trPr>
        <w:tc>
          <w:tcPr>
            <w:tcW w:w="1045" w:type="pct"/>
            <w:vAlign w:val="center"/>
            <w:hideMark/>
          </w:tcPr>
          <w:p w14:paraId="21DF7D2C" w14:textId="6755BD80" w:rsidR="009406C2" w:rsidRPr="004D2F9F" w:rsidRDefault="009406C2" w:rsidP="002A750F">
            <w:pPr>
              <w:widowControl w:val="0"/>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Consultations for O (VO)</w:t>
            </w:r>
            <w:r w:rsidR="00A73D2F">
              <w:rPr>
                <w:rFonts w:ascii="Arial Narrow" w:hAnsi="Arial Narrow" w:cs="Times New Roman"/>
                <w:bCs/>
                <w:sz w:val="18"/>
                <w:szCs w:val="18"/>
                <w:lang w:eastAsia="en-GB"/>
              </w:rPr>
              <w:t xml:space="preserve"> (-$)</w:t>
            </w:r>
          </w:p>
        </w:tc>
        <w:tc>
          <w:tcPr>
            <w:tcW w:w="597" w:type="pct"/>
            <w:vAlign w:val="center"/>
          </w:tcPr>
          <w:p w14:paraId="15D1B6DC" w14:textId="0178A1A7"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60" w:type="pct"/>
            <w:vAlign w:val="center"/>
          </w:tcPr>
          <w:p w14:paraId="2960E067" w14:textId="66470000"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48" w:type="pct"/>
            <w:vAlign w:val="center"/>
          </w:tcPr>
          <w:p w14:paraId="048D9807" w14:textId="14A25711"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32" w:type="pct"/>
            <w:vAlign w:val="center"/>
          </w:tcPr>
          <w:p w14:paraId="470DF865" w14:textId="2D7B1F25"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9" w:type="pct"/>
            <w:vAlign w:val="center"/>
          </w:tcPr>
          <w:p w14:paraId="7DFF08D7" w14:textId="68F39C95"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23" w:type="pct"/>
            <w:vAlign w:val="center"/>
          </w:tcPr>
          <w:p w14:paraId="3C030B41" w14:textId="5AB0505C"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6" w:type="pct"/>
            <w:vAlign w:val="center"/>
          </w:tcPr>
          <w:p w14:paraId="5BD38CDC" w14:textId="7A49426B"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r>
      <w:tr w:rsidR="00FD1EB0" w:rsidRPr="004D2F9F" w14:paraId="05727B81" w14:textId="77777777" w:rsidTr="00A73D2F">
        <w:trPr>
          <w:trHeight w:val="20"/>
        </w:trPr>
        <w:tc>
          <w:tcPr>
            <w:tcW w:w="1045" w:type="pct"/>
            <w:vAlign w:val="center"/>
          </w:tcPr>
          <w:p w14:paraId="06605FF3" w14:textId="2E868001" w:rsidR="009406C2" w:rsidRPr="004D2F9F" w:rsidRDefault="009406C2" w:rsidP="002A750F">
            <w:pPr>
              <w:widowControl w:val="0"/>
              <w:jc w:val="left"/>
              <w:rPr>
                <w:rFonts w:ascii="Arial Narrow" w:hAnsi="Arial Narrow" w:cs="Times New Roman"/>
                <w:bCs/>
                <w:sz w:val="18"/>
                <w:szCs w:val="18"/>
                <w:lang w:eastAsia="en-GB"/>
              </w:rPr>
            </w:pPr>
            <w:r w:rsidRPr="004D2F9F">
              <w:rPr>
                <w:rFonts w:ascii="Arial Narrow" w:hAnsi="Arial Narrow" w:cs="Times New Roman"/>
                <w:bCs/>
                <w:sz w:val="18"/>
                <w:szCs w:val="18"/>
                <w:lang w:eastAsia="en-GB"/>
              </w:rPr>
              <w:t>Net cost to MBS</w:t>
            </w:r>
            <w:r w:rsidR="00A73D2F">
              <w:rPr>
                <w:rFonts w:ascii="Arial Narrow" w:hAnsi="Arial Narrow" w:cs="Times New Roman"/>
                <w:bCs/>
                <w:sz w:val="18"/>
                <w:szCs w:val="18"/>
                <w:lang w:eastAsia="en-GB"/>
              </w:rPr>
              <w:t xml:space="preserve"> (-$)</w:t>
            </w:r>
          </w:p>
        </w:tc>
        <w:tc>
          <w:tcPr>
            <w:tcW w:w="597" w:type="pct"/>
            <w:vAlign w:val="center"/>
          </w:tcPr>
          <w:p w14:paraId="3A4DB1EA" w14:textId="1AB80715"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60" w:type="pct"/>
            <w:vAlign w:val="center"/>
          </w:tcPr>
          <w:p w14:paraId="51AF202B" w14:textId="5E9C6458"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48" w:type="pct"/>
            <w:vAlign w:val="center"/>
          </w:tcPr>
          <w:p w14:paraId="4671FA5F" w14:textId="2E729EE5"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32" w:type="pct"/>
            <w:vAlign w:val="center"/>
          </w:tcPr>
          <w:p w14:paraId="1D9EE5CE" w14:textId="71E3AC59"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9" w:type="pct"/>
            <w:vAlign w:val="center"/>
          </w:tcPr>
          <w:p w14:paraId="73E2DAC3" w14:textId="2DC256BB"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23" w:type="pct"/>
            <w:vAlign w:val="center"/>
          </w:tcPr>
          <w:p w14:paraId="60EF5D41" w14:textId="1984B9E0"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c>
          <w:tcPr>
            <w:tcW w:w="596" w:type="pct"/>
            <w:vAlign w:val="center"/>
          </w:tcPr>
          <w:p w14:paraId="59D96E8A" w14:textId="65D5D241" w:rsidR="009406C2" w:rsidRPr="00A73D2F" w:rsidRDefault="007C5080" w:rsidP="002A750F">
            <w:pPr>
              <w:pStyle w:val="TableText0"/>
              <w:rPr>
                <w:rFonts w:eastAsia="Calibri" w:cs="Times New Roman"/>
                <w:sz w:val="18"/>
                <w:szCs w:val="18"/>
                <w:highlight w:val="darkGray"/>
                <w:lang w:eastAsia="en-GB"/>
              </w:rPr>
            </w:pPr>
            <w:r w:rsidRPr="007C5080">
              <w:rPr>
                <w:rFonts w:eastAsia="Calibri" w:cs="Times New Roman"/>
                <w:sz w:val="18"/>
                <w:szCs w:val="18"/>
                <w:highlight w:val="black"/>
                <w:lang w:eastAsia="en-GB"/>
              </w:rPr>
              <w:t>@@@@</w:t>
            </w:r>
            <w:r w:rsidR="0047325E" w:rsidRPr="004D2F9F">
              <w:rPr>
                <w:rFonts w:cs="Times New Roman"/>
                <w:sz w:val="18"/>
                <w:szCs w:val="18"/>
                <w:vertAlign w:val="superscript"/>
                <w:lang w:eastAsia="en-GB"/>
              </w:rPr>
              <w:t>5</w:t>
            </w:r>
          </w:p>
        </w:tc>
      </w:tr>
      <w:tr w:rsidR="009406C2" w:rsidRPr="004D2F9F" w14:paraId="466DA3FC" w14:textId="77777777" w:rsidTr="00A73D2F">
        <w:trPr>
          <w:trHeight w:val="20"/>
        </w:trPr>
        <w:tc>
          <w:tcPr>
            <w:tcW w:w="5000" w:type="pct"/>
            <w:gridSpan w:val="8"/>
            <w:hideMark/>
          </w:tcPr>
          <w:p w14:paraId="13F8AF66" w14:textId="77777777" w:rsidR="009406C2" w:rsidRPr="004D2F9F" w:rsidRDefault="009406C2" w:rsidP="002A750F">
            <w:pPr>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Net financial implications</w:t>
            </w:r>
          </w:p>
        </w:tc>
      </w:tr>
      <w:tr w:rsidR="00FD1EB0" w:rsidRPr="004D2F9F" w14:paraId="787E66EA" w14:textId="77777777" w:rsidTr="00A73D2F">
        <w:trPr>
          <w:trHeight w:val="20"/>
        </w:trPr>
        <w:tc>
          <w:tcPr>
            <w:tcW w:w="1045" w:type="pct"/>
          </w:tcPr>
          <w:p w14:paraId="7738E2C5" w14:textId="66D66C9C" w:rsidR="009406C2" w:rsidRPr="004D2F9F" w:rsidRDefault="009406C2" w:rsidP="002A750F">
            <w:pPr>
              <w:widowControl w:val="0"/>
              <w:jc w:val="left"/>
              <w:rPr>
                <w:rFonts w:ascii="Arial Narrow" w:hAnsi="Arial Narrow" w:cs="Times New Roman"/>
                <w:b/>
                <w:sz w:val="18"/>
                <w:szCs w:val="18"/>
                <w:lang w:eastAsia="en-GB"/>
              </w:rPr>
            </w:pPr>
            <w:r w:rsidRPr="004D2F9F">
              <w:rPr>
                <w:rFonts w:ascii="Arial Narrow" w:hAnsi="Arial Narrow" w:cs="Times New Roman"/>
                <w:b/>
                <w:sz w:val="18"/>
                <w:szCs w:val="18"/>
                <w:lang w:eastAsia="en-GB"/>
              </w:rPr>
              <w:t>Net cost, PBS/RPBS/MBS</w:t>
            </w:r>
            <w:r w:rsidR="000A7712">
              <w:rPr>
                <w:rFonts w:ascii="Arial Narrow" w:hAnsi="Arial Narrow" w:cs="Times New Roman"/>
                <w:b/>
                <w:sz w:val="18"/>
                <w:szCs w:val="18"/>
                <w:lang w:eastAsia="en-GB"/>
              </w:rPr>
              <w:t xml:space="preserve"> ($)</w:t>
            </w:r>
          </w:p>
        </w:tc>
        <w:tc>
          <w:tcPr>
            <w:tcW w:w="597" w:type="pct"/>
            <w:vAlign w:val="center"/>
          </w:tcPr>
          <w:p w14:paraId="5C6092CE" w14:textId="4D71FC40" w:rsidR="009406C2" w:rsidRPr="000B4535" w:rsidRDefault="007C5080" w:rsidP="002A750F">
            <w:pPr>
              <w:pStyle w:val="TableText0"/>
              <w:rPr>
                <w:rFonts w:eastAsia="Calibri" w:cs="Times New Roman"/>
                <w:b/>
                <w:bCs w:val="0"/>
                <w:sz w:val="18"/>
                <w:szCs w:val="18"/>
                <w:highlight w:val="darkGray"/>
                <w:lang w:eastAsia="en-GB"/>
              </w:rPr>
            </w:pPr>
            <w:r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60" w:type="pct"/>
            <w:vAlign w:val="center"/>
          </w:tcPr>
          <w:p w14:paraId="7FECD0C2" w14:textId="4001131B" w:rsidR="009406C2" w:rsidRPr="000B4535" w:rsidRDefault="007C5080" w:rsidP="002A750F">
            <w:pPr>
              <w:pStyle w:val="TableText0"/>
              <w:rPr>
                <w:rFonts w:eastAsia="Calibri" w:cs="Times New Roman"/>
                <w:b/>
                <w:bCs w:val="0"/>
                <w:sz w:val="18"/>
                <w:szCs w:val="18"/>
                <w:highlight w:val="darkGray"/>
                <w:lang w:eastAsia="en-GB"/>
              </w:rPr>
            </w:pPr>
            <w:r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48" w:type="pct"/>
            <w:vAlign w:val="center"/>
          </w:tcPr>
          <w:p w14:paraId="3B11A035" w14:textId="2B5C6B85" w:rsidR="009406C2" w:rsidRPr="004D2F9F" w:rsidRDefault="009406C2" w:rsidP="002A750F">
            <w:pPr>
              <w:pStyle w:val="TableText0"/>
              <w:rPr>
                <w:rFonts w:eastAsia="Calibri" w:cs="Times New Roman"/>
                <w:b/>
                <w:bCs w:val="0"/>
                <w:sz w:val="18"/>
                <w:szCs w:val="18"/>
                <w:lang w:eastAsia="en-GB"/>
              </w:rPr>
            </w:pPr>
            <w:r w:rsidRPr="004D2F9F">
              <w:rPr>
                <w:rFonts w:eastAsia="Calibri" w:cs="Times New Roman"/>
                <w:b/>
                <w:bCs w:val="0"/>
                <w:sz w:val="18"/>
                <w:szCs w:val="18"/>
                <w:lang w:eastAsia="en-GB"/>
              </w:rPr>
              <w:t>-</w:t>
            </w:r>
            <w:r w:rsidR="007C5080"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32" w:type="pct"/>
            <w:vAlign w:val="center"/>
          </w:tcPr>
          <w:p w14:paraId="2E3BE34D" w14:textId="6EECDEB1" w:rsidR="009406C2" w:rsidRPr="004D2F9F" w:rsidRDefault="009406C2" w:rsidP="002A750F">
            <w:pPr>
              <w:pStyle w:val="TableText0"/>
              <w:rPr>
                <w:rFonts w:eastAsia="Calibri" w:cs="Times New Roman"/>
                <w:b/>
                <w:bCs w:val="0"/>
                <w:sz w:val="18"/>
                <w:szCs w:val="18"/>
                <w:lang w:eastAsia="en-GB"/>
              </w:rPr>
            </w:pPr>
            <w:r w:rsidRPr="004D2F9F">
              <w:rPr>
                <w:rFonts w:eastAsia="Calibri" w:cs="Times New Roman"/>
                <w:b/>
                <w:bCs w:val="0"/>
                <w:sz w:val="18"/>
                <w:szCs w:val="18"/>
                <w:lang w:eastAsia="en-GB"/>
              </w:rPr>
              <w:t>-</w:t>
            </w:r>
            <w:r w:rsidR="007C5080"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99" w:type="pct"/>
            <w:vAlign w:val="center"/>
          </w:tcPr>
          <w:p w14:paraId="4A8BD6D7" w14:textId="6F9C4A0E" w:rsidR="009406C2" w:rsidRPr="004D2F9F" w:rsidRDefault="009406C2" w:rsidP="002A750F">
            <w:pPr>
              <w:pStyle w:val="TableText0"/>
              <w:rPr>
                <w:rFonts w:eastAsia="Calibri" w:cs="Times New Roman"/>
                <w:b/>
                <w:bCs w:val="0"/>
                <w:sz w:val="18"/>
                <w:szCs w:val="18"/>
                <w:lang w:eastAsia="en-GB"/>
              </w:rPr>
            </w:pPr>
            <w:r w:rsidRPr="004D2F9F">
              <w:rPr>
                <w:rFonts w:eastAsia="Calibri" w:cs="Times New Roman"/>
                <w:b/>
                <w:bCs w:val="0"/>
                <w:sz w:val="18"/>
                <w:szCs w:val="18"/>
                <w:lang w:eastAsia="en-GB"/>
              </w:rPr>
              <w:t>-</w:t>
            </w:r>
            <w:r w:rsidR="007C5080"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23" w:type="pct"/>
            <w:vAlign w:val="center"/>
          </w:tcPr>
          <w:p w14:paraId="71BDD616" w14:textId="649CDA7E" w:rsidR="009406C2" w:rsidRPr="004D2F9F" w:rsidRDefault="009406C2" w:rsidP="002A750F">
            <w:pPr>
              <w:pStyle w:val="TableText0"/>
              <w:rPr>
                <w:rFonts w:eastAsia="Calibri" w:cs="Times New Roman"/>
                <w:b/>
                <w:bCs w:val="0"/>
                <w:sz w:val="18"/>
                <w:szCs w:val="18"/>
                <w:lang w:eastAsia="en-GB"/>
              </w:rPr>
            </w:pPr>
            <w:r w:rsidRPr="004D2F9F">
              <w:rPr>
                <w:rFonts w:eastAsia="Calibri" w:cs="Times New Roman"/>
                <w:b/>
                <w:bCs w:val="0"/>
                <w:sz w:val="18"/>
                <w:szCs w:val="18"/>
                <w:lang w:eastAsia="en-GB"/>
              </w:rPr>
              <w:t>-</w:t>
            </w:r>
            <w:r w:rsidR="007C5080"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c>
          <w:tcPr>
            <w:tcW w:w="596" w:type="pct"/>
            <w:vAlign w:val="center"/>
          </w:tcPr>
          <w:p w14:paraId="1ACAFDFC" w14:textId="1EF38149" w:rsidR="009406C2" w:rsidRPr="004D2F9F" w:rsidRDefault="009406C2" w:rsidP="002A750F">
            <w:pPr>
              <w:pStyle w:val="TableText0"/>
              <w:rPr>
                <w:rFonts w:eastAsia="Calibri" w:cs="Times New Roman"/>
                <w:b/>
                <w:bCs w:val="0"/>
                <w:sz w:val="18"/>
                <w:szCs w:val="18"/>
                <w:lang w:eastAsia="en-GB"/>
              </w:rPr>
            </w:pPr>
            <w:r w:rsidRPr="004D2F9F">
              <w:rPr>
                <w:rFonts w:eastAsia="Calibri" w:cs="Times New Roman"/>
                <w:b/>
                <w:bCs w:val="0"/>
                <w:sz w:val="18"/>
                <w:szCs w:val="18"/>
                <w:lang w:eastAsia="en-GB"/>
              </w:rPr>
              <w:t>-</w:t>
            </w:r>
            <w:r w:rsidR="007C5080" w:rsidRPr="007C5080">
              <w:rPr>
                <w:rFonts w:eastAsia="Calibri" w:cs="Times New Roman"/>
                <w:b/>
                <w:bCs w:val="0"/>
                <w:sz w:val="18"/>
                <w:szCs w:val="18"/>
                <w:highlight w:val="black"/>
                <w:lang w:eastAsia="en-GB"/>
              </w:rPr>
              <w:t>@@@@</w:t>
            </w:r>
            <w:r w:rsidR="00AC3FA6" w:rsidRPr="004D2F9F">
              <w:rPr>
                <w:rFonts w:cs="Times New Roman"/>
                <w:sz w:val="18"/>
                <w:szCs w:val="18"/>
                <w:vertAlign w:val="superscript"/>
                <w:lang w:eastAsia="en-GB"/>
              </w:rPr>
              <w:t>5</w:t>
            </w:r>
          </w:p>
        </w:tc>
      </w:tr>
    </w:tbl>
    <w:p w14:paraId="243F0BF5" w14:textId="77777777" w:rsidR="009406C2" w:rsidRPr="00A55C25" w:rsidRDefault="009406C2" w:rsidP="009406C2">
      <w:pPr>
        <w:pStyle w:val="TableFigureFooter"/>
        <w:rPr>
          <w:rStyle w:val="CommentReference"/>
          <w:b w:val="0"/>
          <w:sz w:val="18"/>
          <w:szCs w:val="18"/>
        </w:rPr>
      </w:pPr>
      <w:r w:rsidRPr="00A55C25">
        <w:rPr>
          <w:rStyle w:val="CommentReference"/>
          <w:b w:val="0"/>
          <w:sz w:val="18"/>
          <w:szCs w:val="18"/>
        </w:rPr>
        <w:t>Source: Table 4-12, p149, Table 4-15, p152, Table 4-16, p153, Table 4-17, p154, Table 4-18, p154, Table 4-19, p155, Table 4-23, p159, Table 4-25, p161, Table 4-27, p163, Table 4-29, p164, Table 4-31, p165, and Table 4-33, p166 of the submission.</w:t>
      </w:r>
    </w:p>
    <w:p w14:paraId="54C66E1F" w14:textId="77777777" w:rsidR="00566332" w:rsidRDefault="009406C2" w:rsidP="00B90588">
      <w:pPr>
        <w:pStyle w:val="TableFigureFooter"/>
        <w:rPr>
          <w:rStyle w:val="CommentReference"/>
          <w:b w:val="0"/>
          <w:i/>
          <w:iCs/>
          <w:sz w:val="18"/>
          <w:szCs w:val="18"/>
          <w:vertAlign w:val="superscript"/>
        </w:rPr>
      </w:pPr>
      <w:r w:rsidRPr="00A55C25">
        <w:rPr>
          <w:rStyle w:val="CommentReference"/>
          <w:b w:val="0"/>
          <w:sz w:val="18"/>
          <w:szCs w:val="18"/>
        </w:rPr>
        <w:t>A=acalabrutinib; AV=</w:t>
      </w:r>
      <w:proofErr w:type="spellStart"/>
      <w:r w:rsidRPr="00A55C25">
        <w:rPr>
          <w:rStyle w:val="CommentReference"/>
          <w:b w:val="0"/>
          <w:sz w:val="18"/>
          <w:szCs w:val="18"/>
        </w:rPr>
        <w:t>acalabrutinib+venetoclax</w:t>
      </w:r>
      <w:proofErr w:type="spellEnd"/>
      <w:r w:rsidRPr="00A55C25">
        <w:rPr>
          <w:rStyle w:val="CommentReference"/>
          <w:b w:val="0"/>
          <w:sz w:val="18"/>
          <w:szCs w:val="18"/>
        </w:rPr>
        <w:t>; I=ibrutinib; IV=</w:t>
      </w:r>
      <w:proofErr w:type="spellStart"/>
      <w:r w:rsidRPr="00A55C25">
        <w:rPr>
          <w:rStyle w:val="CommentReference"/>
          <w:b w:val="0"/>
          <w:sz w:val="18"/>
          <w:szCs w:val="18"/>
        </w:rPr>
        <w:t>ibrutinib+venetoclax</w:t>
      </w:r>
      <w:proofErr w:type="spellEnd"/>
      <w:r w:rsidRPr="00A55C25">
        <w:rPr>
          <w:rStyle w:val="CommentReference"/>
          <w:b w:val="0"/>
          <w:sz w:val="18"/>
          <w:szCs w:val="18"/>
        </w:rPr>
        <w:t>; MBS=Medicare Benefits Schedule; O=obinutuzumab; PBS=Pharmaceutical Benefits Scheme; RPBS=Repatriation Pharmaceutical Benefits Scheme; V=venetoclax; VO=</w:t>
      </w:r>
      <w:proofErr w:type="spellStart"/>
      <w:r w:rsidRPr="00A55C25">
        <w:rPr>
          <w:rStyle w:val="CommentReference"/>
          <w:b w:val="0"/>
          <w:sz w:val="18"/>
          <w:szCs w:val="18"/>
        </w:rPr>
        <w:t>venetoclax+obinutuzumab</w:t>
      </w:r>
      <w:proofErr w:type="spellEnd"/>
      <w:r w:rsidRPr="00A55C25">
        <w:rPr>
          <w:rStyle w:val="CommentReference"/>
          <w:b w:val="0"/>
          <w:sz w:val="18"/>
          <w:szCs w:val="18"/>
        </w:rPr>
        <w:t>.</w:t>
      </w:r>
      <w:r w:rsidR="00686FCF">
        <w:rPr>
          <w:rStyle w:val="CommentReference"/>
          <w:b w:val="0"/>
          <w:sz w:val="18"/>
          <w:szCs w:val="18"/>
        </w:rPr>
        <w:br/>
      </w:r>
      <w:r w:rsidR="00B90588">
        <w:rPr>
          <w:rStyle w:val="CommentReference"/>
          <w:b w:val="0"/>
          <w:i/>
          <w:iCs/>
          <w:sz w:val="18"/>
          <w:szCs w:val="18"/>
        </w:rPr>
        <w:t>The redacted values correspond to the following values:</w:t>
      </w:r>
      <w:r w:rsidR="00B90588">
        <w:rPr>
          <w:rStyle w:val="CommentReference"/>
          <w:b w:val="0"/>
          <w:i/>
          <w:iCs/>
          <w:sz w:val="18"/>
          <w:szCs w:val="18"/>
        </w:rPr>
        <w:br/>
      </w:r>
      <w:r w:rsidR="00B90588">
        <w:rPr>
          <w:rStyle w:val="CommentReference"/>
          <w:b w:val="0"/>
          <w:i/>
          <w:iCs/>
          <w:sz w:val="18"/>
          <w:szCs w:val="18"/>
          <w:vertAlign w:val="superscript"/>
        </w:rPr>
        <w:t>1</w:t>
      </w:r>
      <w:r w:rsidR="00B90588" w:rsidRPr="0057724A">
        <w:rPr>
          <w:rStyle w:val="CommentReference"/>
          <w:b w:val="0"/>
          <w:i/>
          <w:iCs/>
          <w:sz w:val="18"/>
          <w:szCs w:val="18"/>
        </w:rPr>
        <w:t xml:space="preserve"> </w:t>
      </w:r>
      <w:r w:rsidR="0057724A" w:rsidRPr="0057724A">
        <w:rPr>
          <w:i/>
          <w:iCs/>
        </w:rPr>
        <w:t>500 to &lt; 5,000</w:t>
      </w:r>
      <w:r w:rsidR="0057724A">
        <w:rPr>
          <w:i/>
          <w:iCs/>
        </w:rPr>
        <w:br/>
      </w:r>
      <w:r w:rsidR="0057724A">
        <w:rPr>
          <w:rStyle w:val="CommentReference"/>
          <w:b w:val="0"/>
          <w:i/>
          <w:iCs/>
          <w:sz w:val="18"/>
          <w:szCs w:val="18"/>
          <w:vertAlign w:val="superscript"/>
        </w:rPr>
        <w:t xml:space="preserve">2 </w:t>
      </w:r>
      <w:r w:rsidR="0057724A">
        <w:rPr>
          <w:i/>
          <w:iCs/>
        </w:rPr>
        <w:t>20,000 to &lt; 30,000</w:t>
      </w:r>
    </w:p>
    <w:p w14:paraId="7BDAE607" w14:textId="505716B2" w:rsidR="00A73D2F" w:rsidRDefault="0057724A" w:rsidP="00B90588">
      <w:pPr>
        <w:pStyle w:val="TableFigureFooter"/>
        <w:rPr>
          <w:rFonts w:cs="Times New Roman"/>
          <w:bCs w:val="0"/>
          <w:i/>
          <w:iCs/>
          <w:lang w:eastAsia="en-GB"/>
        </w:rPr>
      </w:pPr>
      <w:r>
        <w:rPr>
          <w:rStyle w:val="CommentReference"/>
          <w:b w:val="0"/>
          <w:i/>
          <w:iCs/>
          <w:sz w:val="18"/>
          <w:szCs w:val="18"/>
          <w:vertAlign w:val="superscript"/>
        </w:rPr>
        <w:t>3</w:t>
      </w:r>
      <w:r w:rsidR="00566332">
        <w:rPr>
          <w:rStyle w:val="CommentReference"/>
          <w:b w:val="0"/>
          <w:i/>
          <w:iCs/>
          <w:sz w:val="18"/>
          <w:szCs w:val="18"/>
          <w:vertAlign w:val="superscript"/>
        </w:rPr>
        <w:t xml:space="preserve"> </w:t>
      </w:r>
      <w:r>
        <w:rPr>
          <w:i/>
          <w:iCs/>
        </w:rPr>
        <w:t>5,0</w:t>
      </w:r>
      <w:r w:rsidR="00566332">
        <w:rPr>
          <w:i/>
          <w:iCs/>
        </w:rPr>
        <w:t>00</w:t>
      </w:r>
      <w:r w:rsidR="00AC3CE8">
        <w:rPr>
          <w:i/>
          <w:iCs/>
        </w:rPr>
        <w:t xml:space="preserve"> to &lt; 10,000</w:t>
      </w:r>
      <w:r w:rsidR="00AC3CE8">
        <w:rPr>
          <w:i/>
          <w:iCs/>
        </w:rPr>
        <w:br/>
      </w:r>
      <w:r w:rsidR="00AC3CE8">
        <w:rPr>
          <w:i/>
          <w:iCs/>
          <w:vertAlign w:val="superscript"/>
        </w:rPr>
        <w:t>4</w:t>
      </w:r>
      <w:r w:rsidR="00AC3CE8">
        <w:rPr>
          <w:i/>
          <w:iCs/>
        </w:rPr>
        <w:t xml:space="preserve"> </w:t>
      </w:r>
      <w:r w:rsidR="00961BE3" w:rsidRPr="00961BE3">
        <w:rPr>
          <w:i/>
          <w:iCs/>
        </w:rPr>
        <w:t>40,000 to &lt; 50,000</w:t>
      </w:r>
      <w:r w:rsidR="00961BE3">
        <w:rPr>
          <w:i/>
          <w:iCs/>
        </w:rPr>
        <w:br/>
      </w:r>
      <w:r w:rsidR="00C41025" w:rsidRPr="00C41025">
        <w:rPr>
          <w:rFonts w:cs="Times New Roman"/>
          <w:bCs w:val="0"/>
          <w:vertAlign w:val="superscript"/>
          <w:lang w:eastAsia="en-GB"/>
        </w:rPr>
        <w:t xml:space="preserve">5 </w:t>
      </w:r>
      <w:r w:rsidR="00C41025" w:rsidRPr="00C41025">
        <w:rPr>
          <w:rFonts w:cs="Times New Roman"/>
          <w:bCs w:val="0"/>
          <w:i/>
          <w:iCs/>
          <w:lang w:eastAsia="en-GB"/>
        </w:rPr>
        <w:t>$0 to &lt; $10 million</w:t>
      </w:r>
      <w:r w:rsidR="00C41025">
        <w:rPr>
          <w:rFonts w:cs="Times New Roman"/>
          <w:bCs w:val="0"/>
          <w:i/>
          <w:iCs/>
          <w:lang w:eastAsia="en-GB"/>
        </w:rPr>
        <w:br/>
      </w:r>
      <w:r w:rsidR="004D2F9F" w:rsidRPr="004D2F9F">
        <w:rPr>
          <w:i/>
          <w:iCs/>
          <w:vertAlign w:val="superscript"/>
        </w:rPr>
        <w:t xml:space="preserve">6 </w:t>
      </w:r>
      <w:r w:rsidR="004D2F9F" w:rsidRPr="004D2F9F">
        <w:rPr>
          <w:i/>
          <w:iCs/>
        </w:rPr>
        <w:t>$10 million to &lt; $20 million</w:t>
      </w:r>
      <w:r w:rsidR="004D2F9F">
        <w:rPr>
          <w:i/>
          <w:iCs/>
        </w:rPr>
        <w:br/>
      </w:r>
      <w:r w:rsidR="004D2F9F">
        <w:rPr>
          <w:i/>
          <w:iCs/>
          <w:vertAlign w:val="superscript"/>
        </w:rPr>
        <w:t>7</w:t>
      </w:r>
      <w:r w:rsidR="004D2F9F">
        <w:rPr>
          <w:i/>
          <w:iCs/>
        </w:rPr>
        <w:t xml:space="preserve"> $60 million to &lt; $70 million</w:t>
      </w:r>
      <w:r w:rsidR="003B1382">
        <w:rPr>
          <w:i/>
          <w:iCs/>
        </w:rPr>
        <w:br/>
      </w:r>
      <w:r w:rsidR="003B1382">
        <w:rPr>
          <w:i/>
          <w:iCs/>
          <w:vertAlign w:val="superscript"/>
        </w:rPr>
        <w:t>8</w:t>
      </w:r>
      <w:r w:rsidR="003B1382">
        <w:rPr>
          <w:i/>
          <w:iCs/>
        </w:rPr>
        <w:t xml:space="preserve"> $70 million to &lt;$80 million</w:t>
      </w:r>
      <w:r w:rsidR="00C97118">
        <w:rPr>
          <w:i/>
          <w:iCs/>
        </w:rPr>
        <w:br/>
      </w:r>
      <w:r w:rsidR="00C97118" w:rsidRPr="00C97118">
        <w:rPr>
          <w:rFonts w:cs="Times New Roman"/>
          <w:bCs w:val="0"/>
          <w:i/>
          <w:iCs/>
          <w:vertAlign w:val="superscript"/>
          <w:lang w:eastAsia="en-GB"/>
        </w:rPr>
        <w:t xml:space="preserve">9 </w:t>
      </w:r>
      <w:r w:rsidR="00C97118" w:rsidRPr="00C97118">
        <w:rPr>
          <w:rFonts w:cs="Times New Roman"/>
          <w:bCs w:val="0"/>
          <w:i/>
          <w:iCs/>
          <w:lang w:eastAsia="en-GB"/>
        </w:rPr>
        <w:t>$20 million to &lt; $30 million</w:t>
      </w:r>
      <w:r w:rsidR="00C97118">
        <w:rPr>
          <w:rFonts w:cs="Times New Roman"/>
          <w:bCs w:val="0"/>
          <w:i/>
          <w:iCs/>
          <w:lang w:eastAsia="en-GB"/>
        </w:rPr>
        <w:br/>
      </w:r>
      <w:r w:rsidR="00C97118" w:rsidRPr="00C97118">
        <w:rPr>
          <w:rFonts w:cs="Times New Roman"/>
          <w:bCs w:val="0"/>
          <w:i/>
          <w:iCs/>
          <w:vertAlign w:val="superscript"/>
          <w:lang w:eastAsia="en-GB"/>
        </w:rPr>
        <w:t>10</w:t>
      </w:r>
      <w:r w:rsidR="00C97118">
        <w:rPr>
          <w:rFonts w:cs="Times New Roman"/>
          <w:bCs w:val="0"/>
          <w:i/>
          <w:iCs/>
          <w:lang w:eastAsia="en-GB"/>
        </w:rPr>
        <w:t xml:space="preserve"> $100 million to &lt; $200 million</w:t>
      </w:r>
      <w:r w:rsidR="00E77DB1">
        <w:rPr>
          <w:rFonts w:cs="Times New Roman"/>
          <w:bCs w:val="0"/>
          <w:i/>
          <w:iCs/>
          <w:lang w:eastAsia="en-GB"/>
        </w:rPr>
        <w:br/>
      </w:r>
      <w:r w:rsidR="00E77DB1" w:rsidRPr="00E77DB1">
        <w:rPr>
          <w:rFonts w:cs="Times New Roman"/>
          <w:bCs w:val="0"/>
          <w:i/>
          <w:iCs/>
          <w:vertAlign w:val="superscript"/>
          <w:lang w:eastAsia="en-GB"/>
        </w:rPr>
        <w:t>11</w:t>
      </w:r>
      <w:r w:rsidR="00E77DB1">
        <w:rPr>
          <w:rFonts w:cs="Times New Roman"/>
          <w:bCs w:val="0"/>
          <w:i/>
          <w:iCs/>
          <w:lang w:eastAsia="en-GB"/>
        </w:rPr>
        <w:t xml:space="preserve"> </w:t>
      </w:r>
      <w:r w:rsidR="00A73D2F">
        <w:rPr>
          <w:rFonts w:cs="Times New Roman"/>
          <w:bCs w:val="0"/>
          <w:i/>
          <w:iCs/>
          <w:lang w:eastAsia="en-GB"/>
        </w:rPr>
        <w:t>10,000 to &lt; 20,000</w:t>
      </w:r>
      <w:r w:rsidR="00FD1EB0">
        <w:rPr>
          <w:rFonts w:cs="Times New Roman"/>
          <w:bCs w:val="0"/>
          <w:i/>
          <w:iCs/>
          <w:lang w:eastAsia="en-GB"/>
        </w:rPr>
        <w:br/>
      </w:r>
      <w:r w:rsidR="00FD1EB0" w:rsidRPr="00FD1EB0">
        <w:rPr>
          <w:rFonts w:cs="Times New Roman"/>
          <w:bCs w:val="0"/>
          <w:i/>
          <w:iCs/>
          <w:vertAlign w:val="superscript"/>
          <w:lang w:eastAsia="en-GB"/>
        </w:rPr>
        <w:t>12</w:t>
      </w:r>
      <w:r w:rsidR="00A73D2F">
        <w:rPr>
          <w:rFonts w:cs="Times New Roman"/>
          <w:bCs w:val="0"/>
          <w:i/>
          <w:iCs/>
          <w:lang w:eastAsia="en-GB"/>
        </w:rPr>
        <w:t>$40 million to &lt; $50 million</w:t>
      </w:r>
    </w:p>
    <w:p w14:paraId="54615F19" w14:textId="11C0CEB4" w:rsidR="00E11E64" w:rsidRPr="00331220" w:rsidRDefault="00A73D2F" w:rsidP="00331220">
      <w:pPr>
        <w:pStyle w:val="TableFigureFooter"/>
        <w:rPr>
          <w:i/>
          <w:iCs/>
        </w:rPr>
      </w:pPr>
      <w:r w:rsidRPr="00A73D2F">
        <w:rPr>
          <w:rFonts w:cs="Times New Roman"/>
          <w:bCs w:val="0"/>
          <w:i/>
          <w:iCs/>
          <w:vertAlign w:val="superscript"/>
          <w:lang w:eastAsia="en-GB"/>
        </w:rPr>
        <w:t>13</w:t>
      </w:r>
      <w:r w:rsidR="00FD1EB0">
        <w:rPr>
          <w:rFonts w:cs="Times New Roman"/>
          <w:bCs w:val="0"/>
          <w:i/>
          <w:iCs/>
          <w:lang w:eastAsia="en-GB"/>
        </w:rPr>
        <w:t xml:space="preserve"> $90 million to &lt; $100 million</w:t>
      </w:r>
    </w:p>
    <w:p w14:paraId="080E5E1E" w14:textId="61CF0ED6" w:rsidR="009406C2" w:rsidRPr="00A55C25" w:rsidRDefault="009406C2" w:rsidP="009406C2">
      <w:pPr>
        <w:pStyle w:val="3-BodyText"/>
        <w:numPr>
          <w:ilvl w:val="1"/>
          <w:numId w:val="1"/>
        </w:numPr>
      </w:pPr>
      <w:r w:rsidRPr="00A55C25">
        <w:t>The net cost to the PBS/RPBS was $</w:t>
      </w:r>
      <w:r w:rsidR="00AC3FA6">
        <w:t>0 to &lt; $10 million</w:t>
      </w:r>
      <w:r w:rsidRPr="00A55C25">
        <w:t xml:space="preserve"> in Year 1</w:t>
      </w:r>
      <w:r w:rsidR="006A7E85" w:rsidRPr="00A55C25">
        <w:t>,</w:t>
      </w:r>
      <w:r w:rsidRPr="00A55C25">
        <w:t xml:space="preserve"> decreasing to</w:t>
      </w:r>
      <w:r w:rsidR="00FB179A">
        <w:t xml:space="preserve"> $0 to &lt; - $10 million </w:t>
      </w:r>
      <w:r w:rsidRPr="00A55C25">
        <w:t xml:space="preserve">in Year 6, resulting in a cumulative net saving of </w:t>
      </w:r>
      <w:r w:rsidR="00FB179A">
        <w:t>$0 to &lt; $10 million</w:t>
      </w:r>
      <w:r w:rsidRPr="00A55C25">
        <w:t xml:space="preserve"> over the first six years of listing AV in untreated CLL/SLL. The estimated net </w:t>
      </w:r>
      <w:r w:rsidR="002B4E2E" w:rsidRPr="00A55C25">
        <w:t xml:space="preserve">cost </w:t>
      </w:r>
      <w:r w:rsidRPr="00A55C25">
        <w:t>savings to the PBS/RPBS w</w:t>
      </w:r>
      <w:r w:rsidR="006A7E85" w:rsidRPr="00A55C25">
        <w:t>ere</w:t>
      </w:r>
      <w:r w:rsidRPr="00A55C25">
        <w:t xml:space="preserve"> due to the assumed relative change in market shares between VO and IV (VO is less costly </w:t>
      </w:r>
      <w:r w:rsidR="00D34291">
        <w:t xml:space="preserve">to the PBS </w:t>
      </w:r>
      <w:r w:rsidRPr="00A55C25">
        <w:t>than IV and would gain a relatively higher market share compared to IV) rather than the direct substitution with AV (AV has slightly higher drug-related treatment costs than VO and IV</w:t>
      </w:r>
      <w:r w:rsidR="00D34291">
        <w:t>, due to administration of infusions for VO and difference in number of venetoclax script for IV</w:t>
      </w:r>
      <w:r w:rsidRPr="00A55C25">
        <w:t>).</w:t>
      </w:r>
    </w:p>
    <w:p w14:paraId="2A3D5754" w14:textId="751097AA" w:rsidR="009406C2" w:rsidRPr="00A55C25" w:rsidRDefault="009406C2" w:rsidP="009406C2">
      <w:pPr>
        <w:pStyle w:val="3-BodyText"/>
        <w:numPr>
          <w:ilvl w:val="1"/>
          <w:numId w:val="1"/>
        </w:numPr>
      </w:pPr>
      <w:bookmarkStart w:id="47" w:name="_Hlk207359593"/>
      <w:r w:rsidRPr="00A55C25">
        <w:lastRenderedPageBreak/>
        <w:t xml:space="preserve">Overall, the estimated number of AV scripts presented in the submission was likely an overestimate due to the high uptake assumptions; but given AV </w:t>
      </w:r>
      <w:r w:rsidR="006A7E85" w:rsidRPr="00A55C25">
        <w:t xml:space="preserve">is </w:t>
      </w:r>
      <w:r w:rsidRPr="00A55C25">
        <w:t>anticipated to substitute for treatments with a similar cost per patient, the net effect of the proposed listing is expected to be approximately cost neutral</w:t>
      </w:r>
      <w:r w:rsidR="006A7E85" w:rsidRPr="00A55C25">
        <w:t>,</w:t>
      </w:r>
      <w:r w:rsidRPr="00A55C25">
        <w:t xml:space="preserve"> irrespective of the absolute number of scripts</w:t>
      </w:r>
      <w:bookmarkEnd w:id="47"/>
      <w:r w:rsidRPr="00A55C25">
        <w:t>.</w:t>
      </w:r>
    </w:p>
    <w:p w14:paraId="3F5E92A3" w14:textId="77777777" w:rsidR="009406C2" w:rsidRPr="00A55C25" w:rsidRDefault="009406C2" w:rsidP="009406C2">
      <w:pPr>
        <w:pStyle w:val="4-SubsectionHeading"/>
      </w:pPr>
      <w:bookmarkStart w:id="48" w:name="_Toc207957924"/>
      <w:r w:rsidRPr="00A55C25">
        <w:t>Financial Management – Risk Sharing Arrangements (RSA)</w:t>
      </w:r>
      <w:bookmarkEnd w:id="48"/>
    </w:p>
    <w:p w14:paraId="2A2C4DE9" w14:textId="3B65C752" w:rsidR="009406C2" w:rsidRPr="00A55C25" w:rsidRDefault="009406C2" w:rsidP="009406C2">
      <w:pPr>
        <w:pStyle w:val="3-BodyText"/>
        <w:numPr>
          <w:ilvl w:val="1"/>
          <w:numId w:val="1"/>
        </w:numPr>
      </w:pPr>
      <w:r w:rsidRPr="00A55C25">
        <w:t xml:space="preserve">The submission noted that, given uncertainty in the uptake rate of </w:t>
      </w:r>
      <w:r w:rsidR="00877D9D">
        <w:t>AV</w:t>
      </w:r>
      <w:r w:rsidR="00877D9D" w:rsidRPr="00A55C25">
        <w:t xml:space="preserve"> </w:t>
      </w:r>
      <w:r w:rsidRPr="00A55C25">
        <w:t xml:space="preserve">and the overall FD </w:t>
      </w:r>
      <w:r w:rsidR="003066F6">
        <w:t xml:space="preserve">regimen </w:t>
      </w:r>
      <w:r w:rsidRPr="00A55C25">
        <w:t xml:space="preserve">market dynamics, the sponsor may be open to considering </w:t>
      </w:r>
      <w:proofErr w:type="gramStart"/>
      <w:r w:rsidRPr="00A55C25">
        <w:t>a</w:t>
      </w:r>
      <w:proofErr w:type="gramEnd"/>
      <w:r w:rsidRPr="00A55C25">
        <w:t xml:space="preserve"> RSA; however, any such arrangement would need to appropriately account for the potential use of acalabrutinib and align with the overall FD </w:t>
      </w:r>
      <w:r w:rsidR="003066F6">
        <w:t xml:space="preserve">regimen </w:t>
      </w:r>
      <w:r w:rsidRPr="00A55C25">
        <w:t>market context.</w:t>
      </w:r>
    </w:p>
    <w:bookmarkEnd w:id="39"/>
    <w:p w14:paraId="0D6CDC91" w14:textId="77777777" w:rsidR="00DD26A1" w:rsidRPr="00DD26A1" w:rsidRDefault="00DD26A1" w:rsidP="00DD26A1">
      <w:pPr>
        <w:pStyle w:val="ListParagraph"/>
        <w:numPr>
          <w:ilvl w:val="0"/>
          <w:numId w:val="0"/>
        </w:numPr>
        <w:ind w:left="720"/>
        <w:rPr>
          <w:i/>
        </w:rPr>
      </w:pPr>
      <w:r w:rsidRPr="00DD26A1">
        <w:rPr>
          <w:i/>
        </w:rPr>
        <w:t>For more detail on PBAC’s view, see section 7 PBAC outcome.</w:t>
      </w:r>
    </w:p>
    <w:p w14:paraId="1819973D" w14:textId="77777777" w:rsidR="00C445DF" w:rsidRPr="00C445DF" w:rsidRDefault="00C445DF" w:rsidP="00C445DF">
      <w:pPr>
        <w:keepNext/>
        <w:numPr>
          <w:ilvl w:val="0"/>
          <w:numId w:val="1"/>
        </w:numPr>
        <w:spacing w:before="240" w:after="120"/>
        <w:jc w:val="left"/>
        <w:outlineLvl w:val="0"/>
        <w:rPr>
          <w:rFonts w:asciiTheme="minorHAnsi" w:hAnsiTheme="minorHAnsi"/>
          <w:b/>
          <w:snapToGrid w:val="0"/>
          <w:sz w:val="32"/>
          <w:szCs w:val="32"/>
        </w:rPr>
      </w:pPr>
      <w:bookmarkStart w:id="49" w:name="_Hlk76381249"/>
      <w:bookmarkStart w:id="50" w:name="_Hlk76377955"/>
      <w:r w:rsidRPr="00C445DF">
        <w:rPr>
          <w:rFonts w:asciiTheme="minorHAnsi" w:hAnsiTheme="minorHAnsi"/>
          <w:b/>
          <w:snapToGrid w:val="0"/>
          <w:sz w:val="32"/>
          <w:szCs w:val="32"/>
        </w:rPr>
        <w:t>PBAC Outcome</w:t>
      </w:r>
    </w:p>
    <w:p w14:paraId="4793E6F2" w14:textId="4CE7351A" w:rsidR="00A834CF" w:rsidRPr="00C445DF" w:rsidRDefault="00A834CF" w:rsidP="008F708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deferred making </w:t>
      </w:r>
      <w:r w:rsidR="003F1EEF">
        <w:rPr>
          <w:rFonts w:asciiTheme="minorHAnsi" w:hAnsiTheme="minorHAnsi"/>
          <w:snapToGrid w:val="0"/>
          <w:lang w:val="en-GB" w:eastAsia="en-US"/>
        </w:rPr>
        <w:t>its</w:t>
      </w:r>
      <w:r>
        <w:rPr>
          <w:rFonts w:asciiTheme="minorHAnsi" w:hAnsiTheme="minorHAnsi"/>
          <w:snapToGrid w:val="0"/>
          <w:lang w:val="en-GB" w:eastAsia="en-US"/>
        </w:rPr>
        <w:t xml:space="preserve"> </w:t>
      </w:r>
      <w:r w:rsidR="000C4394">
        <w:rPr>
          <w:rFonts w:asciiTheme="minorHAnsi" w:hAnsiTheme="minorHAnsi"/>
          <w:snapToGrid w:val="0"/>
          <w:lang w:val="en-GB" w:eastAsia="en-US"/>
        </w:rPr>
        <w:t xml:space="preserve">decision on whether to </w:t>
      </w:r>
      <w:r>
        <w:rPr>
          <w:rFonts w:asciiTheme="minorHAnsi" w:hAnsiTheme="minorHAnsi"/>
          <w:snapToGrid w:val="0"/>
          <w:lang w:val="en-GB" w:eastAsia="en-US"/>
        </w:rPr>
        <w:t>recommend</w:t>
      </w:r>
      <w:r w:rsidR="00C30F93">
        <w:rPr>
          <w:rFonts w:asciiTheme="minorHAnsi" w:hAnsiTheme="minorHAnsi"/>
          <w:snapToGrid w:val="0"/>
          <w:lang w:val="en-GB" w:eastAsia="en-US"/>
        </w:rPr>
        <w:t xml:space="preserve"> the Authority Required listing of</w:t>
      </w:r>
      <w:r w:rsidRPr="00A834CF">
        <w:rPr>
          <w:rFonts w:asciiTheme="minorHAnsi" w:hAnsiTheme="minorHAnsi"/>
          <w:snapToGrid w:val="0"/>
          <w:lang w:val="en-GB" w:eastAsia="en-US"/>
        </w:rPr>
        <w:t xml:space="preserve"> acalabrutinib for use in combination with venetoclax (AV) in a fixed duration (FD) regimen for the treatment of previously untreated chronic lymphocytic leukaemia (CLL) or small lymphocytic lymphoma (SLL)</w:t>
      </w:r>
      <w:r w:rsidR="00946724">
        <w:rPr>
          <w:rFonts w:asciiTheme="minorHAnsi" w:hAnsiTheme="minorHAnsi"/>
          <w:snapToGrid w:val="0"/>
          <w:lang w:val="en-GB" w:eastAsia="en-US"/>
        </w:rPr>
        <w:t>, noting that a TGA Delegate’s Overview was not available at the time of the PBAC meeting</w:t>
      </w:r>
      <w:r w:rsidRPr="00A834CF">
        <w:rPr>
          <w:rFonts w:asciiTheme="minorHAnsi" w:hAnsiTheme="minorHAnsi"/>
          <w:snapToGrid w:val="0"/>
          <w:lang w:val="en-GB" w:eastAsia="en-US"/>
        </w:rPr>
        <w:t>.</w:t>
      </w:r>
      <w:r w:rsidR="00946724">
        <w:rPr>
          <w:rFonts w:asciiTheme="minorHAnsi" w:hAnsiTheme="minorHAnsi"/>
          <w:snapToGrid w:val="0"/>
          <w:lang w:val="en-GB" w:eastAsia="en-US"/>
        </w:rPr>
        <w:t xml:space="preserve"> The PBAC was of a mind to recommend </w:t>
      </w:r>
      <w:r w:rsidR="0056543F">
        <w:rPr>
          <w:rFonts w:asciiTheme="minorHAnsi" w:hAnsiTheme="minorHAnsi"/>
          <w:snapToGrid w:val="0"/>
          <w:lang w:val="en-GB" w:eastAsia="en-US"/>
        </w:rPr>
        <w:t xml:space="preserve">AV </w:t>
      </w:r>
      <w:r w:rsidR="00FD10DD">
        <w:rPr>
          <w:rFonts w:asciiTheme="minorHAnsi" w:hAnsiTheme="minorHAnsi"/>
          <w:snapToGrid w:val="0"/>
          <w:lang w:val="en-GB" w:eastAsia="en-US"/>
        </w:rPr>
        <w:t>and c</w:t>
      </w:r>
      <w:r w:rsidR="002A6422">
        <w:rPr>
          <w:rFonts w:asciiTheme="minorHAnsi" w:hAnsiTheme="minorHAnsi"/>
          <w:snapToGrid w:val="0"/>
          <w:lang w:val="en-GB" w:eastAsia="en-US"/>
        </w:rPr>
        <w:t>onsider</w:t>
      </w:r>
      <w:r w:rsidR="00FD10DD">
        <w:rPr>
          <w:rFonts w:asciiTheme="minorHAnsi" w:hAnsiTheme="minorHAnsi"/>
          <w:snapToGrid w:val="0"/>
          <w:lang w:val="en-GB" w:eastAsia="en-US"/>
        </w:rPr>
        <w:t>ed</w:t>
      </w:r>
      <w:r w:rsidR="00F20453">
        <w:rPr>
          <w:rFonts w:asciiTheme="minorHAnsi" w:hAnsiTheme="minorHAnsi"/>
          <w:snapToGrid w:val="0"/>
          <w:lang w:val="en-GB" w:eastAsia="en-US"/>
        </w:rPr>
        <w:t xml:space="preserve"> amongst other matters,</w:t>
      </w:r>
      <w:r w:rsidR="002A6422">
        <w:rPr>
          <w:rFonts w:asciiTheme="minorHAnsi" w:hAnsiTheme="minorHAnsi"/>
          <w:snapToGrid w:val="0"/>
          <w:lang w:val="en-GB" w:eastAsia="en-US"/>
        </w:rPr>
        <w:t xml:space="preserve"> that </w:t>
      </w:r>
      <w:r w:rsidR="00F20453">
        <w:rPr>
          <w:rFonts w:asciiTheme="minorHAnsi" w:hAnsiTheme="minorHAnsi"/>
          <w:snapToGrid w:val="0"/>
          <w:lang w:val="en-GB" w:eastAsia="en-US"/>
        </w:rPr>
        <w:t>AV</w:t>
      </w:r>
      <w:r w:rsidR="002A6422">
        <w:rPr>
          <w:rFonts w:asciiTheme="minorHAnsi" w:hAnsiTheme="minorHAnsi"/>
          <w:snapToGrid w:val="0"/>
          <w:lang w:val="en-GB" w:eastAsia="en-US"/>
        </w:rPr>
        <w:t xml:space="preserve"> </w:t>
      </w:r>
      <w:r w:rsidR="0056543F">
        <w:rPr>
          <w:rFonts w:asciiTheme="minorHAnsi" w:hAnsiTheme="minorHAnsi"/>
          <w:snapToGrid w:val="0"/>
          <w:lang w:val="en-GB" w:eastAsia="en-US"/>
        </w:rPr>
        <w:t xml:space="preserve">would be acceptably cost-effective if it was cost-minimised to </w:t>
      </w:r>
      <w:r w:rsidR="007C4C87">
        <w:rPr>
          <w:rFonts w:asciiTheme="minorHAnsi" w:hAnsiTheme="minorHAnsi"/>
          <w:snapToGrid w:val="0"/>
          <w:lang w:val="en-GB" w:eastAsia="en-US"/>
        </w:rPr>
        <w:t>venetoclax</w:t>
      </w:r>
      <w:r w:rsidR="00794F3F">
        <w:rPr>
          <w:rFonts w:asciiTheme="minorHAnsi" w:hAnsiTheme="minorHAnsi"/>
          <w:snapToGrid w:val="0"/>
          <w:lang w:val="en-GB" w:eastAsia="en-US"/>
        </w:rPr>
        <w:t xml:space="preserve"> given in combination with obinutuzumab (VO). </w:t>
      </w:r>
    </w:p>
    <w:p w14:paraId="2AA381CF" w14:textId="2F2E1841" w:rsidR="00C445DF" w:rsidRPr="00C445DF" w:rsidRDefault="00AF25D3" w:rsidP="008F708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w:t>
      </w:r>
      <w:r w:rsidR="0076559C">
        <w:rPr>
          <w:rFonts w:asciiTheme="minorHAnsi" w:hAnsiTheme="minorHAnsi"/>
          <w:snapToGrid w:val="0"/>
          <w:lang w:val="en-GB" w:eastAsia="en-US"/>
        </w:rPr>
        <w:t>noted that</w:t>
      </w:r>
      <w:r w:rsidR="00EF39C0">
        <w:rPr>
          <w:rFonts w:asciiTheme="minorHAnsi" w:hAnsiTheme="minorHAnsi"/>
          <w:snapToGrid w:val="0"/>
          <w:lang w:val="en-GB" w:eastAsia="en-US"/>
        </w:rPr>
        <w:t>,</w:t>
      </w:r>
      <w:r w:rsidR="0076559C">
        <w:rPr>
          <w:rFonts w:asciiTheme="minorHAnsi" w:hAnsiTheme="minorHAnsi"/>
          <w:snapToGrid w:val="0"/>
          <w:lang w:val="en-GB" w:eastAsia="en-US"/>
        </w:rPr>
        <w:t xml:space="preserve"> </w:t>
      </w:r>
      <w:r w:rsidR="005F2829">
        <w:rPr>
          <w:rFonts w:asciiTheme="minorHAnsi" w:hAnsiTheme="minorHAnsi"/>
          <w:snapToGrid w:val="0"/>
          <w:lang w:val="en-GB" w:eastAsia="en-US"/>
        </w:rPr>
        <w:t xml:space="preserve">while </w:t>
      </w:r>
      <w:r w:rsidR="0076559C">
        <w:rPr>
          <w:rFonts w:asciiTheme="minorHAnsi" w:hAnsiTheme="minorHAnsi"/>
          <w:snapToGrid w:val="0"/>
          <w:lang w:val="en-GB" w:eastAsia="en-US"/>
        </w:rPr>
        <w:t>multiple treatment options are available</w:t>
      </w:r>
      <w:r w:rsidR="00EF39C0">
        <w:rPr>
          <w:rFonts w:asciiTheme="minorHAnsi" w:hAnsiTheme="minorHAnsi"/>
          <w:snapToGrid w:val="0"/>
          <w:lang w:val="en-GB" w:eastAsia="en-US"/>
        </w:rPr>
        <w:t>,</w:t>
      </w:r>
      <w:r w:rsidR="0076559C">
        <w:rPr>
          <w:rFonts w:asciiTheme="minorHAnsi" w:hAnsiTheme="minorHAnsi"/>
          <w:snapToGrid w:val="0"/>
          <w:lang w:val="en-GB" w:eastAsia="en-US"/>
        </w:rPr>
        <w:t xml:space="preserve"> </w:t>
      </w:r>
      <w:r w:rsidR="0013230A">
        <w:rPr>
          <w:rFonts w:asciiTheme="minorHAnsi" w:hAnsiTheme="minorHAnsi"/>
          <w:snapToGrid w:val="0"/>
          <w:lang w:val="en-GB" w:eastAsia="en-US"/>
        </w:rPr>
        <w:t>there was a moderate clinical nee</w:t>
      </w:r>
      <w:r w:rsidR="00C70BA9">
        <w:rPr>
          <w:rFonts w:asciiTheme="minorHAnsi" w:hAnsiTheme="minorHAnsi"/>
          <w:snapToGrid w:val="0"/>
          <w:lang w:val="en-GB" w:eastAsia="en-US"/>
        </w:rPr>
        <w:t xml:space="preserve">d for </w:t>
      </w:r>
      <w:r w:rsidR="006A0BD3">
        <w:rPr>
          <w:rFonts w:asciiTheme="minorHAnsi" w:hAnsiTheme="minorHAnsi"/>
          <w:snapToGrid w:val="0"/>
          <w:lang w:val="en-GB" w:eastAsia="en-US"/>
        </w:rPr>
        <w:t xml:space="preserve">a second all oral, </w:t>
      </w:r>
      <w:r w:rsidR="00D977BE">
        <w:rPr>
          <w:rFonts w:asciiTheme="minorHAnsi" w:hAnsiTheme="minorHAnsi"/>
          <w:snapToGrid w:val="0"/>
          <w:lang w:val="en-GB" w:eastAsia="en-US"/>
        </w:rPr>
        <w:t>FD</w:t>
      </w:r>
      <w:r w:rsidR="006A0BD3">
        <w:rPr>
          <w:rFonts w:asciiTheme="minorHAnsi" w:hAnsiTheme="minorHAnsi"/>
          <w:snapToGrid w:val="0"/>
          <w:lang w:val="en-GB" w:eastAsia="en-US"/>
        </w:rPr>
        <w:t xml:space="preserve"> </w:t>
      </w:r>
      <w:r w:rsidR="00E82055">
        <w:rPr>
          <w:rFonts w:asciiTheme="minorHAnsi" w:hAnsiTheme="minorHAnsi"/>
          <w:snapToGrid w:val="0"/>
          <w:lang w:val="en-GB" w:eastAsia="en-US"/>
        </w:rPr>
        <w:t xml:space="preserve">treatment option </w:t>
      </w:r>
      <w:r w:rsidR="00BB4B82">
        <w:rPr>
          <w:rFonts w:asciiTheme="minorHAnsi" w:hAnsiTheme="minorHAnsi"/>
          <w:snapToGrid w:val="0"/>
          <w:lang w:val="en-GB" w:eastAsia="en-US"/>
        </w:rPr>
        <w:t>which</w:t>
      </w:r>
      <w:r w:rsidR="00C70BA9">
        <w:rPr>
          <w:rFonts w:asciiTheme="minorHAnsi" w:hAnsiTheme="minorHAnsi"/>
          <w:snapToGrid w:val="0"/>
          <w:lang w:val="en-GB" w:eastAsia="en-US"/>
        </w:rPr>
        <w:t xml:space="preserve"> </w:t>
      </w:r>
      <w:r w:rsidR="001C7A9B">
        <w:rPr>
          <w:rFonts w:asciiTheme="minorHAnsi" w:hAnsiTheme="minorHAnsi"/>
          <w:snapToGrid w:val="0"/>
          <w:lang w:val="en-GB" w:eastAsia="en-US"/>
        </w:rPr>
        <w:t>would increase access for rural and regional patients and reduce the burden of treatment</w:t>
      </w:r>
      <w:r w:rsidR="00E82055">
        <w:rPr>
          <w:rFonts w:asciiTheme="minorHAnsi" w:hAnsiTheme="minorHAnsi"/>
          <w:snapToGrid w:val="0"/>
          <w:lang w:val="en-GB" w:eastAsia="en-US"/>
        </w:rPr>
        <w:t xml:space="preserve">, </w:t>
      </w:r>
      <w:r w:rsidR="004F27B7">
        <w:rPr>
          <w:rFonts w:asciiTheme="minorHAnsi" w:hAnsiTheme="minorHAnsi"/>
          <w:snapToGrid w:val="0"/>
          <w:lang w:val="en-GB" w:eastAsia="en-US"/>
        </w:rPr>
        <w:t>compared to VO, which involves intravenous infusion.</w:t>
      </w:r>
      <w:r w:rsidR="004F27B7" w:rsidDel="007F4CB9">
        <w:rPr>
          <w:rFonts w:asciiTheme="minorHAnsi" w:hAnsiTheme="minorHAnsi"/>
          <w:snapToGrid w:val="0"/>
          <w:lang w:val="en-GB" w:eastAsia="en-US"/>
        </w:rPr>
        <w:t xml:space="preserve"> </w:t>
      </w:r>
      <w:r w:rsidR="002E1E98">
        <w:rPr>
          <w:rFonts w:asciiTheme="minorHAnsi" w:hAnsiTheme="minorHAnsi"/>
          <w:snapToGrid w:val="0"/>
          <w:lang w:val="en-GB" w:eastAsia="en-US"/>
        </w:rPr>
        <w:t xml:space="preserve">AV </w:t>
      </w:r>
      <w:r w:rsidR="009E30C4">
        <w:rPr>
          <w:rFonts w:asciiTheme="minorHAnsi" w:hAnsiTheme="minorHAnsi"/>
          <w:snapToGrid w:val="0"/>
          <w:lang w:val="en-GB" w:eastAsia="en-US"/>
        </w:rPr>
        <w:t xml:space="preserve">would also provide an effective treatment option that is likely </w:t>
      </w:r>
      <w:r w:rsidR="00C574D6">
        <w:rPr>
          <w:rFonts w:asciiTheme="minorHAnsi" w:hAnsiTheme="minorHAnsi"/>
          <w:snapToGrid w:val="0"/>
          <w:lang w:val="en-GB" w:eastAsia="en-US"/>
        </w:rPr>
        <w:t>better tolerated by some patients</w:t>
      </w:r>
      <w:r w:rsidR="00170B67">
        <w:rPr>
          <w:rFonts w:asciiTheme="minorHAnsi" w:hAnsiTheme="minorHAnsi"/>
          <w:snapToGrid w:val="0"/>
          <w:lang w:val="en-GB" w:eastAsia="en-US"/>
        </w:rPr>
        <w:t xml:space="preserve"> than </w:t>
      </w:r>
      <w:r w:rsidR="00DB7C7C">
        <w:rPr>
          <w:rFonts w:asciiTheme="minorHAnsi" w:hAnsiTheme="minorHAnsi"/>
          <w:snapToGrid w:val="0"/>
          <w:lang w:val="en-GB" w:eastAsia="en-US"/>
        </w:rPr>
        <w:t xml:space="preserve">VO or </w:t>
      </w:r>
      <w:r w:rsidR="00170B67">
        <w:rPr>
          <w:rFonts w:asciiTheme="minorHAnsi" w:hAnsiTheme="minorHAnsi"/>
          <w:snapToGrid w:val="0"/>
          <w:lang w:val="en-GB" w:eastAsia="en-US"/>
        </w:rPr>
        <w:t>ibrutinib with venetoclax</w:t>
      </w:r>
      <w:r w:rsidR="00AA01C4">
        <w:rPr>
          <w:rFonts w:asciiTheme="minorHAnsi" w:hAnsiTheme="minorHAnsi"/>
          <w:snapToGrid w:val="0"/>
          <w:lang w:val="en-GB" w:eastAsia="en-US"/>
        </w:rPr>
        <w:t xml:space="preserve"> (IV)</w:t>
      </w:r>
      <w:r w:rsidR="009E30C4">
        <w:rPr>
          <w:rFonts w:asciiTheme="minorHAnsi" w:hAnsiTheme="minorHAnsi"/>
          <w:snapToGrid w:val="0"/>
          <w:lang w:val="en-GB" w:eastAsia="en-US"/>
        </w:rPr>
        <w:t>,</w:t>
      </w:r>
      <w:r w:rsidR="006A0BD3">
        <w:rPr>
          <w:rFonts w:asciiTheme="minorHAnsi" w:hAnsiTheme="minorHAnsi"/>
          <w:snapToGrid w:val="0"/>
          <w:lang w:val="en-GB" w:eastAsia="en-US"/>
        </w:rPr>
        <w:t xml:space="preserve"> </w:t>
      </w:r>
      <w:r w:rsidR="00D455BA">
        <w:rPr>
          <w:rFonts w:asciiTheme="minorHAnsi" w:hAnsiTheme="minorHAnsi"/>
          <w:snapToGrid w:val="0"/>
          <w:lang w:val="en-GB" w:eastAsia="en-US"/>
        </w:rPr>
        <w:t>the currently available oral FD</w:t>
      </w:r>
      <w:r w:rsidR="007E70AD">
        <w:rPr>
          <w:rFonts w:asciiTheme="minorHAnsi" w:hAnsiTheme="minorHAnsi"/>
          <w:snapToGrid w:val="0"/>
          <w:lang w:val="en-GB" w:eastAsia="en-US"/>
        </w:rPr>
        <w:t xml:space="preserve"> </w:t>
      </w:r>
      <w:r w:rsidR="000B55F5">
        <w:rPr>
          <w:rFonts w:asciiTheme="minorHAnsi" w:hAnsiTheme="minorHAnsi"/>
          <w:snapToGrid w:val="0"/>
          <w:lang w:val="en-GB" w:eastAsia="en-US"/>
        </w:rPr>
        <w:t>regimen</w:t>
      </w:r>
      <w:r w:rsidR="009E30C4">
        <w:rPr>
          <w:rFonts w:asciiTheme="minorHAnsi" w:hAnsiTheme="minorHAnsi"/>
          <w:snapToGrid w:val="0"/>
          <w:lang w:val="en-GB" w:eastAsia="en-US"/>
        </w:rPr>
        <w:t>.</w:t>
      </w:r>
    </w:p>
    <w:p w14:paraId="5DB7B73E" w14:textId="2AB7BABF" w:rsidR="00C445DF" w:rsidRPr="00C445DF" w:rsidRDefault="00D6229A" w:rsidP="008F708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considered th</w:t>
      </w:r>
      <w:r w:rsidR="00AA01C4">
        <w:rPr>
          <w:rFonts w:asciiTheme="minorHAnsi" w:hAnsiTheme="minorHAnsi"/>
          <w:snapToGrid w:val="0"/>
          <w:lang w:val="en-GB" w:eastAsia="en-US"/>
        </w:rPr>
        <w:t xml:space="preserve">at </w:t>
      </w:r>
      <w:r w:rsidR="00AF60B4">
        <w:rPr>
          <w:rFonts w:asciiTheme="minorHAnsi" w:hAnsiTheme="minorHAnsi"/>
          <w:snapToGrid w:val="0"/>
          <w:lang w:val="en-GB" w:eastAsia="en-US"/>
        </w:rPr>
        <w:t xml:space="preserve">the </w:t>
      </w:r>
      <w:r w:rsidR="00667DDD">
        <w:rPr>
          <w:rFonts w:asciiTheme="minorHAnsi" w:hAnsiTheme="minorHAnsi"/>
          <w:snapToGrid w:val="0"/>
          <w:lang w:val="en-GB" w:eastAsia="en-US"/>
        </w:rPr>
        <w:t xml:space="preserve">current alternative FD treatments, </w:t>
      </w:r>
      <w:r>
        <w:rPr>
          <w:rFonts w:asciiTheme="minorHAnsi" w:hAnsiTheme="minorHAnsi"/>
          <w:snapToGrid w:val="0"/>
          <w:lang w:val="en-GB" w:eastAsia="en-US"/>
        </w:rPr>
        <w:t>IV</w:t>
      </w:r>
      <w:r w:rsidR="00AA01C4">
        <w:rPr>
          <w:rFonts w:asciiTheme="minorHAnsi" w:hAnsiTheme="minorHAnsi"/>
          <w:snapToGrid w:val="0"/>
          <w:lang w:val="en-GB" w:eastAsia="en-US"/>
        </w:rPr>
        <w:t xml:space="preserve"> and VO</w:t>
      </w:r>
      <w:r w:rsidR="00667DDD">
        <w:rPr>
          <w:rFonts w:asciiTheme="minorHAnsi" w:hAnsiTheme="minorHAnsi"/>
          <w:snapToGrid w:val="0"/>
          <w:lang w:val="en-GB" w:eastAsia="en-US"/>
        </w:rPr>
        <w:t>,</w:t>
      </w:r>
      <w:r w:rsidR="00AA01C4">
        <w:rPr>
          <w:rFonts w:asciiTheme="minorHAnsi" w:hAnsiTheme="minorHAnsi"/>
          <w:snapToGrid w:val="0"/>
          <w:lang w:val="en-GB" w:eastAsia="en-US"/>
        </w:rPr>
        <w:t xml:space="preserve"> were the appropriate comparators.</w:t>
      </w:r>
    </w:p>
    <w:p w14:paraId="61E3986F" w14:textId="2FA6AD53" w:rsidR="006645F3" w:rsidRDefault="00816AB6" w:rsidP="00C225D2">
      <w:pPr>
        <w:widowControl w:val="0"/>
        <w:numPr>
          <w:ilvl w:val="1"/>
          <w:numId w:val="1"/>
        </w:numPr>
        <w:spacing w:after="120"/>
        <w:rPr>
          <w:rFonts w:asciiTheme="minorHAnsi" w:hAnsiTheme="minorHAnsi"/>
          <w:snapToGrid w:val="0"/>
          <w:lang w:val="en-GB" w:eastAsia="en-US"/>
        </w:rPr>
      </w:pPr>
      <w:r w:rsidRPr="007C78AA">
        <w:rPr>
          <w:rFonts w:asciiTheme="minorHAnsi" w:hAnsiTheme="minorHAnsi"/>
          <w:snapToGrid w:val="0"/>
          <w:lang w:val="en-GB" w:eastAsia="en-US"/>
        </w:rPr>
        <w:t xml:space="preserve">The PBAC noted the </w:t>
      </w:r>
      <w:r w:rsidR="00561DFD">
        <w:rPr>
          <w:rFonts w:asciiTheme="minorHAnsi" w:hAnsiTheme="minorHAnsi"/>
          <w:snapToGrid w:val="0"/>
          <w:lang w:val="en-GB" w:eastAsia="en-US"/>
        </w:rPr>
        <w:t xml:space="preserve">submission’s </w:t>
      </w:r>
      <w:r w:rsidR="00F965B9" w:rsidRPr="007C78AA">
        <w:rPr>
          <w:rFonts w:asciiTheme="minorHAnsi" w:hAnsiTheme="minorHAnsi"/>
          <w:snapToGrid w:val="0"/>
          <w:lang w:val="en-GB" w:eastAsia="en-US"/>
        </w:rPr>
        <w:t xml:space="preserve">claim </w:t>
      </w:r>
      <w:r w:rsidR="00561DFD">
        <w:rPr>
          <w:rFonts w:asciiTheme="minorHAnsi" w:hAnsiTheme="minorHAnsi"/>
          <w:snapToGrid w:val="0"/>
          <w:lang w:val="en-GB" w:eastAsia="en-US"/>
        </w:rPr>
        <w:t>that AV is</w:t>
      </w:r>
      <w:r w:rsidR="00F965B9" w:rsidRPr="007C78AA">
        <w:rPr>
          <w:rFonts w:asciiTheme="minorHAnsi" w:hAnsiTheme="minorHAnsi"/>
          <w:snapToGrid w:val="0"/>
          <w:lang w:val="en-GB" w:eastAsia="en-US"/>
        </w:rPr>
        <w:t xml:space="preserve"> non-inferior </w:t>
      </w:r>
      <w:r w:rsidR="00561DFD">
        <w:rPr>
          <w:rFonts w:asciiTheme="minorHAnsi" w:hAnsiTheme="minorHAnsi"/>
          <w:snapToGrid w:val="0"/>
          <w:lang w:val="en-GB" w:eastAsia="en-US"/>
        </w:rPr>
        <w:t xml:space="preserve">in </w:t>
      </w:r>
      <w:r w:rsidR="00F965B9" w:rsidRPr="007C78AA">
        <w:rPr>
          <w:rFonts w:asciiTheme="minorHAnsi" w:hAnsiTheme="minorHAnsi"/>
          <w:snapToGrid w:val="0"/>
          <w:lang w:val="en-GB" w:eastAsia="en-US"/>
        </w:rPr>
        <w:t xml:space="preserve">comparative effectiveness to IV and VO was </w:t>
      </w:r>
      <w:r w:rsidR="002F47DD" w:rsidRPr="007C78AA">
        <w:rPr>
          <w:rFonts w:asciiTheme="minorHAnsi" w:hAnsiTheme="minorHAnsi"/>
          <w:snapToGrid w:val="0"/>
          <w:lang w:val="en-GB" w:eastAsia="en-US"/>
        </w:rPr>
        <w:t xml:space="preserve">based on indirect clinical evidence from </w:t>
      </w:r>
      <w:r w:rsidR="005E66C8" w:rsidRPr="007C78AA">
        <w:rPr>
          <w:rFonts w:asciiTheme="minorHAnsi" w:hAnsiTheme="minorHAnsi"/>
          <w:snapToGrid w:val="0"/>
          <w:lang w:val="en-GB" w:eastAsia="en-US"/>
        </w:rPr>
        <w:t>6 trials</w:t>
      </w:r>
      <w:r w:rsidR="006C67C8">
        <w:rPr>
          <w:rFonts w:asciiTheme="minorHAnsi" w:hAnsiTheme="minorHAnsi"/>
          <w:snapToGrid w:val="0"/>
          <w:lang w:val="en-GB" w:eastAsia="en-US"/>
        </w:rPr>
        <w:t xml:space="preserve">/studies </w:t>
      </w:r>
      <w:r w:rsidR="005E66C8" w:rsidRPr="007C78AA">
        <w:rPr>
          <w:rFonts w:asciiTheme="minorHAnsi" w:hAnsiTheme="minorHAnsi"/>
          <w:snapToGrid w:val="0"/>
          <w:lang w:val="en-GB" w:eastAsia="en-US"/>
        </w:rPr>
        <w:t>investigating the efficacy and safety of AV</w:t>
      </w:r>
      <w:r w:rsidR="005E6B03">
        <w:rPr>
          <w:rFonts w:asciiTheme="minorHAnsi" w:hAnsiTheme="minorHAnsi"/>
          <w:snapToGrid w:val="0"/>
          <w:lang w:val="en-GB" w:eastAsia="en-US"/>
        </w:rPr>
        <w:t xml:space="preserve"> (AMPLIFY) compared to</w:t>
      </w:r>
      <w:r w:rsidR="005E6B03" w:rsidRPr="007C78AA">
        <w:rPr>
          <w:rFonts w:asciiTheme="minorHAnsi" w:hAnsiTheme="minorHAnsi"/>
          <w:snapToGrid w:val="0"/>
          <w:lang w:val="en-GB" w:eastAsia="en-US"/>
        </w:rPr>
        <w:t xml:space="preserve"> </w:t>
      </w:r>
      <w:r w:rsidR="005E66C8" w:rsidRPr="007C78AA">
        <w:rPr>
          <w:rFonts w:asciiTheme="minorHAnsi" w:hAnsiTheme="minorHAnsi"/>
          <w:snapToGrid w:val="0"/>
          <w:lang w:val="en-GB" w:eastAsia="en-US"/>
        </w:rPr>
        <w:t>VO</w:t>
      </w:r>
      <w:r w:rsidR="005E6B03" w:rsidRPr="005E6B03">
        <w:rPr>
          <w:rFonts w:asciiTheme="minorHAnsi" w:hAnsiTheme="minorHAnsi"/>
          <w:snapToGrid w:val="0"/>
          <w:lang w:val="en-GB" w:eastAsia="en-US"/>
        </w:rPr>
        <w:t xml:space="preserve"> </w:t>
      </w:r>
      <w:r w:rsidR="005E6B03">
        <w:rPr>
          <w:rFonts w:asciiTheme="minorHAnsi" w:hAnsiTheme="minorHAnsi"/>
          <w:snapToGrid w:val="0"/>
          <w:lang w:val="en-GB" w:eastAsia="en-US"/>
        </w:rPr>
        <w:t>(CLL13, CRISTALLO</w:t>
      </w:r>
      <w:r w:rsidR="0016077E">
        <w:rPr>
          <w:rFonts w:asciiTheme="minorHAnsi" w:hAnsiTheme="minorHAnsi"/>
          <w:snapToGrid w:val="0"/>
          <w:lang w:val="en-GB" w:eastAsia="en-US"/>
        </w:rPr>
        <w:t>,</w:t>
      </w:r>
      <w:r w:rsidR="0016077E" w:rsidRPr="0016077E">
        <w:rPr>
          <w:rFonts w:asciiTheme="minorHAnsi" w:hAnsiTheme="minorHAnsi"/>
          <w:snapToGrid w:val="0"/>
          <w:lang w:val="en-GB" w:eastAsia="en-US"/>
        </w:rPr>
        <w:t xml:space="preserve"> </w:t>
      </w:r>
      <w:r w:rsidR="0016077E">
        <w:rPr>
          <w:rFonts w:asciiTheme="minorHAnsi" w:hAnsiTheme="minorHAnsi"/>
          <w:snapToGrid w:val="0"/>
          <w:lang w:val="en-GB" w:eastAsia="en-US"/>
        </w:rPr>
        <w:t>CLL14</w:t>
      </w:r>
      <w:r w:rsidR="005E6B03">
        <w:rPr>
          <w:rFonts w:asciiTheme="minorHAnsi" w:hAnsiTheme="minorHAnsi"/>
          <w:snapToGrid w:val="0"/>
          <w:lang w:val="en-GB" w:eastAsia="en-US"/>
        </w:rPr>
        <w:t>)</w:t>
      </w:r>
      <w:r w:rsidR="00134BA3">
        <w:rPr>
          <w:rFonts w:asciiTheme="minorHAnsi" w:hAnsiTheme="minorHAnsi"/>
          <w:snapToGrid w:val="0"/>
          <w:lang w:val="en-GB" w:eastAsia="en-US"/>
        </w:rPr>
        <w:t>,</w:t>
      </w:r>
      <w:r w:rsidR="0028754E">
        <w:rPr>
          <w:rFonts w:asciiTheme="minorHAnsi" w:hAnsiTheme="minorHAnsi"/>
          <w:snapToGrid w:val="0"/>
          <w:lang w:val="en-GB" w:eastAsia="en-US"/>
        </w:rPr>
        <w:t xml:space="preserve"> </w:t>
      </w:r>
      <w:r w:rsidR="003061A5">
        <w:rPr>
          <w:rFonts w:asciiTheme="minorHAnsi" w:hAnsiTheme="minorHAnsi"/>
          <w:snapToGrid w:val="0"/>
          <w:lang w:val="en-GB" w:eastAsia="en-US"/>
        </w:rPr>
        <w:t xml:space="preserve">or </w:t>
      </w:r>
      <w:r w:rsidR="005E66C8" w:rsidRPr="007C78AA">
        <w:rPr>
          <w:rFonts w:asciiTheme="minorHAnsi" w:hAnsiTheme="minorHAnsi"/>
          <w:snapToGrid w:val="0"/>
          <w:lang w:val="en-GB" w:eastAsia="en-US"/>
        </w:rPr>
        <w:t>IV</w:t>
      </w:r>
      <w:r w:rsidR="00134BA3">
        <w:rPr>
          <w:rFonts w:asciiTheme="minorHAnsi" w:hAnsiTheme="minorHAnsi"/>
          <w:snapToGrid w:val="0"/>
          <w:lang w:val="en-GB" w:eastAsia="en-US"/>
        </w:rPr>
        <w:t xml:space="preserve"> </w:t>
      </w:r>
      <w:r w:rsidR="0016077E">
        <w:rPr>
          <w:rFonts w:asciiTheme="minorHAnsi" w:hAnsiTheme="minorHAnsi"/>
          <w:snapToGrid w:val="0"/>
          <w:lang w:val="en-GB" w:eastAsia="en-US"/>
        </w:rPr>
        <w:t>(GLOW, CAPTIVATE)</w:t>
      </w:r>
      <w:r w:rsidR="005E66C8" w:rsidRPr="007C78AA">
        <w:rPr>
          <w:rFonts w:asciiTheme="minorHAnsi" w:hAnsiTheme="minorHAnsi"/>
          <w:snapToGrid w:val="0"/>
          <w:lang w:val="en-GB" w:eastAsia="en-US"/>
        </w:rPr>
        <w:t>.</w:t>
      </w:r>
      <w:r w:rsidR="001F7D36" w:rsidRPr="007C78AA">
        <w:rPr>
          <w:rFonts w:asciiTheme="minorHAnsi" w:hAnsiTheme="minorHAnsi"/>
          <w:snapToGrid w:val="0"/>
          <w:lang w:val="en-GB" w:eastAsia="en-US"/>
        </w:rPr>
        <w:t xml:space="preserve"> The PBAC noted </w:t>
      </w:r>
      <w:r w:rsidR="00E47C53">
        <w:rPr>
          <w:rFonts w:asciiTheme="minorHAnsi" w:hAnsiTheme="minorHAnsi"/>
          <w:snapToGrid w:val="0"/>
          <w:lang w:val="en-GB" w:eastAsia="en-US"/>
        </w:rPr>
        <w:t>t</w:t>
      </w:r>
      <w:r w:rsidR="00E47C53" w:rsidRPr="00A55C25">
        <w:t>he main analysis presented</w:t>
      </w:r>
      <w:r w:rsidR="00E47C53">
        <w:t xml:space="preserve"> in</w:t>
      </w:r>
      <w:r w:rsidR="00E47C53" w:rsidRPr="00A55C25">
        <w:t xml:space="preserve"> </w:t>
      </w:r>
      <w:r w:rsidR="001F7D36" w:rsidRPr="007C78AA">
        <w:rPr>
          <w:rFonts w:asciiTheme="minorHAnsi" w:hAnsiTheme="minorHAnsi"/>
          <w:snapToGrid w:val="0"/>
          <w:lang w:val="en-GB" w:eastAsia="en-US"/>
        </w:rPr>
        <w:t xml:space="preserve">the </w:t>
      </w:r>
      <w:r w:rsidR="00E07437">
        <w:rPr>
          <w:rFonts w:asciiTheme="minorHAnsi" w:hAnsiTheme="minorHAnsi"/>
          <w:snapToGrid w:val="0"/>
          <w:lang w:val="en-GB" w:eastAsia="en-US"/>
        </w:rPr>
        <w:t xml:space="preserve">submission </w:t>
      </w:r>
      <w:r w:rsidR="00E47C53">
        <w:rPr>
          <w:rFonts w:asciiTheme="minorHAnsi" w:hAnsiTheme="minorHAnsi"/>
          <w:snapToGrid w:val="0"/>
          <w:lang w:val="en-GB" w:eastAsia="en-US"/>
        </w:rPr>
        <w:t xml:space="preserve">was </w:t>
      </w:r>
      <w:r w:rsidR="001F7D36" w:rsidRPr="007C78AA">
        <w:rPr>
          <w:rFonts w:asciiTheme="minorHAnsi" w:hAnsiTheme="minorHAnsi"/>
          <w:snapToGrid w:val="0"/>
          <w:lang w:val="en-GB" w:eastAsia="en-US"/>
        </w:rPr>
        <w:t>an anchored (Bucher) indirect treatment comparison</w:t>
      </w:r>
      <w:r w:rsidR="00987285" w:rsidRPr="007C78AA">
        <w:rPr>
          <w:rFonts w:asciiTheme="minorHAnsi" w:hAnsiTheme="minorHAnsi"/>
          <w:snapToGrid w:val="0"/>
          <w:lang w:val="en-GB" w:eastAsia="en-US"/>
        </w:rPr>
        <w:t xml:space="preserve"> </w:t>
      </w:r>
      <w:r w:rsidR="00EC1034">
        <w:rPr>
          <w:rFonts w:asciiTheme="minorHAnsi" w:hAnsiTheme="minorHAnsi"/>
          <w:snapToGrid w:val="0"/>
          <w:lang w:val="en-GB" w:eastAsia="en-US"/>
        </w:rPr>
        <w:t xml:space="preserve">(ITC) </w:t>
      </w:r>
      <w:r w:rsidR="00987285" w:rsidRPr="007C78AA">
        <w:rPr>
          <w:rFonts w:asciiTheme="minorHAnsi" w:hAnsiTheme="minorHAnsi"/>
          <w:snapToGrid w:val="0"/>
          <w:lang w:val="en-GB" w:eastAsia="en-US"/>
        </w:rPr>
        <w:t>that showed no statistically significant difference between AV and VO with respect to progression free survival (PFS) and overall survival (OS)</w:t>
      </w:r>
      <w:r w:rsidR="00A4634B">
        <w:rPr>
          <w:rFonts w:asciiTheme="minorHAnsi" w:hAnsiTheme="minorHAnsi"/>
          <w:snapToGrid w:val="0"/>
          <w:lang w:val="en-GB" w:eastAsia="en-US"/>
        </w:rPr>
        <w:t xml:space="preserve"> (see</w:t>
      </w:r>
      <w:r w:rsidR="00DD459D">
        <w:rPr>
          <w:rFonts w:asciiTheme="minorHAnsi" w:hAnsiTheme="minorHAnsi"/>
          <w:snapToGrid w:val="0"/>
          <w:lang w:val="en-GB" w:eastAsia="en-US"/>
        </w:rPr>
        <w:t xml:space="preserve"> </w:t>
      </w:r>
      <w:r w:rsidR="00DD459D">
        <w:rPr>
          <w:rFonts w:asciiTheme="minorHAnsi" w:hAnsiTheme="minorHAnsi"/>
          <w:snapToGrid w:val="0"/>
          <w:lang w:val="en-GB" w:eastAsia="en-US"/>
        </w:rPr>
        <w:fldChar w:fldCharType="begin"/>
      </w:r>
      <w:r w:rsidR="00DD459D">
        <w:rPr>
          <w:rFonts w:asciiTheme="minorHAnsi" w:hAnsiTheme="minorHAnsi"/>
          <w:snapToGrid w:val="0"/>
          <w:lang w:val="en-GB" w:eastAsia="en-US"/>
        </w:rPr>
        <w:instrText xml:space="preserve"> REF _Ref206508782 \h </w:instrText>
      </w:r>
      <w:r w:rsidR="00DD459D">
        <w:rPr>
          <w:rFonts w:asciiTheme="minorHAnsi" w:hAnsiTheme="minorHAnsi"/>
          <w:snapToGrid w:val="0"/>
          <w:lang w:val="en-GB" w:eastAsia="en-US"/>
        </w:rPr>
      </w:r>
      <w:r w:rsidR="00DD459D">
        <w:rPr>
          <w:rFonts w:asciiTheme="minorHAnsi" w:hAnsiTheme="minorHAnsi"/>
          <w:snapToGrid w:val="0"/>
          <w:lang w:val="en-GB" w:eastAsia="en-US"/>
        </w:rPr>
        <w:fldChar w:fldCharType="separate"/>
      </w:r>
      <w:r w:rsidR="00717804" w:rsidRPr="00A55C25">
        <w:t xml:space="preserve">Table </w:t>
      </w:r>
      <w:r w:rsidR="00717804">
        <w:rPr>
          <w:noProof/>
        </w:rPr>
        <w:t>4</w:t>
      </w:r>
      <w:r w:rsidR="00DD459D">
        <w:rPr>
          <w:rFonts w:asciiTheme="minorHAnsi" w:hAnsiTheme="minorHAnsi"/>
          <w:snapToGrid w:val="0"/>
          <w:lang w:val="en-GB" w:eastAsia="en-US"/>
        </w:rPr>
        <w:fldChar w:fldCharType="end"/>
      </w:r>
      <w:r w:rsidR="00DD459D">
        <w:rPr>
          <w:rFonts w:asciiTheme="minorHAnsi" w:hAnsiTheme="minorHAnsi"/>
          <w:snapToGrid w:val="0"/>
          <w:lang w:val="en-GB" w:eastAsia="en-US"/>
        </w:rPr>
        <w:t>)</w:t>
      </w:r>
      <w:r w:rsidR="002E737E" w:rsidRPr="007C78AA">
        <w:rPr>
          <w:rFonts w:asciiTheme="minorHAnsi" w:hAnsiTheme="minorHAnsi"/>
          <w:snapToGrid w:val="0"/>
          <w:lang w:val="en-GB" w:eastAsia="en-US"/>
        </w:rPr>
        <w:t xml:space="preserve">. </w:t>
      </w:r>
      <w:r w:rsidR="00F34981" w:rsidRPr="00F34981">
        <w:rPr>
          <w:rFonts w:asciiTheme="minorHAnsi" w:hAnsiTheme="minorHAnsi"/>
          <w:snapToGrid w:val="0"/>
          <w:lang w:val="en-GB" w:eastAsia="en-US"/>
        </w:rPr>
        <w:t xml:space="preserve">Additionally, the PBAC noted that </w:t>
      </w:r>
      <w:r w:rsidR="007739CA">
        <w:rPr>
          <w:rFonts w:asciiTheme="minorHAnsi" w:hAnsiTheme="minorHAnsi"/>
          <w:snapToGrid w:val="0"/>
          <w:lang w:val="en-GB" w:eastAsia="en-US"/>
        </w:rPr>
        <w:t xml:space="preserve">supportive evidence from </w:t>
      </w:r>
      <w:r w:rsidR="00F34981" w:rsidRPr="00F34981">
        <w:rPr>
          <w:rFonts w:asciiTheme="minorHAnsi" w:hAnsiTheme="minorHAnsi"/>
          <w:snapToGrid w:val="0"/>
          <w:lang w:val="en-GB" w:eastAsia="en-US"/>
        </w:rPr>
        <w:t>unanchored ITC</w:t>
      </w:r>
      <w:r w:rsidR="007739CA">
        <w:rPr>
          <w:rFonts w:asciiTheme="minorHAnsi" w:hAnsiTheme="minorHAnsi"/>
          <w:snapToGrid w:val="0"/>
          <w:lang w:val="en-GB" w:eastAsia="en-US"/>
        </w:rPr>
        <w:t>s</w:t>
      </w:r>
      <w:r w:rsidR="00F34981" w:rsidRPr="00F34981">
        <w:rPr>
          <w:rFonts w:asciiTheme="minorHAnsi" w:hAnsiTheme="minorHAnsi"/>
          <w:snapToGrid w:val="0"/>
          <w:lang w:val="en-GB" w:eastAsia="en-US"/>
        </w:rPr>
        <w:t xml:space="preserve"> </w:t>
      </w:r>
      <w:r w:rsidR="00BB55AF">
        <w:rPr>
          <w:rFonts w:asciiTheme="minorHAnsi" w:hAnsiTheme="minorHAnsi"/>
          <w:snapToGrid w:val="0"/>
          <w:lang w:val="en-GB" w:eastAsia="en-US"/>
        </w:rPr>
        <w:t>(</w:t>
      </w:r>
      <w:r w:rsidR="005771DC">
        <w:rPr>
          <w:rFonts w:asciiTheme="minorHAnsi" w:hAnsiTheme="minorHAnsi"/>
          <w:snapToGrid w:val="0"/>
          <w:lang w:val="en-GB" w:eastAsia="en-US"/>
        </w:rPr>
        <w:fldChar w:fldCharType="begin"/>
      </w:r>
      <w:r w:rsidR="005771DC">
        <w:rPr>
          <w:rFonts w:asciiTheme="minorHAnsi" w:hAnsiTheme="minorHAnsi"/>
          <w:snapToGrid w:val="0"/>
          <w:lang w:val="en-GB" w:eastAsia="en-US"/>
        </w:rPr>
        <w:instrText xml:space="preserve"> REF _Ref206509561 \h </w:instrText>
      </w:r>
      <w:r w:rsidR="005771DC">
        <w:rPr>
          <w:rFonts w:asciiTheme="minorHAnsi" w:hAnsiTheme="minorHAnsi"/>
          <w:snapToGrid w:val="0"/>
          <w:lang w:val="en-GB" w:eastAsia="en-US"/>
        </w:rPr>
      </w:r>
      <w:r w:rsidR="005771DC">
        <w:rPr>
          <w:rFonts w:asciiTheme="minorHAnsi" w:hAnsiTheme="minorHAnsi"/>
          <w:snapToGrid w:val="0"/>
          <w:lang w:val="en-GB" w:eastAsia="en-US"/>
        </w:rPr>
        <w:fldChar w:fldCharType="separate"/>
      </w:r>
      <w:r w:rsidR="00717804" w:rsidRPr="00A55C25">
        <w:t xml:space="preserve">Figure </w:t>
      </w:r>
      <w:r w:rsidR="00717804">
        <w:rPr>
          <w:noProof/>
        </w:rPr>
        <w:t>2</w:t>
      </w:r>
      <w:r w:rsidR="005771DC">
        <w:rPr>
          <w:rFonts w:asciiTheme="minorHAnsi" w:hAnsiTheme="minorHAnsi"/>
          <w:snapToGrid w:val="0"/>
          <w:lang w:val="en-GB" w:eastAsia="en-US"/>
        </w:rPr>
        <w:fldChar w:fldCharType="end"/>
      </w:r>
      <w:r w:rsidR="005771DC">
        <w:rPr>
          <w:rFonts w:asciiTheme="minorHAnsi" w:hAnsiTheme="minorHAnsi"/>
          <w:snapToGrid w:val="0"/>
          <w:lang w:val="en-GB" w:eastAsia="en-US"/>
        </w:rPr>
        <w:t xml:space="preserve">) and </w:t>
      </w:r>
      <w:r w:rsidR="005771DC" w:rsidRPr="00A55C25">
        <w:t>simulated treatment comparison</w:t>
      </w:r>
      <w:r w:rsidR="004E7446">
        <w:t>s</w:t>
      </w:r>
      <w:r w:rsidR="005771DC" w:rsidRPr="00F34981">
        <w:rPr>
          <w:rFonts w:asciiTheme="minorHAnsi" w:hAnsiTheme="minorHAnsi"/>
          <w:snapToGrid w:val="0"/>
          <w:lang w:val="en-GB" w:eastAsia="en-US"/>
        </w:rPr>
        <w:t xml:space="preserve"> </w:t>
      </w:r>
      <w:r w:rsidR="00E35BD6">
        <w:rPr>
          <w:rFonts w:asciiTheme="minorHAnsi" w:hAnsiTheme="minorHAnsi"/>
          <w:snapToGrid w:val="0"/>
          <w:lang w:val="en-GB" w:eastAsia="en-US"/>
        </w:rPr>
        <w:t>(</w:t>
      </w:r>
      <w:r w:rsidR="00E35BD6">
        <w:rPr>
          <w:rFonts w:asciiTheme="minorHAnsi" w:hAnsiTheme="minorHAnsi"/>
          <w:snapToGrid w:val="0"/>
          <w:lang w:val="en-GB" w:eastAsia="en-US"/>
        </w:rPr>
        <w:fldChar w:fldCharType="begin"/>
      </w:r>
      <w:r w:rsidR="00E35BD6">
        <w:rPr>
          <w:rFonts w:asciiTheme="minorHAnsi" w:hAnsiTheme="minorHAnsi"/>
          <w:snapToGrid w:val="0"/>
          <w:lang w:val="en-GB" w:eastAsia="en-US"/>
        </w:rPr>
        <w:instrText xml:space="preserve"> REF _Ref206509613 \h </w:instrText>
      </w:r>
      <w:r w:rsidR="00E35BD6">
        <w:rPr>
          <w:rFonts w:asciiTheme="minorHAnsi" w:hAnsiTheme="minorHAnsi"/>
          <w:snapToGrid w:val="0"/>
          <w:lang w:val="en-GB" w:eastAsia="en-US"/>
        </w:rPr>
      </w:r>
      <w:r w:rsidR="00E35BD6">
        <w:rPr>
          <w:rFonts w:asciiTheme="minorHAnsi" w:hAnsiTheme="minorHAnsi"/>
          <w:snapToGrid w:val="0"/>
          <w:lang w:val="en-GB" w:eastAsia="en-US"/>
        </w:rPr>
        <w:fldChar w:fldCharType="separate"/>
      </w:r>
      <w:r w:rsidR="00717804" w:rsidRPr="00A55C25">
        <w:t xml:space="preserve">Table </w:t>
      </w:r>
      <w:r w:rsidR="00717804">
        <w:rPr>
          <w:noProof/>
        </w:rPr>
        <w:t>5</w:t>
      </w:r>
      <w:r w:rsidR="00E35BD6">
        <w:rPr>
          <w:rFonts w:asciiTheme="minorHAnsi" w:hAnsiTheme="minorHAnsi"/>
          <w:snapToGrid w:val="0"/>
          <w:lang w:val="en-GB" w:eastAsia="en-US"/>
        </w:rPr>
        <w:fldChar w:fldCharType="end"/>
      </w:r>
      <w:r w:rsidR="007739CA">
        <w:rPr>
          <w:rFonts w:asciiTheme="minorHAnsi" w:hAnsiTheme="minorHAnsi"/>
          <w:snapToGrid w:val="0"/>
          <w:lang w:val="en-GB" w:eastAsia="en-US"/>
        </w:rPr>
        <w:t>)</w:t>
      </w:r>
      <w:r w:rsidR="004E7446">
        <w:rPr>
          <w:rFonts w:asciiTheme="minorHAnsi" w:hAnsiTheme="minorHAnsi"/>
          <w:snapToGrid w:val="0"/>
          <w:lang w:val="en-GB" w:eastAsia="en-US"/>
        </w:rPr>
        <w:t xml:space="preserve"> </w:t>
      </w:r>
      <w:r w:rsidR="00F34981" w:rsidRPr="00F34981">
        <w:rPr>
          <w:rFonts w:asciiTheme="minorHAnsi" w:hAnsiTheme="minorHAnsi"/>
          <w:snapToGrid w:val="0"/>
          <w:lang w:val="en-GB" w:eastAsia="en-US"/>
        </w:rPr>
        <w:t xml:space="preserve">showed no significant difference between AV and VO or </w:t>
      </w:r>
      <w:r w:rsidR="00EC1034">
        <w:rPr>
          <w:rFonts w:asciiTheme="minorHAnsi" w:hAnsiTheme="minorHAnsi"/>
          <w:snapToGrid w:val="0"/>
          <w:lang w:val="en-GB" w:eastAsia="en-US"/>
        </w:rPr>
        <w:t xml:space="preserve">AV and </w:t>
      </w:r>
      <w:r w:rsidR="00F34981" w:rsidRPr="00F34981">
        <w:rPr>
          <w:rFonts w:asciiTheme="minorHAnsi" w:hAnsiTheme="minorHAnsi"/>
          <w:snapToGrid w:val="0"/>
          <w:lang w:val="en-GB" w:eastAsia="en-US"/>
        </w:rPr>
        <w:t xml:space="preserve">IV. </w:t>
      </w:r>
    </w:p>
    <w:p w14:paraId="3103E0D7" w14:textId="3EA6FDC2" w:rsidR="006645F3" w:rsidRPr="00E7378A" w:rsidRDefault="006645F3" w:rsidP="00C225D2">
      <w:pPr>
        <w:widowControl w:val="0"/>
        <w:numPr>
          <w:ilvl w:val="1"/>
          <w:numId w:val="1"/>
        </w:numPr>
        <w:spacing w:after="120"/>
        <w:rPr>
          <w:rFonts w:asciiTheme="minorHAnsi" w:hAnsiTheme="minorHAnsi"/>
          <w:snapToGrid w:val="0"/>
          <w:lang w:val="en-GB" w:eastAsia="en-US"/>
        </w:rPr>
      </w:pPr>
      <w:r w:rsidRPr="00E7378A">
        <w:rPr>
          <w:rFonts w:asciiTheme="minorHAnsi" w:hAnsiTheme="minorHAnsi"/>
          <w:snapToGrid w:val="0"/>
          <w:lang w:val="en-GB" w:eastAsia="en-US"/>
        </w:rPr>
        <w:t xml:space="preserve">The PBAC noted that the submission had not presented </w:t>
      </w:r>
      <w:r w:rsidR="00767E1E" w:rsidRPr="00E7378A">
        <w:rPr>
          <w:rFonts w:asciiTheme="minorHAnsi" w:hAnsiTheme="minorHAnsi"/>
          <w:snapToGrid w:val="0"/>
          <w:lang w:val="en-GB" w:eastAsia="en-US"/>
        </w:rPr>
        <w:t xml:space="preserve">results from AMPLIFY </w:t>
      </w:r>
      <w:r w:rsidRPr="00E7378A">
        <w:rPr>
          <w:rFonts w:asciiTheme="minorHAnsi" w:hAnsiTheme="minorHAnsi"/>
          <w:snapToGrid w:val="0"/>
          <w:lang w:val="en-GB" w:eastAsia="en-US"/>
        </w:rPr>
        <w:t xml:space="preserve">for </w:t>
      </w:r>
      <w:r w:rsidR="002B15C8" w:rsidRPr="00E7378A">
        <w:rPr>
          <w:rFonts w:asciiTheme="minorHAnsi" w:hAnsiTheme="minorHAnsi"/>
          <w:snapToGrid w:val="0"/>
          <w:lang w:val="en-GB" w:eastAsia="en-US"/>
        </w:rPr>
        <w:t xml:space="preserve">the </w:t>
      </w:r>
      <w:r w:rsidR="0064234A" w:rsidRPr="00E7378A">
        <w:rPr>
          <w:rFonts w:asciiTheme="minorHAnsi" w:hAnsiTheme="minorHAnsi"/>
          <w:snapToGrid w:val="0"/>
          <w:lang w:val="en-GB" w:eastAsia="en-US"/>
        </w:rPr>
        <w:lastRenderedPageBreak/>
        <w:t xml:space="preserve">key </w:t>
      </w:r>
      <w:r w:rsidR="002B15C8" w:rsidRPr="00E7378A">
        <w:rPr>
          <w:rFonts w:asciiTheme="minorHAnsi" w:hAnsiTheme="minorHAnsi"/>
          <w:snapToGrid w:val="0"/>
          <w:lang w:val="en-GB" w:eastAsia="en-US"/>
        </w:rPr>
        <w:t xml:space="preserve">secondary </w:t>
      </w:r>
      <w:r w:rsidR="0064234A" w:rsidRPr="00E7378A">
        <w:rPr>
          <w:rFonts w:asciiTheme="minorHAnsi" w:hAnsiTheme="minorHAnsi"/>
          <w:snapToGrid w:val="0"/>
          <w:lang w:val="en-GB" w:eastAsia="en-US"/>
        </w:rPr>
        <w:t xml:space="preserve">endpoint </w:t>
      </w:r>
      <w:r w:rsidR="002B15C8" w:rsidRPr="00E7378A">
        <w:rPr>
          <w:rFonts w:asciiTheme="minorHAnsi" w:hAnsiTheme="minorHAnsi"/>
          <w:snapToGrid w:val="0"/>
          <w:lang w:val="en-GB" w:eastAsia="en-US"/>
        </w:rPr>
        <w:t xml:space="preserve">of </w:t>
      </w:r>
      <w:r w:rsidR="000C5126" w:rsidRPr="00E7378A">
        <w:rPr>
          <w:rFonts w:asciiTheme="minorHAnsi" w:hAnsiTheme="minorHAnsi"/>
          <w:snapToGrid w:val="0"/>
          <w:lang w:val="en-GB" w:eastAsia="en-US"/>
        </w:rPr>
        <w:t xml:space="preserve">minimal residual disease </w:t>
      </w:r>
      <w:r w:rsidR="00C57CD8" w:rsidRPr="00E7378A">
        <w:rPr>
          <w:rFonts w:asciiTheme="minorHAnsi" w:hAnsiTheme="minorHAnsi"/>
          <w:snapToGrid w:val="0"/>
          <w:lang w:val="en-GB" w:eastAsia="en-US"/>
        </w:rPr>
        <w:t xml:space="preserve">negativity rate </w:t>
      </w:r>
      <w:r w:rsidR="000C5126" w:rsidRPr="00E7378A">
        <w:rPr>
          <w:rFonts w:asciiTheme="minorHAnsi" w:hAnsiTheme="minorHAnsi"/>
          <w:snapToGrid w:val="0"/>
          <w:lang w:val="en-GB" w:eastAsia="en-US"/>
        </w:rPr>
        <w:t>(</w:t>
      </w:r>
      <w:r w:rsidR="00166644" w:rsidRPr="00E7378A">
        <w:rPr>
          <w:rFonts w:asciiTheme="minorHAnsi" w:hAnsiTheme="minorHAnsi"/>
          <w:snapToGrid w:val="0"/>
          <w:lang w:val="en-GB" w:eastAsia="en-US"/>
        </w:rPr>
        <w:t>undetectable minimal residual disease (</w:t>
      </w:r>
      <w:proofErr w:type="spellStart"/>
      <w:r w:rsidR="000C5126" w:rsidRPr="00E7378A">
        <w:rPr>
          <w:rFonts w:asciiTheme="minorHAnsi" w:hAnsiTheme="minorHAnsi"/>
          <w:snapToGrid w:val="0"/>
          <w:lang w:val="en-GB" w:eastAsia="en-US"/>
        </w:rPr>
        <w:t>uMRD</w:t>
      </w:r>
      <w:proofErr w:type="spellEnd"/>
      <w:r w:rsidR="00166644" w:rsidRPr="00E7378A">
        <w:rPr>
          <w:rFonts w:asciiTheme="minorHAnsi" w:hAnsiTheme="minorHAnsi"/>
          <w:snapToGrid w:val="0"/>
          <w:lang w:val="en-GB" w:eastAsia="en-US"/>
        </w:rPr>
        <w:t>)</w:t>
      </w:r>
      <w:r w:rsidR="000C5126" w:rsidRPr="00E7378A">
        <w:rPr>
          <w:rFonts w:asciiTheme="minorHAnsi" w:hAnsiTheme="minorHAnsi"/>
          <w:snapToGrid w:val="0"/>
          <w:lang w:val="en-GB" w:eastAsia="en-US"/>
        </w:rPr>
        <w:t>)</w:t>
      </w:r>
      <w:r w:rsidR="00767E1E" w:rsidRPr="00E7378A">
        <w:rPr>
          <w:rFonts w:asciiTheme="minorHAnsi" w:hAnsiTheme="minorHAnsi"/>
          <w:snapToGrid w:val="0"/>
          <w:lang w:val="en-GB" w:eastAsia="en-US"/>
        </w:rPr>
        <w:t>,</w:t>
      </w:r>
      <w:r w:rsidR="00BF73BD" w:rsidRPr="00E7378A">
        <w:rPr>
          <w:rFonts w:asciiTheme="minorHAnsi" w:hAnsiTheme="minorHAnsi"/>
          <w:snapToGrid w:val="0"/>
          <w:lang w:val="en-GB" w:eastAsia="en-US"/>
        </w:rPr>
        <w:t xml:space="preserve"> </w:t>
      </w:r>
      <w:r w:rsidR="00E103EA" w:rsidRPr="00E7378A">
        <w:rPr>
          <w:rFonts w:asciiTheme="minorHAnsi" w:hAnsiTheme="minorHAnsi"/>
          <w:snapToGrid w:val="0"/>
          <w:lang w:val="en-GB" w:eastAsia="en-US"/>
        </w:rPr>
        <w:t xml:space="preserve">which </w:t>
      </w:r>
      <w:r w:rsidR="00BB26ED">
        <w:rPr>
          <w:rFonts w:asciiTheme="minorHAnsi" w:hAnsiTheme="minorHAnsi"/>
          <w:snapToGrid w:val="0"/>
          <w:lang w:val="en-GB" w:eastAsia="en-US"/>
        </w:rPr>
        <w:t xml:space="preserve">the Committee </w:t>
      </w:r>
      <w:r w:rsidR="00476377">
        <w:rPr>
          <w:rFonts w:asciiTheme="minorHAnsi" w:hAnsiTheme="minorHAnsi"/>
          <w:snapToGrid w:val="0"/>
          <w:lang w:val="en-GB" w:eastAsia="en-US"/>
        </w:rPr>
        <w:t>not</w:t>
      </w:r>
      <w:r w:rsidR="006F0D11">
        <w:rPr>
          <w:rFonts w:asciiTheme="minorHAnsi" w:hAnsiTheme="minorHAnsi"/>
          <w:snapToGrid w:val="0"/>
          <w:lang w:val="en-GB" w:eastAsia="en-US"/>
        </w:rPr>
        <w:t xml:space="preserve">ed </w:t>
      </w:r>
      <w:r w:rsidR="00E103EA" w:rsidRPr="00E7378A">
        <w:rPr>
          <w:rFonts w:asciiTheme="minorHAnsi" w:hAnsiTheme="minorHAnsi"/>
          <w:snapToGrid w:val="0"/>
          <w:lang w:val="en-GB" w:eastAsia="en-US"/>
        </w:rPr>
        <w:t>is recognised as clinically meaningful in trials and generally accepted as predictive of PFS</w:t>
      </w:r>
      <w:r w:rsidR="000E6DD7" w:rsidRPr="00E7378A">
        <w:rPr>
          <w:rFonts w:asciiTheme="minorHAnsi" w:hAnsiTheme="minorHAnsi"/>
          <w:snapToGrid w:val="0"/>
          <w:lang w:val="en-GB" w:eastAsia="en-US"/>
        </w:rPr>
        <w:t>. The Committee noted</w:t>
      </w:r>
      <w:r w:rsidR="004824FA">
        <w:rPr>
          <w:rFonts w:asciiTheme="minorHAnsi" w:hAnsiTheme="minorHAnsi"/>
          <w:snapToGrid w:val="0"/>
          <w:lang w:val="en-GB" w:eastAsia="en-US"/>
        </w:rPr>
        <w:t xml:space="preserve"> that</w:t>
      </w:r>
      <w:r w:rsidR="00CF1247" w:rsidRPr="00E7378A">
        <w:rPr>
          <w:rFonts w:asciiTheme="minorHAnsi" w:hAnsiTheme="minorHAnsi"/>
          <w:snapToGrid w:val="0"/>
          <w:lang w:val="en-GB" w:eastAsia="en-US"/>
        </w:rPr>
        <w:t xml:space="preserve"> </w:t>
      </w:r>
      <w:r w:rsidR="005D788A">
        <w:rPr>
          <w:rFonts w:asciiTheme="minorHAnsi" w:hAnsiTheme="minorHAnsi"/>
          <w:snapToGrid w:val="0"/>
          <w:lang w:val="en-GB" w:eastAsia="en-US"/>
        </w:rPr>
        <w:t>in AMPLIFY</w:t>
      </w:r>
      <w:r w:rsidR="007F2CA8">
        <w:rPr>
          <w:rFonts w:asciiTheme="minorHAnsi" w:hAnsiTheme="minorHAnsi"/>
          <w:snapToGrid w:val="0"/>
          <w:lang w:val="en-GB" w:eastAsia="en-US"/>
        </w:rPr>
        <w:t xml:space="preserve">, </w:t>
      </w:r>
      <w:r w:rsidR="00F57B27">
        <w:rPr>
          <w:rFonts w:asciiTheme="minorHAnsi" w:hAnsiTheme="minorHAnsi"/>
          <w:snapToGrid w:val="0"/>
          <w:lang w:val="en-GB" w:eastAsia="en-US"/>
        </w:rPr>
        <w:t xml:space="preserve">the </w:t>
      </w:r>
      <w:r w:rsidR="001B2CC8" w:rsidRPr="00E7378A">
        <w:rPr>
          <w:rFonts w:asciiTheme="minorHAnsi" w:hAnsiTheme="minorHAnsi"/>
          <w:snapToGrid w:val="0"/>
          <w:lang w:val="en-GB" w:eastAsia="en-US"/>
        </w:rPr>
        <w:t xml:space="preserve">MRD negativity rate was lower in </w:t>
      </w:r>
      <w:r w:rsidR="007F2CA8">
        <w:rPr>
          <w:rFonts w:asciiTheme="minorHAnsi" w:hAnsiTheme="minorHAnsi"/>
          <w:snapToGrid w:val="0"/>
          <w:lang w:val="en-GB" w:eastAsia="en-US"/>
        </w:rPr>
        <w:t xml:space="preserve">patients treated with </w:t>
      </w:r>
      <w:r w:rsidR="001B2CC8" w:rsidRPr="00E7378A">
        <w:rPr>
          <w:rFonts w:asciiTheme="minorHAnsi" w:hAnsiTheme="minorHAnsi"/>
          <w:snapToGrid w:val="0"/>
          <w:lang w:val="en-GB" w:eastAsia="en-US"/>
        </w:rPr>
        <w:t xml:space="preserve">AV </w:t>
      </w:r>
      <w:r w:rsidR="0020293E">
        <w:rPr>
          <w:rFonts w:asciiTheme="minorHAnsi" w:hAnsiTheme="minorHAnsi"/>
          <w:snapToGrid w:val="0"/>
          <w:lang w:val="en-GB" w:eastAsia="en-US"/>
        </w:rPr>
        <w:t xml:space="preserve">rather </w:t>
      </w:r>
      <w:r w:rsidR="001B2CC8" w:rsidRPr="00E7378A">
        <w:rPr>
          <w:rFonts w:asciiTheme="minorHAnsi" w:hAnsiTheme="minorHAnsi"/>
          <w:snapToGrid w:val="0"/>
          <w:lang w:val="en-GB" w:eastAsia="en-US"/>
        </w:rPr>
        <w:t xml:space="preserve">than </w:t>
      </w:r>
      <w:r w:rsidR="00510D93">
        <w:rPr>
          <w:rFonts w:asciiTheme="minorHAnsi" w:hAnsiTheme="minorHAnsi"/>
          <w:snapToGrid w:val="0"/>
          <w:lang w:val="en-GB" w:eastAsia="en-US"/>
        </w:rPr>
        <w:t>immunochemotherapy</w:t>
      </w:r>
      <w:r w:rsidR="0020293E">
        <w:rPr>
          <w:rFonts w:asciiTheme="minorHAnsi" w:hAnsiTheme="minorHAnsi"/>
          <w:snapToGrid w:val="0"/>
          <w:lang w:val="en-GB" w:eastAsia="en-US"/>
        </w:rPr>
        <w:t>,</w:t>
      </w:r>
      <w:r w:rsidR="00DF4CEB" w:rsidRPr="00E7378A">
        <w:rPr>
          <w:rFonts w:asciiTheme="minorHAnsi" w:hAnsiTheme="minorHAnsi"/>
          <w:snapToGrid w:val="0"/>
          <w:lang w:val="en-GB" w:eastAsia="en-US"/>
        </w:rPr>
        <w:t xml:space="preserve"> </w:t>
      </w:r>
      <w:r w:rsidR="00D32811">
        <w:rPr>
          <w:rFonts w:asciiTheme="minorHAnsi" w:hAnsiTheme="minorHAnsi"/>
          <w:snapToGrid w:val="0"/>
          <w:lang w:val="en-GB" w:eastAsia="en-US"/>
        </w:rPr>
        <w:t>and that</w:t>
      </w:r>
      <w:r w:rsidR="005318FB" w:rsidRPr="00E7378A">
        <w:rPr>
          <w:rFonts w:asciiTheme="minorHAnsi" w:hAnsiTheme="minorHAnsi"/>
          <w:snapToGrid w:val="0"/>
          <w:lang w:val="en-GB" w:eastAsia="en-US"/>
        </w:rPr>
        <w:t xml:space="preserve"> </w:t>
      </w:r>
      <w:r w:rsidR="00DF4CEB" w:rsidRPr="00E7378A">
        <w:rPr>
          <w:rFonts w:asciiTheme="minorHAnsi" w:hAnsiTheme="minorHAnsi"/>
          <w:snapToGrid w:val="0"/>
          <w:lang w:val="en-GB" w:eastAsia="en-US"/>
        </w:rPr>
        <w:t>t</w:t>
      </w:r>
      <w:r w:rsidR="001B2CC8" w:rsidRPr="00E7378A">
        <w:rPr>
          <w:rFonts w:asciiTheme="minorHAnsi" w:hAnsiTheme="minorHAnsi"/>
          <w:snapToGrid w:val="0"/>
          <w:lang w:val="en-GB" w:eastAsia="en-US"/>
        </w:rPr>
        <w:t xml:space="preserve">he </w:t>
      </w:r>
      <w:r w:rsidR="00DF4CEB" w:rsidRPr="00E7378A">
        <w:rPr>
          <w:rFonts w:asciiTheme="minorHAnsi" w:hAnsiTheme="minorHAnsi"/>
          <w:snapToGrid w:val="0"/>
          <w:lang w:val="en-GB" w:eastAsia="en-US"/>
        </w:rPr>
        <w:t>percentage of</w:t>
      </w:r>
      <w:r w:rsidR="001B2CC8" w:rsidRPr="00E7378A">
        <w:rPr>
          <w:rFonts w:asciiTheme="minorHAnsi" w:hAnsiTheme="minorHAnsi"/>
          <w:snapToGrid w:val="0"/>
          <w:lang w:val="en-GB" w:eastAsia="en-US"/>
        </w:rPr>
        <w:t xml:space="preserve"> patients with </w:t>
      </w:r>
      <w:r w:rsidR="0033320C">
        <w:rPr>
          <w:rFonts w:asciiTheme="minorHAnsi" w:hAnsiTheme="minorHAnsi"/>
          <w:snapToGrid w:val="0"/>
          <w:lang w:val="en-GB" w:eastAsia="en-US"/>
        </w:rPr>
        <w:t xml:space="preserve">peripheral blood </w:t>
      </w:r>
      <w:r w:rsidR="00B22EBA">
        <w:rPr>
          <w:rFonts w:asciiTheme="minorHAnsi" w:hAnsiTheme="minorHAnsi"/>
          <w:snapToGrid w:val="0"/>
          <w:lang w:val="en-GB" w:eastAsia="en-US"/>
        </w:rPr>
        <w:t xml:space="preserve">(PB) </w:t>
      </w:r>
      <w:proofErr w:type="spellStart"/>
      <w:r w:rsidR="001B2CC8" w:rsidRPr="00E7378A">
        <w:rPr>
          <w:rFonts w:asciiTheme="minorHAnsi" w:hAnsiTheme="minorHAnsi"/>
          <w:snapToGrid w:val="0"/>
          <w:lang w:val="en-GB" w:eastAsia="en-US"/>
        </w:rPr>
        <w:t>uMRD</w:t>
      </w:r>
      <w:proofErr w:type="spellEnd"/>
      <w:r w:rsidR="001B2CC8" w:rsidRPr="00E7378A">
        <w:rPr>
          <w:rFonts w:asciiTheme="minorHAnsi" w:hAnsiTheme="minorHAnsi"/>
          <w:snapToGrid w:val="0"/>
          <w:lang w:val="en-GB" w:eastAsia="en-US"/>
        </w:rPr>
        <w:t xml:space="preserve"> (&lt;1 CLL cell per 10,000 leukocytes) </w:t>
      </w:r>
      <w:r w:rsidR="00D32811">
        <w:rPr>
          <w:rFonts w:asciiTheme="minorHAnsi" w:hAnsiTheme="minorHAnsi"/>
          <w:snapToGrid w:val="0"/>
          <w:lang w:val="en-GB" w:eastAsia="en-US"/>
        </w:rPr>
        <w:t>was</w:t>
      </w:r>
      <w:r w:rsidR="008632D0" w:rsidRPr="00E7378A">
        <w:rPr>
          <w:rFonts w:asciiTheme="minorHAnsi" w:hAnsiTheme="minorHAnsi"/>
          <w:snapToGrid w:val="0"/>
          <w:lang w:val="en-GB" w:eastAsia="en-US"/>
        </w:rPr>
        <w:t xml:space="preserve"> </w:t>
      </w:r>
      <w:r w:rsidR="001B2CC8" w:rsidRPr="00E7378A">
        <w:rPr>
          <w:rFonts w:asciiTheme="minorHAnsi" w:hAnsiTheme="minorHAnsi"/>
          <w:snapToGrid w:val="0"/>
          <w:lang w:val="en-GB" w:eastAsia="en-US"/>
        </w:rPr>
        <w:t xml:space="preserve">26.8% in the AV group and 51% in the FCR/BR </w:t>
      </w:r>
      <w:r w:rsidR="00DF4CEB" w:rsidRPr="00E7378A">
        <w:rPr>
          <w:rFonts w:asciiTheme="minorHAnsi" w:hAnsiTheme="minorHAnsi"/>
          <w:snapToGrid w:val="0"/>
          <w:lang w:val="en-GB" w:eastAsia="en-US"/>
        </w:rPr>
        <w:t xml:space="preserve">group </w:t>
      </w:r>
      <w:r w:rsidR="00F202B9" w:rsidRPr="00E7378A">
        <w:rPr>
          <w:rFonts w:asciiTheme="minorHAnsi" w:hAnsiTheme="minorHAnsi"/>
          <w:snapToGrid w:val="0"/>
          <w:lang w:val="en-GB" w:eastAsia="en-US"/>
        </w:rPr>
        <w:t xml:space="preserve">at </w:t>
      </w:r>
      <w:r w:rsidR="00D55AA0" w:rsidRPr="00E7378A">
        <w:rPr>
          <w:rFonts w:asciiTheme="minorHAnsi" w:hAnsiTheme="minorHAnsi"/>
          <w:snapToGrid w:val="0"/>
          <w:lang w:val="en-GB" w:eastAsia="en-US"/>
        </w:rPr>
        <w:t xml:space="preserve">cycle 9 day 1 </w:t>
      </w:r>
      <w:r w:rsidR="00DF4CEB" w:rsidRPr="00E7378A">
        <w:rPr>
          <w:rFonts w:asciiTheme="minorHAnsi" w:hAnsiTheme="minorHAnsi"/>
          <w:snapToGrid w:val="0"/>
          <w:lang w:val="en-GB" w:eastAsia="en-US"/>
        </w:rPr>
        <w:t>(TGA 2</w:t>
      </w:r>
      <w:r w:rsidR="00DF4CEB" w:rsidRPr="00E7378A">
        <w:rPr>
          <w:rFonts w:asciiTheme="minorHAnsi" w:hAnsiTheme="minorHAnsi"/>
          <w:snapToGrid w:val="0"/>
          <w:vertAlign w:val="superscript"/>
          <w:lang w:val="en-GB" w:eastAsia="en-US"/>
        </w:rPr>
        <w:t>nd</w:t>
      </w:r>
      <w:r w:rsidR="00DF4CEB" w:rsidRPr="00E7378A">
        <w:rPr>
          <w:rFonts w:asciiTheme="minorHAnsi" w:hAnsiTheme="minorHAnsi"/>
          <w:snapToGrid w:val="0"/>
          <w:lang w:val="en-GB" w:eastAsia="en-US"/>
        </w:rPr>
        <w:t xml:space="preserve"> Round Clinical Evaluation Report)</w:t>
      </w:r>
      <w:r w:rsidR="00424488">
        <w:rPr>
          <w:rFonts w:asciiTheme="minorHAnsi" w:hAnsiTheme="minorHAnsi"/>
          <w:snapToGrid w:val="0"/>
          <w:lang w:val="en-GB" w:eastAsia="en-US"/>
        </w:rPr>
        <w:t>,</w:t>
      </w:r>
      <w:r w:rsidR="00A473C5">
        <w:rPr>
          <w:rFonts w:asciiTheme="minorHAnsi" w:hAnsiTheme="minorHAnsi"/>
          <w:snapToGrid w:val="0"/>
          <w:lang w:val="en-GB" w:eastAsia="en-US"/>
        </w:rPr>
        <w:t xml:space="preserve"> </w:t>
      </w:r>
      <w:r w:rsidR="00F60F6C" w:rsidRPr="00E7378A">
        <w:rPr>
          <w:rFonts w:asciiTheme="minorHAnsi" w:hAnsiTheme="minorHAnsi"/>
          <w:snapToGrid w:val="0"/>
          <w:lang w:val="en-GB" w:eastAsia="en-US"/>
        </w:rPr>
        <w:t xml:space="preserve">34.4% </w:t>
      </w:r>
      <w:r w:rsidR="00743AC1">
        <w:rPr>
          <w:rFonts w:asciiTheme="minorHAnsi" w:hAnsiTheme="minorHAnsi"/>
          <w:snapToGrid w:val="0"/>
          <w:lang w:val="en-GB" w:eastAsia="en-US"/>
        </w:rPr>
        <w:t xml:space="preserve">versus 45.5% </w:t>
      </w:r>
      <w:r w:rsidR="00F60F6C" w:rsidRPr="00E7378A">
        <w:rPr>
          <w:rFonts w:asciiTheme="minorHAnsi" w:hAnsiTheme="minorHAnsi"/>
          <w:snapToGrid w:val="0"/>
          <w:lang w:val="en-GB" w:eastAsia="en-US"/>
        </w:rPr>
        <w:t xml:space="preserve">at the end of treatment, and 29.9% </w:t>
      </w:r>
      <w:r w:rsidR="00743AC1">
        <w:rPr>
          <w:rFonts w:asciiTheme="minorHAnsi" w:hAnsiTheme="minorHAnsi"/>
          <w:snapToGrid w:val="0"/>
          <w:lang w:val="en-GB" w:eastAsia="en-US"/>
        </w:rPr>
        <w:t xml:space="preserve">versus 51% </w:t>
      </w:r>
      <w:r w:rsidR="00F60F6C" w:rsidRPr="00E7378A">
        <w:rPr>
          <w:rFonts w:asciiTheme="minorHAnsi" w:hAnsiTheme="minorHAnsi"/>
          <w:snapToGrid w:val="0"/>
          <w:lang w:val="en-GB" w:eastAsia="en-US"/>
        </w:rPr>
        <w:t>at 3 months post-treatment</w:t>
      </w:r>
      <w:bookmarkStart w:id="51" w:name="_Ref214012207"/>
      <w:r w:rsidR="005F5691">
        <w:rPr>
          <w:rStyle w:val="FootnoteReference"/>
          <w:rFonts w:asciiTheme="minorHAnsi" w:hAnsiTheme="minorHAnsi"/>
          <w:snapToGrid w:val="0"/>
          <w:lang w:val="en-GB" w:eastAsia="en-US"/>
        </w:rPr>
        <w:footnoteReference w:id="1"/>
      </w:r>
      <w:bookmarkEnd w:id="51"/>
      <w:r w:rsidR="0033320C">
        <w:rPr>
          <w:rFonts w:asciiTheme="minorHAnsi" w:hAnsiTheme="minorHAnsi"/>
          <w:snapToGrid w:val="0"/>
          <w:lang w:val="en-GB" w:eastAsia="en-US"/>
        </w:rPr>
        <w:t xml:space="preserve">. </w:t>
      </w:r>
      <w:r w:rsidR="000104AE">
        <w:rPr>
          <w:rFonts w:asciiTheme="minorHAnsi" w:hAnsiTheme="minorHAnsi"/>
          <w:snapToGrid w:val="0"/>
          <w:lang w:val="en-GB" w:eastAsia="en-US"/>
        </w:rPr>
        <w:t>In comparison, t</w:t>
      </w:r>
      <w:r w:rsidR="00B04DCF" w:rsidRPr="00E7378A">
        <w:rPr>
          <w:rFonts w:asciiTheme="minorHAnsi" w:hAnsiTheme="minorHAnsi"/>
          <w:snapToGrid w:val="0"/>
          <w:lang w:val="en-GB" w:eastAsia="en-US"/>
        </w:rPr>
        <w:t xml:space="preserve">he PBAC noted </w:t>
      </w:r>
      <w:r w:rsidR="00030080">
        <w:rPr>
          <w:rFonts w:asciiTheme="minorHAnsi" w:hAnsiTheme="minorHAnsi"/>
          <w:snapToGrid w:val="0"/>
          <w:lang w:val="en-GB" w:eastAsia="en-US"/>
        </w:rPr>
        <w:t xml:space="preserve">that </w:t>
      </w:r>
      <w:r w:rsidR="00B22EBA">
        <w:rPr>
          <w:rFonts w:asciiTheme="minorHAnsi" w:hAnsiTheme="minorHAnsi"/>
          <w:snapToGrid w:val="0"/>
          <w:lang w:val="en-GB" w:eastAsia="en-US"/>
        </w:rPr>
        <w:t>PB</w:t>
      </w:r>
      <w:r w:rsidR="00B04DCF" w:rsidRPr="00E7378A">
        <w:rPr>
          <w:rFonts w:asciiTheme="minorHAnsi" w:hAnsiTheme="minorHAnsi"/>
          <w:snapToGrid w:val="0"/>
          <w:lang w:val="en-GB" w:eastAsia="en-US"/>
        </w:rPr>
        <w:t xml:space="preserve"> </w:t>
      </w:r>
      <w:proofErr w:type="spellStart"/>
      <w:r w:rsidR="00B04DCF" w:rsidRPr="00E7378A">
        <w:rPr>
          <w:rFonts w:asciiTheme="minorHAnsi" w:hAnsiTheme="minorHAnsi"/>
          <w:snapToGrid w:val="0"/>
          <w:lang w:val="en-GB" w:eastAsia="en-US"/>
        </w:rPr>
        <w:t>uMRD</w:t>
      </w:r>
      <w:proofErr w:type="spellEnd"/>
      <w:r w:rsidR="00B04DCF" w:rsidRPr="00E7378A">
        <w:rPr>
          <w:rFonts w:asciiTheme="minorHAnsi" w:hAnsiTheme="minorHAnsi"/>
          <w:snapToGrid w:val="0"/>
          <w:lang w:val="en-GB" w:eastAsia="en-US"/>
        </w:rPr>
        <w:t xml:space="preserve">  &lt;10</w:t>
      </w:r>
      <w:r w:rsidR="00B04DCF" w:rsidRPr="002A5960">
        <w:rPr>
          <w:rFonts w:asciiTheme="minorHAnsi" w:hAnsiTheme="minorHAnsi"/>
          <w:snapToGrid w:val="0"/>
          <w:vertAlign w:val="superscript"/>
          <w:lang w:val="en-GB" w:eastAsia="en-US"/>
        </w:rPr>
        <w:t>−</w:t>
      </w:r>
      <w:r w:rsidR="00B04DCF" w:rsidRPr="00E7378A">
        <w:rPr>
          <w:rFonts w:asciiTheme="minorHAnsi" w:hAnsiTheme="minorHAnsi"/>
          <w:snapToGrid w:val="0"/>
          <w:lang w:val="en-GB" w:eastAsia="en-US"/>
        </w:rPr>
        <w:t xml:space="preserve">⁴ was </w:t>
      </w:r>
      <w:r w:rsidR="0077261C" w:rsidRPr="00E7378A">
        <w:rPr>
          <w:rFonts w:asciiTheme="minorHAnsi" w:hAnsiTheme="minorHAnsi"/>
          <w:snapToGrid w:val="0"/>
          <w:lang w:val="en-GB" w:eastAsia="en-US"/>
        </w:rPr>
        <w:t xml:space="preserve">54.7% at the </w:t>
      </w:r>
      <w:r w:rsidR="00B04DCF" w:rsidRPr="00E7378A">
        <w:rPr>
          <w:rFonts w:asciiTheme="minorHAnsi" w:hAnsiTheme="minorHAnsi"/>
          <w:snapToGrid w:val="0"/>
          <w:lang w:val="en-GB" w:eastAsia="en-US"/>
        </w:rPr>
        <w:t>end of treatment plus 3 months for patients treated with IV in GLOW, and 77% at end of treatment plus 1 month for patients treated with IV in CAPTIVATE</w:t>
      </w:r>
      <w:r w:rsidR="00C4379B" w:rsidRPr="00AE3107">
        <w:rPr>
          <w:rStyle w:val="FootnoteReference"/>
          <w:rFonts w:asciiTheme="minorHAnsi" w:hAnsiTheme="minorHAnsi"/>
          <w:snapToGrid w:val="0"/>
          <w:lang w:val="en-GB" w:eastAsia="en-US"/>
        </w:rPr>
        <w:fldChar w:fldCharType="begin"/>
      </w:r>
      <w:r w:rsidR="00C4379B" w:rsidRPr="00AE3107">
        <w:rPr>
          <w:rFonts w:asciiTheme="minorHAnsi" w:hAnsiTheme="minorHAnsi"/>
          <w:snapToGrid w:val="0"/>
          <w:vertAlign w:val="superscript"/>
          <w:lang w:val="en-GB" w:eastAsia="en-US"/>
        </w:rPr>
        <w:instrText xml:space="preserve"> NOTEREF _Ref214012207 \h </w:instrText>
      </w:r>
      <w:r w:rsidR="00C4379B" w:rsidRPr="00AE3107">
        <w:rPr>
          <w:rStyle w:val="FootnoteReference"/>
          <w:rFonts w:asciiTheme="minorHAnsi" w:hAnsiTheme="minorHAnsi"/>
          <w:snapToGrid w:val="0"/>
          <w:lang w:val="en-GB" w:eastAsia="en-US"/>
        </w:rPr>
        <w:instrText xml:space="preserve"> \* MERGEFORMAT </w:instrText>
      </w:r>
      <w:r w:rsidR="00C4379B" w:rsidRPr="00AE3107">
        <w:rPr>
          <w:rStyle w:val="FootnoteReference"/>
          <w:rFonts w:asciiTheme="minorHAnsi" w:hAnsiTheme="minorHAnsi"/>
          <w:snapToGrid w:val="0"/>
          <w:lang w:val="en-GB" w:eastAsia="en-US"/>
        </w:rPr>
      </w:r>
      <w:r w:rsidR="00C4379B" w:rsidRPr="00AE3107">
        <w:rPr>
          <w:rStyle w:val="FootnoteReference"/>
          <w:rFonts w:asciiTheme="minorHAnsi" w:hAnsiTheme="minorHAnsi"/>
          <w:snapToGrid w:val="0"/>
          <w:lang w:val="en-GB" w:eastAsia="en-US"/>
        </w:rPr>
        <w:fldChar w:fldCharType="separate"/>
      </w:r>
      <w:r w:rsidR="00717804">
        <w:rPr>
          <w:rFonts w:asciiTheme="minorHAnsi" w:hAnsiTheme="minorHAnsi"/>
          <w:snapToGrid w:val="0"/>
          <w:vertAlign w:val="superscript"/>
          <w:lang w:val="en-GB" w:eastAsia="en-US"/>
        </w:rPr>
        <w:t>1</w:t>
      </w:r>
      <w:r w:rsidR="00C4379B" w:rsidRPr="00AE3107">
        <w:rPr>
          <w:rStyle w:val="FootnoteReference"/>
          <w:rFonts w:asciiTheme="minorHAnsi" w:hAnsiTheme="minorHAnsi"/>
          <w:snapToGrid w:val="0"/>
          <w:lang w:val="en-GB" w:eastAsia="en-US"/>
        </w:rPr>
        <w:fldChar w:fldCharType="end"/>
      </w:r>
      <w:r w:rsidR="00B04DCF" w:rsidRPr="00E7378A">
        <w:rPr>
          <w:rFonts w:asciiTheme="minorHAnsi" w:hAnsiTheme="minorHAnsi"/>
          <w:snapToGrid w:val="0"/>
          <w:lang w:val="en-GB" w:eastAsia="en-US"/>
        </w:rPr>
        <w:t>.</w:t>
      </w:r>
      <w:r w:rsidR="001E2E50" w:rsidRPr="00E7378A">
        <w:rPr>
          <w:rFonts w:asciiTheme="minorHAnsi" w:hAnsiTheme="minorHAnsi"/>
          <w:snapToGrid w:val="0"/>
          <w:lang w:val="en-GB" w:eastAsia="en-US"/>
        </w:rPr>
        <w:t xml:space="preserve"> </w:t>
      </w:r>
      <w:r w:rsidR="00FE254B" w:rsidRPr="00E7378A">
        <w:rPr>
          <w:rFonts w:asciiTheme="minorHAnsi" w:hAnsiTheme="minorHAnsi"/>
          <w:snapToGrid w:val="0"/>
          <w:lang w:val="en-GB" w:eastAsia="en-US"/>
        </w:rPr>
        <w:t>T</w:t>
      </w:r>
      <w:r w:rsidR="005566CD" w:rsidRPr="00E7378A">
        <w:rPr>
          <w:rFonts w:asciiTheme="minorHAnsi" w:hAnsiTheme="minorHAnsi"/>
          <w:snapToGrid w:val="0"/>
          <w:lang w:val="en-GB" w:eastAsia="en-US"/>
        </w:rPr>
        <w:t>he</w:t>
      </w:r>
      <w:r w:rsidR="00BC7F5B" w:rsidRPr="00E7378A">
        <w:rPr>
          <w:rFonts w:asciiTheme="minorHAnsi" w:hAnsiTheme="minorHAnsi"/>
          <w:snapToGrid w:val="0"/>
          <w:lang w:val="en-GB" w:eastAsia="en-US"/>
        </w:rPr>
        <w:t xml:space="preserve"> PBAC</w:t>
      </w:r>
      <w:r w:rsidR="005566CD" w:rsidRPr="00E7378A">
        <w:rPr>
          <w:rFonts w:asciiTheme="minorHAnsi" w:hAnsiTheme="minorHAnsi"/>
          <w:snapToGrid w:val="0"/>
          <w:lang w:val="en-GB" w:eastAsia="en-US"/>
        </w:rPr>
        <w:t xml:space="preserve"> </w:t>
      </w:r>
      <w:r w:rsidR="008A58C6" w:rsidRPr="00E7378A">
        <w:rPr>
          <w:rFonts w:asciiTheme="minorHAnsi" w:hAnsiTheme="minorHAnsi"/>
          <w:snapToGrid w:val="0"/>
          <w:lang w:val="en-GB" w:eastAsia="en-US"/>
        </w:rPr>
        <w:t xml:space="preserve">considered that </w:t>
      </w:r>
      <w:r w:rsidR="00D81475" w:rsidRPr="00E7378A">
        <w:rPr>
          <w:rFonts w:asciiTheme="minorHAnsi" w:hAnsiTheme="minorHAnsi"/>
          <w:snapToGrid w:val="0"/>
          <w:lang w:val="en-GB" w:eastAsia="en-US"/>
        </w:rPr>
        <w:t xml:space="preserve">these results introduced some uncertainty regarding </w:t>
      </w:r>
      <w:r w:rsidR="00827A6D">
        <w:rPr>
          <w:rFonts w:asciiTheme="minorHAnsi" w:hAnsiTheme="minorHAnsi"/>
          <w:snapToGrid w:val="0"/>
          <w:lang w:val="en-GB" w:eastAsia="en-US"/>
        </w:rPr>
        <w:t xml:space="preserve">the </w:t>
      </w:r>
      <w:r w:rsidR="00B45216">
        <w:rPr>
          <w:rFonts w:asciiTheme="minorHAnsi" w:hAnsiTheme="minorHAnsi"/>
          <w:snapToGrid w:val="0"/>
          <w:lang w:val="en-GB" w:eastAsia="en-US"/>
        </w:rPr>
        <w:t xml:space="preserve">submission’s claim that AV is </w:t>
      </w:r>
      <w:r w:rsidR="00D81475" w:rsidRPr="00E7378A">
        <w:rPr>
          <w:rFonts w:asciiTheme="minorHAnsi" w:hAnsiTheme="minorHAnsi"/>
          <w:snapToGrid w:val="0"/>
          <w:lang w:val="en-GB" w:eastAsia="en-US"/>
        </w:rPr>
        <w:t>non-inferior</w:t>
      </w:r>
      <w:r w:rsidR="00B45216">
        <w:rPr>
          <w:rFonts w:asciiTheme="minorHAnsi" w:hAnsiTheme="minorHAnsi"/>
          <w:snapToGrid w:val="0"/>
          <w:lang w:val="en-GB" w:eastAsia="en-US"/>
        </w:rPr>
        <w:t xml:space="preserve"> </w:t>
      </w:r>
      <w:r w:rsidR="008634A8">
        <w:rPr>
          <w:rFonts w:asciiTheme="minorHAnsi" w:hAnsiTheme="minorHAnsi"/>
          <w:snapToGrid w:val="0"/>
          <w:lang w:val="en-GB" w:eastAsia="en-US"/>
        </w:rPr>
        <w:t>in terms of comparative effectiveness to</w:t>
      </w:r>
      <w:r w:rsidR="00827A6D">
        <w:rPr>
          <w:rFonts w:asciiTheme="minorHAnsi" w:hAnsiTheme="minorHAnsi"/>
          <w:snapToGrid w:val="0"/>
          <w:lang w:val="en-GB" w:eastAsia="en-US"/>
        </w:rPr>
        <w:t xml:space="preserve"> IV</w:t>
      </w:r>
      <w:r w:rsidR="00B04DCF" w:rsidRPr="00E7378A">
        <w:rPr>
          <w:rFonts w:asciiTheme="minorHAnsi" w:hAnsiTheme="minorHAnsi"/>
          <w:snapToGrid w:val="0"/>
          <w:lang w:val="en-GB" w:eastAsia="en-US"/>
        </w:rPr>
        <w:t>.</w:t>
      </w:r>
      <w:r w:rsidR="00213C68" w:rsidRPr="00E7378A">
        <w:rPr>
          <w:rFonts w:asciiTheme="minorHAnsi" w:hAnsiTheme="minorHAnsi"/>
          <w:snapToGrid w:val="0"/>
          <w:lang w:val="en-GB" w:eastAsia="en-US"/>
        </w:rPr>
        <w:t xml:space="preserve"> </w:t>
      </w:r>
    </w:p>
    <w:p w14:paraId="7CC619B8" w14:textId="19521774" w:rsidR="00C445DF" w:rsidRPr="007C78AA" w:rsidRDefault="00DD64B3" w:rsidP="00C225D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Overall, t</w:t>
      </w:r>
      <w:r w:rsidR="00D31C9D" w:rsidRPr="007C78AA">
        <w:rPr>
          <w:rFonts w:asciiTheme="minorHAnsi" w:hAnsiTheme="minorHAnsi"/>
          <w:snapToGrid w:val="0"/>
          <w:lang w:val="en-GB" w:eastAsia="en-US"/>
        </w:rPr>
        <w:t xml:space="preserve">he PBAC considered that the </w:t>
      </w:r>
      <w:r w:rsidR="007C78AA" w:rsidRPr="007C78AA">
        <w:rPr>
          <w:rFonts w:asciiTheme="minorHAnsi" w:hAnsiTheme="minorHAnsi"/>
          <w:snapToGrid w:val="0"/>
          <w:lang w:val="en-GB" w:eastAsia="en-US"/>
        </w:rPr>
        <w:t xml:space="preserve">claim of non-inferior comparative effectiveness </w:t>
      </w:r>
      <w:r w:rsidR="00FB3355">
        <w:rPr>
          <w:rFonts w:asciiTheme="minorHAnsi" w:hAnsiTheme="minorHAnsi"/>
          <w:snapToGrid w:val="0"/>
          <w:lang w:val="en-GB" w:eastAsia="en-US"/>
        </w:rPr>
        <w:t xml:space="preserve">to IV and to VO </w:t>
      </w:r>
      <w:r w:rsidR="007C78AA" w:rsidRPr="007C78AA">
        <w:rPr>
          <w:rFonts w:asciiTheme="minorHAnsi" w:hAnsiTheme="minorHAnsi"/>
          <w:snapToGrid w:val="0"/>
          <w:lang w:val="en-GB" w:eastAsia="en-US"/>
        </w:rPr>
        <w:t xml:space="preserve">was </w:t>
      </w:r>
      <w:r w:rsidR="00A32C62">
        <w:rPr>
          <w:rFonts w:asciiTheme="minorHAnsi" w:hAnsiTheme="minorHAnsi"/>
          <w:snapToGrid w:val="0"/>
          <w:lang w:val="en-GB" w:eastAsia="en-US"/>
        </w:rPr>
        <w:t>likely reasonable</w:t>
      </w:r>
      <w:r w:rsidR="00F965B9" w:rsidRPr="007C78AA">
        <w:rPr>
          <w:rFonts w:asciiTheme="minorHAnsi" w:hAnsiTheme="minorHAnsi"/>
          <w:snapToGrid w:val="0"/>
          <w:lang w:val="en-GB" w:eastAsia="en-US"/>
        </w:rPr>
        <w:t xml:space="preserve">, </w:t>
      </w:r>
      <w:r w:rsidR="008F409B">
        <w:rPr>
          <w:rFonts w:asciiTheme="minorHAnsi" w:hAnsiTheme="minorHAnsi"/>
          <w:snapToGrid w:val="0"/>
          <w:lang w:val="en-GB" w:eastAsia="en-US"/>
        </w:rPr>
        <w:t xml:space="preserve">with </w:t>
      </w:r>
      <w:r w:rsidR="00E0762A">
        <w:rPr>
          <w:rFonts w:asciiTheme="minorHAnsi" w:hAnsiTheme="minorHAnsi"/>
          <w:snapToGrid w:val="0"/>
          <w:lang w:val="en-GB" w:eastAsia="en-US"/>
        </w:rPr>
        <w:t xml:space="preserve">some </w:t>
      </w:r>
      <w:r w:rsidR="00F965B9" w:rsidRPr="007C78AA">
        <w:rPr>
          <w:rFonts w:asciiTheme="minorHAnsi" w:hAnsiTheme="minorHAnsi"/>
          <w:snapToGrid w:val="0"/>
          <w:lang w:val="en-GB" w:eastAsia="en-US"/>
        </w:rPr>
        <w:t>uncertainty</w:t>
      </w:r>
      <w:r w:rsidR="0001077F">
        <w:rPr>
          <w:rFonts w:asciiTheme="minorHAnsi" w:hAnsiTheme="minorHAnsi"/>
          <w:snapToGrid w:val="0"/>
          <w:lang w:val="en-GB" w:eastAsia="en-US"/>
        </w:rPr>
        <w:t xml:space="preserve"> </w:t>
      </w:r>
      <w:r w:rsidR="0001077F" w:rsidRPr="0001077F">
        <w:rPr>
          <w:rFonts w:asciiTheme="minorHAnsi" w:hAnsiTheme="minorHAnsi"/>
          <w:snapToGrid w:val="0"/>
          <w:lang w:eastAsia="en-US"/>
        </w:rPr>
        <w:t xml:space="preserve">due to </w:t>
      </w:r>
      <w:proofErr w:type="spellStart"/>
      <w:r w:rsidR="0001077F" w:rsidRPr="0001077F">
        <w:rPr>
          <w:rFonts w:asciiTheme="minorHAnsi" w:hAnsiTheme="minorHAnsi"/>
          <w:snapToGrid w:val="0"/>
          <w:lang w:eastAsia="en-US"/>
        </w:rPr>
        <w:t>uMRD</w:t>
      </w:r>
      <w:proofErr w:type="spellEnd"/>
      <w:r w:rsidR="0001077F" w:rsidRPr="0001077F">
        <w:rPr>
          <w:rFonts w:asciiTheme="minorHAnsi" w:hAnsiTheme="minorHAnsi"/>
          <w:snapToGrid w:val="0"/>
          <w:lang w:eastAsia="en-US"/>
        </w:rPr>
        <w:t xml:space="preserve"> rates</w:t>
      </w:r>
      <w:r w:rsidR="0087326E">
        <w:rPr>
          <w:rFonts w:asciiTheme="minorHAnsi" w:hAnsiTheme="minorHAnsi"/>
          <w:snapToGrid w:val="0"/>
          <w:lang w:val="en-GB" w:eastAsia="en-US"/>
        </w:rPr>
        <w:t>.</w:t>
      </w:r>
    </w:p>
    <w:p w14:paraId="7C967B1E" w14:textId="4555BC35" w:rsidR="00ED78DF" w:rsidRPr="00CE42B4" w:rsidRDefault="00C90059" w:rsidP="00ED78DF">
      <w:pPr>
        <w:widowControl w:val="0"/>
        <w:numPr>
          <w:ilvl w:val="1"/>
          <w:numId w:val="1"/>
        </w:numPr>
        <w:spacing w:after="120"/>
        <w:rPr>
          <w:rFonts w:asciiTheme="minorHAnsi" w:hAnsiTheme="minorHAnsi"/>
          <w:snapToGrid w:val="0"/>
          <w:szCs w:val="20"/>
        </w:rPr>
      </w:pPr>
      <w:r>
        <w:rPr>
          <w:rFonts w:asciiTheme="minorHAnsi" w:hAnsiTheme="minorHAnsi"/>
          <w:snapToGrid w:val="0"/>
          <w:szCs w:val="20"/>
        </w:rPr>
        <w:t xml:space="preserve">The PBAC noted that based on unanchored ITCs, fewer Grade </w:t>
      </w:r>
      <w:r w:rsidR="006A1DE3">
        <w:rPr>
          <w:rFonts w:asciiTheme="minorHAnsi" w:hAnsiTheme="minorHAnsi" w:cstheme="minorHAnsi"/>
          <w:snapToGrid w:val="0"/>
          <w:szCs w:val="20"/>
        </w:rPr>
        <w:t>≥</w:t>
      </w:r>
      <w:r w:rsidR="006A1DE3">
        <w:rPr>
          <w:rFonts w:asciiTheme="minorHAnsi" w:hAnsiTheme="minorHAnsi"/>
          <w:snapToGrid w:val="0"/>
          <w:szCs w:val="20"/>
        </w:rPr>
        <w:t xml:space="preserve">3 adverse events (severe </w:t>
      </w:r>
      <w:r w:rsidR="00461DD8">
        <w:rPr>
          <w:rFonts w:asciiTheme="minorHAnsi" w:hAnsiTheme="minorHAnsi"/>
          <w:snapToGrid w:val="0"/>
          <w:szCs w:val="20"/>
        </w:rPr>
        <w:t>infection,</w:t>
      </w:r>
      <w:r w:rsidR="006A1DE3">
        <w:rPr>
          <w:rFonts w:asciiTheme="minorHAnsi" w:hAnsiTheme="minorHAnsi"/>
          <w:snapToGrid w:val="0"/>
          <w:szCs w:val="20"/>
        </w:rPr>
        <w:t xml:space="preserve"> neutropenia, infusion reactions and </w:t>
      </w:r>
      <w:r w:rsidR="00461DD8">
        <w:rPr>
          <w:rFonts w:asciiTheme="minorHAnsi" w:hAnsiTheme="minorHAnsi"/>
          <w:snapToGrid w:val="0"/>
          <w:szCs w:val="20"/>
        </w:rPr>
        <w:t>tumour lysis syndrome</w:t>
      </w:r>
      <w:r w:rsidR="006A1DE3">
        <w:rPr>
          <w:rFonts w:asciiTheme="minorHAnsi" w:hAnsiTheme="minorHAnsi"/>
          <w:snapToGrid w:val="0"/>
          <w:szCs w:val="20"/>
        </w:rPr>
        <w:t xml:space="preserve">) were </w:t>
      </w:r>
      <w:r w:rsidR="00461DD8">
        <w:rPr>
          <w:rFonts w:asciiTheme="minorHAnsi" w:hAnsiTheme="minorHAnsi"/>
          <w:snapToGrid w:val="0"/>
          <w:szCs w:val="20"/>
        </w:rPr>
        <w:t>reported for patients treated with AV compared to VO</w:t>
      </w:r>
      <w:r w:rsidR="00BE556B">
        <w:rPr>
          <w:rFonts w:asciiTheme="minorHAnsi" w:hAnsiTheme="minorHAnsi"/>
          <w:snapToGrid w:val="0"/>
          <w:szCs w:val="20"/>
        </w:rPr>
        <w:t xml:space="preserve">, and fewer Grade </w:t>
      </w:r>
      <w:r w:rsidR="00BE556B">
        <w:rPr>
          <w:rFonts w:asciiTheme="minorHAnsi" w:hAnsiTheme="minorHAnsi" w:cstheme="minorHAnsi"/>
          <w:snapToGrid w:val="0"/>
          <w:szCs w:val="20"/>
        </w:rPr>
        <w:t>≥</w:t>
      </w:r>
      <w:r w:rsidR="00BE556B">
        <w:rPr>
          <w:rFonts w:asciiTheme="minorHAnsi" w:hAnsiTheme="minorHAnsi"/>
          <w:snapToGrid w:val="0"/>
          <w:szCs w:val="20"/>
        </w:rPr>
        <w:t xml:space="preserve">3 adverse events </w:t>
      </w:r>
      <w:r w:rsidR="00836DA3">
        <w:rPr>
          <w:rFonts w:asciiTheme="minorHAnsi" w:hAnsiTheme="minorHAnsi"/>
          <w:snapToGrid w:val="0"/>
          <w:szCs w:val="20"/>
        </w:rPr>
        <w:t xml:space="preserve">(atrial fibrillation, hypertension) </w:t>
      </w:r>
      <w:r w:rsidR="00BE556B">
        <w:rPr>
          <w:rFonts w:asciiTheme="minorHAnsi" w:hAnsiTheme="minorHAnsi"/>
          <w:snapToGrid w:val="0"/>
          <w:szCs w:val="20"/>
        </w:rPr>
        <w:t>were reported for patients treated with AV compared to IV</w:t>
      </w:r>
      <w:r w:rsidR="00461DD8">
        <w:rPr>
          <w:rFonts w:asciiTheme="minorHAnsi" w:hAnsiTheme="minorHAnsi"/>
          <w:snapToGrid w:val="0"/>
          <w:szCs w:val="20"/>
        </w:rPr>
        <w:t xml:space="preserve">. </w:t>
      </w:r>
      <w:r w:rsidR="00ED78DF" w:rsidRPr="00CE42B4">
        <w:rPr>
          <w:rFonts w:asciiTheme="minorHAnsi" w:hAnsiTheme="minorHAnsi"/>
          <w:snapToGrid w:val="0"/>
          <w:szCs w:val="20"/>
        </w:rPr>
        <w:t xml:space="preserve">The PBAC considered that </w:t>
      </w:r>
      <w:r w:rsidR="00F31F6D">
        <w:rPr>
          <w:rFonts w:asciiTheme="minorHAnsi" w:hAnsiTheme="minorHAnsi"/>
          <w:snapToGrid w:val="0"/>
          <w:szCs w:val="20"/>
        </w:rPr>
        <w:t xml:space="preserve">while </w:t>
      </w:r>
      <w:r w:rsidR="00ED78DF" w:rsidRPr="00CE42B4">
        <w:rPr>
          <w:rFonts w:asciiTheme="minorHAnsi" w:hAnsiTheme="minorHAnsi"/>
          <w:snapToGrid w:val="0"/>
          <w:szCs w:val="20"/>
        </w:rPr>
        <w:t>the claim</w:t>
      </w:r>
      <w:r w:rsidR="00CA1AD9">
        <w:rPr>
          <w:rFonts w:asciiTheme="minorHAnsi" w:hAnsiTheme="minorHAnsi"/>
          <w:snapToGrid w:val="0"/>
          <w:szCs w:val="20"/>
        </w:rPr>
        <w:t>s</w:t>
      </w:r>
      <w:r w:rsidR="00ED78DF" w:rsidRPr="00CE42B4">
        <w:rPr>
          <w:rFonts w:asciiTheme="minorHAnsi" w:hAnsiTheme="minorHAnsi"/>
          <w:snapToGrid w:val="0"/>
          <w:szCs w:val="20"/>
        </w:rPr>
        <w:t xml:space="preserve"> of superior comparative safety </w:t>
      </w:r>
      <w:r w:rsidR="00ED78DF">
        <w:rPr>
          <w:rFonts w:asciiTheme="minorHAnsi" w:hAnsiTheme="minorHAnsi"/>
          <w:snapToGrid w:val="0"/>
          <w:szCs w:val="20"/>
        </w:rPr>
        <w:t xml:space="preserve">to IV and a more favourable safety profile compared to VO </w:t>
      </w:r>
      <w:r w:rsidR="00ED78DF" w:rsidRPr="00CE42B4">
        <w:rPr>
          <w:rFonts w:asciiTheme="minorHAnsi" w:hAnsiTheme="minorHAnsi"/>
          <w:snapToGrid w:val="0"/>
          <w:szCs w:val="20"/>
        </w:rPr>
        <w:t>w</w:t>
      </w:r>
      <w:r w:rsidR="00CA1AD9">
        <w:rPr>
          <w:rFonts w:asciiTheme="minorHAnsi" w:hAnsiTheme="minorHAnsi"/>
          <w:snapToGrid w:val="0"/>
          <w:szCs w:val="20"/>
        </w:rPr>
        <w:t>ere</w:t>
      </w:r>
      <w:r w:rsidR="00ED78DF" w:rsidRPr="00CE42B4">
        <w:rPr>
          <w:rFonts w:asciiTheme="minorHAnsi" w:hAnsiTheme="minorHAnsi"/>
          <w:snapToGrid w:val="0"/>
          <w:szCs w:val="20"/>
        </w:rPr>
        <w:t xml:space="preserve"> </w:t>
      </w:r>
      <w:r w:rsidR="00752EFA">
        <w:rPr>
          <w:rFonts w:asciiTheme="minorHAnsi" w:hAnsiTheme="minorHAnsi"/>
          <w:snapToGrid w:val="0"/>
          <w:szCs w:val="20"/>
        </w:rPr>
        <w:t xml:space="preserve">difficult to assess </w:t>
      </w:r>
      <w:r w:rsidR="006655C5">
        <w:rPr>
          <w:rFonts w:asciiTheme="minorHAnsi" w:hAnsiTheme="minorHAnsi"/>
          <w:snapToGrid w:val="0"/>
          <w:szCs w:val="20"/>
        </w:rPr>
        <w:t>based on the evidence presented</w:t>
      </w:r>
      <w:r w:rsidR="00F31F6D">
        <w:rPr>
          <w:rFonts w:asciiTheme="minorHAnsi" w:hAnsiTheme="minorHAnsi"/>
          <w:snapToGrid w:val="0"/>
          <w:szCs w:val="20"/>
        </w:rPr>
        <w:t>, the claim</w:t>
      </w:r>
      <w:r w:rsidR="00CA1AD9">
        <w:rPr>
          <w:rFonts w:asciiTheme="minorHAnsi" w:hAnsiTheme="minorHAnsi"/>
          <w:snapToGrid w:val="0"/>
          <w:szCs w:val="20"/>
        </w:rPr>
        <w:t>s</w:t>
      </w:r>
      <w:r w:rsidR="00F31F6D">
        <w:rPr>
          <w:rFonts w:asciiTheme="minorHAnsi" w:hAnsiTheme="minorHAnsi"/>
          <w:snapToGrid w:val="0"/>
          <w:szCs w:val="20"/>
        </w:rPr>
        <w:t xml:space="preserve"> </w:t>
      </w:r>
      <w:r w:rsidR="00752EFA">
        <w:rPr>
          <w:rFonts w:asciiTheme="minorHAnsi" w:hAnsiTheme="minorHAnsi"/>
          <w:snapToGrid w:val="0"/>
          <w:szCs w:val="20"/>
        </w:rPr>
        <w:t>w</w:t>
      </w:r>
      <w:r w:rsidR="00CA1AD9">
        <w:rPr>
          <w:rFonts w:asciiTheme="minorHAnsi" w:hAnsiTheme="minorHAnsi"/>
          <w:snapToGrid w:val="0"/>
          <w:szCs w:val="20"/>
        </w:rPr>
        <w:t>ere</w:t>
      </w:r>
      <w:r w:rsidR="00752EFA">
        <w:rPr>
          <w:rFonts w:asciiTheme="minorHAnsi" w:hAnsiTheme="minorHAnsi"/>
          <w:snapToGrid w:val="0"/>
          <w:szCs w:val="20"/>
        </w:rPr>
        <w:t xml:space="preserve"> likely </w:t>
      </w:r>
      <w:r w:rsidR="00ED78DF" w:rsidRPr="00CE42B4">
        <w:rPr>
          <w:rFonts w:asciiTheme="minorHAnsi" w:hAnsiTheme="minorHAnsi"/>
          <w:snapToGrid w:val="0"/>
          <w:szCs w:val="20"/>
        </w:rPr>
        <w:t>reasonable.</w:t>
      </w:r>
    </w:p>
    <w:p w14:paraId="0157E3E1" w14:textId="14FE03EE" w:rsidR="001D41CF" w:rsidRPr="004C2169" w:rsidRDefault="00CA6BDD" w:rsidP="001D41CF">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w:t>
      </w:r>
      <w:r w:rsidR="002B7FB3">
        <w:rPr>
          <w:rFonts w:asciiTheme="minorHAnsi" w:hAnsiTheme="minorHAnsi"/>
          <w:snapToGrid w:val="0"/>
          <w:lang w:val="en-GB" w:eastAsia="en-US"/>
        </w:rPr>
        <w:t>noted the submission presented a cost-minimisation approach comparing AV to VO, which it considered was appropriate</w:t>
      </w:r>
      <w:r w:rsidR="001838E1">
        <w:rPr>
          <w:rFonts w:asciiTheme="minorHAnsi" w:hAnsiTheme="minorHAnsi"/>
          <w:snapToGrid w:val="0"/>
          <w:lang w:val="en-GB" w:eastAsia="en-US"/>
        </w:rPr>
        <w:t>, as the VO comparison provided the main</w:t>
      </w:r>
      <w:r w:rsidR="003274F6">
        <w:rPr>
          <w:rFonts w:asciiTheme="minorHAnsi" w:hAnsiTheme="minorHAnsi"/>
          <w:snapToGrid w:val="0"/>
          <w:lang w:val="en-GB" w:eastAsia="en-US"/>
        </w:rPr>
        <w:t xml:space="preserve"> </w:t>
      </w:r>
      <w:r w:rsidR="00623495">
        <w:rPr>
          <w:rFonts w:asciiTheme="minorHAnsi" w:hAnsiTheme="minorHAnsi"/>
          <w:snapToGrid w:val="0"/>
          <w:lang w:val="en-GB" w:eastAsia="en-US"/>
        </w:rPr>
        <w:t>clinical analysis and was the most established FD treatment regimen</w:t>
      </w:r>
      <w:r w:rsidR="002B7FB3">
        <w:rPr>
          <w:rFonts w:asciiTheme="minorHAnsi" w:hAnsiTheme="minorHAnsi"/>
          <w:snapToGrid w:val="0"/>
          <w:lang w:val="en-GB" w:eastAsia="en-US"/>
        </w:rPr>
        <w:t xml:space="preserve">. </w:t>
      </w:r>
      <w:r w:rsidR="001D41CF">
        <w:rPr>
          <w:rFonts w:asciiTheme="minorHAnsi" w:hAnsiTheme="minorHAnsi"/>
          <w:snapToGrid w:val="0"/>
          <w:lang w:val="en-GB" w:eastAsia="en-US"/>
        </w:rPr>
        <w:t xml:space="preserve">The PBAC considered the equi-effective doses to be </w:t>
      </w:r>
      <w:r w:rsidR="001D41CF" w:rsidRPr="00A55C25">
        <w:t xml:space="preserve">12.97 acalabrutinib scripts and 10.84 venetoclax scripts </w:t>
      </w:r>
      <w:r w:rsidR="001D41CF">
        <w:t xml:space="preserve">are equivalent to </w:t>
      </w:r>
      <w:r w:rsidR="001D41CF" w:rsidRPr="00A55C25">
        <w:t>one initial and 8.67 continuing venetoclax scripts plus 7.355 obinutuzumab scripts</w:t>
      </w:r>
      <w:r w:rsidR="001D41CF">
        <w:t>.</w:t>
      </w:r>
      <w:r w:rsidR="009F4645">
        <w:t xml:space="preserve"> The PBAC accepted the other costs</w:t>
      </w:r>
      <w:r w:rsidR="00EF19C9">
        <w:t xml:space="preserve"> and cost offsets related to TLS and administration were appropriate. </w:t>
      </w:r>
    </w:p>
    <w:p w14:paraId="2900B829" w14:textId="43860449" w:rsidR="004C2169" w:rsidRPr="00C445DF" w:rsidRDefault="004C2169" w:rsidP="001D41CF">
      <w:pPr>
        <w:widowControl w:val="0"/>
        <w:numPr>
          <w:ilvl w:val="1"/>
          <w:numId w:val="1"/>
        </w:numPr>
        <w:spacing w:after="120"/>
        <w:rPr>
          <w:rFonts w:asciiTheme="minorHAnsi" w:hAnsiTheme="minorHAnsi"/>
          <w:snapToGrid w:val="0"/>
          <w:lang w:val="en-GB" w:eastAsia="en-US"/>
        </w:rPr>
      </w:pPr>
      <w:r>
        <w:t xml:space="preserve">The PBAC noted the submission had used a market share approach to estimate the financial implications of listing AV on the PBS, which assumed </w:t>
      </w:r>
      <w:r w:rsidR="009D3580">
        <w:t>that AV would only substitute for other FD regimens (VO and IV). The PBAC considered this assumption was poorly justified</w:t>
      </w:r>
      <w:r w:rsidR="002C3EBC">
        <w:t xml:space="preserve"> and that AV was also likely to take market share from acalabrutinib plus or minus obinutuzumab and from zanubrutinib, which were used as treat to progression therapies. The PBA</w:t>
      </w:r>
      <w:r w:rsidR="00E10AEE">
        <w:t>C</w:t>
      </w:r>
      <w:r w:rsidR="002C3EBC">
        <w:t xml:space="preserve"> considered the </w:t>
      </w:r>
      <w:r w:rsidR="003933C0">
        <w:t xml:space="preserve">treatment uptake rate </w:t>
      </w:r>
      <w:r w:rsidR="004C7460">
        <w:t xml:space="preserve">for AV </w:t>
      </w:r>
      <w:r w:rsidR="003933C0">
        <w:t>was likely overestimated</w:t>
      </w:r>
      <w:r w:rsidR="00D1672F">
        <w:t xml:space="preserve"> </w:t>
      </w:r>
      <w:r w:rsidR="003E0B95">
        <w:t xml:space="preserve">and </w:t>
      </w:r>
      <w:r w:rsidR="00DB7743">
        <w:t xml:space="preserve">that the estimates of uptake </w:t>
      </w:r>
      <w:r w:rsidR="001172F1">
        <w:t xml:space="preserve">as outlined in paragraph 6.41 </w:t>
      </w:r>
      <w:r w:rsidR="00D4516D">
        <w:lastRenderedPageBreak/>
        <w:t xml:space="preserve">(based on the ESC consideration) </w:t>
      </w:r>
      <w:r w:rsidR="001172F1">
        <w:t>were more reasonable</w:t>
      </w:r>
      <w:r w:rsidR="00877D9D">
        <w:t xml:space="preserve">, particularly given </w:t>
      </w:r>
      <w:r w:rsidR="00877D9D" w:rsidRPr="00877D9D">
        <w:t xml:space="preserve">reported differences in </w:t>
      </w:r>
      <w:proofErr w:type="spellStart"/>
      <w:r w:rsidR="00877D9D" w:rsidRPr="00877D9D">
        <w:t>uMRD</w:t>
      </w:r>
      <w:proofErr w:type="spellEnd"/>
      <w:r w:rsidR="00877D9D" w:rsidRPr="00877D9D">
        <w:t xml:space="preserve"> rates</w:t>
      </w:r>
      <w:r w:rsidR="00E42035">
        <w:t xml:space="preserve">. </w:t>
      </w:r>
      <w:r w:rsidR="00E10AEE">
        <w:t>Additionally, t</w:t>
      </w:r>
      <w:r w:rsidR="00E42035">
        <w:t>he PBAC considered</w:t>
      </w:r>
      <w:r w:rsidR="00D1672F">
        <w:t xml:space="preserve"> that the professional attendance fee (MBS item 116) should be excluded from the calculation of MBS savings</w:t>
      </w:r>
      <w:r w:rsidR="008B7766">
        <w:t xml:space="preserve"> given AV </w:t>
      </w:r>
      <w:r w:rsidR="001266B9">
        <w:t>patients</w:t>
      </w:r>
      <w:r w:rsidR="008B7766">
        <w:t xml:space="preserve"> will</w:t>
      </w:r>
      <w:r w:rsidR="001266B9">
        <w:t xml:space="preserve"> l</w:t>
      </w:r>
      <w:r w:rsidR="008B7766">
        <w:t xml:space="preserve">ikely require </w:t>
      </w:r>
      <w:r w:rsidR="001266B9">
        <w:t>frequent specialist visits in early treatment phases</w:t>
      </w:r>
      <w:r w:rsidR="003933C0">
        <w:t xml:space="preserve">. </w:t>
      </w:r>
      <w:r w:rsidR="004D5C56">
        <w:t>The PBAC considered th</w:t>
      </w:r>
      <w:r w:rsidR="00A1329F">
        <w:t>at given AV is anticipated to substitute for treatments with a similar cost per patients, the net effect of the proposed listing is expected to be approximately cost neutral</w:t>
      </w:r>
      <w:r w:rsidR="00390EFD">
        <w:t>.</w:t>
      </w:r>
    </w:p>
    <w:p w14:paraId="6831E5DF" w14:textId="7158DF11" w:rsidR="00480A9C" w:rsidRDefault="00094A2E" w:rsidP="00064E83">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w:t>
      </w:r>
      <w:r w:rsidR="009B6EC0" w:rsidRPr="009B6EC0">
        <w:rPr>
          <w:rFonts w:asciiTheme="minorHAnsi" w:hAnsiTheme="minorHAnsi"/>
          <w:snapToGrid w:val="0"/>
          <w:lang w:val="en-GB" w:eastAsia="en-US"/>
        </w:rPr>
        <w:t>PBAC noted that Risk Sharing Arrangement</w:t>
      </w:r>
      <w:r>
        <w:rPr>
          <w:rFonts w:asciiTheme="minorHAnsi" w:hAnsiTheme="minorHAnsi"/>
          <w:snapToGrid w:val="0"/>
          <w:lang w:val="en-GB" w:eastAsia="en-US"/>
        </w:rPr>
        <w:t>s</w:t>
      </w:r>
      <w:r w:rsidR="009B6EC0" w:rsidRPr="009B6EC0">
        <w:rPr>
          <w:rFonts w:asciiTheme="minorHAnsi" w:hAnsiTheme="minorHAnsi"/>
          <w:snapToGrid w:val="0"/>
          <w:lang w:val="en-GB" w:eastAsia="en-US"/>
        </w:rPr>
        <w:t xml:space="preserve"> (RSA</w:t>
      </w:r>
      <w:r>
        <w:rPr>
          <w:rFonts w:asciiTheme="minorHAnsi" w:hAnsiTheme="minorHAnsi"/>
          <w:snapToGrid w:val="0"/>
          <w:lang w:val="en-GB" w:eastAsia="en-US"/>
        </w:rPr>
        <w:t>s</w:t>
      </w:r>
      <w:r w:rsidR="009B6EC0" w:rsidRPr="009B6EC0">
        <w:rPr>
          <w:rFonts w:asciiTheme="minorHAnsi" w:hAnsiTheme="minorHAnsi"/>
          <w:snapToGrid w:val="0"/>
          <w:lang w:val="en-GB" w:eastAsia="en-US"/>
        </w:rPr>
        <w:t xml:space="preserve">) consisting of subsidisation caps </w:t>
      </w:r>
      <w:r>
        <w:rPr>
          <w:rFonts w:asciiTheme="minorHAnsi" w:hAnsiTheme="minorHAnsi"/>
          <w:snapToGrid w:val="0"/>
          <w:lang w:val="en-GB" w:eastAsia="en-US"/>
        </w:rPr>
        <w:t>are</w:t>
      </w:r>
      <w:r w:rsidR="009B6EC0" w:rsidRPr="009B6EC0">
        <w:rPr>
          <w:rFonts w:asciiTheme="minorHAnsi" w:hAnsiTheme="minorHAnsi"/>
          <w:snapToGrid w:val="0"/>
          <w:lang w:val="en-GB" w:eastAsia="en-US"/>
        </w:rPr>
        <w:t xml:space="preserve"> in place for </w:t>
      </w:r>
      <w:r w:rsidR="00160288">
        <w:rPr>
          <w:rFonts w:asciiTheme="minorHAnsi" w:hAnsiTheme="minorHAnsi"/>
          <w:snapToGrid w:val="0"/>
          <w:lang w:val="en-GB" w:eastAsia="en-US"/>
        </w:rPr>
        <w:t xml:space="preserve">both </w:t>
      </w:r>
      <w:r w:rsidR="009B6EC0">
        <w:rPr>
          <w:rFonts w:asciiTheme="minorHAnsi" w:hAnsiTheme="minorHAnsi"/>
          <w:snapToGrid w:val="0"/>
          <w:lang w:val="en-GB" w:eastAsia="en-US"/>
        </w:rPr>
        <w:t>ibrutinib</w:t>
      </w:r>
      <w:r w:rsidR="0090618C">
        <w:rPr>
          <w:rFonts w:asciiTheme="minorHAnsi" w:hAnsiTheme="minorHAnsi"/>
          <w:snapToGrid w:val="0"/>
          <w:lang w:val="en-GB" w:eastAsia="en-US"/>
        </w:rPr>
        <w:t xml:space="preserve"> and for venetoclax for the treatment of patients with previously untreated </w:t>
      </w:r>
      <w:r w:rsidR="00474DC9">
        <w:rPr>
          <w:rFonts w:asciiTheme="minorHAnsi" w:hAnsiTheme="minorHAnsi"/>
          <w:snapToGrid w:val="0"/>
          <w:lang w:val="en-GB" w:eastAsia="en-US"/>
        </w:rPr>
        <w:t>CLL/SLL</w:t>
      </w:r>
      <w:r w:rsidR="0090618C">
        <w:rPr>
          <w:rFonts w:asciiTheme="minorHAnsi" w:hAnsiTheme="minorHAnsi"/>
          <w:snapToGrid w:val="0"/>
          <w:lang w:val="en-GB" w:eastAsia="en-US"/>
        </w:rPr>
        <w:t>.</w:t>
      </w:r>
      <w:r w:rsidR="009B6EC0" w:rsidRPr="009B6EC0">
        <w:rPr>
          <w:rFonts w:asciiTheme="minorHAnsi" w:hAnsiTheme="minorHAnsi"/>
          <w:snapToGrid w:val="0"/>
          <w:lang w:val="en-GB" w:eastAsia="en-US"/>
        </w:rPr>
        <w:t xml:space="preserve"> </w:t>
      </w:r>
      <w:r w:rsidR="00726DCB">
        <w:rPr>
          <w:rFonts w:asciiTheme="minorHAnsi" w:hAnsiTheme="minorHAnsi"/>
          <w:snapToGrid w:val="0"/>
          <w:lang w:val="en-GB" w:eastAsia="en-US"/>
        </w:rPr>
        <w:t xml:space="preserve">The PBAC considered it would be reasonable for </w:t>
      </w:r>
      <w:r w:rsidR="00877D9D">
        <w:rPr>
          <w:rFonts w:asciiTheme="minorHAnsi" w:hAnsiTheme="minorHAnsi"/>
          <w:snapToGrid w:val="0"/>
          <w:lang w:val="en-GB" w:eastAsia="en-US"/>
        </w:rPr>
        <w:t>AV</w:t>
      </w:r>
      <w:r w:rsidR="00726DCB">
        <w:rPr>
          <w:rFonts w:asciiTheme="minorHAnsi" w:hAnsiTheme="minorHAnsi"/>
          <w:snapToGrid w:val="0"/>
          <w:lang w:val="en-GB" w:eastAsia="en-US"/>
        </w:rPr>
        <w:t xml:space="preserve"> to join the existing </w:t>
      </w:r>
      <w:r>
        <w:rPr>
          <w:rFonts w:asciiTheme="minorHAnsi" w:hAnsiTheme="minorHAnsi"/>
          <w:snapToGrid w:val="0"/>
          <w:lang w:val="en-GB" w:eastAsia="en-US"/>
        </w:rPr>
        <w:t>RSA</w:t>
      </w:r>
      <w:r w:rsidR="0037692D">
        <w:rPr>
          <w:rFonts w:asciiTheme="minorHAnsi" w:hAnsiTheme="minorHAnsi"/>
          <w:snapToGrid w:val="0"/>
          <w:lang w:val="en-GB" w:eastAsia="en-US"/>
        </w:rPr>
        <w:t xml:space="preserve"> for IV</w:t>
      </w:r>
      <w:r w:rsidR="00295C25">
        <w:rPr>
          <w:rFonts w:asciiTheme="minorHAnsi" w:hAnsiTheme="minorHAnsi"/>
          <w:snapToGrid w:val="0"/>
          <w:lang w:val="en-GB" w:eastAsia="en-US"/>
        </w:rPr>
        <w:t xml:space="preserve">, given </w:t>
      </w:r>
      <w:r w:rsidR="005A33F8">
        <w:rPr>
          <w:rFonts w:asciiTheme="minorHAnsi" w:hAnsiTheme="minorHAnsi"/>
          <w:snapToGrid w:val="0"/>
          <w:lang w:val="en-GB" w:eastAsia="en-US"/>
        </w:rPr>
        <w:t xml:space="preserve">AV </w:t>
      </w:r>
      <w:r w:rsidR="0085636F">
        <w:rPr>
          <w:rFonts w:asciiTheme="minorHAnsi" w:hAnsiTheme="minorHAnsi"/>
          <w:snapToGrid w:val="0"/>
          <w:lang w:val="en-GB" w:eastAsia="en-US"/>
        </w:rPr>
        <w:t xml:space="preserve">was </w:t>
      </w:r>
      <w:r w:rsidR="0085636F">
        <w:t xml:space="preserve">expected to take majority of that market, due to </w:t>
      </w:r>
      <w:r w:rsidR="0054736C">
        <w:t xml:space="preserve">increased risk of </w:t>
      </w:r>
      <w:r w:rsidR="0054736C">
        <w:rPr>
          <w:rFonts w:asciiTheme="minorHAnsi" w:hAnsiTheme="minorHAnsi"/>
          <w:snapToGrid w:val="0"/>
          <w:szCs w:val="20"/>
        </w:rPr>
        <w:t>atrial fibrillation,</w:t>
      </w:r>
      <w:r w:rsidR="00080410">
        <w:rPr>
          <w:rFonts w:asciiTheme="minorHAnsi" w:hAnsiTheme="minorHAnsi"/>
          <w:snapToGrid w:val="0"/>
          <w:szCs w:val="20"/>
        </w:rPr>
        <w:t xml:space="preserve"> </w:t>
      </w:r>
      <w:r w:rsidR="00F321CC">
        <w:rPr>
          <w:rFonts w:asciiTheme="minorHAnsi" w:hAnsiTheme="minorHAnsi"/>
          <w:snapToGrid w:val="0"/>
          <w:szCs w:val="20"/>
        </w:rPr>
        <w:t>or hypertension</w:t>
      </w:r>
      <w:r w:rsidR="0054736C">
        <w:rPr>
          <w:rFonts w:asciiTheme="minorHAnsi" w:hAnsiTheme="minorHAnsi"/>
          <w:snapToGrid w:val="0"/>
          <w:szCs w:val="20"/>
        </w:rPr>
        <w:t xml:space="preserve"> events with IV</w:t>
      </w:r>
      <w:r w:rsidR="00726DCB">
        <w:rPr>
          <w:rFonts w:asciiTheme="minorHAnsi" w:hAnsiTheme="minorHAnsi"/>
          <w:snapToGrid w:val="0"/>
          <w:lang w:val="en-GB" w:eastAsia="en-US"/>
        </w:rPr>
        <w:t>.</w:t>
      </w:r>
      <w:r>
        <w:rPr>
          <w:rFonts w:asciiTheme="minorHAnsi" w:hAnsiTheme="minorHAnsi"/>
          <w:snapToGrid w:val="0"/>
          <w:lang w:val="en-GB" w:eastAsia="en-US"/>
        </w:rPr>
        <w:t xml:space="preserve"> </w:t>
      </w:r>
      <w:r w:rsidR="00480A9C">
        <w:rPr>
          <w:rFonts w:asciiTheme="minorHAnsi" w:hAnsiTheme="minorHAnsi"/>
          <w:snapToGrid w:val="0"/>
          <w:lang w:val="en-GB" w:eastAsia="en-US"/>
        </w:rPr>
        <w:t>The PBAC considered th</w:t>
      </w:r>
      <w:r w:rsidR="008C1C7C">
        <w:rPr>
          <w:rFonts w:asciiTheme="minorHAnsi" w:hAnsiTheme="minorHAnsi"/>
          <w:snapToGrid w:val="0"/>
          <w:lang w:val="en-GB" w:eastAsia="en-US"/>
        </w:rPr>
        <w:t xml:space="preserve">at </w:t>
      </w:r>
      <w:r w:rsidR="00474DC9">
        <w:rPr>
          <w:rFonts w:asciiTheme="minorHAnsi" w:hAnsiTheme="minorHAnsi"/>
          <w:snapToGrid w:val="0"/>
          <w:lang w:val="en-GB" w:eastAsia="en-US"/>
        </w:rPr>
        <w:t xml:space="preserve">as </w:t>
      </w:r>
      <w:r w:rsidR="00C53CFB">
        <w:rPr>
          <w:rFonts w:asciiTheme="minorHAnsi" w:hAnsiTheme="minorHAnsi"/>
          <w:snapToGrid w:val="0"/>
          <w:lang w:val="en-GB" w:eastAsia="en-US"/>
        </w:rPr>
        <w:t xml:space="preserve">AV is expected to replace </w:t>
      </w:r>
      <w:r>
        <w:rPr>
          <w:rFonts w:asciiTheme="minorHAnsi" w:hAnsiTheme="minorHAnsi"/>
          <w:snapToGrid w:val="0"/>
          <w:lang w:val="en-GB" w:eastAsia="en-US"/>
        </w:rPr>
        <w:t xml:space="preserve">both </w:t>
      </w:r>
      <w:r w:rsidR="00C53CFB">
        <w:rPr>
          <w:rFonts w:asciiTheme="minorHAnsi" w:hAnsiTheme="minorHAnsi"/>
          <w:snapToGrid w:val="0"/>
          <w:lang w:val="en-GB" w:eastAsia="en-US"/>
        </w:rPr>
        <w:t xml:space="preserve">VO and </w:t>
      </w:r>
      <w:r w:rsidR="00605B4B">
        <w:rPr>
          <w:rFonts w:asciiTheme="minorHAnsi" w:hAnsiTheme="minorHAnsi"/>
          <w:snapToGrid w:val="0"/>
          <w:lang w:val="en-GB" w:eastAsia="en-US"/>
        </w:rPr>
        <w:t>I</w:t>
      </w:r>
      <w:r w:rsidR="00C53CFB">
        <w:rPr>
          <w:rFonts w:asciiTheme="minorHAnsi" w:hAnsiTheme="minorHAnsi"/>
          <w:snapToGrid w:val="0"/>
          <w:lang w:val="en-GB" w:eastAsia="en-US"/>
        </w:rPr>
        <w:t>V</w:t>
      </w:r>
      <w:r>
        <w:rPr>
          <w:rFonts w:asciiTheme="minorHAnsi" w:hAnsiTheme="minorHAnsi"/>
          <w:snapToGrid w:val="0"/>
          <w:lang w:val="en-GB" w:eastAsia="en-US"/>
        </w:rPr>
        <w:t>,</w:t>
      </w:r>
      <w:r w:rsidR="00C53CFB">
        <w:rPr>
          <w:rFonts w:asciiTheme="minorHAnsi" w:hAnsiTheme="minorHAnsi"/>
          <w:snapToGrid w:val="0"/>
          <w:lang w:val="en-GB" w:eastAsia="en-US"/>
        </w:rPr>
        <w:t xml:space="preserve"> an increase in the use of venetoclax</w:t>
      </w:r>
      <w:r w:rsidR="00160288">
        <w:rPr>
          <w:rFonts w:asciiTheme="minorHAnsi" w:hAnsiTheme="minorHAnsi"/>
          <w:snapToGrid w:val="0"/>
          <w:lang w:val="en-GB" w:eastAsia="en-US"/>
        </w:rPr>
        <w:t xml:space="preserve"> or ibrutinib</w:t>
      </w:r>
      <w:r w:rsidR="00C53CFB">
        <w:rPr>
          <w:rFonts w:asciiTheme="minorHAnsi" w:hAnsiTheme="minorHAnsi"/>
          <w:snapToGrid w:val="0"/>
          <w:lang w:val="en-GB" w:eastAsia="en-US"/>
        </w:rPr>
        <w:t xml:space="preserve"> is not expected, and therefore no increase in </w:t>
      </w:r>
      <w:r w:rsidR="00F321CC">
        <w:rPr>
          <w:rFonts w:asciiTheme="minorHAnsi" w:hAnsiTheme="minorHAnsi"/>
          <w:snapToGrid w:val="0"/>
          <w:lang w:val="en-GB" w:eastAsia="en-US"/>
        </w:rPr>
        <w:t>the financial</w:t>
      </w:r>
      <w:r w:rsidR="00C53CFB">
        <w:rPr>
          <w:rFonts w:asciiTheme="minorHAnsi" w:hAnsiTheme="minorHAnsi"/>
          <w:snapToGrid w:val="0"/>
          <w:lang w:val="en-GB" w:eastAsia="en-US"/>
        </w:rPr>
        <w:t xml:space="preserve"> caps would be required to account for the new listing. </w:t>
      </w:r>
    </w:p>
    <w:p w14:paraId="220B9CB9" w14:textId="18BCBAA6" w:rsidR="00C445DF" w:rsidRDefault="00991C18" w:rsidP="008F7082">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w:t>
      </w:r>
      <w:r w:rsidR="00C445DF" w:rsidRPr="00C445DF">
        <w:rPr>
          <w:rFonts w:asciiTheme="minorHAnsi" w:hAnsiTheme="minorHAnsi"/>
          <w:snapToGrid w:val="0"/>
          <w:lang w:val="en-GB" w:eastAsia="en-US"/>
        </w:rPr>
        <w:t xml:space="preserve"> PBAC will </w:t>
      </w:r>
      <w:proofErr w:type="gramStart"/>
      <w:r w:rsidR="00C445DF" w:rsidRPr="00C445DF">
        <w:rPr>
          <w:rFonts w:asciiTheme="minorHAnsi" w:hAnsiTheme="minorHAnsi"/>
          <w:snapToGrid w:val="0"/>
          <w:lang w:val="en-GB" w:eastAsia="en-US"/>
        </w:rPr>
        <w:t>make a decision</w:t>
      </w:r>
      <w:proofErr w:type="gramEnd"/>
      <w:r w:rsidR="00C445DF" w:rsidRPr="00C445DF">
        <w:rPr>
          <w:rFonts w:asciiTheme="minorHAnsi" w:hAnsiTheme="minorHAnsi"/>
          <w:snapToGrid w:val="0"/>
          <w:lang w:val="en-GB" w:eastAsia="en-US"/>
        </w:rPr>
        <w:t xml:space="preserve"> </w:t>
      </w:r>
      <w:r w:rsidR="00E9345E">
        <w:rPr>
          <w:rFonts w:asciiTheme="minorHAnsi" w:hAnsiTheme="minorHAnsi"/>
          <w:snapToGrid w:val="0"/>
          <w:lang w:val="en-GB" w:eastAsia="en-US"/>
        </w:rPr>
        <w:t>on whether</w:t>
      </w:r>
      <w:r w:rsidR="001D1CE2">
        <w:rPr>
          <w:rFonts w:asciiTheme="minorHAnsi" w:hAnsiTheme="minorHAnsi"/>
          <w:snapToGrid w:val="0"/>
          <w:lang w:val="en-GB" w:eastAsia="en-US"/>
        </w:rPr>
        <w:t xml:space="preserve"> to recommend</w:t>
      </w:r>
      <w:r w:rsidR="00C445DF" w:rsidRPr="00C445DF">
        <w:rPr>
          <w:rFonts w:asciiTheme="minorHAnsi" w:hAnsiTheme="minorHAnsi"/>
          <w:snapToGrid w:val="0"/>
          <w:lang w:val="en-GB" w:eastAsia="en-US"/>
        </w:rPr>
        <w:t xml:space="preserve"> </w:t>
      </w:r>
      <w:r w:rsidR="00BE3BE8">
        <w:rPr>
          <w:rFonts w:asciiTheme="minorHAnsi" w:hAnsiTheme="minorHAnsi"/>
          <w:snapToGrid w:val="0"/>
          <w:lang w:val="en-GB" w:eastAsia="en-US"/>
        </w:rPr>
        <w:t>AV</w:t>
      </w:r>
      <w:r w:rsidR="0034159C">
        <w:rPr>
          <w:rFonts w:asciiTheme="minorHAnsi" w:hAnsiTheme="minorHAnsi"/>
          <w:snapToGrid w:val="0"/>
          <w:lang w:val="en-GB" w:eastAsia="en-US"/>
        </w:rPr>
        <w:t xml:space="preserve"> </w:t>
      </w:r>
      <w:r w:rsidR="00EC40CB" w:rsidRPr="00EC40CB">
        <w:rPr>
          <w:rFonts w:asciiTheme="minorHAnsi" w:hAnsiTheme="minorHAnsi"/>
          <w:snapToGrid w:val="0"/>
          <w:lang w:val="en-GB" w:eastAsia="en-US"/>
        </w:rPr>
        <w:t>in a FD regimen for the treatment of previously untreated CLL or SLL</w:t>
      </w:r>
      <w:r w:rsidR="00064E83">
        <w:rPr>
          <w:rFonts w:asciiTheme="minorHAnsi" w:hAnsiTheme="minorHAnsi"/>
          <w:snapToGrid w:val="0"/>
          <w:lang w:val="en-GB" w:eastAsia="en-US"/>
        </w:rPr>
        <w:t xml:space="preserve"> </w:t>
      </w:r>
      <w:r w:rsidR="00C445DF" w:rsidRPr="00C445DF">
        <w:rPr>
          <w:rFonts w:asciiTheme="minorHAnsi" w:hAnsiTheme="minorHAnsi"/>
          <w:snapToGrid w:val="0"/>
          <w:lang w:val="en-GB" w:eastAsia="en-US"/>
        </w:rPr>
        <w:t xml:space="preserve">based on </w:t>
      </w:r>
      <w:r w:rsidR="0019458C">
        <w:rPr>
          <w:rFonts w:asciiTheme="minorHAnsi" w:hAnsiTheme="minorHAnsi"/>
          <w:snapToGrid w:val="0"/>
          <w:lang w:val="en-GB" w:eastAsia="en-US"/>
        </w:rPr>
        <w:t xml:space="preserve">receipt of </w:t>
      </w:r>
      <w:r w:rsidR="00B2173F">
        <w:rPr>
          <w:rFonts w:asciiTheme="minorHAnsi" w:hAnsiTheme="minorHAnsi"/>
          <w:snapToGrid w:val="0"/>
          <w:lang w:val="en-GB" w:eastAsia="en-US"/>
        </w:rPr>
        <w:t>the</w:t>
      </w:r>
      <w:r w:rsidR="0019458C">
        <w:rPr>
          <w:rFonts w:asciiTheme="minorHAnsi" w:hAnsiTheme="minorHAnsi"/>
          <w:snapToGrid w:val="0"/>
          <w:lang w:val="en-GB" w:eastAsia="en-US"/>
        </w:rPr>
        <w:t xml:space="preserve"> TGA Delegate’s Overview</w:t>
      </w:r>
      <w:r w:rsidR="00C445DF" w:rsidRPr="00C445DF">
        <w:rPr>
          <w:rFonts w:asciiTheme="minorHAnsi" w:hAnsiTheme="minorHAnsi"/>
          <w:snapToGrid w:val="0"/>
          <w:lang w:val="en-GB" w:eastAsia="en-US"/>
        </w:rPr>
        <w:t xml:space="preserve">. </w:t>
      </w:r>
    </w:p>
    <w:p w14:paraId="64215829" w14:textId="77777777" w:rsidR="00C445DF" w:rsidRPr="00C445DF" w:rsidRDefault="00C445DF" w:rsidP="00C445DF">
      <w:pPr>
        <w:spacing w:before="240"/>
        <w:rPr>
          <w:rFonts w:asciiTheme="minorHAnsi" w:hAnsiTheme="minorHAnsi"/>
          <w:b/>
          <w:bCs/>
          <w:snapToGrid w:val="0"/>
          <w:lang w:val="en-GB" w:eastAsia="en-US"/>
        </w:rPr>
      </w:pPr>
      <w:r w:rsidRPr="00C445DF">
        <w:rPr>
          <w:rFonts w:asciiTheme="minorHAnsi" w:hAnsiTheme="minorHAnsi"/>
          <w:b/>
          <w:bCs/>
          <w:snapToGrid w:val="0"/>
          <w:lang w:val="en-GB" w:eastAsia="en-US"/>
        </w:rPr>
        <w:t>Outcome:</w:t>
      </w:r>
    </w:p>
    <w:p w14:paraId="6E400604" w14:textId="1EA59BD1" w:rsidR="00C445DF" w:rsidRPr="00C445DF" w:rsidRDefault="00C445DF" w:rsidP="00C445DF">
      <w:pPr>
        <w:spacing w:after="120"/>
        <w:rPr>
          <w:rFonts w:asciiTheme="minorHAnsi" w:hAnsiTheme="minorHAnsi"/>
          <w:bCs/>
          <w:snapToGrid w:val="0"/>
          <w:lang w:val="en-GB" w:eastAsia="en-US"/>
        </w:rPr>
      </w:pPr>
      <w:r w:rsidRPr="00C445DF">
        <w:rPr>
          <w:rFonts w:asciiTheme="minorHAnsi" w:hAnsiTheme="minorHAnsi"/>
          <w:bCs/>
          <w:snapToGrid w:val="0"/>
          <w:lang w:val="en-GB" w:eastAsia="en-US"/>
        </w:rPr>
        <w:t>Deferred</w:t>
      </w:r>
    </w:p>
    <w:bookmarkEnd w:id="49"/>
    <w:bookmarkEnd w:id="50"/>
    <w:p w14:paraId="5B600AA8" w14:textId="77777777" w:rsidR="00075C2F" w:rsidRDefault="00075C2F" w:rsidP="00B23874">
      <w:pPr>
        <w:pStyle w:val="3-BodyText"/>
        <w:rPr>
          <w:i/>
        </w:rPr>
      </w:pPr>
    </w:p>
    <w:p w14:paraId="2B8B9A72" w14:textId="68FB87C2" w:rsidR="00C353D6" w:rsidRPr="00331220" w:rsidRDefault="00C353D6" w:rsidP="00C353D6">
      <w:pPr>
        <w:outlineLvl w:val="0"/>
        <w:rPr>
          <w:rFonts w:eastAsia="Calibri"/>
          <w:b/>
          <w:color w:val="FF0000"/>
          <w:sz w:val="32"/>
          <w:szCs w:val="28"/>
        </w:rPr>
      </w:pPr>
      <w:r w:rsidRPr="00331220">
        <w:rPr>
          <w:rFonts w:eastAsia="Calibri"/>
          <w:b/>
          <w:color w:val="FF0000"/>
          <w:sz w:val="32"/>
          <w:szCs w:val="28"/>
        </w:rPr>
        <w:t>Addendum to the November 2025 PBAC</w:t>
      </w:r>
      <w:r w:rsidR="00331220">
        <w:rPr>
          <w:rFonts w:eastAsia="Calibri"/>
          <w:b/>
          <w:color w:val="FF0000"/>
          <w:sz w:val="32"/>
          <w:szCs w:val="28"/>
        </w:rPr>
        <w:t xml:space="preserve"> Public Summary Document</w:t>
      </w:r>
      <w:r w:rsidRPr="00331220">
        <w:rPr>
          <w:rFonts w:eastAsia="Calibri"/>
          <w:b/>
          <w:color w:val="FF0000"/>
          <w:sz w:val="32"/>
          <w:szCs w:val="28"/>
        </w:rPr>
        <w:t>:</w:t>
      </w:r>
    </w:p>
    <w:p w14:paraId="02610479" w14:textId="77777777" w:rsidR="00A360F5" w:rsidRDefault="00A360F5" w:rsidP="00226210">
      <w:pPr>
        <w:pStyle w:val="3-BodyText"/>
      </w:pPr>
    </w:p>
    <w:p w14:paraId="6B88428D" w14:textId="1F852D1F" w:rsidR="008466C1" w:rsidRDefault="00956DA1" w:rsidP="00A360F5">
      <w:pPr>
        <w:pStyle w:val="1-MainHeading"/>
        <w:spacing w:after="0"/>
      </w:pPr>
      <w:r w:rsidRPr="00A55C25">
        <w:tab/>
        <w:t>ACALABRUTINIB,</w:t>
      </w:r>
      <w:r w:rsidRPr="00A55C25">
        <w:br/>
        <w:t>Tablet,</w:t>
      </w:r>
      <w:r w:rsidRPr="00A55C25">
        <w:br/>
        <w:t>100 mg,</w:t>
      </w:r>
    </w:p>
    <w:p w14:paraId="70D1AABA" w14:textId="598C0427" w:rsidR="00956DA1" w:rsidRPr="00A55C25" w:rsidRDefault="00956DA1" w:rsidP="00A360F5">
      <w:pPr>
        <w:pStyle w:val="1-MainHeading"/>
        <w:keepNext w:val="0"/>
        <w:spacing w:before="0"/>
        <w:ind w:firstLine="0"/>
      </w:pPr>
      <w:proofErr w:type="spellStart"/>
      <w:r w:rsidRPr="00A55C25">
        <w:t>Calquence</w:t>
      </w:r>
      <w:proofErr w:type="spellEnd"/>
      <w:r w:rsidRPr="00A55C25">
        <w:rPr>
          <w:vertAlign w:val="superscript"/>
        </w:rPr>
        <w:t>®</w:t>
      </w:r>
      <w:r w:rsidRPr="00A55C25">
        <w:t>,</w:t>
      </w:r>
      <w:r w:rsidRPr="00A55C25">
        <w:br/>
        <w:t>ASTRAZENECA PTY LTD.</w:t>
      </w:r>
    </w:p>
    <w:p w14:paraId="162D3D4D" w14:textId="7E0C406C" w:rsidR="00B5154F" w:rsidRDefault="00B5154F" w:rsidP="00A360F5">
      <w:pPr>
        <w:keepNext/>
        <w:numPr>
          <w:ilvl w:val="0"/>
          <w:numId w:val="1"/>
        </w:numPr>
        <w:spacing w:before="240" w:after="120"/>
        <w:jc w:val="left"/>
        <w:outlineLvl w:val="0"/>
        <w:rPr>
          <w:rFonts w:asciiTheme="minorHAnsi" w:hAnsiTheme="minorHAnsi"/>
          <w:b/>
          <w:snapToGrid w:val="0"/>
          <w:sz w:val="32"/>
          <w:szCs w:val="32"/>
        </w:rPr>
      </w:pPr>
      <w:r>
        <w:rPr>
          <w:rFonts w:asciiTheme="minorHAnsi" w:hAnsiTheme="minorHAnsi"/>
          <w:b/>
          <w:snapToGrid w:val="0"/>
          <w:sz w:val="32"/>
          <w:szCs w:val="32"/>
        </w:rPr>
        <w:t>Purpose</w:t>
      </w:r>
    </w:p>
    <w:p w14:paraId="56337976" w14:textId="51134AD1" w:rsidR="00B06CD3" w:rsidRPr="008F6B2D" w:rsidRDefault="00B06CD3" w:rsidP="00A360F5">
      <w:pPr>
        <w:keepNext/>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For the PBAC to </w:t>
      </w:r>
      <w:r w:rsidR="00E60325">
        <w:rPr>
          <w:rFonts w:asciiTheme="minorHAnsi" w:hAnsiTheme="minorHAnsi"/>
          <w:snapToGrid w:val="0"/>
          <w:lang w:val="en-GB" w:eastAsia="en-US"/>
        </w:rPr>
        <w:t xml:space="preserve">consider whether to </w:t>
      </w:r>
      <w:r w:rsidRPr="008F6B2D">
        <w:rPr>
          <w:rFonts w:asciiTheme="minorHAnsi" w:hAnsiTheme="minorHAnsi"/>
          <w:snapToGrid w:val="0"/>
          <w:lang w:val="en-GB" w:eastAsia="en-US"/>
        </w:rPr>
        <w:t xml:space="preserve">recommend listing acalabrutinib for use in combination with venetoclax (AV) in a fixed duration (FD) regimen for the treatment of previously untreated chronic lymphocytic leukaemia (CLL) or small lymphocytic </w:t>
      </w:r>
      <w:r w:rsidRPr="008F6B2D">
        <w:rPr>
          <w:rFonts w:asciiTheme="minorHAnsi" w:hAnsiTheme="minorHAnsi"/>
          <w:snapToGrid w:val="0"/>
          <w:lang w:val="en-GB" w:eastAsia="en-US"/>
        </w:rPr>
        <w:lastRenderedPageBreak/>
        <w:t xml:space="preserve">lymphoma (SLL), </w:t>
      </w:r>
      <w:r w:rsidR="00C86F59">
        <w:rPr>
          <w:rFonts w:asciiTheme="minorHAnsi" w:hAnsiTheme="minorHAnsi"/>
          <w:snapToGrid w:val="0"/>
          <w:lang w:val="en-GB" w:eastAsia="en-US"/>
        </w:rPr>
        <w:t>given</w:t>
      </w:r>
      <w:r w:rsidRPr="008F6B2D">
        <w:rPr>
          <w:rFonts w:asciiTheme="minorHAnsi" w:hAnsiTheme="minorHAnsi"/>
          <w:snapToGrid w:val="0"/>
          <w:lang w:val="en-GB" w:eastAsia="en-US"/>
        </w:rPr>
        <w:t xml:space="preserve"> that a </w:t>
      </w:r>
      <w:r w:rsidR="00F321CC">
        <w:rPr>
          <w:rFonts w:asciiTheme="minorHAnsi" w:hAnsiTheme="minorHAnsi"/>
          <w:snapToGrid w:val="0"/>
          <w:lang w:val="en-GB" w:eastAsia="en-US"/>
        </w:rPr>
        <w:t xml:space="preserve">positive </w:t>
      </w:r>
      <w:r w:rsidRPr="008F6B2D">
        <w:rPr>
          <w:rFonts w:asciiTheme="minorHAnsi" w:hAnsiTheme="minorHAnsi"/>
          <w:snapToGrid w:val="0"/>
          <w:lang w:val="en-GB" w:eastAsia="en-US"/>
        </w:rPr>
        <w:t xml:space="preserve">TGA Delegate’s Overview was </w:t>
      </w:r>
      <w:r w:rsidR="00C86F59">
        <w:rPr>
          <w:rFonts w:asciiTheme="minorHAnsi" w:hAnsiTheme="minorHAnsi"/>
          <w:snapToGrid w:val="0"/>
          <w:lang w:val="en-GB" w:eastAsia="en-US"/>
        </w:rPr>
        <w:t>now available</w:t>
      </w:r>
      <w:r w:rsidRPr="008F6B2D">
        <w:rPr>
          <w:rFonts w:asciiTheme="minorHAnsi" w:hAnsiTheme="minorHAnsi"/>
          <w:snapToGrid w:val="0"/>
          <w:lang w:val="en-GB" w:eastAsia="en-US"/>
        </w:rPr>
        <w:t xml:space="preserve">. </w:t>
      </w:r>
    </w:p>
    <w:p w14:paraId="3C100ADF" w14:textId="4BEB1FBC" w:rsidR="00587AC4" w:rsidRPr="00C445DF" w:rsidRDefault="00587AC4" w:rsidP="00587AC4">
      <w:pPr>
        <w:keepNext/>
        <w:numPr>
          <w:ilvl w:val="0"/>
          <w:numId w:val="1"/>
        </w:numPr>
        <w:spacing w:before="240" w:after="120"/>
        <w:jc w:val="left"/>
        <w:outlineLvl w:val="0"/>
        <w:rPr>
          <w:rFonts w:asciiTheme="minorHAnsi" w:hAnsiTheme="minorHAnsi"/>
          <w:b/>
          <w:snapToGrid w:val="0"/>
          <w:sz w:val="32"/>
          <w:szCs w:val="32"/>
        </w:rPr>
      </w:pPr>
      <w:r>
        <w:rPr>
          <w:rFonts w:asciiTheme="minorHAnsi" w:hAnsiTheme="minorHAnsi"/>
          <w:b/>
          <w:snapToGrid w:val="0"/>
          <w:sz w:val="32"/>
          <w:szCs w:val="32"/>
        </w:rPr>
        <w:t>Background</w:t>
      </w:r>
    </w:p>
    <w:p w14:paraId="1E1739BC" w14:textId="1EFA4C9D" w:rsidR="00587AC4" w:rsidRPr="008F6B2D" w:rsidRDefault="00587AC4" w:rsidP="008F6B2D">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At its </w:t>
      </w:r>
      <w:r w:rsidR="008F6B2D">
        <w:rPr>
          <w:rFonts w:asciiTheme="minorHAnsi" w:hAnsiTheme="minorHAnsi"/>
          <w:snapToGrid w:val="0"/>
          <w:lang w:val="en-GB" w:eastAsia="en-US"/>
        </w:rPr>
        <w:t xml:space="preserve">meeting between 5 – 7 </w:t>
      </w:r>
      <w:r w:rsidRPr="008F6B2D">
        <w:rPr>
          <w:rFonts w:asciiTheme="minorHAnsi" w:hAnsiTheme="minorHAnsi"/>
          <w:snapToGrid w:val="0"/>
          <w:lang w:val="en-GB" w:eastAsia="en-US"/>
        </w:rPr>
        <w:t xml:space="preserve">November 2025, the PBAC deferred making a </w:t>
      </w:r>
      <w:r w:rsidR="00E875EE" w:rsidRPr="008F6B2D">
        <w:rPr>
          <w:rFonts w:asciiTheme="minorHAnsi" w:hAnsiTheme="minorHAnsi"/>
          <w:snapToGrid w:val="0"/>
          <w:lang w:val="en-GB" w:eastAsia="en-US"/>
        </w:rPr>
        <w:t xml:space="preserve">decision on whether to </w:t>
      </w:r>
      <w:r w:rsidRPr="008F6B2D">
        <w:rPr>
          <w:rFonts w:asciiTheme="minorHAnsi" w:hAnsiTheme="minorHAnsi"/>
          <w:snapToGrid w:val="0"/>
          <w:lang w:val="en-GB" w:eastAsia="en-US"/>
        </w:rPr>
        <w:t>recommend list</w:t>
      </w:r>
      <w:r w:rsidR="00E875EE" w:rsidRPr="008F6B2D">
        <w:rPr>
          <w:rFonts w:asciiTheme="minorHAnsi" w:hAnsiTheme="minorHAnsi"/>
          <w:snapToGrid w:val="0"/>
          <w:lang w:val="en-GB" w:eastAsia="en-US"/>
        </w:rPr>
        <w:t>ing</w:t>
      </w:r>
      <w:r w:rsidRPr="008F6B2D">
        <w:rPr>
          <w:rFonts w:asciiTheme="minorHAnsi" w:hAnsiTheme="minorHAnsi"/>
          <w:snapToGrid w:val="0"/>
          <w:lang w:val="en-GB" w:eastAsia="en-US"/>
        </w:rPr>
        <w:t xml:space="preserve"> acalabrutinib for use in combination with venetoclax (AV) in a fixed duration (FD) regimen for the treatment of previously untreated chronic lymphocytic leukaemia (CLL) or small lymphocytic lymphoma (SLL), noting that a TGA Delegate’s Overview was not available at the time of the PBAC meeting. </w:t>
      </w:r>
    </w:p>
    <w:p w14:paraId="6907D63B" w14:textId="2DD42C2D" w:rsidR="0090439A" w:rsidRPr="00C445DF" w:rsidRDefault="0090439A" w:rsidP="0090439A">
      <w:pPr>
        <w:keepNext/>
        <w:numPr>
          <w:ilvl w:val="0"/>
          <w:numId w:val="1"/>
        </w:numPr>
        <w:spacing w:before="240" w:after="120"/>
        <w:jc w:val="left"/>
        <w:outlineLvl w:val="0"/>
        <w:rPr>
          <w:rFonts w:asciiTheme="minorHAnsi" w:hAnsiTheme="minorHAnsi"/>
          <w:b/>
          <w:snapToGrid w:val="0"/>
          <w:sz w:val="32"/>
          <w:szCs w:val="32"/>
        </w:rPr>
      </w:pPr>
      <w:r>
        <w:rPr>
          <w:rFonts w:asciiTheme="minorHAnsi" w:hAnsiTheme="minorHAnsi"/>
          <w:b/>
          <w:snapToGrid w:val="0"/>
          <w:sz w:val="32"/>
          <w:szCs w:val="32"/>
        </w:rPr>
        <w:t>Current situation</w:t>
      </w:r>
    </w:p>
    <w:p w14:paraId="6A23B839" w14:textId="1D65EC8E" w:rsidR="00535546" w:rsidRDefault="008F6B2D" w:rsidP="00C225D2">
      <w:pPr>
        <w:widowControl w:val="0"/>
        <w:numPr>
          <w:ilvl w:val="1"/>
          <w:numId w:val="1"/>
        </w:numPr>
        <w:spacing w:after="120"/>
        <w:rPr>
          <w:rFonts w:asciiTheme="minorHAnsi" w:hAnsiTheme="minorHAnsi"/>
          <w:snapToGrid w:val="0"/>
          <w:lang w:eastAsia="en-US"/>
        </w:rPr>
      </w:pPr>
      <w:r w:rsidRPr="26687BEF">
        <w:rPr>
          <w:rFonts w:asciiTheme="minorHAnsi" w:hAnsiTheme="minorHAnsi"/>
          <w:snapToGrid w:val="0"/>
          <w:lang w:eastAsia="en-US"/>
        </w:rPr>
        <w:t>O</w:t>
      </w:r>
      <w:r w:rsidR="0094233D" w:rsidRPr="26687BEF">
        <w:rPr>
          <w:rFonts w:asciiTheme="minorHAnsi" w:hAnsiTheme="minorHAnsi"/>
          <w:snapToGrid w:val="0"/>
          <w:lang w:eastAsia="en-US"/>
        </w:rPr>
        <w:t>n 12 November 2025, t</w:t>
      </w:r>
      <w:r w:rsidR="002066AA" w:rsidRPr="26687BEF">
        <w:rPr>
          <w:rFonts w:asciiTheme="minorHAnsi" w:hAnsiTheme="minorHAnsi"/>
          <w:snapToGrid w:val="0"/>
          <w:lang w:eastAsia="en-US"/>
        </w:rPr>
        <w:t>he TGA Delegate’s Overview was received</w:t>
      </w:r>
      <w:r w:rsidR="0094233D" w:rsidRPr="26687BEF">
        <w:rPr>
          <w:rFonts w:asciiTheme="minorHAnsi" w:hAnsiTheme="minorHAnsi"/>
          <w:snapToGrid w:val="0"/>
          <w:lang w:eastAsia="en-US"/>
        </w:rPr>
        <w:t xml:space="preserve">. The </w:t>
      </w:r>
      <w:r w:rsidR="00C501AE" w:rsidRPr="26687BEF">
        <w:rPr>
          <w:rFonts w:asciiTheme="minorHAnsi" w:hAnsiTheme="minorHAnsi"/>
          <w:snapToGrid w:val="0"/>
          <w:lang w:eastAsia="en-US"/>
        </w:rPr>
        <w:t>TGA Delegate stated</w:t>
      </w:r>
      <w:r w:rsidRPr="26687BEF">
        <w:rPr>
          <w:rFonts w:asciiTheme="minorHAnsi" w:hAnsiTheme="minorHAnsi"/>
          <w:snapToGrid w:val="0"/>
          <w:lang w:eastAsia="en-US"/>
        </w:rPr>
        <w:t>,</w:t>
      </w:r>
      <w:r w:rsidR="00C501AE" w:rsidRPr="26687BEF">
        <w:rPr>
          <w:rFonts w:asciiTheme="minorHAnsi" w:hAnsiTheme="minorHAnsi"/>
          <w:snapToGrid w:val="0"/>
          <w:lang w:eastAsia="en-US"/>
        </w:rPr>
        <w:t xml:space="preserve"> </w:t>
      </w:r>
      <w:r w:rsidR="006B62B0" w:rsidRPr="26687BEF">
        <w:rPr>
          <w:rFonts w:asciiTheme="minorHAnsi" w:hAnsiTheme="minorHAnsi"/>
          <w:snapToGrid w:val="0"/>
          <w:lang w:eastAsia="en-US"/>
        </w:rPr>
        <w:t>“</w:t>
      </w:r>
      <w:r w:rsidR="00C501AE" w:rsidRPr="26687BEF">
        <w:rPr>
          <w:rFonts w:asciiTheme="minorHAnsi" w:hAnsiTheme="minorHAnsi"/>
          <w:snapToGrid w:val="0"/>
          <w:lang w:eastAsia="en-US"/>
        </w:rPr>
        <w:t xml:space="preserve">I am </w:t>
      </w:r>
      <w:r w:rsidR="00535546" w:rsidRPr="26687BEF">
        <w:rPr>
          <w:rFonts w:asciiTheme="minorHAnsi" w:hAnsiTheme="minorHAnsi"/>
          <w:snapToGrid w:val="0"/>
          <w:lang w:eastAsia="en-US"/>
        </w:rPr>
        <w:t>currently inclined to approve the proposed extension of indication for acalabrutinib to include first-line treatment of chronic lymphocytic leukaemia/small lymphocytic lymphoma (CLL/SLL) in combination with venetoclax (AV)”.</w:t>
      </w:r>
    </w:p>
    <w:p w14:paraId="53492765" w14:textId="77777777" w:rsidR="0094233D" w:rsidRDefault="0094233D" w:rsidP="0094233D">
      <w:pPr>
        <w:pStyle w:val="2Sections"/>
        <w:keepNext/>
        <w:keepLines/>
        <w:numPr>
          <w:ilvl w:val="0"/>
          <w:numId w:val="1"/>
        </w:numPr>
      </w:pPr>
      <w:r w:rsidRPr="00A70DBB">
        <w:t>PBAC Outcome</w:t>
      </w:r>
    </w:p>
    <w:p w14:paraId="097BD25F" w14:textId="0297F8C3" w:rsidR="0094233D" w:rsidRPr="00764129" w:rsidRDefault="00643CDC" w:rsidP="00764129">
      <w:pPr>
        <w:widowControl w:val="0"/>
        <w:numPr>
          <w:ilvl w:val="1"/>
          <w:numId w:val="1"/>
        </w:numPr>
        <w:spacing w:after="120"/>
        <w:rPr>
          <w:rFonts w:asciiTheme="minorHAnsi" w:hAnsiTheme="minorHAnsi"/>
          <w:snapToGrid w:val="0"/>
          <w:lang w:val="en-GB" w:eastAsia="en-US"/>
        </w:rPr>
      </w:pPr>
      <w:r w:rsidRPr="001B4EF0">
        <w:rPr>
          <w:rFonts w:asciiTheme="minorHAnsi" w:hAnsiTheme="minorHAnsi"/>
          <w:snapToGrid w:val="0"/>
          <w:lang w:val="en-GB" w:eastAsia="en-US"/>
        </w:rPr>
        <w:t xml:space="preserve">The PBAC </w:t>
      </w:r>
      <w:r w:rsidR="00747C2A" w:rsidRPr="001B4EF0">
        <w:rPr>
          <w:rFonts w:asciiTheme="minorHAnsi" w:hAnsiTheme="minorHAnsi"/>
          <w:snapToGrid w:val="0"/>
          <w:lang w:val="en-GB" w:eastAsia="en-US"/>
        </w:rPr>
        <w:t xml:space="preserve">recommended </w:t>
      </w:r>
      <w:r w:rsidR="0028735E" w:rsidRPr="001B4EF0">
        <w:rPr>
          <w:rFonts w:asciiTheme="minorHAnsi" w:hAnsiTheme="minorHAnsi"/>
          <w:snapToGrid w:val="0"/>
          <w:lang w:val="en-GB" w:eastAsia="en-US"/>
        </w:rPr>
        <w:t xml:space="preserve">extending the </w:t>
      </w:r>
      <w:r w:rsidR="003B0E50">
        <w:rPr>
          <w:rFonts w:asciiTheme="minorHAnsi" w:hAnsiTheme="minorHAnsi"/>
          <w:snapToGrid w:val="0"/>
          <w:lang w:val="en-GB" w:eastAsia="en-US"/>
        </w:rPr>
        <w:t xml:space="preserve">PBS </w:t>
      </w:r>
      <w:r w:rsidR="0028735E" w:rsidRPr="001B4EF0">
        <w:rPr>
          <w:rFonts w:asciiTheme="minorHAnsi" w:hAnsiTheme="minorHAnsi"/>
          <w:snapToGrid w:val="0"/>
          <w:lang w:val="en-GB" w:eastAsia="en-US"/>
        </w:rPr>
        <w:t>listing of acalabrutinib</w:t>
      </w:r>
      <w:r w:rsidR="001B4EF0" w:rsidRPr="001B4EF0">
        <w:rPr>
          <w:rFonts w:asciiTheme="minorHAnsi" w:hAnsiTheme="minorHAnsi"/>
          <w:snapToGrid w:val="0"/>
          <w:lang w:val="en-GB" w:eastAsia="en-US"/>
        </w:rPr>
        <w:t xml:space="preserve"> </w:t>
      </w:r>
      <w:r w:rsidR="007B2B51">
        <w:rPr>
          <w:rFonts w:asciiTheme="minorHAnsi" w:hAnsiTheme="minorHAnsi"/>
          <w:snapToGrid w:val="0"/>
          <w:lang w:val="en-GB" w:eastAsia="en-US"/>
        </w:rPr>
        <w:t>to include</w:t>
      </w:r>
      <w:r w:rsidR="002273A6" w:rsidRPr="008F6B2D">
        <w:rPr>
          <w:rFonts w:asciiTheme="minorHAnsi" w:hAnsiTheme="minorHAnsi"/>
          <w:snapToGrid w:val="0"/>
          <w:lang w:val="en-GB" w:eastAsia="en-US"/>
        </w:rPr>
        <w:t xml:space="preserve"> use in combination with venetoclax in a FD regimen for the treatment of </w:t>
      </w:r>
      <w:r w:rsidR="00BD1E4F">
        <w:rPr>
          <w:rFonts w:asciiTheme="minorHAnsi" w:hAnsiTheme="minorHAnsi"/>
          <w:snapToGrid w:val="0"/>
          <w:lang w:val="en-GB" w:eastAsia="en-US"/>
        </w:rPr>
        <w:t xml:space="preserve">patients with </w:t>
      </w:r>
      <w:r w:rsidR="002273A6" w:rsidRPr="008F6B2D">
        <w:rPr>
          <w:rFonts w:asciiTheme="minorHAnsi" w:hAnsiTheme="minorHAnsi"/>
          <w:snapToGrid w:val="0"/>
          <w:lang w:val="en-GB" w:eastAsia="en-US"/>
        </w:rPr>
        <w:t xml:space="preserve">previously untreated </w:t>
      </w:r>
      <w:r w:rsidR="00396F28" w:rsidRPr="008F6B2D">
        <w:rPr>
          <w:rFonts w:asciiTheme="minorHAnsi" w:hAnsiTheme="minorHAnsi"/>
          <w:snapToGrid w:val="0"/>
          <w:lang w:val="en-GB" w:eastAsia="en-US"/>
        </w:rPr>
        <w:t>chronic lymphocytic leukaemia (CLL) or small lymphocytic lymphoma (SLL)</w:t>
      </w:r>
      <w:r w:rsidR="0028735E" w:rsidRPr="001B4EF0">
        <w:rPr>
          <w:rFonts w:asciiTheme="minorHAnsi" w:hAnsiTheme="minorHAnsi"/>
          <w:snapToGrid w:val="0"/>
          <w:lang w:val="en-GB" w:eastAsia="en-US"/>
        </w:rPr>
        <w:t xml:space="preserve">. </w:t>
      </w:r>
      <w:r w:rsidR="00764129">
        <w:rPr>
          <w:rFonts w:asciiTheme="minorHAnsi" w:hAnsiTheme="minorHAnsi"/>
          <w:snapToGrid w:val="0"/>
          <w:lang w:val="en-GB" w:eastAsia="en-US"/>
        </w:rPr>
        <w:t xml:space="preserve">The PBAC recalled that at its meeting between 5 – 7 November it had been of a mind to </w:t>
      </w:r>
      <w:r w:rsidR="00612480">
        <w:rPr>
          <w:rFonts w:asciiTheme="minorHAnsi" w:hAnsiTheme="minorHAnsi"/>
          <w:snapToGrid w:val="0"/>
          <w:lang w:val="en-GB" w:eastAsia="en-US"/>
        </w:rPr>
        <w:t>make a recommendation</w:t>
      </w:r>
      <w:r w:rsidR="001148D5">
        <w:rPr>
          <w:rFonts w:asciiTheme="minorHAnsi" w:hAnsiTheme="minorHAnsi"/>
          <w:snapToGrid w:val="0"/>
          <w:lang w:val="en-GB" w:eastAsia="en-US"/>
        </w:rPr>
        <w:t xml:space="preserve"> but </w:t>
      </w:r>
      <w:r w:rsidR="002F02DC">
        <w:rPr>
          <w:rFonts w:asciiTheme="minorHAnsi" w:hAnsiTheme="minorHAnsi"/>
          <w:snapToGrid w:val="0"/>
          <w:lang w:val="en-GB" w:eastAsia="en-US"/>
        </w:rPr>
        <w:t xml:space="preserve">was not able to do so given </w:t>
      </w:r>
      <w:r w:rsidR="001148D5">
        <w:rPr>
          <w:rFonts w:asciiTheme="minorHAnsi" w:hAnsiTheme="minorHAnsi"/>
          <w:snapToGrid w:val="0"/>
          <w:lang w:val="en-GB" w:eastAsia="en-US"/>
        </w:rPr>
        <w:t>a TGA Delegate’s Overview</w:t>
      </w:r>
      <w:r w:rsidR="00297ECB">
        <w:rPr>
          <w:rFonts w:asciiTheme="minorHAnsi" w:hAnsiTheme="minorHAnsi"/>
          <w:snapToGrid w:val="0"/>
          <w:lang w:val="en-GB" w:eastAsia="en-US"/>
        </w:rPr>
        <w:t xml:space="preserve"> was not available</w:t>
      </w:r>
      <w:r w:rsidR="00BC5D60">
        <w:rPr>
          <w:rFonts w:asciiTheme="minorHAnsi" w:hAnsiTheme="minorHAnsi"/>
          <w:snapToGrid w:val="0"/>
          <w:lang w:val="en-GB" w:eastAsia="en-US"/>
        </w:rPr>
        <w:t xml:space="preserve">. </w:t>
      </w:r>
      <w:r w:rsidR="00EE3AC7">
        <w:rPr>
          <w:rFonts w:asciiTheme="minorHAnsi" w:hAnsiTheme="minorHAnsi"/>
          <w:snapToGrid w:val="0"/>
          <w:lang w:val="en-GB" w:eastAsia="en-US"/>
        </w:rPr>
        <w:t xml:space="preserve">The PBAC noted that the </w:t>
      </w:r>
      <w:r w:rsidR="00BC5D60">
        <w:rPr>
          <w:rFonts w:asciiTheme="minorHAnsi" w:hAnsiTheme="minorHAnsi"/>
          <w:snapToGrid w:val="0"/>
          <w:lang w:val="en-GB" w:eastAsia="en-US"/>
        </w:rPr>
        <w:t xml:space="preserve">TGA Delegate’s Overview </w:t>
      </w:r>
      <w:r w:rsidR="00A13C1B">
        <w:rPr>
          <w:rFonts w:asciiTheme="minorHAnsi" w:hAnsiTheme="minorHAnsi"/>
          <w:snapToGrid w:val="0"/>
          <w:lang w:val="en-GB" w:eastAsia="en-US"/>
        </w:rPr>
        <w:t xml:space="preserve">for </w:t>
      </w:r>
      <w:r w:rsidR="00297ECB">
        <w:rPr>
          <w:rFonts w:asciiTheme="minorHAnsi" w:hAnsiTheme="minorHAnsi"/>
          <w:snapToGrid w:val="0"/>
          <w:lang w:val="en-GB" w:eastAsia="en-US"/>
        </w:rPr>
        <w:t>acalabrutinib</w:t>
      </w:r>
      <w:r w:rsidR="008554A5">
        <w:rPr>
          <w:rFonts w:asciiTheme="minorHAnsi" w:hAnsiTheme="minorHAnsi"/>
          <w:snapToGrid w:val="0"/>
          <w:lang w:val="en-GB" w:eastAsia="en-US"/>
        </w:rPr>
        <w:t xml:space="preserve"> had been received and that the Delegate was inclined to approve the proposed extension of indication for acalabrutinib</w:t>
      </w:r>
      <w:r w:rsidR="000E04B2">
        <w:rPr>
          <w:rFonts w:asciiTheme="minorHAnsi" w:hAnsiTheme="minorHAnsi"/>
          <w:snapToGrid w:val="0"/>
          <w:lang w:val="en-GB" w:eastAsia="en-US"/>
        </w:rPr>
        <w:t>. T</w:t>
      </w:r>
      <w:r w:rsidR="00A13C1B">
        <w:rPr>
          <w:rFonts w:asciiTheme="minorHAnsi" w:hAnsiTheme="minorHAnsi"/>
          <w:snapToGrid w:val="0"/>
          <w:lang w:val="en-GB" w:eastAsia="en-US"/>
        </w:rPr>
        <w:t>he PBAC</w:t>
      </w:r>
      <w:r w:rsidR="0098724E">
        <w:rPr>
          <w:rFonts w:asciiTheme="minorHAnsi" w:hAnsiTheme="minorHAnsi"/>
          <w:snapToGrid w:val="0"/>
          <w:lang w:val="en-GB" w:eastAsia="en-US"/>
        </w:rPr>
        <w:t xml:space="preserve"> </w:t>
      </w:r>
      <w:r w:rsidR="00C12E22">
        <w:rPr>
          <w:rFonts w:asciiTheme="minorHAnsi" w:hAnsiTheme="minorHAnsi"/>
          <w:snapToGrid w:val="0"/>
          <w:lang w:val="en-GB" w:eastAsia="en-US"/>
        </w:rPr>
        <w:t>reaffirmed its</w:t>
      </w:r>
      <w:r w:rsidR="00236110" w:rsidRPr="00764129">
        <w:rPr>
          <w:rFonts w:asciiTheme="minorHAnsi" w:hAnsiTheme="minorHAnsi"/>
          <w:snapToGrid w:val="0"/>
          <w:lang w:val="en-GB" w:eastAsia="en-US"/>
        </w:rPr>
        <w:t xml:space="preserve"> </w:t>
      </w:r>
      <w:r w:rsidR="00454C75" w:rsidRPr="00764129">
        <w:rPr>
          <w:rFonts w:asciiTheme="minorHAnsi" w:hAnsiTheme="minorHAnsi"/>
          <w:snapToGrid w:val="0"/>
          <w:lang w:val="en-GB" w:eastAsia="en-US"/>
        </w:rPr>
        <w:t>view</w:t>
      </w:r>
      <w:r w:rsidR="00236110" w:rsidRPr="00764129">
        <w:rPr>
          <w:rFonts w:asciiTheme="minorHAnsi" w:hAnsiTheme="minorHAnsi"/>
          <w:snapToGrid w:val="0"/>
          <w:lang w:val="en-GB" w:eastAsia="en-US"/>
        </w:rPr>
        <w:t xml:space="preserve"> that amongst other matters, AV would be acceptably cost-effective if it was cost-minimised to venetoclax given in combination with obinutuzumab (VO)</w:t>
      </w:r>
      <w:r w:rsidR="00BD5B06" w:rsidRPr="00764129">
        <w:rPr>
          <w:rFonts w:asciiTheme="minorHAnsi" w:hAnsiTheme="minorHAnsi"/>
          <w:snapToGrid w:val="0"/>
          <w:lang w:val="en-GB" w:eastAsia="en-US"/>
        </w:rPr>
        <w:t xml:space="preserve"> with the equi-effective doses being:</w:t>
      </w:r>
      <w:r w:rsidR="00BD5B06" w:rsidRPr="00BD5B06">
        <w:t xml:space="preserve"> </w:t>
      </w:r>
      <w:r w:rsidR="00BD5B06" w:rsidRPr="00A55C25">
        <w:t xml:space="preserve">12.97 acalabrutinib scripts and 10.84 venetoclax scripts </w:t>
      </w:r>
      <w:r w:rsidR="00BD5B06">
        <w:t xml:space="preserve">are equivalent to </w:t>
      </w:r>
      <w:r w:rsidR="00BD5B06" w:rsidRPr="00A55C25">
        <w:t>one initial and 8.67 continuing venetoclax scripts plus 7.355 obinutuzumab scripts</w:t>
      </w:r>
      <w:r w:rsidR="0065271E">
        <w:t xml:space="preserve">, and </w:t>
      </w:r>
      <w:r w:rsidR="004E5F28">
        <w:rPr>
          <w:rFonts w:asciiTheme="minorHAnsi" w:hAnsiTheme="minorHAnsi"/>
          <w:snapToGrid w:val="0"/>
          <w:lang w:val="en-GB" w:eastAsia="en-US"/>
        </w:rPr>
        <w:t>that</w:t>
      </w:r>
      <w:r w:rsidR="008E5EA3" w:rsidRPr="00764129">
        <w:rPr>
          <w:rFonts w:asciiTheme="minorHAnsi" w:hAnsiTheme="minorHAnsi"/>
          <w:snapToGrid w:val="0"/>
          <w:lang w:val="en-GB" w:eastAsia="en-US"/>
        </w:rPr>
        <w:t xml:space="preserve"> acalabrutinib and venetoclax should join the Risk Sharing Arrangements that are in place for both ibrutinib and for venetoclax for the treatment of patients with previously untreated CLL/SLL.</w:t>
      </w:r>
    </w:p>
    <w:p w14:paraId="14BE99B6" w14:textId="5C0E4843" w:rsidR="007A1781" w:rsidRDefault="007A1781" w:rsidP="007A1781">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PBAC considered that </w:t>
      </w:r>
      <w:r w:rsidR="005E5138">
        <w:rPr>
          <w:rFonts w:asciiTheme="minorHAnsi" w:hAnsiTheme="minorHAnsi"/>
          <w:snapToGrid w:val="0"/>
          <w:lang w:val="en-GB" w:eastAsia="en-US"/>
        </w:rPr>
        <w:t xml:space="preserve">consistent with existing acalabrutinib listings, </w:t>
      </w:r>
      <w:r w:rsidR="00B633C9">
        <w:rPr>
          <w:rFonts w:asciiTheme="minorHAnsi" w:hAnsiTheme="minorHAnsi"/>
          <w:snapToGrid w:val="0"/>
          <w:lang w:val="en-GB" w:eastAsia="en-US"/>
        </w:rPr>
        <w:t xml:space="preserve">an Authority </w:t>
      </w:r>
      <w:r w:rsidR="00B234D1">
        <w:rPr>
          <w:rFonts w:asciiTheme="minorHAnsi" w:hAnsiTheme="minorHAnsi"/>
          <w:snapToGrid w:val="0"/>
          <w:lang w:val="en-GB" w:eastAsia="en-US"/>
        </w:rPr>
        <w:t>R</w:t>
      </w:r>
      <w:r w:rsidR="00B633C9">
        <w:rPr>
          <w:rFonts w:asciiTheme="minorHAnsi" w:hAnsiTheme="minorHAnsi"/>
          <w:snapToGrid w:val="0"/>
          <w:lang w:val="en-GB" w:eastAsia="en-US"/>
        </w:rPr>
        <w:t xml:space="preserve">equired </w:t>
      </w:r>
      <w:r>
        <w:rPr>
          <w:rFonts w:asciiTheme="minorHAnsi" w:hAnsiTheme="minorHAnsi"/>
          <w:snapToGrid w:val="0"/>
          <w:lang w:val="en-GB" w:eastAsia="en-US"/>
        </w:rPr>
        <w:t>t</w:t>
      </w:r>
      <w:r w:rsidRPr="005A640F">
        <w:rPr>
          <w:rFonts w:asciiTheme="minorHAnsi" w:hAnsiTheme="minorHAnsi"/>
          <w:snapToGrid w:val="0"/>
          <w:lang w:val="en-GB" w:eastAsia="en-US"/>
        </w:rPr>
        <w:t>elephone/electronic</w:t>
      </w:r>
      <w:r w:rsidR="00C3740F">
        <w:rPr>
          <w:rFonts w:asciiTheme="minorHAnsi" w:hAnsiTheme="minorHAnsi"/>
          <w:snapToGrid w:val="0"/>
          <w:lang w:val="en-GB" w:eastAsia="en-US"/>
        </w:rPr>
        <w:t xml:space="preserve"> (via online PBS Authorities) listing</w:t>
      </w:r>
      <w:r w:rsidRPr="005A640F">
        <w:rPr>
          <w:rFonts w:asciiTheme="minorHAnsi" w:hAnsiTheme="minorHAnsi"/>
          <w:snapToGrid w:val="0"/>
          <w:lang w:val="en-GB" w:eastAsia="en-US"/>
        </w:rPr>
        <w:t xml:space="preserve"> for both</w:t>
      </w:r>
      <w:r w:rsidR="001A01F8">
        <w:rPr>
          <w:rFonts w:asciiTheme="minorHAnsi" w:hAnsiTheme="minorHAnsi"/>
          <w:snapToGrid w:val="0"/>
          <w:lang w:val="en-GB" w:eastAsia="en-US"/>
        </w:rPr>
        <w:t xml:space="preserve"> the</w:t>
      </w:r>
      <w:r w:rsidRPr="005A640F">
        <w:rPr>
          <w:rFonts w:asciiTheme="minorHAnsi" w:hAnsiTheme="minorHAnsi"/>
          <w:snapToGrid w:val="0"/>
          <w:lang w:val="en-GB" w:eastAsia="en-US"/>
        </w:rPr>
        <w:t xml:space="preserve"> initial/grandfathering and continuing treatment</w:t>
      </w:r>
      <w:r w:rsidR="001A01F8">
        <w:rPr>
          <w:rFonts w:asciiTheme="minorHAnsi" w:hAnsiTheme="minorHAnsi"/>
          <w:snapToGrid w:val="0"/>
          <w:lang w:val="en-GB" w:eastAsia="en-US"/>
        </w:rPr>
        <w:t xml:space="preserve"> phases</w:t>
      </w:r>
      <w:r>
        <w:rPr>
          <w:rFonts w:asciiTheme="minorHAnsi" w:hAnsiTheme="minorHAnsi"/>
          <w:snapToGrid w:val="0"/>
          <w:lang w:val="en-GB" w:eastAsia="en-US"/>
        </w:rPr>
        <w:t xml:space="preserve"> would be appropriate. </w:t>
      </w:r>
    </w:p>
    <w:p w14:paraId="2F130CF3" w14:textId="1FE63D02" w:rsidR="00B21EE5" w:rsidRPr="00A213C6" w:rsidRDefault="00B50BC7" w:rsidP="00A213C6">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The PBAC noted that the submission requested a grandfather restriction</w:t>
      </w:r>
      <w:r w:rsidR="001E007F">
        <w:rPr>
          <w:rFonts w:asciiTheme="minorHAnsi" w:hAnsiTheme="minorHAnsi"/>
          <w:snapToGrid w:val="0"/>
          <w:lang w:val="en-GB" w:eastAsia="en-US"/>
        </w:rPr>
        <w:t xml:space="preserve"> for acalabrutinib</w:t>
      </w:r>
      <w:r w:rsidR="00133EBD">
        <w:rPr>
          <w:rFonts w:asciiTheme="minorHAnsi" w:hAnsiTheme="minorHAnsi"/>
          <w:snapToGrid w:val="0"/>
          <w:lang w:val="en-GB" w:eastAsia="en-US"/>
        </w:rPr>
        <w:t>. The submission</w:t>
      </w:r>
      <w:r>
        <w:rPr>
          <w:rFonts w:asciiTheme="minorHAnsi" w:hAnsiTheme="minorHAnsi"/>
          <w:snapToGrid w:val="0"/>
          <w:lang w:val="en-GB" w:eastAsia="en-US"/>
        </w:rPr>
        <w:t xml:space="preserve"> did not</w:t>
      </w:r>
      <w:r w:rsidR="00133EBD">
        <w:rPr>
          <w:rFonts w:asciiTheme="minorHAnsi" w:hAnsiTheme="minorHAnsi"/>
          <w:snapToGrid w:val="0"/>
          <w:lang w:val="en-GB" w:eastAsia="en-US"/>
        </w:rPr>
        <w:t>, however,</w:t>
      </w:r>
      <w:r>
        <w:rPr>
          <w:rFonts w:asciiTheme="minorHAnsi" w:hAnsiTheme="minorHAnsi"/>
          <w:snapToGrid w:val="0"/>
          <w:lang w:val="en-GB" w:eastAsia="en-US"/>
        </w:rPr>
        <w:t xml:space="preserve"> me</w:t>
      </w:r>
      <w:r w:rsidR="001E007F">
        <w:rPr>
          <w:rFonts w:asciiTheme="minorHAnsi" w:hAnsiTheme="minorHAnsi"/>
          <w:snapToGrid w:val="0"/>
          <w:lang w:val="en-GB" w:eastAsia="en-US"/>
        </w:rPr>
        <w:t xml:space="preserve">ntion </w:t>
      </w:r>
      <w:r w:rsidR="00897A92">
        <w:rPr>
          <w:rFonts w:asciiTheme="minorHAnsi" w:hAnsiTheme="minorHAnsi"/>
          <w:snapToGrid w:val="0"/>
          <w:lang w:val="en-GB" w:eastAsia="en-US"/>
        </w:rPr>
        <w:t xml:space="preserve">when </w:t>
      </w:r>
      <w:r w:rsidR="00133EBD">
        <w:rPr>
          <w:rFonts w:asciiTheme="minorHAnsi" w:hAnsiTheme="minorHAnsi"/>
          <w:snapToGrid w:val="0"/>
          <w:lang w:val="en-GB" w:eastAsia="en-US"/>
        </w:rPr>
        <w:t>the early access program</w:t>
      </w:r>
      <w:r w:rsidR="00897A92">
        <w:rPr>
          <w:rFonts w:asciiTheme="minorHAnsi" w:hAnsiTheme="minorHAnsi"/>
          <w:snapToGrid w:val="0"/>
          <w:lang w:val="en-GB" w:eastAsia="en-US"/>
        </w:rPr>
        <w:t xml:space="preserve"> would </w:t>
      </w:r>
      <w:r w:rsidR="00133EBD">
        <w:rPr>
          <w:rFonts w:asciiTheme="minorHAnsi" w:hAnsiTheme="minorHAnsi"/>
          <w:snapToGrid w:val="0"/>
          <w:lang w:val="en-GB" w:eastAsia="en-US"/>
        </w:rPr>
        <w:t>initiate</w:t>
      </w:r>
      <w:r w:rsidR="00897A92">
        <w:rPr>
          <w:rFonts w:asciiTheme="minorHAnsi" w:hAnsiTheme="minorHAnsi"/>
          <w:snapToGrid w:val="0"/>
          <w:lang w:val="en-GB" w:eastAsia="en-US"/>
        </w:rPr>
        <w:t xml:space="preserve"> and </w:t>
      </w:r>
      <w:r w:rsidR="001E007F">
        <w:rPr>
          <w:rFonts w:asciiTheme="minorHAnsi" w:hAnsiTheme="minorHAnsi"/>
          <w:snapToGrid w:val="0"/>
          <w:lang w:val="en-GB" w:eastAsia="en-US"/>
        </w:rPr>
        <w:t xml:space="preserve">whether patients </w:t>
      </w:r>
      <w:r w:rsidR="00133EBD">
        <w:rPr>
          <w:rFonts w:asciiTheme="minorHAnsi" w:hAnsiTheme="minorHAnsi"/>
          <w:snapToGrid w:val="0"/>
          <w:lang w:val="en-GB" w:eastAsia="en-US"/>
        </w:rPr>
        <w:t xml:space="preserve">on </w:t>
      </w:r>
      <w:r w:rsidR="001E007F">
        <w:rPr>
          <w:rFonts w:asciiTheme="minorHAnsi" w:hAnsiTheme="minorHAnsi"/>
          <w:snapToGrid w:val="0"/>
          <w:lang w:val="en-GB" w:eastAsia="en-US"/>
        </w:rPr>
        <w:t xml:space="preserve">treatment with </w:t>
      </w:r>
      <w:r w:rsidR="00B7669A">
        <w:rPr>
          <w:rFonts w:asciiTheme="minorHAnsi" w:hAnsiTheme="minorHAnsi"/>
          <w:snapToGrid w:val="0"/>
          <w:lang w:val="en-GB" w:eastAsia="en-US"/>
        </w:rPr>
        <w:t>AV</w:t>
      </w:r>
      <w:r w:rsidR="001E007F">
        <w:rPr>
          <w:rFonts w:asciiTheme="minorHAnsi" w:hAnsiTheme="minorHAnsi"/>
          <w:snapToGrid w:val="0"/>
          <w:lang w:val="en-GB" w:eastAsia="en-US"/>
        </w:rPr>
        <w:t xml:space="preserve"> via an early access program</w:t>
      </w:r>
      <w:r w:rsidR="00CB067A">
        <w:rPr>
          <w:rFonts w:asciiTheme="minorHAnsi" w:hAnsiTheme="minorHAnsi"/>
          <w:snapToGrid w:val="0"/>
          <w:lang w:val="en-GB" w:eastAsia="en-US"/>
        </w:rPr>
        <w:t xml:space="preserve"> from cycle 3 onwards</w:t>
      </w:r>
      <w:r w:rsidR="000C2517">
        <w:rPr>
          <w:rFonts w:asciiTheme="minorHAnsi" w:hAnsiTheme="minorHAnsi"/>
          <w:snapToGrid w:val="0"/>
          <w:lang w:val="en-GB" w:eastAsia="en-US"/>
        </w:rPr>
        <w:t xml:space="preserve"> would also need</w:t>
      </w:r>
      <w:r w:rsidR="004451F3">
        <w:rPr>
          <w:rFonts w:asciiTheme="minorHAnsi" w:hAnsiTheme="minorHAnsi"/>
          <w:snapToGrid w:val="0"/>
          <w:lang w:val="en-GB" w:eastAsia="en-US"/>
        </w:rPr>
        <w:t xml:space="preserve"> to be able to transition to PBS-subsidised </w:t>
      </w:r>
      <w:r w:rsidR="00E136E4">
        <w:rPr>
          <w:rFonts w:asciiTheme="minorHAnsi" w:hAnsiTheme="minorHAnsi"/>
          <w:snapToGrid w:val="0"/>
          <w:lang w:val="en-GB" w:eastAsia="en-US"/>
        </w:rPr>
        <w:t>treatment</w:t>
      </w:r>
      <w:r w:rsidR="00484168">
        <w:rPr>
          <w:rFonts w:asciiTheme="minorHAnsi" w:hAnsiTheme="minorHAnsi"/>
          <w:snapToGrid w:val="0"/>
          <w:lang w:val="en-GB" w:eastAsia="en-US"/>
        </w:rPr>
        <w:t xml:space="preserve">. Furthermore, </w:t>
      </w:r>
      <w:r w:rsidR="00133EBD">
        <w:rPr>
          <w:rFonts w:asciiTheme="minorHAnsi" w:hAnsiTheme="minorHAnsi"/>
          <w:snapToGrid w:val="0"/>
          <w:lang w:val="en-GB" w:eastAsia="en-US"/>
        </w:rPr>
        <w:t>a</w:t>
      </w:r>
      <w:r w:rsidR="00A213C6" w:rsidRPr="00B50BC7">
        <w:rPr>
          <w:rFonts w:asciiTheme="minorHAnsi" w:hAnsiTheme="minorHAnsi"/>
          <w:snapToGrid w:val="0"/>
          <w:lang w:val="en-GB" w:eastAsia="en-US"/>
        </w:rPr>
        <w:t xml:space="preserve"> grandfather restriction for venetoclax was not presented in the submission.</w:t>
      </w:r>
      <w:r w:rsidR="00A213C6">
        <w:rPr>
          <w:rFonts w:asciiTheme="minorHAnsi" w:hAnsiTheme="minorHAnsi"/>
          <w:snapToGrid w:val="0"/>
          <w:lang w:val="en-GB" w:eastAsia="en-US"/>
        </w:rPr>
        <w:t xml:space="preserve"> </w:t>
      </w:r>
      <w:r w:rsidR="006B0FD1">
        <w:rPr>
          <w:rFonts w:asciiTheme="minorHAnsi" w:hAnsiTheme="minorHAnsi"/>
          <w:snapToGrid w:val="0"/>
          <w:lang w:val="en-GB" w:eastAsia="en-US"/>
        </w:rPr>
        <w:t xml:space="preserve">The PBAC </w:t>
      </w:r>
      <w:r w:rsidR="00670A90">
        <w:rPr>
          <w:rFonts w:asciiTheme="minorHAnsi" w:hAnsiTheme="minorHAnsi"/>
          <w:snapToGrid w:val="0"/>
          <w:lang w:val="en-GB" w:eastAsia="en-US"/>
        </w:rPr>
        <w:t xml:space="preserve">also </w:t>
      </w:r>
      <w:r w:rsidR="006B0FD1">
        <w:rPr>
          <w:rFonts w:asciiTheme="minorHAnsi" w:hAnsiTheme="minorHAnsi"/>
          <w:snapToGrid w:val="0"/>
          <w:lang w:val="en-GB" w:eastAsia="en-US"/>
        </w:rPr>
        <w:t xml:space="preserve">noted that there may </w:t>
      </w:r>
      <w:r w:rsidR="005B1D38">
        <w:rPr>
          <w:rFonts w:asciiTheme="minorHAnsi" w:hAnsiTheme="minorHAnsi"/>
          <w:snapToGrid w:val="0"/>
          <w:lang w:val="en-GB" w:eastAsia="en-US"/>
        </w:rPr>
        <w:t xml:space="preserve">need to be </w:t>
      </w:r>
      <w:r w:rsidR="00881A1C">
        <w:rPr>
          <w:rFonts w:asciiTheme="minorHAnsi" w:hAnsiTheme="minorHAnsi"/>
          <w:snapToGrid w:val="0"/>
          <w:lang w:val="en-GB" w:eastAsia="en-US"/>
        </w:rPr>
        <w:t>grandfather restrictions for venetoclax</w:t>
      </w:r>
      <w:r w:rsidR="00670A90">
        <w:rPr>
          <w:rFonts w:asciiTheme="minorHAnsi" w:hAnsiTheme="minorHAnsi"/>
          <w:snapToGrid w:val="0"/>
          <w:lang w:val="en-GB" w:eastAsia="en-US"/>
        </w:rPr>
        <w:t>,</w:t>
      </w:r>
      <w:r w:rsidR="00881A1C">
        <w:rPr>
          <w:rFonts w:asciiTheme="minorHAnsi" w:hAnsiTheme="minorHAnsi"/>
          <w:snapToGrid w:val="0"/>
          <w:lang w:val="en-GB" w:eastAsia="en-US"/>
        </w:rPr>
        <w:t xml:space="preserve"> to allow non-PBS subsidised patients receiving </w:t>
      </w:r>
      <w:r w:rsidR="00881A1C">
        <w:rPr>
          <w:rFonts w:asciiTheme="minorHAnsi" w:hAnsiTheme="minorHAnsi"/>
          <w:snapToGrid w:val="0"/>
          <w:lang w:val="en-GB" w:eastAsia="en-US"/>
        </w:rPr>
        <w:lastRenderedPageBreak/>
        <w:t>AV to transition to PBS-subsidised treatment.</w:t>
      </w:r>
    </w:p>
    <w:p w14:paraId="6F1B9928" w14:textId="285DBC71" w:rsidR="007A1781" w:rsidRDefault="007A1781" w:rsidP="007A1781">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PBAC noted that flow-on changes would be required to create a new restriction for venetoclax to allow for its use in conjunction with acalabrutinib. </w:t>
      </w:r>
    </w:p>
    <w:p w14:paraId="10CF7CA9" w14:textId="77777777" w:rsidR="007A1781" w:rsidRDefault="007A1781" w:rsidP="007A1781">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w:t>
      </w:r>
      <w:r w:rsidRPr="00661E25">
        <w:rPr>
          <w:rFonts w:asciiTheme="minorHAnsi" w:hAnsiTheme="minorHAnsi" w:cstheme="minorHAnsi"/>
          <w:snapToGrid w:val="0"/>
          <w:lang w:val="en-GB" w:eastAsia="en-US"/>
        </w:rPr>
        <w:t xml:space="preserve">PBAC considered that flow-on changes to add the clinical criteria “The treatment must not be in combination with acalabrutinib” to the venetoclax listings </w:t>
      </w:r>
      <w:r>
        <w:rPr>
          <w:rFonts w:asciiTheme="minorHAnsi" w:hAnsiTheme="minorHAnsi" w:cstheme="minorHAnsi"/>
          <w:snapToGrid w:val="0"/>
          <w:lang w:val="en-GB" w:eastAsia="en-US"/>
        </w:rPr>
        <w:t>(</w:t>
      </w:r>
      <w:r w:rsidRPr="00661E25">
        <w:rPr>
          <w:rFonts w:asciiTheme="minorHAnsi" w:hAnsiTheme="minorHAnsi" w:cstheme="minorHAnsi"/>
        </w:rPr>
        <w:t xml:space="preserve">PBS item codes: 12193R; 12204H; 12205J; 12188L; 12199C) </w:t>
      </w:r>
      <w:r>
        <w:rPr>
          <w:rFonts w:asciiTheme="minorHAnsi" w:hAnsiTheme="minorHAnsi" w:cstheme="minorHAnsi"/>
        </w:rPr>
        <w:t xml:space="preserve">and to add the clinical criteria “The treatment must not be in combination with venetoclax” to the existing obinutuzumab listings (PBS item codes: 13787P; 13793Y; 13810W), </w:t>
      </w:r>
      <w:r w:rsidRPr="00661E25">
        <w:rPr>
          <w:rFonts w:asciiTheme="minorHAnsi" w:hAnsiTheme="minorHAnsi" w:cstheme="minorHAnsi"/>
        </w:rPr>
        <w:t xml:space="preserve">would be required to prevent </w:t>
      </w:r>
      <w:r>
        <w:rPr>
          <w:rFonts w:asciiTheme="minorHAnsi" w:hAnsiTheme="minorHAnsi" w:cstheme="minorHAnsi"/>
        </w:rPr>
        <w:t xml:space="preserve">acalabrutinib and venetoclax being used as part of </w:t>
      </w:r>
      <w:r w:rsidRPr="00661E25">
        <w:rPr>
          <w:rFonts w:asciiTheme="minorHAnsi" w:hAnsiTheme="minorHAnsi" w:cstheme="minorHAnsi"/>
        </w:rPr>
        <w:t xml:space="preserve">triple therapy </w:t>
      </w:r>
      <w:r>
        <w:rPr>
          <w:rFonts w:asciiTheme="minorHAnsi" w:hAnsiTheme="minorHAnsi" w:cstheme="minorHAnsi"/>
        </w:rPr>
        <w:t xml:space="preserve">with </w:t>
      </w:r>
      <w:r w:rsidRPr="00661E25">
        <w:rPr>
          <w:rFonts w:asciiTheme="minorHAnsi" w:hAnsiTheme="minorHAnsi" w:cstheme="minorHAnsi"/>
        </w:rPr>
        <w:t>obinutuzumab.</w:t>
      </w:r>
      <w:r>
        <w:rPr>
          <w:rFonts w:ascii="Arial Narrow" w:hAnsi="Arial Narrow"/>
        </w:rPr>
        <w:t xml:space="preserve"> </w:t>
      </w:r>
    </w:p>
    <w:p w14:paraId="02EE0CE1" w14:textId="3CE9283F" w:rsidR="007A1781" w:rsidRPr="00B71339" w:rsidRDefault="007A1781" w:rsidP="007A1781">
      <w:pPr>
        <w:widowControl w:val="0"/>
        <w:numPr>
          <w:ilvl w:val="1"/>
          <w:numId w:val="1"/>
        </w:numPr>
        <w:spacing w:before="120" w:after="120"/>
        <w:rPr>
          <w:rFonts w:asciiTheme="minorHAnsi" w:hAnsiTheme="minorHAnsi"/>
          <w:snapToGrid w:val="0"/>
          <w:lang w:val="en-GB" w:eastAsia="en-US"/>
        </w:rPr>
      </w:pPr>
      <w:r>
        <w:rPr>
          <w:rFonts w:asciiTheme="minorHAnsi" w:hAnsiTheme="minorHAnsi"/>
          <w:snapToGrid w:val="0"/>
          <w:lang w:val="en-GB" w:eastAsia="en-US"/>
        </w:rPr>
        <w:t xml:space="preserve">The PBAC recalled that it had made a recommendation at its July 2025 PBAC meeting to </w:t>
      </w:r>
      <w:r w:rsidR="00CE46DE" w:rsidRPr="42894A03">
        <w:rPr>
          <w:rFonts w:asciiTheme="minorHAnsi" w:hAnsiTheme="minorHAnsi"/>
          <w:lang w:val="en-GB" w:eastAsia="en-US"/>
        </w:rPr>
        <w:t xml:space="preserve">add </w:t>
      </w:r>
      <w:r>
        <w:rPr>
          <w:rFonts w:asciiTheme="minorHAnsi" w:hAnsiTheme="minorHAnsi"/>
          <w:snapToGrid w:val="0"/>
          <w:lang w:val="en-GB" w:eastAsia="en-US"/>
        </w:rPr>
        <w:t xml:space="preserve">nurse practitioners to </w:t>
      </w:r>
      <w:r w:rsidR="00CE46DE" w:rsidRPr="42894A03">
        <w:rPr>
          <w:rFonts w:asciiTheme="minorHAnsi" w:hAnsiTheme="minorHAnsi"/>
          <w:lang w:val="en-GB" w:eastAsia="en-US"/>
        </w:rPr>
        <w:t xml:space="preserve">the eligible prescriber types for the </w:t>
      </w:r>
      <w:r w:rsidR="003C7D60" w:rsidRPr="42894A03">
        <w:rPr>
          <w:rFonts w:asciiTheme="minorHAnsi" w:hAnsiTheme="minorHAnsi"/>
          <w:lang w:val="en-GB" w:eastAsia="en-US"/>
        </w:rPr>
        <w:t xml:space="preserve">Bruton’s tyrosine kinase inhibitors </w:t>
      </w:r>
      <w:r w:rsidR="004C0C92" w:rsidRPr="42894A03">
        <w:rPr>
          <w:rFonts w:asciiTheme="minorHAnsi" w:hAnsiTheme="minorHAnsi"/>
          <w:lang w:val="en-GB" w:eastAsia="en-US"/>
        </w:rPr>
        <w:t>(</w:t>
      </w:r>
      <w:r w:rsidR="00135C4B" w:rsidRPr="42894A03">
        <w:rPr>
          <w:rFonts w:asciiTheme="minorHAnsi" w:hAnsiTheme="minorHAnsi"/>
          <w:lang w:val="en-GB" w:eastAsia="en-US"/>
        </w:rPr>
        <w:t>BTKi)</w:t>
      </w:r>
      <w:r w:rsidR="003C7D60" w:rsidRPr="42894A03">
        <w:rPr>
          <w:rFonts w:asciiTheme="minorHAnsi" w:hAnsiTheme="minorHAnsi"/>
          <w:lang w:val="en-GB" w:eastAsia="en-US"/>
        </w:rPr>
        <w:t xml:space="preserve"> as</w:t>
      </w:r>
      <w:r w:rsidR="00BB23B0" w:rsidRPr="42894A03">
        <w:rPr>
          <w:rFonts w:asciiTheme="minorHAnsi" w:hAnsiTheme="minorHAnsi"/>
          <w:lang w:val="en-GB" w:eastAsia="en-US"/>
        </w:rPr>
        <w:t xml:space="preserve"> part of the nurse practitioners/endorsed midwive</w:t>
      </w:r>
      <w:r w:rsidR="002D7530" w:rsidRPr="42894A03">
        <w:rPr>
          <w:rFonts w:asciiTheme="minorHAnsi" w:hAnsiTheme="minorHAnsi"/>
          <w:lang w:val="en-GB" w:eastAsia="en-US"/>
        </w:rPr>
        <w:t>s prescribing review.</w:t>
      </w:r>
      <w:r w:rsidR="003C7D60" w:rsidRPr="42894A03">
        <w:rPr>
          <w:rFonts w:asciiTheme="minorHAnsi" w:hAnsiTheme="minorHAnsi"/>
          <w:lang w:val="en-GB" w:eastAsia="en-US"/>
        </w:rPr>
        <w:t xml:space="preserve"> </w:t>
      </w:r>
      <w:r w:rsidR="00CE46DE" w:rsidRPr="42894A03">
        <w:rPr>
          <w:rFonts w:asciiTheme="minorHAnsi" w:hAnsiTheme="minorHAnsi"/>
          <w:lang w:val="en-GB" w:eastAsia="en-US"/>
        </w:rPr>
        <w:t xml:space="preserve"> </w:t>
      </w:r>
      <w:r w:rsidR="00034B39" w:rsidRPr="42894A03">
        <w:rPr>
          <w:rFonts w:asciiTheme="minorHAnsi" w:hAnsiTheme="minorHAnsi"/>
          <w:lang w:val="en-GB" w:eastAsia="en-US"/>
        </w:rPr>
        <w:t>For various oncology</w:t>
      </w:r>
      <w:r w:rsidR="008B0233" w:rsidRPr="42894A03">
        <w:rPr>
          <w:rFonts w:asciiTheme="minorHAnsi" w:hAnsiTheme="minorHAnsi"/>
          <w:lang w:val="en-GB" w:eastAsia="en-US"/>
        </w:rPr>
        <w:t xml:space="preserve"> and haematology </w:t>
      </w:r>
      <w:r w:rsidR="005B1F40" w:rsidRPr="42894A03">
        <w:rPr>
          <w:rFonts w:asciiTheme="minorHAnsi" w:hAnsiTheme="minorHAnsi"/>
          <w:lang w:val="en-GB" w:eastAsia="en-US"/>
        </w:rPr>
        <w:t xml:space="preserve">medicines and indications, </w:t>
      </w:r>
      <w:r w:rsidR="0018751E" w:rsidRPr="42894A03">
        <w:rPr>
          <w:rFonts w:asciiTheme="minorHAnsi" w:hAnsiTheme="minorHAnsi"/>
          <w:lang w:val="en-GB" w:eastAsia="en-US"/>
        </w:rPr>
        <w:t xml:space="preserve">the PBAC </w:t>
      </w:r>
      <w:r w:rsidR="00A346A4" w:rsidRPr="42894A03">
        <w:rPr>
          <w:rFonts w:asciiTheme="minorHAnsi" w:hAnsiTheme="minorHAnsi"/>
          <w:lang w:val="en-GB" w:eastAsia="en-US"/>
        </w:rPr>
        <w:t xml:space="preserve">considered that </w:t>
      </w:r>
      <w:r w:rsidR="00552697" w:rsidRPr="42894A03">
        <w:rPr>
          <w:rFonts w:asciiTheme="minorHAnsi" w:hAnsiTheme="minorHAnsi"/>
          <w:lang w:val="en-GB" w:eastAsia="en-US"/>
        </w:rPr>
        <w:t xml:space="preserve">nurse practitioner prescribing </w:t>
      </w:r>
      <w:r w:rsidR="00171329" w:rsidRPr="42894A03">
        <w:rPr>
          <w:rFonts w:asciiTheme="minorHAnsi" w:hAnsiTheme="minorHAnsi"/>
          <w:lang w:val="en-GB" w:eastAsia="en-US"/>
        </w:rPr>
        <w:t xml:space="preserve">is suitable to continue therapy </w:t>
      </w:r>
      <w:proofErr w:type="gramStart"/>
      <w:r w:rsidR="00171329" w:rsidRPr="42894A03">
        <w:rPr>
          <w:rFonts w:asciiTheme="minorHAnsi" w:hAnsiTheme="minorHAnsi"/>
          <w:lang w:val="en-GB" w:eastAsia="en-US"/>
        </w:rPr>
        <w:t>provided that</w:t>
      </w:r>
      <w:proofErr w:type="gramEnd"/>
      <w:r>
        <w:rPr>
          <w:rFonts w:asciiTheme="minorHAnsi" w:hAnsiTheme="minorHAnsi"/>
          <w:snapToGrid w:val="0"/>
          <w:lang w:val="en-GB" w:eastAsia="en-US"/>
        </w:rPr>
        <w:t xml:space="preserve"> patient care is shared with a medical practitioner. The PBAC recommended that the </w:t>
      </w:r>
      <w:r w:rsidR="006109C6" w:rsidRPr="42894A03">
        <w:rPr>
          <w:rFonts w:asciiTheme="minorHAnsi" w:hAnsiTheme="minorHAnsi"/>
          <w:lang w:val="en-GB" w:eastAsia="en-US"/>
        </w:rPr>
        <w:t>July 2025</w:t>
      </w:r>
      <w:r w:rsidRPr="42894A03">
        <w:rPr>
          <w:rFonts w:asciiTheme="minorHAnsi" w:hAnsiTheme="minorHAnsi"/>
          <w:lang w:val="en-GB" w:eastAsia="en-US"/>
        </w:rPr>
        <w:t xml:space="preserve"> </w:t>
      </w:r>
      <w:r>
        <w:rPr>
          <w:rFonts w:asciiTheme="minorHAnsi" w:hAnsiTheme="minorHAnsi"/>
          <w:snapToGrid w:val="0"/>
          <w:lang w:val="en-GB" w:eastAsia="en-US"/>
        </w:rPr>
        <w:t>nurse practitioner recommendation</w:t>
      </w:r>
      <w:r w:rsidRPr="42894A03">
        <w:rPr>
          <w:rFonts w:asciiTheme="minorHAnsi" w:hAnsiTheme="minorHAnsi"/>
          <w:lang w:val="en-GB" w:eastAsia="en-US"/>
        </w:rPr>
        <w:t xml:space="preserve"> </w:t>
      </w:r>
      <w:r w:rsidR="004C0C92" w:rsidRPr="42894A03">
        <w:rPr>
          <w:rFonts w:asciiTheme="minorHAnsi" w:hAnsiTheme="minorHAnsi"/>
          <w:lang w:val="en-GB" w:eastAsia="en-US"/>
        </w:rPr>
        <w:t>for the</w:t>
      </w:r>
      <w:r w:rsidR="00135C4B" w:rsidRPr="42894A03">
        <w:rPr>
          <w:rFonts w:asciiTheme="minorHAnsi" w:hAnsiTheme="minorHAnsi"/>
          <w:lang w:val="en-GB" w:eastAsia="en-US"/>
        </w:rPr>
        <w:t xml:space="preserve"> BTKi medicines</w:t>
      </w:r>
      <w:r>
        <w:rPr>
          <w:rFonts w:asciiTheme="minorHAnsi" w:hAnsiTheme="minorHAnsi"/>
          <w:snapToGrid w:val="0"/>
          <w:lang w:val="en-GB" w:eastAsia="en-US"/>
        </w:rPr>
        <w:t xml:space="preserve"> </w:t>
      </w:r>
      <w:r w:rsidR="00234E89" w:rsidRPr="42894A03">
        <w:rPr>
          <w:rFonts w:asciiTheme="minorHAnsi" w:hAnsiTheme="minorHAnsi"/>
          <w:lang w:val="en-GB" w:eastAsia="en-US"/>
        </w:rPr>
        <w:t xml:space="preserve">also </w:t>
      </w:r>
      <w:r>
        <w:rPr>
          <w:rFonts w:asciiTheme="minorHAnsi" w:hAnsiTheme="minorHAnsi"/>
          <w:snapToGrid w:val="0"/>
          <w:lang w:val="en-GB" w:eastAsia="en-US"/>
        </w:rPr>
        <w:t xml:space="preserve">be applied to </w:t>
      </w:r>
      <w:r w:rsidR="007755F5" w:rsidRPr="42894A03">
        <w:rPr>
          <w:rFonts w:asciiTheme="minorHAnsi" w:hAnsiTheme="minorHAnsi"/>
          <w:lang w:val="en-GB" w:eastAsia="en-US"/>
        </w:rPr>
        <w:t xml:space="preserve">the new </w:t>
      </w:r>
      <w:r>
        <w:rPr>
          <w:rFonts w:asciiTheme="minorHAnsi" w:hAnsiTheme="minorHAnsi"/>
          <w:snapToGrid w:val="0"/>
          <w:lang w:val="en-GB" w:eastAsia="en-US"/>
        </w:rPr>
        <w:t xml:space="preserve">acalabrutinib </w:t>
      </w:r>
      <w:r w:rsidR="007755F5" w:rsidRPr="42894A03">
        <w:rPr>
          <w:rFonts w:asciiTheme="minorHAnsi" w:hAnsiTheme="minorHAnsi"/>
          <w:lang w:val="en-GB" w:eastAsia="en-US"/>
        </w:rPr>
        <w:t xml:space="preserve">listing, </w:t>
      </w:r>
      <w:r>
        <w:rPr>
          <w:rFonts w:asciiTheme="minorHAnsi" w:hAnsiTheme="minorHAnsi"/>
          <w:snapToGrid w:val="0"/>
          <w:lang w:val="en-GB" w:eastAsia="en-US"/>
        </w:rPr>
        <w:t>but that</w:t>
      </w:r>
      <w:r w:rsidR="007755F5" w:rsidRPr="42894A03">
        <w:rPr>
          <w:rFonts w:asciiTheme="minorHAnsi" w:hAnsiTheme="minorHAnsi"/>
          <w:lang w:val="en-GB" w:eastAsia="en-US"/>
        </w:rPr>
        <w:t xml:space="preserve"> the timing </w:t>
      </w:r>
      <w:r w:rsidR="009A537C" w:rsidRPr="42894A03">
        <w:rPr>
          <w:rFonts w:asciiTheme="minorHAnsi" w:hAnsiTheme="minorHAnsi"/>
          <w:lang w:val="en-GB" w:eastAsia="en-US"/>
        </w:rPr>
        <w:t xml:space="preserve">of </w:t>
      </w:r>
      <w:r w:rsidR="002859EC" w:rsidRPr="42894A03">
        <w:rPr>
          <w:rFonts w:asciiTheme="minorHAnsi" w:hAnsiTheme="minorHAnsi"/>
          <w:lang w:val="en-GB" w:eastAsia="en-US"/>
        </w:rPr>
        <w:t xml:space="preserve">the addition of nurse practitioners to </w:t>
      </w:r>
      <w:r w:rsidR="009A537C" w:rsidRPr="42894A03">
        <w:rPr>
          <w:rFonts w:asciiTheme="minorHAnsi" w:hAnsiTheme="minorHAnsi"/>
          <w:lang w:val="en-GB" w:eastAsia="en-US"/>
        </w:rPr>
        <w:t xml:space="preserve">this </w:t>
      </w:r>
      <w:r w:rsidR="002859EC" w:rsidRPr="42894A03">
        <w:rPr>
          <w:rFonts w:asciiTheme="minorHAnsi" w:hAnsiTheme="minorHAnsi"/>
          <w:lang w:val="en-GB" w:eastAsia="en-US"/>
        </w:rPr>
        <w:t>new acalabrutinib listing would depend on</w:t>
      </w:r>
      <w:r w:rsidR="009A537C" w:rsidRPr="42894A03">
        <w:rPr>
          <w:rFonts w:asciiTheme="minorHAnsi" w:hAnsiTheme="minorHAnsi"/>
          <w:lang w:val="en-GB" w:eastAsia="en-US"/>
        </w:rPr>
        <w:t xml:space="preserve"> </w:t>
      </w:r>
      <w:r w:rsidR="00A57625" w:rsidRPr="42894A03">
        <w:rPr>
          <w:rFonts w:asciiTheme="minorHAnsi" w:hAnsiTheme="minorHAnsi"/>
          <w:lang w:val="en-GB" w:eastAsia="en-US"/>
        </w:rPr>
        <w:t xml:space="preserve">whether </w:t>
      </w:r>
      <w:r w:rsidR="006C1B09" w:rsidRPr="42894A03">
        <w:rPr>
          <w:rFonts w:asciiTheme="minorHAnsi" w:hAnsiTheme="minorHAnsi"/>
          <w:lang w:val="en-GB" w:eastAsia="en-US"/>
        </w:rPr>
        <w:t xml:space="preserve">the listing proceeds before, at the same time or after the </w:t>
      </w:r>
      <w:r>
        <w:rPr>
          <w:rFonts w:asciiTheme="minorHAnsi" w:hAnsiTheme="minorHAnsi"/>
          <w:snapToGrid w:val="0"/>
          <w:lang w:val="en-GB" w:eastAsia="en-US"/>
        </w:rPr>
        <w:t>broader July 2025 PBAC nurse practitioner recommendation</w:t>
      </w:r>
      <w:r w:rsidR="006C1B09" w:rsidRPr="42894A03">
        <w:rPr>
          <w:rFonts w:asciiTheme="minorHAnsi" w:hAnsiTheme="minorHAnsi"/>
          <w:lang w:val="en-GB" w:eastAsia="en-US"/>
        </w:rPr>
        <w:t>s</w:t>
      </w:r>
      <w:r>
        <w:rPr>
          <w:rFonts w:asciiTheme="minorHAnsi" w:hAnsiTheme="minorHAnsi"/>
          <w:snapToGrid w:val="0"/>
          <w:lang w:val="en-GB" w:eastAsia="en-US"/>
        </w:rPr>
        <w:t xml:space="preserve"> </w:t>
      </w:r>
      <w:r w:rsidR="006C1B09" w:rsidRPr="42894A03">
        <w:rPr>
          <w:rFonts w:asciiTheme="minorHAnsi" w:hAnsiTheme="minorHAnsi"/>
          <w:lang w:val="en-GB" w:eastAsia="en-US"/>
        </w:rPr>
        <w:t xml:space="preserve">are </w:t>
      </w:r>
      <w:r>
        <w:rPr>
          <w:rFonts w:asciiTheme="minorHAnsi" w:hAnsiTheme="minorHAnsi"/>
          <w:snapToGrid w:val="0"/>
          <w:lang w:val="en-GB" w:eastAsia="en-US"/>
        </w:rPr>
        <w:t>implemented.</w:t>
      </w:r>
      <w:r w:rsidRPr="42894A03">
        <w:rPr>
          <w:rFonts w:asciiTheme="minorHAnsi" w:hAnsiTheme="minorHAnsi"/>
          <w:lang w:val="en-GB" w:eastAsia="en-US"/>
        </w:rPr>
        <w:t xml:space="preserve"> </w:t>
      </w:r>
      <w:r w:rsidR="00146A4B" w:rsidRPr="42894A03">
        <w:rPr>
          <w:rFonts w:asciiTheme="minorHAnsi" w:hAnsiTheme="minorHAnsi"/>
          <w:lang w:val="en-GB" w:eastAsia="en-US"/>
        </w:rPr>
        <w:t xml:space="preserve">In July 2025, the PBAC did not recommend adding nurse practitioners as an eligible prescriber type </w:t>
      </w:r>
      <w:r w:rsidR="00EA31A3" w:rsidRPr="42894A03">
        <w:rPr>
          <w:rFonts w:asciiTheme="minorHAnsi" w:hAnsiTheme="minorHAnsi"/>
          <w:lang w:val="en-GB" w:eastAsia="en-US"/>
        </w:rPr>
        <w:t>for venetoclax, citing the</w:t>
      </w:r>
      <w:r w:rsidR="00B71339">
        <w:rPr>
          <w:rFonts w:asciiTheme="minorHAnsi" w:hAnsiTheme="minorHAnsi"/>
          <w:lang w:val="en-GB" w:eastAsia="en-US"/>
        </w:rPr>
        <w:t xml:space="preserve"> </w:t>
      </w:r>
      <w:r w:rsidR="00EE3557" w:rsidRPr="42894A03">
        <w:rPr>
          <w:rFonts w:asciiTheme="minorHAnsi" w:hAnsiTheme="minorHAnsi"/>
          <w:lang w:val="en-GB" w:eastAsia="en-US"/>
        </w:rPr>
        <w:t>medicine specific considerations (general guidance principle 3 on prescriber type determination)</w:t>
      </w:r>
      <w:r w:rsidR="00804B35" w:rsidRPr="42894A03">
        <w:rPr>
          <w:rFonts w:asciiTheme="minorHAnsi" w:hAnsiTheme="minorHAnsi"/>
          <w:lang w:val="en-GB" w:eastAsia="en-US"/>
        </w:rPr>
        <w:t xml:space="preserve"> of</w:t>
      </w:r>
      <w:r w:rsidR="00EE3557" w:rsidRPr="42894A03">
        <w:rPr>
          <w:rFonts w:asciiTheme="minorHAnsi" w:hAnsiTheme="minorHAnsi"/>
          <w:lang w:val="en-GB" w:eastAsia="en-US"/>
        </w:rPr>
        <w:t xml:space="preserve"> </w:t>
      </w:r>
      <w:r w:rsidR="00804B35" w:rsidRPr="42894A03">
        <w:rPr>
          <w:rFonts w:asciiTheme="minorHAnsi" w:hAnsiTheme="minorHAnsi"/>
          <w:lang w:val="en-GB" w:eastAsia="en-US"/>
        </w:rPr>
        <w:t>d</w:t>
      </w:r>
      <w:r w:rsidR="00EE3557" w:rsidRPr="42894A03">
        <w:rPr>
          <w:rFonts w:asciiTheme="minorHAnsi" w:hAnsiTheme="minorHAnsi"/>
          <w:lang w:val="en-GB" w:eastAsia="en-US"/>
        </w:rPr>
        <w:t xml:space="preserve">ifficult dose titration with </w:t>
      </w:r>
      <w:r w:rsidR="00CC6A8B" w:rsidRPr="42894A03">
        <w:rPr>
          <w:rFonts w:asciiTheme="minorHAnsi" w:hAnsiTheme="minorHAnsi"/>
          <w:lang w:val="en-GB" w:eastAsia="en-US"/>
        </w:rPr>
        <w:t xml:space="preserve">a </w:t>
      </w:r>
      <w:r w:rsidR="00EE3557" w:rsidRPr="42894A03">
        <w:rPr>
          <w:rFonts w:asciiTheme="minorHAnsi" w:hAnsiTheme="minorHAnsi"/>
          <w:lang w:val="en-GB" w:eastAsia="en-US"/>
        </w:rPr>
        <w:t>high risk of toxicity</w:t>
      </w:r>
      <w:r w:rsidR="00CC6A8B" w:rsidRPr="42894A03">
        <w:rPr>
          <w:rFonts w:asciiTheme="minorHAnsi" w:hAnsiTheme="minorHAnsi"/>
          <w:lang w:val="en-GB" w:eastAsia="en-US"/>
        </w:rPr>
        <w:t xml:space="preserve"> as the reason for</w:t>
      </w:r>
      <w:r w:rsidR="00343526" w:rsidRPr="42894A03">
        <w:rPr>
          <w:rFonts w:asciiTheme="minorHAnsi" w:hAnsiTheme="minorHAnsi"/>
          <w:lang w:val="en-GB" w:eastAsia="en-US"/>
        </w:rPr>
        <w:t xml:space="preserve"> excluding venetoclax</w:t>
      </w:r>
      <w:r w:rsidR="00804B35" w:rsidRPr="42894A03">
        <w:rPr>
          <w:rFonts w:asciiTheme="minorHAnsi" w:hAnsiTheme="minorHAnsi"/>
          <w:lang w:val="en-GB" w:eastAsia="en-US"/>
        </w:rPr>
        <w:t>.</w:t>
      </w:r>
    </w:p>
    <w:p w14:paraId="5D9F3A7B" w14:textId="77777777" w:rsidR="00B71339" w:rsidRPr="00B71339" w:rsidRDefault="00B71339" w:rsidP="00B71339">
      <w:pPr>
        <w:pStyle w:val="ListParagraph"/>
        <w:numPr>
          <w:ilvl w:val="1"/>
          <w:numId w:val="1"/>
        </w:numPr>
        <w:rPr>
          <w:lang w:val="en-GB" w:eastAsia="en-US"/>
        </w:rPr>
      </w:pPr>
      <w:r w:rsidRPr="00B71339">
        <w:rPr>
          <w:lang w:val="en-GB" w:eastAsia="en-US"/>
        </w:rPr>
        <w:t xml:space="preserve">Acalabrutinib should not be exempt from the Early Supply Rule as it currently applies to similar drugs including venetoclax for previously untreated CLL/SLL. </w:t>
      </w:r>
    </w:p>
    <w:p w14:paraId="2E10C2D1" w14:textId="20EE8190" w:rsidR="00D62121" w:rsidRDefault="00D62121" w:rsidP="007A1781">
      <w:pPr>
        <w:widowControl w:val="0"/>
        <w:numPr>
          <w:ilvl w:val="1"/>
          <w:numId w:val="1"/>
        </w:numPr>
        <w:spacing w:after="120"/>
      </w:pPr>
      <w:r>
        <w:t xml:space="preserve">The PBAC noted that its recommendation was on a cost-minimisation basis and advised that, because </w:t>
      </w:r>
      <w:r w:rsidR="00AC4EF3">
        <w:t>AV</w:t>
      </w:r>
      <w:r>
        <w:t xml:space="preserve"> is not expected to provide a substantial and clinically relevant improvement in efficacy, or reduction of toxicity, over </w:t>
      </w:r>
      <w:r w:rsidR="00AC4EF3">
        <w:t>VO</w:t>
      </w:r>
      <w:r>
        <w:t xml:space="preserve">, or not expected to address a high and urgent unmet clinical need given the presence of alternative therapies, the criteria prescribed by the </w:t>
      </w:r>
      <w:r>
        <w:rPr>
          <w:i/>
          <w:iCs/>
        </w:rPr>
        <w:t>National Health (Pharmaceuticals and Vaccines - Cost Recovery) Regulations 2022</w:t>
      </w:r>
      <w:r>
        <w:t xml:space="preserve"> for Pricing Pathway A were not met.</w:t>
      </w:r>
    </w:p>
    <w:p w14:paraId="1A73C479" w14:textId="516D0903" w:rsidR="00747C2A" w:rsidRPr="00C445DF" w:rsidRDefault="00747C2A" w:rsidP="00747C2A">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PBAC noted this submission is not eligible for an Independent Review as it received a positive recommendation.</w:t>
      </w:r>
    </w:p>
    <w:p w14:paraId="239F993D" w14:textId="70696014" w:rsidR="00D309FB" w:rsidRDefault="00D309FB" w:rsidP="00D309FB">
      <w:pPr>
        <w:pStyle w:val="2Sections"/>
        <w:keepNext/>
        <w:keepLines/>
        <w:numPr>
          <w:ilvl w:val="0"/>
          <w:numId w:val="1"/>
        </w:numPr>
      </w:pPr>
      <w:r>
        <w:t>Recommended listing</w:t>
      </w:r>
    </w:p>
    <w:p w14:paraId="6E1E6BFD" w14:textId="2287F101" w:rsidR="00DA79EC" w:rsidRPr="00A360F5" w:rsidRDefault="000C7535" w:rsidP="00A360F5">
      <w:pPr>
        <w:widowControl w:val="0"/>
        <w:numPr>
          <w:ilvl w:val="1"/>
          <w:numId w:val="1"/>
        </w:numPr>
        <w:rPr>
          <w:rFonts w:asciiTheme="minorHAnsi" w:hAnsiTheme="minorHAnsi"/>
          <w:snapToGrid w:val="0"/>
          <w:lang w:val="en-GB" w:eastAsia="en-US"/>
        </w:rPr>
      </w:pPr>
      <w:r>
        <w:rPr>
          <w:rFonts w:asciiTheme="minorHAnsi" w:hAnsiTheme="minorHAnsi"/>
          <w:snapToGrid w:val="0"/>
          <w:lang w:val="en-GB" w:eastAsia="en-US"/>
        </w:rPr>
        <w:t xml:space="preserve">Add new items as follows: </w:t>
      </w:r>
    </w:p>
    <w:p w14:paraId="1A48CBF9" w14:textId="77777777" w:rsidR="00AC0494" w:rsidRPr="00B3081F" w:rsidRDefault="00AC0494" w:rsidP="00AC0494">
      <w:pPr>
        <w:pStyle w:val="Caption"/>
        <w:rPr>
          <w:rFonts w:cstheme="minorHAnsi"/>
          <w:szCs w:val="20"/>
        </w:rPr>
      </w:pPr>
      <w:r w:rsidRPr="00B3081F">
        <w:rPr>
          <w:rFonts w:cstheme="minorHAnsi"/>
          <w:szCs w:val="20"/>
        </w:rPr>
        <w:t>Initial treatment (Cycles 1-2)</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Initial treatment (Cycles 1-2)"/>
      </w:tblPr>
      <w:tblGrid>
        <w:gridCol w:w="3537"/>
        <w:gridCol w:w="1212"/>
        <w:gridCol w:w="812"/>
        <w:gridCol w:w="812"/>
        <w:gridCol w:w="812"/>
        <w:gridCol w:w="1882"/>
      </w:tblGrid>
      <w:tr w:rsidR="00CA2FC0" w:rsidRPr="00B778D7" w14:paraId="45734C0B" w14:textId="77777777" w:rsidTr="00235BE2">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BD35629" w14:textId="2457526D" w:rsidR="001E7ACA" w:rsidRPr="00A360F5" w:rsidRDefault="001E7ACA" w:rsidP="001E7ACA">
            <w:pPr>
              <w:keepLines/>
              <w:rPr>
                <w:rFonts w:ascii="Arial Narrow" w:eastAsia="Calibri" w:hAnsi="Arial Narrow"/>
                <w:sz w:val="20"/>
                <w:szCs w:val="20"/>
              </w:rPr>
            </w:pPr>
            <w:r w:rsidRPr="00814FFC">
              <w:rPr>
                <w:rFonts w:ascii="Arial Narrow" w:hAnsi="Arial Narrow"/>
                <w:b/>
                <w:sz w:val="20"/>
                <w:szCs w:val="20"/>
              </w:rPr>
              <w:t>Category / Program:</w:t>
            </w:r>
            <w:r w:rsidRPr="00814FFC">
              <w:rPr>
                <w:rFonts w:ascii="Arial Narrow" w:hAnsi="Arial Narrow"/>
                <w:color w:val="FF0000"/>
                <w:sz w:val="20"/>
                <w:szCs w:val="20"/>
              </w:rPr>
              <w:t xml:space="preserve"> </w:t>
            </w:r>
            <w:r w:rsidRPr="00814FFC">
              <w:rPr>
                <w:rFonts w:ascii="Arial Narrow" w:eastAsia="Calibri" w:hAnsi="Arial Narrow"/>
                <w:sz w:val="20"/>
                <w:szCs w:val="20"/>
              </w:rPr>
              <w:fldChar w:fldCharType="begin">
                <w:ffData>
                  <w:name w:val="Check1"/>
                  <w:enabled/>
                  <w:calcOnExit w:val="0"/>
                  <w:checkBox>
                    <w:sizeAuto/>
                    <w:default w:val="1"/>
                  </w:checkBox>
                </w:ffData>
              </w:fldChar>
            </w:r>
            <w:r w:rsidRPr="00814FFC">
              <w:rPr>
                <w:rFonts w:ascii="Arial Narrow" w:eastAsia="Calibri" w:hAnsi="Arial Narrow"/>
                <w:sz w:val="20"/>
                <w:szCs w:val="20"/>
              </w:rPr>
              <w:instrText xml:space="preserve"> FORMCHECKBOX </w:instrText>
            </w:r>
            <w:r w:rsidRPr="00814FFC">
              <w:rPr>
                <w:rFonts w:ascii="Arial Narrow" w:eastAsia="Calibri" w:hAnsi="Arial Narrow"/>
                <w:sz w:val="20"/>
                <w:szCs w:val="20"/>
              </w:rPr>
            </w:r>
            <w:r w:rsidRPr="00814FFC">
              <w:rPr>
                <w:rFonts w:ascii="Arial Narrow" w:eastAsia="Calibri" w:hAnsi="Arial Narrow"/>
                <w:sz w:val="20"/>
                <w:szCs w:val="20"/>
              </w:rPr>
              <w:fldChar w:fldCharType="separate"/>
            </w:r>
            <w:r w:rsidRPr="00814FFC">
              <w:rPr>
                <w:rFonts w:ascii="Arial Narrow" w:eastAsia="Calibri" w:hAnsi="Arial Narrow"/>
                <w:sz w:val="20"/>
                <w:szCs w:val="20"/>
              </w:rPr>
              <w:fldChar w:fldCharType="end"/>
            </w:r>
            <w:r w:rsidRPr="00814FFC">
              <w:rPr>
                <w:rFonts w:ascii="Arial Narrow" w:eastAsia="Calibri" w:hAnsi="Arial Narrow"/>
                <w:sz w:val="20"/>
                <w:szCs w:val="20"/>
              </w:rPr>
              <w:t xml:space="preserve"> GENERAL - General Schedule (Code GE)</w:t>
            </w:r>
          </w:p>
        </w:tc>
      </w:tr>
      <w:tr w:rsidR="00AC0494" w:rsidRPr="00B778D7" w14:paraId="5413D4AF" w14:textId="77777777" w:rsidTr="00235BE2">
        <w:trPr>
          <w:cantSplit/>
          <w:trHeight w:val="20"/>
        </w:trPr>
        <w:tc>
          <w:tcPr>
            <w:tcW w:w="1950" w:type="pct"/>
            <w:vAlign w:val="center"/>
          </w:tcPr>
          <w:p w14:paraId="75C5D177" w14:textId="77777777" w:rsidR="00AC0494" w:rsidRPr="00814FFC" w:rsidRDefault="00AC0494" w:rsidP="00C225D2">
            <w:pPr>
              <w:keepLines/>
              <w:rPr>
                <w:rFonts w:ascii="Arial Narrow" w:hAnsi="Arial Narrow"/>
                <w:b/>
                <w:bCs/>
                <w:sz w:val="20"/>
                <w:szCs w:val="20"/>
              </w:rPr>
            </w:pPr>
            <w:r w:rsidRPr="00814FFC">
              <w:rPr>
                <w:rFonts w:ascii="Arial Narrow" w:hAnsi="Arial Narrow"/>
                <w:b/>
                <w:bCs/>
                <w:sz w:val="20"/>
                <w:szCs w:val="20"/>
              </w:rPr>
              <w:lastRenderedPageBreak/>
              <w:t>MEDICINAL PRODUCT</w:t>
            </w:r>
          </w:p>
          <w:p w14:paraId="4101C368" w14:textId="77777777" w:rsidR="00AC0494" w:rsidRPr="00814FFC" w:rsidRDefault="00AC0494" w:rsidP="00C225D2">
            <w:pPr>
              <w:keepLines/>
              <w:rPr>
                <w:rFonts w:ascii="Arial Narrow" w:hAnsi="Arial Narrow"/>
                <w:b/>
                <w:sz w:val="20"/>
                <w:szCs w:val="20"/>
              </w:rPr>
            </w:pPr>
            <w:r w:rsidRPr="00814FFC">
              <w:rPr>
                <w:rFonts w:ascii="Arial Narrow" w:hAnsi="Arial Narrow"/>
                <w:b/>
                <w:bCs/>
                <w:sz w:val="20"/>
                <w:szCs w:val="20"/>
              </w:rPr>
              <w:t>medicinal product pack</w:t>
            </w:r>
          </w:p>
        </w:tc>
        <w:tc>
          <w:tcPr>
            <w:tcW w:w="668" w:type="pct"/>
            <w:vAlign w:val="center"/>
          </w:tcPr>
          <w:p w14:paraId="7BB24C50"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PBS item code</w:t>
            </w:r>
          </w:p>
        </w:tc>
        <w:tc>
          <w:tcPr>
            <w:tcW w:w="448" w:type="pct"/>
            <w:vAlign w:val="center"/>
          </w:tcPr>
          <w:p w14:paraId="0226899C"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packs</w:t>
            </w:r>
          </w:p>
        </w:tc>
        <w:tc>
          <w:tcPr>
            <w:tcW w:w="448" w:type="pct"/>
            <w:vAlign w:val="center"/>
          </w:tcPr>
          <w:p w14:paraId="1B79D28E"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units</w:t>
            </w:r>
          </w:p>
        </w:tc>
        <w:tc>
          <w:tcPr>
            <w:tcW w:w="448" w:type="pct"/>
            <w:vAlign w:val="center"/>
          </w:tcPr>
          <w:p w14:paraId="2B8F63DC"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№.of</w:t>
            </w:r>
          </w:p>
          <w:p w14:paraId="36F6CA56" w14:textId="77777777" w:rsidR="00AC0494" w:rsidRPr="00814FFC" w:rsidRDefault="00AC0494" w:rsidP="00C225D2">
            <w:pPr>
              <w:keepLines/>
              <w:jc w:val="center"/>
              <w:rPr>
                <w:rFonts w:ascii="Arial Narrow" w:hAnsi="Arial Narrow"/>
                <w:b/>
                <w:sz w:val="20"/>
                <w:szCs w:val="20"/>
              </w:rPr>
            </w:pPr>
            <w:proofErr w:type="spellStart"/>
            <w:r w:rsidRPr="00814FFC">
              <w:rPr>
                <w:rFonts w:ascii="Arial Narrow" w:hAnsi="Arial Narrow"/>
                <w:b/>
                <w:sz w:val="20"/>
                <w:szCs w:val="20"/>
              </w:rPr>
              <w:t>Rpts</w:t>
            </w:r>
            <w:proofErr w:type="spellEnd"/>
          </w:p>
        </w:tc>
        <w:tc>
          <w:tcPr>
            <w:tcW w:w="1038" w:type="pct"/>
            <w:vAlign w:val="center"/>
          </w:tcPr>
          <w:p w14:paraId="34BD0FCC" w14:textId="77777777" w:rsidR="00AC0494" w:rsidRPr="00814FFC" w:rsidRDefault="00AC0494" w:rsidP="00C225D2">
            <w:pPr>
              <w:keepLines/>
              <w:rPr>
                <w:rFonts w:ascii="Arial Narrow" w:hAnsi="Arial Narrow"/>
                <w:b/>
                <w:sz w:val="20"/>
                <w:szCs w:val="20"/>
              </w:rPr>
            </w:pPr>
            <w:r w:rsidRPr="00814FFC">
              <w:rPr>
                <w:rFonts w:ascii="Arial Narrow" w:hAnsi="Arial Narrow"/>
                <w:b/>
                <w:sz w:val="20"/>
                <w:szCs w:val="20"/>
              </w:rPr>
              <w:t>Available brands</w:t>
            </w:r>
          </w:p>
        </w:tc>
      </w:tr>
      <w:tr w:rsidR="00AC0494" w:rsidRPr="00B778D7" w14:paraId="17A655A6" w14:textId="77777777" w:rsidTr="00235BE2">
        <w:trPr>
          <w:cantSplit/>
          <w:trHeight w:val="20"/>
        </w:trPr>
        <w:tc>
          <w:tcPr>
            <w:tcW w:w="5000" w:type="pct"/>
            <w:gridSpan w:val="6"/>
            <w:vAlign w:val="center"/>
          </w:tcPr>
          <w:p w14:paraId="17D313AB"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w:t>
            </w:r>
          </w:p>
        </w:tc>
      </w:tr>
      <w:tr w:rsidR="00AC0494" w:rsidRPr="00B778D7" w14:paraId="5037C3BD" w14:textId="77777777" w:rsidTr="00235BE2">
        <w:trPr>
          <w:cantSplit/>
          <w:trHeight w:val="20"/>
        </w:trPr>
        <w:tc>
          <w:tcPr>
            <w:tcW w:w="1950" w:type="pct"/>
            <w:vAlign w:val="center"/>
          </w:tcPr>
          <w:p w14:paraId="63308291" w14:textId="77777777" w:rsidR="00AC0494" w:rsidRPr="00814FFC" w:rsidRDefault="00AC0494" w:rsidP="00C225D2">
            <w:pPr>
              <w:keepLines/>
              <w:rPr>
                <w:rFonts w:ascii="Arial Narrow" w:hAnsi="Arial Narrow"/>
                <w:sz w:val="20"/>
                <w:szCs w:val="20"/>
              </w:rPr>
            </w:pPr>
          </w:p>
          <w:p w14:paraId="570DD688"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 100 mg tablet, 56</w:t>
            </w:r>
          </w:p>
        </w:tc>
        <w:tc>
          <w:tcPr>
            <w:tcW w:w="668" w:type="pct"/>
            <w:vAlign w:val="center"/>
          </w:tcPr>
          <w:p w14:paraId="78E2654A" w14:textId="77777777" w:rsidR="001E7ACA" w:rsidRDefault="00AC0494" w:rsidP="001E7ACA">
            <w:pPr>
              <w:keepLines/>
              <w:jc w:val="center"/>
              <w:rPr>
                <w:rFonts w:ascii="Arial Narrow" w:hAnsi="Arial Narrow"/>
                <w:sz w:val="20"/>
                <w:szCs w:val="20"/>
              </w:rPr>
            </w:pPr>
            <w:r w:rsidRPr="00814FFC">
              <w:rPr>
                <w:rFonts w:ascii="Arial Narrow" w:hAnsi="Arial Narrow"/>
                <w:sz w:val="20"/>
                <w:szCs w:val="20"/>
              </w:rPr>
              <w:t>NEW</w:t>
            </w:r>
            <w:r w:rsidR="00FC6BD0">
              <w:rPr>
                <w:rFonts w:ascii="Arial Narrow" w:hAnsi="Arial Narrow"/>
                <w:sz w:val="20"/>
                <w:szCs w:val="20"/>
              </w:rPr>
              <w:t xml:space="preserve"> 1</w:t>
            </w:r>
          </w:p>
          <w:p w14:paraId="48EC01C9" w14:textId="211A0448" w:rsidR="00AC0494" w:rsidRPr="00A360F5" w:rsidRDefault="001E7ACA" w:rsidP="00C225D2">
            <w:pPr>
              <w:keepLines/>
              <w:jc w:val="center"/>
              <w:rPr>
                <w:rFonts w:ascii="Arial Narrow" w:hAnsi="Arial Narrow"/>
                <w:sz w:val="16"/>
                <w:szCs w:val="16"/>
              </w:rPr>
            </w:pPr>
            <w:r w:rsidRPr="00A360F5">
              <w:rPr>
                <w:rFonts w:ascii="Arial Narrow" w:hAnsi="Arial Narrow"/>
                <w:sz w:val="16"/>
                <w:szCs w:val="16"/>
              </w:rPr>
              <w:t>MP</w:t>
            </w:r>
          </w:p>
        </w:tc>
        <w:tc>
          <w:tcPr>
            <w:tcW w:w="448" w:type="pct"/>
            <w:vAlign w:val="center"/>
          </w:tcPr>
          <w:p w14:paraId="210D68D1"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1</w:t>
            </w:r>
          </w:p>
        </w:tc>
        <w:tc>
          <w:tcPr>
            <w:tcW w:w="448" w:type="pct"/>
            <w:vAlign w:val="center"/>
          </w:tcPr>
          <w:p w14:paraId="1A7AE9E0"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56</w:t>
            </w:r>
          </w:p>
        </w:tc>
        <w:tc>
          <w:tcPr>
            <w:tcW w:w="448" w:type="pct"/>
            <w:vAlign w:val="center"/>
          </w:tcPr>
          <w:p w14:paraId="786B08F1"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1</w:t>
            </w:r>
          </w:p>
        </w:tc>
        <w:tc>
          <w:tcPr>
            <w:tcW w:w="1038" w:type="pct"/>
            <w:vAlign w:val="center"/>
          </w:tcPr>
          <w:p w14:paraId="3D430C33" w14:textId="77777777" w:rsidR="00AC0494" w:rsidRPr="00814FFC" w:rsidRDefault="00AC0494" w:rsidP="00C225D2">
            <w:pPr>
              <w:keepLines/>
              <w:rPr>
                <w:rFonts w:ascii="Arial Narrow" w:hAnsi="Arial Narrow"/>
                <w:sz w:val="20"/>
                <w:szCs w:val="20"/>
              </w:rPr>
            </w:pPr>
            <w:proofErr w:type="spellStart"/>
            <w:r w:rsidRPr="00814FFC">
              <w:rPr>
                <w:rFonts w:ascii="Arial Narrow" w:hAnsi="Arial Narrow"/>
                <w:sz w:val="20"/>
                <w:szCs w:val="20"/>
              </w:rPr>
              <w:t>Calquence</w:t>
            </w:r>
            <w:proofErr w:type="spellEnd"/>
          </w:p>
        </w:tc>
      </w:tr>
      <w:tr w:rsidR="00AC0494" w:rsidRPr="00B778D7" w14:paraId="38F77BB3"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65D00E1" w14:textId="77777777" w:rsidR="00AC0494" w:rsidRPr="00814FFC" w:rsidRDefault="00AC0494" w:rsidP="00C225D2">
            <w:pPr>
              <w:rPr>
                <w:rFonts w:ascii="Arial Narrow" w:hAnsi="Arial Narrow"/>
                <w:sz w:val="20"/>
                <w:szCs w:val="20"/>
              </w:rPr>
            </w:pPr>
          </w:p>
        </w:tc>
      </w:tr>
      <w:tr w:rsidR="00AC0494" w:rsidRPr="00B778D7" w14:paraId="0FCB5602"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9515234" w14:textId="133DE9A0" w:rsidR="00AC0494" w:rsidRPr="00814FFC" w:rsidRDefault="00AC0494" w:rsidP="002871DA">
            <w:pPr>
              <w:keepLines/>
              <w:rPr>
                <w:rFonts w:ascii="Arial Narrow" w:hAnsi="Arial Narrow"/>
                <w:b/>
                <w:sz w:val="20"/>
                <w:szCs w:val="20"/>
              </w:rPr>
            </w:pPr>
            <w:r w:rsidRPr="00814FFC">
              <w:rPr>
                <w:rFonts w:ascii="Arial Narrow" w:hAnsi="Arial Narrow"/>
                <w:b/>
                <w:sz w:val="20"/>
                <w:szCs w:val="20"/>
              </w:rPr>
              <w:t>Restriction Summary [new1]</w:t>
            </w:r>
            <w:r w:rsidRPr="00814FFC">
              <w:rPr>
                <w:rFonts w:ascii="Arial Narrow" w:hAnsi="Arial Narrow"/>
                <w:b/>
                <w:color w:val="FF0000"/>
                <w:sz w:val="20"/>
                <w:szCs w:val="20"/>
              </w:rPr>
              <w:t xml:space="preserve"> </w:t>
            </w:r>
            <w:r w:rsidRPr="00814FFC">
              <w:rPr>
                <w:rFonts w:ascii="Arial Narrow" w:hAnsi="Arial Narrow"/>
                <w:b/>
                <w:sz w:val="20"/>
                <w:szCs w:val="20"/>
              </w:rPr>
              <w:t>/ Treatment of Concept [new1</w:t>
            </w:r>
            <w:r w:rsidR="001E7ACA" w:rsidRPr="00814FFC">
              <w:rPr>
                <w:rFonts w:ascii="Arial Narrow" w:hAnsi="Arial Narrow"/>
                <w:b/>
                <w:sz w:val="20"/>
                <w:szCs w:val="20"/>
              </w:rPr>
              <w:t>]</w:t>
            </w:r>
            <w:r w:rsidR="001E7ACA">
              <w:rPr>
                <w:rFonts w:ascii="Arial Narrow" w:hAnsi="Arial Narrow"/>
                <w:b/>
                <w:sz w:val="20"/>
                <w:szCs w:val="20"/>
              </w:rPr>
              <w:t>: Authority Required</w:t>
            </w:r>
            <w:r w:rsidR="00181963">
              <w:rPr>
                <w:rFonts w:ascii="Arial Narrow" w:hAnsi="Arial Narrow"/>
                <w:b/>
                <w:sz w:val="20"/>
                <w:szCs w:val="20"/>
              </w:rPr>
              <w:t xml:space="preserve"> </w:t>
            </w:r>
            <w:r w:rsidR="00CA50E8" w:rsidRPr="00CA50E8">
              <w:rPr>
                <w:rFonts w:ascii="Arial Narrow" w:hAnsi="Arial Narrow"/>
                <w:b/>
                <w:sz w:val="20"/>
                <w:szCs w:val="20"/>
              </w:rPr>
              <w:t xml:space="preserve"> </w:t>
            </w:r>
          </w:p>
        </w:tc>
      </w:tr>
      <w:tr w:rsidR="00235BE2" w:rsidRPr="00B778D7" w14:paraId="16419945"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79DE501" w14:textId="77777777" w:rsidR="00235BE2" w:rsidRPr="00814FFC" w:rsidRDefault="00235BE2" w:rsidP="00C225D2">
            <w:pPr>
              <w:rPr>
                <w:rFonts w:ascii="Arial Narrow" w:hAnsi="Arial Narrow"/>
                <w:color w:val="333333"/>
                <w:sz w:val="20"/>
                <w:szCs w:val="20"/>
              </w:rPr>
            </w:pPr>
            <w:r w:rsidRPr="00814FFC">
              <w:rPr>
                <w:rFonts w:ascii="Arial Narrow" w:hAnsi="Arial Narrow"/>
                <w:b/>
                <w:bCs/>
                <w:color w:val="333333"/>
                <w:sz w:val="20"/>
                <w:szCs w:val="20"/>
              </w:rPr>
              <w:t>Administrative Advice:</w:t>
            </w:r>
          </w:p>
          <w:p w14:paraId="5F673AA4" w14:textId="77777777" w:rsidR="00235BE2" w:rsidRPr="00814FFC" w:rsidRDefault="00235BE2" w:rsidP="00C225D2">
            <w:pPr>
              <w:rPr>
                <w:rFonts w:ascii="Arial Narrow" w:hAnsi="Arial Narrow"/>
                <w:b/>
                <w:bCs/>
                <w:color w:val="333333"/>
                <w:sz w:val="20"/>
                <w:szCs w:val="20"/>
              </w:rPr>
            </w:pPr>
            <w:r w:rsidRPr="00814FFC">
              <w:rPr>
                <w:rFonts w:ascii="Arial Narrow" w:hAnsi="Arial Narrow"/>
                <w:color w:val="333333"/>
                <w:sz w:val="20"/>
                <w:szCs w:val="20"/>
              </w:rPr>
              <w:t>A patient may only qualify for PBS-subsidised treatment under this restriction once in a lifetime.</w:t>
            </w:r>
          </w:p>
        </w:tc>
      </w:tr>
      <w:tr w:rsidR="00235BE2" w:rsidRPr="00B778D7" w14:paraId="65013E85"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C0966CB"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p>
          <w:p w14:paraId="3FB9602C"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The latest International Workshop on CLL (</w:t>
            </w:r>
            <w:proofErr w:type="spellStart"/>
            <w:r w:rsidRPr="00814FFC">
              <w:rPr>
                <w:rFonts w:ascii="Arial Narrow" w:hAnsi="Arial Narrow"/>
                <w:color w:val="333333"/>
                <w:sz w:val="20"/>
                <w:szCs w:val="20"/>
              </w:rPr>
              <w:t>iwCLL</w:t>
            </w:r>
            <w:proofErr w:type="spellEnd"/>
            <w:r w:rsidRPr="00814FFC">
              <w:rPr>
                <w:rFonts w:ascii="Arial Narrow" w:hAnsi="Arial Narrow"/>
                <w:color w:val="333333"/>
                <w:sz w:val="20"/>
                <w:szCs w:val="20"/>
              </w:rPr>
              <w:t>) provides guidance on various aspects of management of CLL/SLL. Notably, two of these are:</w:t>
            </w:r>
          </w:p>
          <w:p w14:paraId="45AB5D83"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(1) when to treat versus when to monitor the patient without therapy - see 'Indications for treatment' section; and</w:t>
            </w:r>
          </w:p>
          <w:p w14:paraId="5A2F4926"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(2) recognising progressive disease - see 'Definition of response, relapse, and refractory disease' section.</w:t>
            </w:r>
          </w:p>
          <w:p w14:paraId="6316197C"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See the following literature reference for details:</w:t>
            </w:r>
          </w:p>
          <w:p w14:paraId="61DC8C5A" w14:textId="77777777" w:rsidR="00235BE2" w:rsidRPr="00814FFC" w:rsidRDefault="00235BE2" w:rsidP="00C225D2">
            <w:pPr>
              <w:rPr>
                <w:rFonts w:ascii="Arial Narrow" w:hAnsi="Arial Narrow"/>
                <w:color w:val="333333"/>
                <w:sz w:val="20"/>
                <w:szCs w:val="20"/>
              </w:rPr>
            </w:pPr>
            <w:proofErr w:type="spellStart"/>
            <w:r w:rsidRPr="00814FFC">
              <w:rPr>
                <w:rFonts w:ascii="Arial Narrow" w:hAnsi="Arial Narrow"/>
                <w:color w:val="333333"/>
                <w:sz w:val="20"/>
                <w:szCs w:val="20"/>
              </w:rPr>
              <w:t>Hallek</w:t>
            </w:r>
            <w:proofErr w:type="spellEnd"/>
            <w:r w:rsidRPr="00814FFC">
              <w:rPr>
                <w:rFonts w:ascii="Arial Narrow" w:hAnsi="Arial Narrow"/>
                <w:color w:val="333333"/>
                <w:sz w:val="20"/>
                <w:szCs w:val="20"/>
              </w:rPr>
              <w:t xml:space="preserve">, M et al. </w:t>
            </w:r>
            <w:proofErr w:type="spellStart"/>
            <w:r w:rsidRPr="00814FFC">
              <w:rPr>
                <w:rFonts w:ascii="Arial Narrow" w:hAnsi="Arial Narrow"/>
                <w:color w:val="333333"/>
                <w:sz w:val="20"/>
                <w:szCs w:val="20"/>
              </w:rPr>
              <w:t>iwCLL</w:t>
            </w:r>
            <w:proofErr w:type="spellEnd"/>
            <w:r w:rsidRPr="00814FFC">
              <w:rPr>
                <w:rFonts w:ascii="Arial Narrow" w:hAnsi="Arial Narrow"/>
                <w:color w:val="333333"/>
                <w:sz w:val="20"/>
                <w:szCs w:val="20"/>
              </w:rPr>
              <w:t xml:space="preserve"> guidelines for diagnosis, indications for treatment, response assessment, and supportive management of CLL. Blood vol. 131, 25 (2018): 2745-2760.</w:t>
            </w:r>
          </w:p>
        </w:tc>
      </w:tr>
      <w:tr w:rsidR="00235BE2" w:rsidRPr="00B778D7" w14:paraId="23CD2A75"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14B60CB"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B778D7" w14:paraId="52D5681C"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Pr>
          <w:p w14:paraId="5E67E552" w14:textId="05CB893B" w:rsidR="00235BE2" w:rsidRPr="00711C15" w:rsidRDefault="00235BE2" w:rsidP="00711C15">
            <w:pPr>
              <w:rPr>
                <w:rFonts w:ascii="Arial Narrow" w:hAnsi="Arial Narrow"/>
                <w:b/>
                <w:bCs/>
                <w:color w:val="333333"/>
                <w:sz w:val="20"/>
                <w:szCs w:val="20"/>
              </w:rPr>
            </w:pPr>
            <w:r w:rsidRPr="00711C15">
              <w:rPr>
                <w:rFonts w:ascii="Arial Narrow" w:hAnsi="Arial Narrow"/>
                <w:b/>
                <w:bCs/>
                <w:sz w:val="20"/>
                <w:szCs w:val="20"/>
              </w:rPr>
              <w:t>Administrative Advice:</w:t>
            </w:r>
            <w:r w:rsidRPr="00711C15">
              <w:rPr>
                <w:rFonts w:ascii="Arial Narrow" w:hAnsi="Arial Narrow"/>
                <w:sz w:val="20"/>
                <w:szCs w:val="20"/>
              </w:rPr>
              <w:t xml:space="preserve"> No increase in the maximum quantity or number of units may be authorised.</w:t>
            </w:r>
          </w:p>
        </w:tc>
      </w:tr>
      <w:tr w:rsidR="00235BE2" w:rsidRPr="00B778D7" w14:paraId="21860725"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78E84B6" w14:textId="77777777" w:rsidR="00235BE2" w:rsidRPr="00814FFC" w:rsidRDefault="00235BE2" w:rsidP="00C225D2">
            <w:pPr>
              <w:rPr>
                <w:rFonts w:ascii="Arial Narrow" w:hAnsi="Arial Narrow"/>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No increase in the maximum number of repeats may be authorised.</w:t>
            </w:r>
          </w:p>
        </w:tc>
      </w:tr>
      <w:tr w:rsidR="00235BE2" w:rsidRPr="00B778D7" w14:paraId="7482509E"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85874B6" w14:textId="77777777" w:rsidR="00235BE2" w:rsidRPr="00814FFC" w:rsidRDefault="00235BE2" w:rsidP="00C225D2">
            <w:pPr>
              <w:rPr>
                <w:rFonts w:ascii="Arial Narrow" w:hAnsi="Arial Narrow"/>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Special Pricing Arrangements apply.</w:t>
            </w:r>
          </w:p>
        </w:tc>
      </w:tr>
      <w:tr w:rsidR="00235BE2" w:rsidRPr="00B778D7" w14:paraId="51BF85DB"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D953FDB" w14:textId="77777777" w:rsidR="00235BE2" w:rsidRPr="00814FFC" w:rsidRDefault="00235BE2" w:rsidP="00C225D2">
            <w:pPr>
              <w:keepLines/>
              <w:rPr>
                <w:rFonts w:ascii="Arial Narrow" w:hAnsi="Arial Narrow"/>
                <w:color w:val="333333"/>
                <w:sz w:val="20"/>
                <w:szCs w:val="20"/>
              </w:rPr>
            </w:pPr>
            <w:r w:rsidRPr="00814FFC">
              <w:rPr>
                <w:rFonts w:ascii="Arial Narrow" w:hAnsi="Arial Narrow"/>
                <w:b/>
                <w:bCs/>
                <w:color w:val="333333"/>
                <w:sz w:val="20"/>
                <w:szCs w:val="20"/>
              </w:rPr>
              <w:t>Indication:</w:t>
            </w:r>
            <w:r w:rsidRPr="00814FFC">
              <w:rPr>
                <w:rFonts w:ascii="Arial Narrow" w:hAnsi="Arial Narrow"/>
                <w:color w:val="333333"/>
                <w:sz w:val="20"/>
                <w:szCs w:val="20"/>
              </w:rPr>
              <w:t xml:space="preserve"> Chronic lymphocytic leukaemia (CLL) or small lymphocytic lymphoma (SLL)</w:t>
            </w:r>
          </w:p>
        </w:tc>
      </w:tr>
      <w:tr w:rsidR="00235BE2" w:rsidRPr="00B778D7" w14:paraId="5E25BC2A"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1720490" w14:textId="77777777" w:rsidR="00235BE2" w:rsidRPr="00814FFC" w:rsidRDefault="00235BE2" w:rsidP="001E7ACA">
            <w:pPr>
              <w:keepLines/>
              <w:rPr>
                <w:rFonts w:ascii="Arial Narrow" w:hAnsi="Arial Narrow"/>
                <w:b/>
                <w:bCs/>
                <w:color w:val="333333"/>
                <w:sz w:val="20"/>
                <w:szCs w:val="20"/>
              </w:rPr>
            </w:pPr>
          </w:p>
        </w:tc>
      </w:tr>
      <w:tr w:rsidR="00235BE2" w:rsidRPr="00B778D7" w14:paraId="4440FC7A"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21B816D" w14:textId="035E6AB8" w:rsidR="00235BE2" w:rsidRPr="00814FFC" w:rsidRDefault="00235BE2" w:rsidP="00C225D2">
            <w:pPr>
              <w:rPr>
                <w:rFonts w:ascii="Arial Narrow" w:hAnsi="Arial Narrow"/>
                <w:sz w:val="20"/>
                <w:szCs w:val="20"/>
              </w:rPr>
            </w:pPr>
            <w:r w:rsidRPr="00814FFC">
              <w:rPr>
                <w:rFonts w:ascii="Arial Narrow" w:hAnsi="Arial Narrow"/>
                <w:b/>
                <w:bCs/>
                <w:sz w:val="20"/>
                <w:szCs w:val="20"/>
              </w:rPr>
              <w:t>Treatment Phase:</w:t>
            </w:r>
            <w:r w:rsidRPr="00814FFC">
              <w:rPr>
                <w:rFonts w:ascii="Arial Narrow" w:hAnsi="Arial Narrow"/>
                <w:sz w:val="20"/>
                <w:szCs w:val="20"/>
              </w:rPr>
              <w:t xml:space="preserve"> Initial treatment (treatment cycles 1 to 2 inclusive) in first-line therapy</w:t>
            </w:r>
          </w:p>
        </w:tc>
      </w:tr>
      <w:tr w:rsidR="00235BE2" w:rsidRPr="00B778D7" w14:paraId="79C10D9E"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79D548A" w14:textId="2CDAC79F" w:rsidR="00235BE2" w:rsidRPr="00814FFC" w:rsidRDefault="00235BE2" w:rsidP="004C151B">
            <w:pPr>
              <w:rPr>
                <w:rFonts w:ascii="Arial Narrow" w:hAnsi="Arial Narrow"/>
                <w:sz w:val="20"/>
                <w:szCs w:val="20"/>
              </w:rPr>
            </w:pPr>
            <w:r w:rsidRPr="00814FFC">
              <w:rPr>
                <w:rFonts w:ascii="Arial Narrow" w:hAnsi="Arial Narrow"/>
                <w:b/>
                <w:bCs/>
                <w:color w:val="333333"/>
                <w:sz w:val="20"/>
                <w:szCs w:val="20"/>
              </w:rPr>
              <w:t>Clinical criteria:</w:t>
            </w:r>
            <w:r w:rsidRPr="00814FFC">
              <w:rPr>
                <w:rFonts w:ascii="Arial Narrow" w:hAnsi="Arial Narrow"/>
                <w:bCs/>
                <w:color w:val="FF0000"/>
                <w:sz w:val="20"/>
                <w:szCs w:val="20"/>
              </w:rPr>
              <w:tab/>
            </w:r>
          </w:p>
        </w:tc>
      </w:tr>
      <w:tr w:rsidR="00235BE2" w:rsidRPr="00B778D7" w14:paraId="5B16E3FF"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A11E1F9" w14:textId="4E83C0DE" w:rsidR="00235BE2" w:rsidRPr="00814FFC" w:rsidRDefault="00235BE2" w:rsidP="00C225D2">
            <w:pPr>
              <w:rPr>
                <w:rFonts w:ascii="Arial Narrow" w:hAnsi="Arial Narrow"/>
                <w:b/>
                <w:bCs/>
                <w:sz w:val="20"/>
                <w:szCs w:val="20"/>
              </w:rPr>
            </w:pPr>
            <w:r w:rsidRPr="00814FFC">
              <w:rPr>
                <w:rFonts w:ascii="Arial Narrow" w:hAnsi="Arial Narrow"/>
                <w:bCs/>
                <w:sz w:val="20"/>
                <w:szCs w:val="20"/>
              </w:rPr>
              <w:t xml:space="preserve">The condition must be untreated with drug treatment at the time of the first dose of this drug; </w:t>
            </w:r>
            <w:r>
              <w:rPr>
                <w:rFonts w:ascii="Arial Narrow" w:hAnsi="Arial Narrow"/>
                <w:bCs/>
                <w:sz w:val="20"/>
                <w:szCs w:val="20"/>
              </w:rPr>
              <w:t>or</w:t>
            </w:r>
          </w:p>
        </w:tc>
      </w:tr>
      <w:tr w:rsidR="00235BE2" w:rsidRPr="00B778D7" w14:paraId="3FE857DF"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80667C" w14:textId="77777777" w:rsidR="00235BE2" w:rsidRPr="00814FFC" w:rsidRDefault="00235BE2" w:rsidP="00C225D2">
            <w:pPr>
              <w:rPr>
                <w:rFonts w:ascii="Arial Narrow" w:hAnsi="Arial Narrow"/>
                <w:bCs/>
                <w:sz w:val="20"/>
                <w:szCs w:val="20"/>
              </w:rPr>
            </w:pPr>
            <w:r w:rsidRPr="00814FFC">
              <w:rPr>
                <w:rFonts w:ascii="Arial Narrow" w:hAnsi="Arial Narrow"/>
                <w:bCs/>
                <w:sz w:val="20"/>
                <w:szCs w:val="20"/>
              </w:rPr>
              <w:t>Patient must have developed an intolerance of a severity necessitating permanent treatment withdrawal following use of another drug PBS indicated as first-line drug treatment of CLL/SLL</w:t>
            </w:r>
          </w:p>
        </w:tc>
      </w:tr>
      <w:tr w:rsidR="00235BE2" w:rsidRPr="00B778D7" w14:paraId="6D1F3FDD"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80EDC1D"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6B6BB7" w14:paraId="6F7391C3"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48EB32"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Clinical criteria:</w:t>
            </w:r>
          </w:p>
        </w:tc>
      </w:tr>
      <w:tr w:rsidR="00235BE2" w:rsidRPr="006B6BB7" w14:paraId="6516C1B7"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DD66613" w14:textId="77777777" w:rsidR="00235BE2" w:rsidRPr="00814FFC" w:rsidRDefault="00235BE2" w:rsidP="00C225D2">
            <w:pPr>
              <w:rPr>
                <w:rFonts w:ascii="Arial Narrow" w:hAnsi="Arial Narrow"/>
                <w:bCs/>
                <w:sz w:val="20"/>
                <w:szCs w:val="20"/>
              </w:rPr>
            </w:pPr>
            <w:r w:rsidRPr="00814FFC">
              <w:rPr>
                <w:rFonts w:ascii="Arial Narrow" w:hAnsi="Arial Narrow"/>
                <w:bCs/>
                <w:sz w:val="20"/>
                <w:szCs w:val="20"/>
              </w:rPr>
              <w:t>The treatment must only be prescribed for a patient with active disease in accordance with the International Workshop on CLL (</w:t>
            </w:r>
            <w:proofErr w:type="spellStart"/>
            <w:r w:rsidRPr="00814FFC">
              <w:rPr>
                <w:rFonts w:ascii="Arial Narrow" w:hAnsi="Arial Narrow"/>
                <w:bCs/>
                <w:sz w:val="20"/>
                <w:szCs w:val="20"/>
              </w:rPr>
              <w:t>iwCLL</w:t>
            </w:r>
            <w:proofErr w:type="spellEnd"/>
            <w:r w:rsidRPr="00814FFC">
              <w:rPr>
                <w:rFonts w:ascii="Arial Narrow" w:hAnsi="Arial Narrow"/>
                <w:bCs/>
                <w:sz w:val="20"/>
                <w:szCs w:val="20"/>
              </w:rPr>
              <w:t>) guidance (latest version) in relation to when to prescribe drug treatment for this condition</w:t>
            </w:r>
          </w:p>
        </w:tc>
      </w:tr>
      <w:tr w:rsidR="00235BE2" w:rsidRPr="006B6BB7" w14:paraId="05AD81F3"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E5388A2"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6B6BB7" w14:paraId="5269FCE2"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54D52B1" w14:textId="77777777" w:rsidR="00235BE2" w:rsidRPr="00814FFC" w:rsidRDefault="00235BE2" w:rsidP="00C225D2">
            <w:pPr>
              <w:rPr>
                <w:rFonts w:ascii="Arial Narrow" w:hAnsi="Arial Narrow"/>
                <w:b/>
                <w:bCs/>
                <w:sz w:val="20"/>
                <w:szCs w:val="20"/>
              </w:rPr>
            </w:pPr>
            <w:r w:rsidRPr="00814FFC">
              <w:rPr>
                <w:rFonts w:ascii="Arial Narrow" w:hAnsi="Arial Narrow"/>
                <w:b/>
                <w:bCs/>
                <w:sz w:val="20"/>
                <w:szCs w:val="20"/>
              </w:rPr>
              <w:t>Clinical criteria:</w:t>
            </w:r>
          </w:p>
        </w:tc>
      </w:tr>
      <w:tr w:rsidR="00235BE2" w:rsidRPr="006B6BB7" w14:paraId="06CAF3D6"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306612D" w14:textId="6A84AEE0" w:rsidR="00235BE2" w:rsidRPr="00814FFC" w:rsidRDefault="00235BE2" w:rsidP="00C225D2">
            <w:pPr>
              <w:rPr>
                <w:rFonts w:ascii="Arial Narrow" w:hAnsi="Arial Narrow"/>
                <w:sz w:val="20"/>
                <w:szCs w:val="20"/>
              </w:rPr>
            </w:pPr>
            <w:r w:rsidRPr="00814FFC">
              <w:rPr>
                <w:rFonts w:ascii="Arial Narrow" w:hAnsi="Arial Narrow"/>
                <w:sz w:val="20"/>
                <w:szCs w:val="20"/>
              </w:rPr>
              <w:t xml:space="preserve">The treatment must be initiated as monotherapy, with the intention of use in combination with venetoclax from cycle 3 to 14 </w:t>
            </w:r>
          </w:p>
        </w:tc>
      </w:tr>
      <w:tr w:rsidR="00235BE2" w:rsidRPr="006B6BB7" w14:paraId="74F69B8E"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1967AED" w14:textId="77777777" w:rsidR="00235BE2" w:rsidRPr="00814FFC" w:rsidRDefault="00235BE2" w:rsidP="00C225D2">
            <w:pPr>
              <w:rPr>
                <w:rFonts w:ascii="Arial Narrow" w:hAnsi="Arial Narrow"/>
                <w:bCs/>
                <w:sz w:val="20"/>
                <w:szCs w:val="20"/>
              </w:rPr>
            </w:pPr>
            <w:r w:rsidRPr="00814FFC">
              <w:rPr>
                <w:rFonts w:ascii="Arial Narrow" w:hAnsi="Arial Narrow"/>
                <w:b/>
                <w:bCs/>
                <w:sz w:val="20"/>
                <w:szCs w:val="20"/>
              </w:rPr>
              <w:t>AND</w:t>
            </w:r>
          </w:p>
        </w:tc>
      </w:tr>
      <w:tr w:rsidR="00235BE2" w:rsidRPr="006B6BB7" w14:paraId="1A32B3E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4A85E34" w14:textId="77777777" w:rsidR="00235BE2" w:rsidRPr="00814FFC" w:rsidRDefault="00235BE2" w:rsidP="00A360F5">
            <w:pPr>
              <w:keepNext/>
              <w:rPr>
                <w:rFonts w:ascii="Arial Narrow" w:hAnsi="Arial Narrow"/>
                <w:bCs/>
                <w:sz w:val="20"/>
                <w:szCs w:val="20"/>
              </w:rPr>
            </w:pPr>
            <w:r w:rsidRPr="00814FFC">
              <w:rPr>
                <w:rFonts w:ascii="Arial Narrow" w:hAnsi="Arial Narrow"/>
                <w:b/>
                <w:bCs/>
                <w:sz w:val="20"/>
                <w:szCs w:val="20"/>
              </w:rPr>
              <w:t>Clinical criteria:</w:t>
            </w:r>
          </w:p>
        </w:tc>
      </w:tr>
      <w:tr w:rsidR="00235BE2" w:rsidRPr="006B6BB7" w14:paraId="75C2BB68"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E02A00B" w14:textId="77777777" w:rsidR="00235BE2" w:rsidRPr="00814FFC" w:rsidRDefault="00235BE2" w:rsidP="00A360F5">
            <w:pPr>
              <w:keepNext/>
              <w:rPr>
                <w:rFonts w:ascii="Arial Narrow" w:hAnsi="Arial Narrow"/>
                <w:bCs/>
                <w:sz w:val="20"/>
                <w:szCs w:val="20"/>
              </w:rPr>
            </w:pPr>
            <w:r w:rsidRPr="00814FFC">
              <w:rPr>
                <w:rFonts w:ascii="Arial Narrow" w:hAnsi="Arial Narrow"/>
                <w:bCs/>
                <w:sz w:val="20"/>
                <w:szCs w:val="20"/>
              </w:rPr>
              <w:t>The treatment must not be in combination with obinutuzumab</w:t>
            </w:r>
          </w:p>
        </w:tc>
      </w:tr>
    </w:tbl>
    <w:p w14:paraId="21381F29" w14:textId="77777777" w:rsidR="00AC0494" w:rsidRPr="00B3081F" w:rsidRDefault="00AC0494" w:rsidP="00AC0494">
      <w:pPr>
        <w:pStyle w:val="Caption"/>
        <w:rPr>
          <w:rFonts w:cstheme="minorHAnsi"/>
          <w:szCs w:val="20"/>
        </w:rPr>
      </w:pPr>
      <w:r w:rsidRPr="00B3081F">
        <w:rPr>
          <w:rFonts w:cstheme="minorHAnsi"/>
          <w:szCs w:val="20"/>
        </w:rPr>
        <w:t>Continuing treatment (Cycles 3- 14)</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Continuing treatment (Cycles 3- 14)"/>
      </w:tblPr>
      <w:tblGrid>
        <w:gridCol w:w="2690"/>
        <w:gridCol w:w="1558"/>
        <w:gridCol w:w="992"/>
        <w:gridCol w:w="1133"/>
        <w:gridCol w:w="812"/>
        <w:gridCol w:w="1882"/>
      </w:tblGrid>
      <w:tr w:rsidR="000B0251" w:rsidRPr="003464AD" w14:paraId="35D2EE8C" w14:textId="77777777" w:rsidTr="00235BE2">
        <w:trPr>
          <w:cantSplit/>
          <w:trHeight w:val="20"/>
        </w:trPr>
        <w:tc>
          <w:tcPr>
            <w:tcW w:w="5000" w:type="pct"/>
            <w:gridSpan w:val="6"/>
            <w:vAlign w:val="center"/>
          </w:tcPr>
          <w:p w14:paraId="16AE3FD1" w14:textId="7C1DC95B" w:rsidR="000B0251" w:rsidRPr="00A360F5" w:rsidRDefault="000B0251" w:rsidP="00C225D2">
            <w:pPr>
              <w:keepLines/>
              <w:rPr>
                <w:rFonts w:ascii="Arial Narrow" w:eastAsia="Calibri" w:hAnsi="Arial Narrow"/>
                <w:sz w:val="20"/>
                <w:szCs w:val="20"/>
              </w:rPr>
            </w:pPr>
            <w:r w:rsidRPr="00814FFC">
              <w:rPr>
                <w:rFonts w:ascii="Arial Narrow" w:hAnsi="Arial Narrow"/>
                <w:b/>
                <w:sz w:val="20"/>
                <w:szCs w:val="20"/>
              </w:rPr>
              <w:t>Category / Program:</w:t>
            </w:r>
            <w:r w:rsidRPr="00814FFC">
              <w:rPr>
                <w:rFonts w:ascii="Arial Narrow" w:hAnsi="Arial Narrow"/>
                <w:color w:val="FF0000"/>
                <w:sz w:val="20"/>
                <w:szCs w:val="20"/>
              </w:rPr>
              <w:t xml:space="preserve"> </w:t>
            </w:r>
            <w:r w:rsidRPr="00814FFC">
              <w:rPr>
                <w:rFonts w:ascii="Arial Narrow" w:eastAsia="Calibri" w:hAnsi="Arial Narrow"/>
                <w:sz w:val="20"/>
                <w:szCs w:val="20"/>
              </w:rPr>
              <w:fldChar w:fldCharType="begin">
                <w:ffData>
                  <w:name w:val="Check1"/>
                  <w:enabled/>
                  <w:calcOnExit w:val="0"/>
                  <w:checkBox>
                    <w:sizeAuto/>
                    <w:default w:val="1"/>
                  </w:checkBox>
                </w:ffData>
              </w:fldChar>
            </w:r>
            <w:r w:rsidRPr="00814FFC">
              <w:rPr>
                <w:rFonts w:ascii="Arial Narrow" w:eastAsia="Calibri" w:hAnsi="Arial Narrow"/>
                <w:sz w:val="20"/>
                <w:szCs w:val="20"/>
              </w:rPr>
              <w:instrText xml:space="preserve"> FORMCHECKBOX </w:instrText>
            </w:r>
            <w:r w:rsidRPr="00814FFC">
              <w:rPr>
                <w:rFonts w:ascii="Arial Narrow" w:eastAsia="Calibri" w:hAnsi="Arial Narrow"/>
                <w:sz w:val="20"/>
                <w:szCs w:val="20"/>
              </w:rPr>
            </w:r>
            <w:r w:rsidRPr="00814FFC">
              <w:rPr>
                <w:rFonts w:ascii="Arial Narrow" w:eastAsia="Calibri" w:hAnsi="Arial Narrow"/>
                <w:sz w:val="20"/>
                <w:szCs w:val="20"/>
              </w:rPr>
              <w:fldChar w:fldCharType="separate"/>
            </w:r>
            <w:r w:rsidRPr="00814FFC">
              <w:rPr>
                <w:rFonts w:ascii="Arial Narrow" w:eastAsia="Calibri" w:hAnsi="Arial Narrow"/>
                <w:sz w:val="20"/>
                <w:szCs w:val="20"/>
              </w:rPr>
              <w:fldChar w:fldCharType="end"/>
            </w:r>
            <w:r w:rsidRPr="00814FFC">
              <w:rPr>
                <w:rFonts w:ascii="Arial Narrow" w:eastAsia="Calibri" w:hAnsi="Arial Narrow"/>
                <w:sz w:val="20"/>
                <w:szCs w:val="20"/>
              </w:rPr>
              <w:t xml:space="preserve"> GENERAL - General Schedule (Code GE)</w:t>
            </w:r>
          </w:p>
        </w:tc>
      </w:tr>
      <w:tr w:rsidR="00AC0494" w:rsidRPr="003464AD" w14:paraId="712290FC" w14:textId="77777777" w:rsidTr="00235BE2">
        <w:trPr>
          <w:cantSplit/>
          <w:trHeight w:val="20"/>
        </w:trPr>
        <w:tc>
          <w:tcPr>
            <w:tcW w:w="1483" w:type="pct"/>
            <w:vAlign w:val="center"/>
          </w:tcPr>
          <w:p w14:paraId="01103872" w14:textId="77777777" w:rsidR="00AC0494" w:rsidRPr="00814FFC" w:rsidRDefault="00AC0494" w:rsidP="00C225D2">
            <w:pPr>
              <w:keepLines/>
              <w:rPr>
                <w:rFonts w:ascii="Arial Narrow" w:hAnsi="Arial Narrow"/>
                <w:b/>
                <w:bCs/>
                <w:sz w:val="20"/>
                <w:szCs w:val="20"/>
              </w:rPr>
            </w:pPr>
            <w:r w:rsidRPr="00814FFC">
              <w:rPr>
                <w:rFonts w:ascii="Arial Narrow" w:hAnsi="Arial Narrow"/>
                <w:b/>
                <w:bCs/>
                <w:sz w:val="20"/>
                <w:szCs w:val="20"/>
              </w:rPr>
              <w:t>MEDICINAL PRODUCT</w:t>
            </w:r>
          </w:p>
          <w:p w14:paraId="66522B01" w14:textId="77777777" w:rsidR="00AC0494" w:rsidRPr="00814FFC" w:rsidRDefault="00AC0494" w:rsidP="00C225D2">
            <w:pPr>
              <w:keepLines/>
              <w:rPr>
                <w:rFonts w:ascii="Arial Narrow" w:hAnsi="Arial Narrow"/>
                <w:b/>
                <w:sz w:val="20"/>
                <w:szCs w:val="20"/>
              </w:rPr>
            </w:pPr>
            <w:r w:rsidRPr="00814FFC">
              <w:rPr>
                <w:rFonts w:ascii="Arial Narrow" w:hAnsi="Arial Narrow"/>
                <w:b/>
                <w:bCs/>
                <w:sz w:val="20"/>
                <w:szCs w:val="20"/>
              </w:rPr>
              <w:t>medicinal product pack</w:t>
            </w:r>
          </w:p>
        </w:tc>
        <w:tc>
          <w:tcPr>
            <w:tcW w:w="859" w:type="pct"/>
            <w:vAlign w:val="center"/>
          </w:tcPr>
          <w:p w14:paraId="7948AB0A"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PBS item code</w:t>
            </w:r>
          </w:p>
        </w:tc>
        <w:tc>
          <w:tcPr>
            <w:tcW w:w="547" w:type="pct"/>
            <w:vAlign w:val="center"/>
          </w:tcPr>
          <w:p w14:paraId="73D69697"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packs</w:t>
            </w:r>
          </w:p>
        </w:tc>
        <w:tc>
          <w:tcPr>
            <w:tcW w:w="625" w:type="pct"/>
            <w:vAlign w:val="center"/>
          </w:tcPr>
          <w:p w14:paraId="0A5C17B8"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units</w:t>
            </w:r>
          </w:p>
        </w:tc>
        <w:tc>
          <w:tcPr>
            <w:tcW w:w="448" w:type="pct"/>
            <w:vAlign w:val="center"/>
          </w:tcPr>
          <w:p w14:paraId="0A06A0E0"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№.of</w:t>
            </w:r>
          </w:p>
          <w:p w14:paraId="3B56593D" w14:textId="77777777" w:rsidR="00AC0494" w:rsidRPr="00814FFC" w:rsidRDefault="00AC0494" w:rsidP="00C225D2">
            <w:pPr>
              <w:keepLines/>
              <w:jc w:val="center"/>
              <w:rPr>
                <w:rFonts w:ascii="Arial Narrow" w:hAnsi="Arial Narrow"/>
                <w:b/>
                <w:sz w:val="20"/>
                <w:szCs w:val="20"/>
              </w:rPr>
            </w:pPr>
            <w:proofErr w:type="spellStart"/>
            <w:r w:rsidRPr="00814FFC">
              <w:rPr>
                <w:rFonts w:ascii="Arial Narrow" w:hAnsi="Arial Narrow"/>
                <w:b/>
                <w:sz w:val="20"/>
                <w:szCs w:val="20"/>
              </w:rPr>
              <w:t>Rpts</w:t>
            </w:r>
            <w:proofErr w:type="spellEnd"/>
          </w:p>
        </w:tc>
        <w:tc>
          <w:tcPr>
            <w:tcW w:w="1038" w:type="pct"/>
            <w:vAlign w:val="center"/>
          </w:tcPr>
          <w:p w14:paraId="7AAA44E9" w14:textId="77777777" w:rsidR="00AC0494" w:rsidRPr="00814FFC" w:rsidRDefault="00AC0494" w:rsidP="00C225D2">
            <w:pPr>
              <w:keepLines/>
              <w:rPr>
                <w:rFonts w:ascii="Arial Narrow" w:hAnsi="Arial Narrow"/>
                <w:b/>
                <w:sz w:val="20"/>
                <w:szCs w:val="20"/>
              </w:rPr>
            </w:pPr>
            <w:r w:rsidRPr="00814FFC">
              <w:rPr>
                <w:rFonts w:ascii="Arial Narrow" w:hAnsi="Arial Narrow"/>
                <w:b/>
                <w:sz w:val="20"/>
                <w:szCs w:val="20"/>
              </w:rPr>
              <w:t>Available brands</w:t>
            </w:r>
          </w:p>
        </w:tc>
      </w:tr>
      <w:tr w:rsidR="00AC0494" w:rsidRPr="003464AD" w14:paraId="4953B44C" w14:textId="77777777" w:rsidTr="00235BE2">
        <w:trPr>
          <w:cantSplit/>
          <w:trHeight w:val="20"/>
        </w:trPr>
        <w:tc>
          <w:tcPr>
            <w:tcW w:w="5000" w:type="pct"/>
            <w:gridSpan w:val="6"/>
            <w:vAlign w:val="center"/>
          </w:tcPr>
          <w:p w14:paraId="5620F494"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w:t>
            </w:r>
          </w:p>
        </w:tc>
      </w:tr>
      <w:tr w:rsidR="00AC0494" w:rsidRPr="003464AD" w14:paraId="78FF4D1A" w14:textId="77777777" w:rsidTr="00235BE2">
        <w:trPr>
          <w:cantSplit/>
          <w:trHeight w:val="20"/>
        </w:trPr>
        <w:tc>
          <w:tcPr>
            <w:tcW w:w="1483" w:type="pct"/>
            <w:vAlign w:val="center"/>
          </w:tcPr>
          <w:p w14:paraId="35C4B3E4"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 100 mg tablet, 56</w:t>
            </w:r>
          </w:p>
        </w:tc>
        <w:tc>
          <w:tcPr>
            <w:tcW w:w="859" w:type="pct"/>
            <w:vAlign w:val="center"/>
          </w:tcPr>
          <w:p w14:paraId="4432EFBA" w14:textId="77777777" w:rsidR="00AC0494" w:rsidRDefault="00AC0494" w:rsidP="00C225D2">
            <w:pPr>
              <w:keepLines/>
              <w:jc w:val="center"/>
              <w:rPr>
                <w:rFonts w:ascii="Arial Narrow" w:hAnsi="Arial Narrow"/>
                <w:sz w:val="20"/>
                <w:szCs w:val="20"/>
              </w:rPr>
            </w:pPr>
            <w:r w:rsidRPr="00814FFC">
              <w:rPr>
                <w:rFonts w:ascii="Arial Narrow" w:hAnsi="Arial Narrow"/>
                <w:sz w:val="20"/>
                <w:szCs w:val="20"/>
              </w:rPr>
              <w:t>NEW</w:t>
            </w:r>
            <w:r w:rsidR="000B0251">
              <w:rPr>
                <w:rFonts w:ascii="Arial Narrow" w:hAnsi="Arial Narrow"/>
                <w:sz w:val="20"/>
                <w:szCs w:val="20"/>
              </w:rPr>
              <w:t xml:space="preserve"> 2</w:t>
            </w:r>
          </w:p>
          <w:p w14:paraId="56360526" w14:textId="6751E0A3" w:rsidR="00AC0494" w:rsidRPr="00DA2998" w:rsidRDefault="000B0251" w:rsidP="00C225D2">
            <w:pPr>
              <w:keepLines/>
              <w:jc w:val="center"/>
              <w:rPr>
                <w:rFonts w:ascii="Arial Narrow" w:hAnsi="Arial Narrow"/>
                <w:sz w:val="12"/>
                <w:szCs w:val="12"/>
              </w:rPr>
            </w:pPr>
            <w:r w:rsidRPr="00DA2998">
              <w:rPr>
                <w:rFonts w:ascii="Arial Narrow" w:hAnsi="Arial Narrow"/>
                <w:sz w:val="12"/>
                <w:szCs w:val="12"/>
              </w:rPr>
              <w:t>MP  NP</w:t>
            </w:r>
          </w:p>
        </w:tc>
        <w:tc>
          <w:tcPr>
            <w:tcW w:w="547" w:type="pct"/>
            <w:vAlign w:val="center"/>
          </w:tcPr>
          <w:p w14:paraId="71705C0B"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1</w:t>
            </w:r>
          </w:p>
        </w:tc>
        <w:tc>
          <w:tcPr>
            <w:tcW w:w="625" w:type="pct"/>
            <w:vAlign w:val="center"/>
          </w:tcPr>
          <w:p w14:paraId="7E87F8A5"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56</w:t>
            </w:r>
          </w:p>
        </w:tc>
        <w:tc>
          <w:tcPr>
            <w:tcW w:w="448" w:type="pct"/>
            <w:vAlign w:val="center"/>
          </w:tcPr>
          <w:p w14:paraId="415ACC73"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5</w:t>
            </w:r>
          </w:p>
        </w:tc>
        <w:tc>
          <w:tcPr>
            <w:tcW w:w="1038" w:type="pct"/>
            <w:vAlign w:val="center"/>
          </w:tcPr>
          <w:p w14:paraId="53623104" w14:textId="77777777" w:rsidR="00AC0494" w:rsidRPr="00814FFC" w:rsidRDefault="00AC0494" w:rsidP="00C225D2">
            <w:pPr>
              <w:keepLines/>
              <w:rPr>
                <w:rFonts w:ascii="Arial Narrow" w:hAnsi="Arial Narrow"/>
                <w:sz w:val="20"/>
                <w:szCs w:val="20"/>
              </w:rPr>
            </w:pPr>
            <w:proofErr w:type="spellStart"/>
            <w:r w:rsidRPr="00814FFC">
              <w:rPr>
                <w:rFonts w:ascii="Arial Narrow" w:hAnsi="Arial Narrow"/>
                <w:sz w:val="20"/>
                <w:szCs w:val="20"/>
              </w:rPr>
              <w:t>Calquence</w:t>
            </w:r>
            <w:proofErr w:type="spellEnd"/>
          </w:p>
        </w:tc>
      </w:tr>
      <w:tr w:rsidR="00AC0494" w:rsidRPr="003464AD" w14:paraId="60B32223"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753DD8CD" w14:textId="77777777" w:rsidR="00AC0494" w:rsidRPr="00814FFC" w:rsidRDefault="00AC0494" w:rsidP="00C225D2">
            <w:pPr>
              <w:rPr>
                <w:rFonts w:ascii="Arial Narrow" w:hAnsi="Arial Narrow"/>
                <w:sz w:val="20"/>
                <w:szCs w:val="20"/>
              </w:rPr>
            </w:pPr>
          </w:p>
        </w:tc>
      </w:tr>
      <w:tr w:rsidR="00AC0494" w:rsidRPr="003464AD" w14:paraId="2E2F1ECA"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33187AF" w14:textId="05513B7F" w:rsidR="00AC0494" w:rsidRPr="00814FFC" w:rsidRDefault="00AC0494" w:rsidP="002871DA">
            <w:pPr>
              <w:keepLines/>
              <w:rPr>
                <w:rFonts w:ascii="Arial Narrow" w:hAnsi="Arial Narrow"/>
                <w:b/>
                <w:sz w:val="20"/>
                <w:szCs w:val="20"/>
              </w:rPr>
            </w:pPr>
            <w:r w:rsidRPr="00814FFC">
              <w:rPr>
                <w:rFonts w:ascii="Arial Narrow" w:hAnsi="Arial Narrow"/>
                <w:b/>
                <w:sz w:val="20"/>
                <w:szCs w:val="20"/>
              </w:rPr>
              <w:t>Restriction Summary [new2]</w:t>
            </w:r>
            <w:r w:rsidRPr="00814FFC">
              <w:rPr>
                <w:rFonts w:ascii="Arial Narrow" w:hAnsi="Arial Narrow"/>
                <w:b/>
                <w:color w:val="FF0000"/>
                <w:sz w:val="20"/>
                <w:szCs w:val="20"/>
              </w:rPr>
              <w:t xml:space="preserve"> </w:t>
            </w:r>
            <w:r w:rsidRPr="00814FFC">
              <w:rPr>
                <w:rFonts w:ascii="Arial Narrow" w:hAnsi="Arial Narrow"/>
                <w:b/>
                <w:sz w:val="20"/>
                <w:szCs w:val="20"/>
              </w:rPr>
              <w:t>/ Treatment of Concept [new2]</w:t>
            </w:r>
            <w:r w:rsidR="000B0251">
              <w:rPr>
                <w:rFonts w:ascii="Arial Narrow" w:hAnsi="Arial Narrow"/>
                <w:b/>
                <w:sz w:val="20"/>
                <w:szCs w:val="20"/>
              </w:rPr>
              <w:t xml:space="preserve">: </w:t>
            </w:r>
            <w:r w:rsidR="002449E2">
              <w:rPr>
                <w:rFonts w:ascii="Arial Narrow" w:hAnsi="Arial Narrow"/>
                <w:b/>
                <w:sz w:val="20"/>
                <w:szCs w:val="20"/>
              </w:rPr>
              <w:t>Authority Required</w:t>
            </w:r>
          </w:p>
        </w:tc>
      </w:tr>
      <w:tr w:rsidR="00235BE2" w:rsidRPr="003464AD" w14:paraId="6AF854EF" w14:textId="77777777" w:rsidTr="00235BE2">
        <w:tblPrEx>
          <w:tblCellMar>
            <w:top w:w="15" w:type="dxa"/>
            <w:bottom w:w="15" w:type="dxa"/>
          </w:tblCellMar>
          <w:tblLook w:val="04A0" w:firstRow="1" w:lastRow="0" w:firstColumn="1" w:lastColumn="0" w:noHBand="0" w:noVBand="1"/>
        </w:tblPrEx>
        <w:trPr>
          <w:cantSplit/>
          <w:trHeight w:val="591"/>
        </w:trPr>
        <w:tc>
          <w:tcPr>
            <w:tcW w:w="5000" w:type="pct"/>
            <w:gridSpan w:val="6"/>
            <w:vAlign w:val="center"/>
          </w:tcPr>
          <w:p w14:paraId="7279B218" w14:textId="07581C65" w:rsidR="00235BE2" w:rsidRPr="00814FFC" w:rsidRDefault="00235BE2" w:rsidP="00C225D2">
            <w:pPr>
              <w:rPr>
                <w:rFonts w:ascii="Arial Narrow" w:hAnsi="Arial Narrow"/>
                <w:color w:val="333333"/>
                <w:sz w:val="20"/>
                <w:szCs w:val="20"/>
              </w:rPr>
            </w:pPr>
            <w:r w:rsidRPr="00814FFC">
              <w:rPr>
                <w:rFonts w:ascii="Arial Narrow" w:hAnsi="Arial Narrow"/>
                <w:b/>
                <w:bCs/>
                <w:color w:val="333333"/>
                <w:sz w:val="20"/>
                <w:szCs w:val="20"/>
              </w:rPr>
              <w:lastRenderedPageBreak/>
              <w:t>Administrative Advice:</w:t>
            </w:r>
          </w:p>
          <w:p w14:paraId="41B229BF" w14:textId="5A460E28"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A patient may only qualify for PBS-subsidised treatment under this restriction once in a lifetime.</w:t>
            </w:r>
          </w:p>
        </w:tc>
      </w:tr>
      <w:tr w:rsidR="00235BE2" w:rsidRPr="003464AD" w14:paraId="69C0A507" w14:textId="77777777" w:rsidTr="00235BE2">
        <w:tblPrEx>
          <w:tblCellMar>
            <w:top w:w="15" w:type="dxa"/>
            <w:bottom w:w="15" w:type="dxa"/>
          </w:tblCellMar>
          <w:tblLook w:val="04A0" w:firstRow="1" w:lastRow="0" w:firstColumn="1" w:lastColumn="0" w:noHBand="0" w:noVBand="1"/>
        </w:tblPrEx>
        <w:trPr>
          <w:cantSplit/>
          <w:trHeight w:val="184"/>
        </w:trPr>
        <w:tc>
          <w:tcPr>
            <w:tcW w:w="5000" w:type="pct"/>
            <w:gridSpan w:val="6"/>
            <w:vAlign w:val="center"/>
          </w:tcPr>
          <w:p w14:paraId="31BAE3C4"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3464AD" w14:paraId="3DFCC970" w14:textId="77777777" w:rsidTr="00235BE2">
        <w:tblPrEx>
          <w:tblCellMar>
            <w:top w:w="15" w:type="dxa"/>
            <w:bottom w:w="15" w:type="dxa"/>
          </w:tblCellMar>
          <w:tblLook w:val="04A0" w:firstRow="1" w:lastRow="0" w:firstColumn="1" w:lastColumn="0" w:noHBand="0" w:noVBand="1"/>
        </w:tblPrEx>
        <w:trPr>
          <w:cantSplit/>
          <w:trHeight w:val="384"/>
        </w:trPr>
        <w:tc>
          <w:tcPr>
            <w:tcW w:w="5000" w:type="pct"/>
            <w:gridSpan w:val="6"/>
            <w:vAlign w:val="center"/>
          </w:tcPr>
          <w:p w14:paraId="28B83603"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No increase in the maximum number of repeats may be authorised.</w:t>
            </w:r>
          </w:p>
        </w:tc>
      </w:tr>
      <w:tr w:rsidR="00235BE2" w:rsidRPr="003464AD" w14:paraId="103DCF11" w14:textId="77777777" w:rsidTr="00235BE2">
        <w:tblPrEx>
          <w:tblCellMar>
            <w:top w:w="15" w:type="dxa"/>
            <w:bottom w:w="15" w:type="dxa"/>
          </w:tblCellMar>
          <w:tblLook w:val="04A0" w:firstRow="1" w:lastRow="0" w:firstColumn="1" w:lastColumn="0" w:noHBand="0" w:noVBand="1"/>
        </w:tblPrEx>
        <w:trPr>
          <w:cantSplit/>
          <w:trHeight w:val="376"/>
        </w:trPr>
        <w:tc>
          <w:tcPr>
            <w:tcW w:w="5000" w:type="pct"/>
            <w:gridSpan w:val="6"/>
            <w:tcBorders>
              <w:bottom w:val="single" w:sz="4" w:space="0" w:color="auto"/>
            </w:tcBorders>
            <w:vAlign w:val="center"/>
          </w:tcPr>
          <w:p w14:paraId="2B91B79D"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Special Pricing Arrangements apply.</w:t>
            </w:r>
          </w:p>
        </w:tc>
      </w:tr>
      <w:tr w:rsidR="00235BE2" w:rsidRPr="003464AD" w14:paraId="725A09E7"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F23900C" w14:textId="77777777" w:rsidR="00235BE2" w:rsidRPr="00814FFC" w:rsidRDefault="00235BE2" w:rsidP="00C225D2">
            <w:pPr>
              <w:keepLines/>
              <w:rPr>
                <w:rFonts w:ascii="Arial Narrow" w:hAnsi="Arial Narrow"/>
                <w:color w:val="333333"/>
                <w:sz w:val="20"/>
                <w:szCs w:val="20"/>
              </w:rPr>
            </w:pPr>
            <w:r w:rsidRPr="00814FFC">
              <w:rPr>
                <w:rFonts w:ascii="Arial Narrow" w:hAnsi="Arial Narrow"/>
                <w:b/>
                <w:bCs/>
                <w:color w:val="333333"/>
                <w:sz w:val="20"/>
                <w:szCs w:val="20"/>
              </w:rPr>
              <w:t>Indication:</w:t>
            </w:r>
            <w:r w:rsidRPr="00814FFC">
              <w:rPr>
                <w:rFonts w:ascii="Arial Narrow" w:hAnsi="Arial Narrow"/>
                <w:color w:val="333333"/>
                <w:sz w:val="20"/>
                <w:szCs w:val="20"/>
              </w:rPr>
              <w:t xml:space="preserve"> Chronic lymphocytic leukaemia (CLL) or small lymphocytic lymphoma (SLL)</w:t>
            </w:r>
          </w:p>
        </w:tc>
      </w:tr>
      <w:tr w:rsidR="00235BE2" w:rsidRPr="003464AD" w14:paraId="0DB927CD"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29E4B3D"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Treatment Phase:</w:t>
            </w:r>
            <w:r w:rsidRPr="00814FFC">
              <w:rPr>
                <w:rFonts w:ascii="Arial Narrow" w:hAnsi="Arial Narrow"/>
                <w:sz w:val="20"/>
                <w:szCs w:val="20"/>
              </w:rPr>
              <w:t xml:space="preserve"> Continuing treatment (treatment cycles 3 to 14 inclusive) of first-line therapy – in combination with venetoclax</w:t>
            </w:r>
          </w:p>
        </w:tc>
      </w:tr>
      <w:tr w:rsidR="00235BE2" w:rsidRPr="003464AD" w14:paraId="3B7FD642"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BA38707" w14:textId="014CAAD7" w:rsidR="00235BE2" w:rsidRPr="00814FFC" w:rsidRDefault="00235BE2" w:rsidP="00C225D2">
            <w:pPr>
              <w:rPr>
                <w:rFonts w:ascii="Arial Narrow" w:hAnsi="Arial Narrow"/>
                <w:sz w:val="20"/>
                <w:szCs w:val="20"/>
              </w:rPr>
            </w:pPr>
            <w:r w:rsidRPr="00814FFC">
              <w:rPr>
                <w:rFonts w:ascii="Arial Narrow" w:hAnsi="Arial Narrow"/>
                <w:b/>
                <w:bCs/>
                <w:color w:val="333333"/>
                <w:sz w:val="20"/>
                <w:szCs w:val="20"/>
              </w:rPr>
              <w:t>Clinical criteria:</w:t>
            </w:r>
            <w:r w:rsidRPr="00814FFC">
              <w:rPr>
                <w:rFonts w:ascii="Arial Narrow" w:hAnsi="Arial Narrow"/>
                <w:bCs/>
                <w:color w:val="FF0000"/>
                <w:sz w:val="20"/>
                <w:szCs w:val="20"/>
              </w:rPr>
              <w:tab/>
            </w:r>
          </w:p>
        </w:tc>
      </w:tr>
      <w:tr w:rsidR="00235BE2" w:rsidRPr="003464AD" w14:paraId="5BB6422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61E191D" w14:textId="0ED4C11A" w:rsidR="00235BE2" w:rsidRPr="00814FFC" w:rsidRDefault="00235BE2" w:rsidP="00C225D2">
            <w:pPr>
              <w:rPr>
                <w:rFonts w:ascii="Arial Narrow" w:hAnsi="Arial Narrow"/>
                <w:sz w:val="20"/>
                <w:szCs w:val="20"/>
              </w:rPr>
            </w:pPr>
            <w:r w:rsidRPr="00814FFC">
              <w:rPr>
                <w:rFonts w:ascii="Arial Narrow" w:hAnsi="Arial Narrow"/>
                <w:sz w:val="20"/>
                <w:szCs w:val="20"/>
              </w:rPr>
              <w:t xml:space="preserve">Patient must have </w:t>
            </w:r>
            <w:r w:rsidRPr="00D47974">
              <w:rPr>
                <w:rFonts w:ascii="Arial Narrow" w:hAnsi="Arial Narrow"/>
                <w:sz w:val="20"/>
                <w:szCs w:val="20"/>
              </w:rPr>
              <w:t>previously</w:t>
            </w:r>
            <w:r w:rsidRPr="00814FFC">
              <w:rPr>
                <w:rFonts w:ascii="Arial Narrow" w:hAnsi="Arial Narrow"/>
                <w:sz w:val="20"/>
                <w:szCs w:val="20"/>
              </w:rPr>
              <w:t xml:space="preserve"> received</w:t>
            </w:r>
            <w:r>
              <w:rPr>
                <w:rFonts w:ascii="Arial Narrow" w:hAnsi="Arial Narrow"/>
                <w:sz w:val="20"/>
                <w:szCs w:val="20"/>
              </w:rPr>
              <w:t xml:space="preserve"> monotherapy with</w:t>
            </w:r>
            <w:r w:rsidRPr="00814FFC">
              <w:rPr>
                <w:rFonts w:ascii="Arial Narrow" w:hAnsi="Arial Narrow"/>
                <w:sz w:val="20"/>
                <w:szCs w:val="20"/>
              </w:rPr>
              <w:t xml:space="preserve"> this drug as their most recent course of PBS-subsidised treatment for this condition</w:t>
            </w:r>
          </w:p>
        </w:tc>
      </w:tr>
      <w:tr w:rsidR="00235BE2" w:rsidRPr="003464AD" w14:paraId="795777F0"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E5CCDFE"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3464AD" w14:paraId="27E97F0D"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A60354D"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Clinical criteria:</w:t>
            </w:r>
          </w:p>
        </w:tc>
      </w:tr>
      <w:tr w:rsidR="00235BE2" w:rsidRPr="003464AD" w14:paraId="31BE90B9"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CBB8A8A" w14:textId="383FA487" w:rsidR="00235BE2" w:rsidRPr="00814FFC" w:rsidRDefault="00235BE2" w:rsidP="003464AD">
            <w:pPr>
              <w:rPr>
                <w:rFonts w:ascii="Arial Narrow" w:hAnsi="Arial Narrow"/>
                <w:bCs/>
                <w:strike/>
                <w:sz w:val="20"/>
                <w:szCs w:val="20"/>
              </w:rPr>
            </w:pPr>
            <w:r w:rsidRPr="00814FFC">
              <w:rPr>
                <w:rFonts w:ascii="Arial Narrow" w:hAnsi="Arial Narrow"/>
                <w:bCs/>
                <w:sz w:val="20"/>
                <w:szCs w:val="20"/>
              </w:rPr>
              <w:t xml:space="preserve">The treatment must not exceed 14 cycles in total, measured from the initial dose, </w:t>
            </w:r>
            <w:proofErr w:type="gramStart"/>
            <w:r w:rsidRPr="00814FFC">
              <w:rPr>
                <w:rFonts w:ascii="Arial Narrow" w:hAnsi="Arial Narrow"/>
                <w:bCs/>
                <w:sz w:val="20"/>
                <w:szCs w:val="20"/>
              </w:rPr>
              <w:t>or,</w:t>
            </w:r>
            <w:proofErr w:type="gramEnd"/>
            <w:r w:rsidRPr="00814FFC">
              <w:rPr>
                <w:rFonts w:ascii="Arial Narrow" w:hAnsi="Arial Narrow"/>
                <w:bCs/>
                <w:sz w:val="20"/>
                <w:szCs w:val="20"/>
              </w:rPr>
              <w:t xml:space="preserve"> must not extend beyond disease progression, whichever comes first.</w:t>
            </w:r>
          </w:p>
        </w:tc>
      </w:tr>
      <w:tr w:rsidR="00235BE2" w:rsidRPr="003464AD" w14:paraId="2597FD83"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152190D" w14:textId="77777777" w:rsidR="00235BE2" w:rsidRPr="00814FFC" w:rsidRDefault="00235BE2" w:rsidP="00C225D2">
            <w:pPr>
              <w:rPr>
                <w:rFonts w:ascii="Arial Narrow" w:hAnsi="Arial Narrow"/>
                <w:b/>
                <w:bCs/>
                <w:sz w:val="20"/>
                <w:szCs w:val="20"/>
              </w:rPr>
            </w:pPr>
            <w:r w:rsidRPr="00814FFC">
              <w:rPr>
                <w:rFonts w:ascii="Arial Narrow" w:hAnsi="Arial Narrow"/>
                <w:b/>
                <w:bCs/>
                <w:sz w:val="20"/>
                <w:szCs w:val="20"/>
              </w:rPr>
              <w:t>AND</w:t>
            </w:r>
          </w:p>
        </w:tc>
      </w:tr>
      <w:tr w:rsidR="00235BE2" w:rsidRPr="003464AD" w14:paraId="323DFF0C"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2A44027" w14:textId="77777777" w:rsidR="00235BE2" w:rsidRPr="00814FFC" w:rsidRDefault="00235BE2" w:rsidP="00C225D2">
            <w:pPr>
              <w:rPr>
                <w:rFonts w:ascii="Arial Narrow" w:hAnsi="Arial Narrow"/>
                <w:b/>
                <w:bCs/>
                <w:sz w:val="20"/>
                <w:szCs w:val="20"/>
              </w:rPr>
            </w:pPr>
            <w:r w:rsidRPr="00814FFC">
              <w:rPr>
                <w:rFonts w:ascii="Arial Narrow" w:hAnsi="Arial Narrow"/>
                <w:b/>
                <w:bCs/>
                <w:sz w:val="20"/>
                <w:szCs w:val="20"/>
              </w:rPr>
              <w:t>Clinical criteria:</w:t>
            </w:r>
          </w:p>
        </w:tc>
      </w:tr>
      <w:tr w:rsidR="00235BE2" w:rsidRPr="003464AD" w14:paraId="03F908ED"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17D036C" w14:textId="4C5DED47" w:rsidR="00235BE2" w:rsidRPr="00814FFC" w:rsidRDefault="00235BE2" w:rsidP="00C225D2">
            <w:pPr>
              <w:rPr>
                <w:rFonts w:ascii="Arial Narrow" w:hAnsi="Arial Narrow"/>
                <w:sz w:val="20"/>
                <w:szCs w:val="20"/>
              </w:rPr>
            </w:pPr>
            <w:r w:rsidRPr="00814FFC">
              <w:rPr>
                <w:rFonts w:ascii="Arial Narrow" w:hAnsi="Arial Narrow"/>
                <w:sz w:val="20"/>
                <w:szCs w:val="20"/>
              </w:rPr>
              <w:t xml:space="preserve">The treatment must be in combination with venetoclax </w:t>
            </w:r>
          </w:p>
        </w:tc>
      </w:tr>
      <w:tr w:rsidR="00235BE2" w:rsidRPr="003464AD" w14:paraId="63A5E55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34BF294" w14:textId="77777777" w:rsidR="00235BE2" w:rsidRPr="00814FFC" w:rsidRDefault="00235BE2" w:rsidP="00C225D2">
            <w:pPr>
              <w:rPr>
                <w:rFonts w:ascii="Arial Narrow" w:hAnsi="Arial Narrow"/>
                <w:b/>
                <w:sz w:val="20"/>
                <w:szCs w:val="20"/>
              </w:rPr>
            </w:pPr>
            <w:r w:rsidRPr="00814FFC">
              <w:rPr>
                <w:rFonts w:ascii="Arial Narrow" w:hAnsi="Arial Narrow"/>
                <w:b/>
                <w:bCs/>
                <w:sz w:val="20"/>
                <w:szCs w:val="20"/>
              </w:rPr>
              <w:t>AND</w:t>
            </w:r>
          </w:p>
        </w:tc>
      </w:tr>
      <w:tr w:rsidR="00235BE2" w:rsidRPr="003464AD" w14:paraId="3709AA73"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B07D881" w14:textId="77777777" w:rsidR="00235BE2" w:rsidRPr="00814FFC" w:rsidRDefault="00235BE2" w:rsidP="00C225D2">
            <w:pPr>
              <w:rPr>
                <w:rFonts w:ascii="Arial Narrow" w:hAnsi="Arial Narrow"/>
                <w:b/>
                <w:sz w:val="20"/>
                <w:szCs w:val="20"/>
              </w:rPr>
            </w:pPr>
            <w:r w:rsidRPr="00814FFC">
              <w:rPr>
                <w:rFonts w:ascii="Arial Narrow" w:hAnsi="Arial Narrow"/>
                <w:b/>
                <w:bCs/>
                <w:sz w:val="20"/>
                <w:szCs w:val="20"/>
              </w:rPr>
              <w:t>Clinical criteria:</w:t>
            </w:r>
          </w:p>
        </w:tc>
      </w:tr>
      <w:tr w:rsidR="00235BE2" w:rsidRPr="003464AD" w14:paraId="6EDDC740" w14:textId="77777777" w:rsidTr="00235BE2">
        <w:tblPrEx>
          <w:tblCellMar>
            <w:top w:w="15" w:type="dxa"/>
            <w:bottom w:w="15" w:type="dxa"/>
          </w:tblCellMar>
          <w:tblLook w:val="04A0" w:firstRow="1" w:lastRow="0" w:firstColumn="1" w:lastColumn="0" w:noHBand="0" w:noVBand="1"/>
        </w:tblPrEx>
        <w:trPr>
          <w:cantSplit/>
          <w:trHeight w:val="83"/>
        </w:trPr>
        <w:tc>
          <w:tcPr>
            <w:tcW w:w="5000" w:type="pct"/>
            <w:gridSpan w:val="6"/>
            <w:vAlign w:val="center"/>
          </w:tcPr>
          <w:p w14:paraId="1A8802BD" w14:textId="77777777" w:rsidR="00235BE2" w:rsidRPr="00814FFC" w:rsidRDefault="00235BE2" w:rsidP="00C225D2">
            <w:pPr>
              <w:rPr>
                <w:rFonts w:ascii="Arial Narrow" w:hAnsi="Arial Narrow"/>
                <w:bCs/>
                <w:sz w:val="20"/>
                <w:szCs w:val="20"/>
              </w:rPr>
            </w:pPr>
            <w:r w:rsidRPr="00814FFC">
              <w:rPr>
                <w:rFonts w:ascii="Arial Narrow" w:hAnsi="Arial Narrow"/>
                <w:bCs/>
                <w:sz w:val="20"/>
                <w:szCs w:val="20"/>
              </w:rPr>
              <w:t>The treatment must not be in combination with obinutuzumab</w:t>
            </w:r>
          </w:p>
        </w:tc>
      </w:tr>
      <w:tr w:rsidR="00235BE2" w:rsidRPr="003464AD" w14:paraId="4E4E91AE" w14:textId="77777777" w:rsidTr="00235BE2">
        <w:tblPrEx>
          <w:tblCellMar>
            <w:top w:w="15" w:type="dxa"/>
            <w:bottom w:w="15" w:type="dxa"/>
          </w:tblCellMar>
          <w:tblLook w:val="04A0" w:firstRow="1" w:lastRow="0" w:firstColumn="1" w:lastColumn="0" w:noHBand="0" w:noVBand="1"/>
        </w:tblPrEx>
        <w:trPr>
          <w:cantSplit/>
          <w:trHeight w:val="83"/>
        </w:trPr>
        <w:tc>
          <w:tcPr>
            <w:tcW w:w="5000" w:type="pct"/>
            <w:gridSpan w:val="6"/>
            <w:vAlign w:val="center"/>
          </w:tcPr>
          <w:p w14:paraId="6B0F8AD9" w14:textId="2A3CA356" w:rsidR="00235BE2" w:rsidRPr="005B617C" w:rsidRDefault="00235BE2" w:rsidP="00C225D2">
            <w:pPr>
              <w:rPr>
                <w:rFonts w:ascii="Arial Narrow" w:hAnsi="Arial Narrow"/>
                <w:b/>
                <w:sz w:val="20"/>
                <w:szCs w:val="20"/>
              </w:rPr>
            </w:pPr>
            <w:r w:rsidRPr="005B617C">
              <w:rPr>
                <w:rFonts w:ascii="Arial Narrow" w:hAnsi="Arial Narrow"/>
                <w:b/>
                <w:sz w:val="20"/>
                <w:szCs w:val="20"/>
              </w:rPr>
              <w:t>Treatment criteria:</w:t>
            </w:r>
          </w:p>
        </w:tc>
      </w:tr>
      <w:tr w:rsidR="00235BE2" w:rsidRPr="003464AD" w14:paraId="0D4FDBBB" w14:textId="77777777" w:rsidTr="00235BE2">
        <w:tblPrEx>
          <w:tblCellMar>
            <w:top w:w="15" w:type="dxa"/>
            <w:bottom w:w="15" w:type="dxa"/>
          </w:tblCellMar>
          <w:tblLook w:val="04A0" w:firstRow="1" w:lastRow="0" w:firstColumn="1" w:lastColumn="0" w:noHBand="0" w:noVBand="1"/>
        </w:tblPrEx>
        <w:trPr>
          <w:cantSplit/>
          <w:trHeight w:val="83"/>
        </w:trPr>
        <w:tc>
          <w:tcPr>
            <w:tcW w:w="5000" w:type="pct"/>
            <w:gridSpan w:val="6"/>
            <w:vAlign w:val="center"/>
          </w:tcPr>
          <w:p w14:paraId="679D0183" w14:textId="4E18FCF9" w:rsidR="00235BE2" w:rsidRPr="00814FFC" w:rsidRDefault="00235BE2" w:rsidP="00C225D2">
            <w:pPr>
              <w:rPr>
                <w:rFonts w:ascii="Arial Narrow" w:hAnsi="Arial Narrow"/>
                <w:bCs/>
                <w:sz w:val="20"/>
                <w:szCs w:val="20"/>
              </w:rPr>
            </w:pPr>
            <w:r>
              <w:rPr>
                <w:rFonts w:ascii="Arial Narrow" w:hAnsi="Arial Narrow"/>
                <w:bCs/>
                <w:sz w:val="20"/>
                <w:szCs w:val="20"/>
              </w:rPr>
              <w:t>Must be treated by a medical practitioner; or</w:t>
            </w:r>
          </w:p>
        </w:tc>
      </w:tr>
      <w:tr w:rsidR="00235BE2" w:rsidRPr="003464AD" w14:paraId="3598D939" w14:textId="77777777" w:rsidTr="00235BE2">
        <w:tblPrEx>
          <w:tblCellMar>
            <w:top w:w="15" w:type="dxa"/>
            <w:bottom w:w="15" w:type="dxa"/>
          </w:tblCellMar>
          <w:tblLook w:val="04A0" w:firstRow="1" w:lastRow="0" w:firstColumn="1" w:lastColumn="0" w:noHBand="0" w:noVBand="1"/>
        </w:tblPrEx>
        <w:trPr>
          <w:cantSplit/>
          <w:trHeight w:val="83"/>
        </w:trPr>
        <w:tc>
          <w:tcPr>
            <w:tcW w:w="5000" w:type="pct"/>
            <w:gridSpan w:val="6"/>
            <w:vAlign w:val="center"/>
          </w:tcPr>
          <w:p w14:paraId="13EAE67C" w14:textId="4ED8E416" w:rsidR="00235BE2" w:rsidRPr="00814FFC" w:rsidRDefault="00235BE2" w:rsidP="00C225D2">
            <w:pPr>
              <w:rPr>
                <w:rFonts w:ascii="Arial Narrow" w:hAnsi="Arial Narrow"/>
                <w:bCs/>
                <w:sz w:val="20"/>
                <w:szCs w:val="20"/>
              </w:rPr>
            </w:pPr>
            <w:r w:rsidRPr="00FD02CD">
              <w:rPr>
                <w:rFonts w:ascii="Arial Narrow" w:hAnsi="Arial Narrow"/>
                <w:bCs/>
                <w:sz w:val="20"/>
                <w:szCs w:val="20"/>
              </w:rPr>
              <w:t>Must be treated by a nurse practitioner where both of the following are occurring: (i) patient care is being shared with a medical practitioner, (ii) the prescription continues existing therapy with this medicine.</w:t>
            </w:r>
          </w:p>
        </w:tc>
      </w:tr>
    </w:tbl>
    <w:p w14:paraId="4D31E41A" w14:textId="77777777" w:rsidR="00AC0494" w:rsidRPr="003464AD" w:rsidRDefault="00AC0494" w:rsidP="00AC0494">
      <w:pPr>
        <w:rPr>
          <w:rFonts w:asciiTheme="minorHAnsi" w:hAnsiTheme="minorHAnsi" w:cstheme="minorHAnsi"/>
          <w:color w:val="365F91" w:themeColor="accent1" w:themeShade="BF"/>
        </w:rPr>
      </w:pPr>
    </w:p>
    <w:p w14:paraId="0E088B0C" w14:textId="5336CA6E" w:rsidR="00AC0494" w:rsidRPr="00B3081F" w:rsidRDefault="00AC0494" w:rsidP="00AC0494">
      <w:pPr>
        <w:rPr>
          <w:rFonts w:ascii="Arial Narrow" w:hAnsi="Arial Narrow" w:cstheme="minorHAnsi"/>
          <w:b/>
          <w:bCs/>
          <w:sz w:val="20"/>
          <w:szCs w:val="20"/>
        </w:rPr>
      </w:pPr>
      <w:r w:rsidRPr="00B3081F">
        <w:rPr>
          <w:rFonts w:ascii="Arial Narrow" w:hAnsi="Arial Narrow" w:cstheme="minorHAnsi"/>
          <w:b/>
          <w:bCs/>
          <w:sz w:val="20"/>
          <w:szCs w:val="20"/>
        </w:rPr>
        <w:t>Grandfather treatment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Grandfather treatment"/>
      </w:tblPr>
      <w:tblGrid>
        <w:gridCol w:w="2550"/>
        <w:gridCol w:w="1701"/>
        <w:gridCol w:w="1133"/>
        <w:gridCol w:w="992"/>
        <w:gridCol w:w="812"/>
        <w:gridCol w:w="1879"/>
      </w:tblGrid>
      <w:tr w:rsidR="00CA2FC0" w:rsidRPr="00D15CCA" w14:paraId="3A806F1B" w14:textId="77777777" w:rsidTr="00235BE2">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A6EA16" w14:textId="17D543E1" w:rsidR="003D7767" w:rsidRPr="00A360F5" w:rsidRDefault="003D7767" w:rsidP="003D7767">
            <w:pPr>
              <w:keepLines/>
              <w:rPr>
                <w:rFonts w:ascii="Arial Narrow" w:eastAsia="Calibri" w:hAnsi="Arial Narrow"/>
                <w:sz w:val="20"/>
                <w:szCs w:val="20"/>
              </w:rPr>
            </w:pPr>
            <w:r w:rsidRPr="00814FFC">
              <w:rPr>
                <w:rFonts w:ascii="Arial Narrow" w:hAnsi="Arial Narrow"/>
                <w:b/>
                <w:sz w:val="20"/>
                <w:szCs w:val="20"/>
              </w:rPr>
              <w:t>Category / Program:</w:t>
            </w:r>
            <w:r w:rsidRPr="00814FFC">
              <w:rPr>
                <w:rFonts w:ascii="Arial Narrow" w:hAnsi="Arial Narrow"/>
                <w:color w:val="FF0000"/>
                <w:sz w:val="20"/>
                <w:szCs w:val="20"/>
              </w:rPr>
              <w:t xml:space="preserve"> </w:t>
            </w:r>
            <w:r w:rsidRPr="00814FFC">
              <w:rPr>
                <w:rFonts w:ascii="Arial Narrow" w:eastAsia="Calibri" w:hAnsi="Arial Narrow"/>
                <w:sz w:val="20"/>
                <w:szCs w:val="20"/>
              </w:rPr>
              <w:fldChar w:fldCharType="begin">
                <w:ffData>
                  <w:name w:val="Check1"/>
                  <w:enabled/>
                  <w:calcOnExit w:val="0"/>
                  <w:checkBox>
                    <w:sizeAuto/>
                    <w:default w:val="1"/>
                  </w:checkBox>
                </w:ffData>
              </w:fldChar>
            </w:r>
            <w:r w:rsidRPr="00814FFC">
              <w:rPr>
                <w:rFonts w:ascii="Arial Narrow" w:eastAsia="Calibri" w:hAnsi="Arial Narrow"/>
                <w:sz w:val="20"/>
                <w:szCs w:val="20"/>
              </w:rPr>
              <w:instrText xml:space="preserve"> FORMCHECKBOX </w:instrText>
            </w:r>
            <w:r w:rsidRPr="00814FFC">
              <w:rPr>
                <w:rFonts w:ascii="Arial Narrow" w:eastAsia="Calibri" w:hAnsi="Arial Narrow"/>
                <w:sz w:val="20"/>
                <w:szCs w:val="20"/>
              </w:rPr>
            </w:r>
            <w:r w:rsidRPr="00814FFC">
              <w:rPr>
                <w:rFonts w:ascii="Arial Narrow" w:eastAsia="Calibri" w:hAnsi="Arial Narrow"/>
                <w:sz w:val="20"/>
                <w:szCs w:val="20"/>
              </w:rPr>
              <w:fldChar w:fldCharType="separate"/>
            </w:r>
            <w:r w:rsidRPr="00814FFC">
              <w:rPr>
                <w:rFonts w:ascii="Arial Narrow" w:eastAsia="Calibri" w:hAnsi="Arial Narrow"/>
                <w:sz w:val="20"/>
                <w:szCs w:val="20"/>
              </w:rPr>
              <w:fldChar w:fldCharType="end"/>
            </w:r>
            <w:r w:rsidRPr="00814FFC">
              <w:rPr>
                <w:rFonts w:ascii="Arial Narrow" w:eastAsia="Calibri" w:hAnsi="Arial Narrow"/>
                <w:sz w:val="20"/>
                <w:szCs w:val="20"/>
              </w:rPr>
              <w:t xml:space="preserve"> GENERAL - General Schedule (Code GE) </w:t>
            </w:r>
          </w:p>
        </w:tc>
      </w:tr>
      <w:tr w:rsidR="00AC0494" w:rsidRPr="00D15CCA" w14:paraId="574D6D06" w14:textId="77777777" w:rsidTr="00235BE2">
        <w:trPr>
          <w:cantSplit/>
          <w:trHeight w:val="20"/>
        </w:trPr>
        <w:tc>
          <w:tcPr>
            <w:tcW w:w="1406" w:type="pct"/>
            <w:vAlign w:val="center"/>
          </w:tcPr>
          <w:p w14:paraId="1D829638" w14:textId="77777777" w:rsidR="00AC0494" w:rsidRPr="00814FFC" w:rsidRDefault="00AC0494" w:rsidP="00C225D2">
            <w:pPr>
              <w:keepLines/>
              <w:rPr>
                <w:rFonts w:ascii="Arial Narrow" w:hAnsi="Arial Narrow"/>
                <w:b/>
                <w:bCs/>
                <w:sz w:val="20"/>
                <w:szCs w:val="20"/>
              </w:rPr>
            </w:pPr>
            <w:r w:rsidRPr="00814FFC">
              <w:rPr>
                <w:rFonts w:ascii="Arial Narrow" w:hAnsi="Arial Narrow"/>
                <w:b/>
                <w:bCs/>
                <w:sz w:val="20"/>
                <w:szCs w:val="20"/>
              </w:rPr>
              <w:t>MEDICINAL PRODUCT</w:t>
            </w:r>
          </w:p>
          <w:p w14:paraId="35C9ADCC" w14:textId="77777777" w:rsidR="00AC0494" w:rsidRPr="00814FFC" w:rsidRDefault="00AC0494" w:rsidP="00C225D2">
            <w:pPr>
              <w:keepLines/>
              <w:rPr>
                <w:rFonts w:ascii="Arial Narrow" w:hAnsi="Arial Narrow"/>
                <w:b/>
                <w:sz w:val="20"/>
                <w:szCs w:val="20"/>
              </w:rPr>
            </w:pPr>
            <w:r w:rsidRPr="00814FFC">
              <w:rPr>
                <w:rFonts w:ascii="Arial Narrow" w:hAnsi="Arial Narrow"/>
                <w:b/>
                <w:bCs/>
                <w:sz w:val="20"/>
                <w:szCs w:val="20"/>
              </w:rPr>
              <w:t>medicinal product pack</w:t>
            </w:r>
          </w:p>
        </w:tc>
        <w:tc>
          <w:tcPr>
            <w:tcW w:w="938" w:type="pct"/>
            <w:vAlign w:val="center"/>
          </w:tcPr>
          <w:p w14:paraId="151D4194"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PBS item code</w:t>
            </w:r>
          </w:p>
        </w:tc>
        <w:tc>
          <w:tcPr>
            <w:tcW w:w="625" w:type="pct"/>
            <w:vAlign w:val="center"/>
          </w:tcPr>
          <w:p w14:paraId="1E6995C5"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packs</w:t>
            </w:r>
          </w:p>
        </w:tc>
        <w:tc>
          <w:tcPr>
            <w:tcW w:w="547" w:type="pct"/>
            <w:vAlign w:val="center"/>
          </w:tcPr>
          <w:p w14:paraId="53A37996"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Max. qty units</w:t>
            </w:r>
          </w:p>
        </w:tc>
        <w:tc>
          <w:tcPr>
            <w:tcW w:w="448" w:type="pct"/>
            <w:vAlign w:val="center"/>
          </w:tcPr>
          <w:p w14:paraId="417C5339" w14:textId="77777777" w:rsidR="00AC0494" w:rsidRPr="00814FFC" w:rsidRDefault="00AC0494" w:rsidP="00C225D2">
            <w:pPr>
              <w:keepLines/>
              <w:jc w:val="center"/>
              <w:rPr>
                <w:rFonts w:ascii="Arial Narrow" w:hAnsi="Arial Narrow"/>
                <w:b/>
                <w:sz w:val="20"/>
                <w:szCs w:val="20"/>
              </w:rPr>
            </w:pPr>
            <w:r w:rsidRPr="00814FFC">
              <w:rPr>
                <w:rFonts w:ascii="Arial Narrow" w:hAnsi="Arial Narrow"/>
                <w:b/>
                <w:sz w:val="20"/>
                <w:szCs w:val="20"/>
              </w:rPr>
              <w:t>№.of</w:t>
            </w:r>
          </w:p>
          <w:p w14:paraId="5991827A" w14:textId="77777777" w:rsidR="00AC0494" w:rsidRPr="00814FFC" w:rsidRDefault="00AC0494" w:rsidP="00C225D2">
            <w:pPr>
              <w:keepLines/>
              <w:jc w:val="center"/>
              <w:rPr>
                <w:rFonts w:ascii="Arial Narrow" w:hAnsi="Arial Narrow"/>
                <w:b/>
                <w:sz w:val="20"/>
                <w:szCs w:val="20"/>
              </w:rPr>
            </w:pPr>
            <w:proofErr w:type="spellStart"/>
            <w:r w:rsidRPr="00814FFC">
              <w:rPr>
                <w:rFonts w:ascii="Arial Narrow" w:hAnsi="Arial Narrow"/>
                <w:b/>
                <w:sz w:val="20"/>
                <w:szCs w:val="20"/>
              </w:rPr>
              <w:t>Rpts</w:t>
            </w:r>
            <w:proofErr w:type="spellEnd"/>
          </w:p>
        </w:tc>
        <w:tc>
          <w:tcPr>
            <w:tcW w:w="1036" w:type="pct"/>
            <w:vAlign w:val="center"/>
          </w:tcPr>
          <w:p w14:paraId="3E477B2E" w14:textId="77777777" w:rsidR="00AC0494" w:rsidRPr="00814FFC" w:rsidRDefault="00AC0494" w:rsidP="00C225D2">
            <w:pPr>
              <w:keepLines/>
              <w:rPr>
                <w:rFonts w:ascii="Arial Narrow" w:hAnsi="Arial Narrow"/>
                <w:b/>
                <w:sz w:val="20"/>
                <w:szCs w:val="20"/>
              </w:rPr>
            </w:pPr>
            <w:r w:rsidRPr="00814FFC">
              <w:rPr>
                <w:rFonts w:ascii="Arial Narrow" w:hAnsi="Arial Narrow"/>
                <w:b/>
                <w:sz w:val="20"/>
                <w:szCs w:val="20"/>
              </w:rPr>
              <w:t>Available brands</w:t>
            </w:r>
          </w:p>
        </w:tc>
      </w:tr>
      <w:tr w:rsidR="00AC0494" w:rsidRPr="00D15CCA" w14:paraId="04C6C45A" w14:textId="77777777" w:rsidTr="00235BE2">
        <w:trPr>
          <w:cantSplit/>
          <w:trHeight w:val="20"/>
        </w:trPr>
        <w:tc>
          <w:tcPr>
            <w:tcW w:w="5000" w:type="pct"/>
            <w:gridSpan w:val="6"/>
            <w:vAlign w:val="center"/>
          </w:tcPr>
          <w:p w14:paraId="505C6CCD"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w:t>
            </w:r>
          </w:p>
        </w:tc>
      </w:tr>
      <w:tr w:rsidR="00AC0494" w:rsidRPr="00D15CCA" w14:paraId="6EB2A1A0" w14:textId="77777777" w:rsidTr="00235BE2">
        <w:trPr>
          <w:cantSplit/>
          <w:trHeight w:val="20"/>
        </w:trPr>
        <w:tc>
          <w:tcPr>
            <w:tcW w:w="1406" w:type="pct"/>
            <w:vAlign w:val="center"/>
          </w:tcPr>
          <w:p w14:paraId="586755EF" w14:textId="77777777" w:rsidR="00AC0494" w:rsidRPr="00814FFC" w:rsidRDefault="00AC0494" w:rsidP="00C225D2">
            <w:pPr>
              <w:keepLines/>
              <w:rPr>
                <w:rFonts w:ascii="Arial Narrow" w:hAnsi="Arial Narrow"/>
                <w:sz w:val="20"/>
                <w:szCs w:val="20"/>
              </w:rPr>
            </w:pPr>
          </w:p>
          <w:p w14:paraId="0F58963B" w14:textId="77777777" w:rsidR="00AC0494" w:rsidRPr="00814FFC" w:rsidRDefault="00AC0494" w:rsidP="00C225D2">
            <w:pPr>
              <w:keepLines/>
              <w:rPr>
                <w:rFonts w:ascii="Arial Narrow" w:hAnsi="Arial Narrow"/>
                <w:sz w:val="20"/>
                <w:szCs w:val="20"/>
              </w:rPr>
            </w:pPr>
            <w:r w:rsidRPr="00814FFC">
              <w:rPr>
                <w:rFonts w:ascii="Arial Narrow" w:hAnsi="Arial Narrow"/>
                <w:sz w:val="20"/>
                <w:szCs w:val="20"/>
              </w:rPr>
              <w:t>acalabrutinib 100 mg tablet, 56</w:t>
            </w:r>
          </w:p>
        </w:tc>
        <w:tc>
          <w:tcPr>
            <w:tcW w:w="938" w:type="pct"/>
            <w:vAlign w:val="center"/>
          </w:tcPr>
          <w:p w14:paraId="65746F00" w14:textId="7EC77D0C" w:rsidR="003D7767" w:rsidRDefault="00AC0494" w:rsidP="003D7767">
            <w:pPr>
              <w:keepLines/>
              <w:jc w:val="center"/>
              <w:rPr>
                <w:rFonts w:ascii="Arial Narrow" w:hAnsi="Arial Narrow"/>
                <w:sz w:val="20"/>
                <w:szCs w:val="20"/>
              </w:rPr>
            </w:pPr>
            <w:r w:rsidRPr="00814FFC">
              <w:rPr>
                <w:rFonts w:ascii="Arial Narrow" w:hAnsi="Arial Narrow"/>
                <w:sz w:val="20"/>
                <w:szCs w:val="20"/>
              </w:rPr>
              <w:t>NEW</w:t>
            </w:r>
            <w:r w:rsidR="003D7767">
              <w:rPr>
                <w:rFonts w:ascii="Arial Narrow" w:hAnsi="Arial Narrow"/>
                <w:sz w:val="20"/>
                <w:szCs w:val="20"/>
              </w:rPr>
              <w:t xml:space="preserve"> 3</w:t>
            </w:r>
          </w:p>
          <w:p w14:paraId="54881832" w14:textId="7E0AF715" w:rsidR="00AC0494" w:rsidRPr="00D47974" w:rsidRDefault="003D7767" w:rsidP="00C225D2">
            <w:pPr>
              <w:keepLines/>
              <w:jc w:val="center"/>
              <w:rPr>
                <w:rFonts w:ascii="Arial Narrow" w:hAnsi="Arial Narrow"/>
                <w:sz w:val="12"/>
                <w:szCs w:val="12"/>
              </w:rPr>
            </w:pPr>
            <w:r w:rsidRPr="00D47974">
              <w:rPr>
                <w:rFonts w:ascii="Arial Narrow" w:hAnsi="Arial Narrow"/>
                <w:sz w:val="12"/>
                <w:szCs w:val="12"/>
              </w:rPr>
              <w:t>MP</w:t>
            </w:r>
          </w:p>
        </w:tc>
        <w:tc>
          <w:tcPr>
            <w:tcW w:w="625" w:type="pct"/>
            <w:vAlign w:val="center"/>
          </w:tcPr>
          <w:p w14:paraId="041509F0"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1</w:t>
            </w:r>
          </w:p>
        </w:tc>
        <w:tc>
          <w:tcPr>
            <w:tcW w:w="547" w:type="pct"/>
            <w:vAlign w:val="center"/>
          </w:tcPr>
          <w:p w14:paraId="362AF283"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56</w:t>
            </w:r>
          </w:p>
        </w:tc>
        <w:tc>
          <w:tcPr>
            <w:tcW w:w="448" w:type="pct"/>
            <w:vAlign w:val="center"/>
          </w:tcPr>
          <w:p w14:paraId="28A65984" w14:textId="77777777" w:rsidR="00AC0494" w:rsidRPr="00814FFC" w:rsidRDefault="00AC0494" w:rsidP="00C225D2">
            <w:pPr>
              <w:keepLines/>
              <w:jc w:val="center"/>
              <w:rPr>
                <w:rFonts w:ascii="Arial Narrow" w:hAnsi="Arial Narrow"/>
                <w:sz w:val="20"/>
                <w:szCs w:val="20"/>
              </w:rPr>
            </w:pPr>
            <w:r w:rsidRPr="00814FFC">
              <w:rPr>
                <w:rFonts w:ascii="Arial Narrow" w:hAnsi="Arial Narrow"/>
                <w:sz w:val="20"/>
                <w:szCs w:val="20"/>
              </w:rPr>
              <w:t>5</w:t>
            </w:r>
          </w:p>
        </w:tc>
        <w:tc>
          <w:tcPr>
            <w:tcW w:w="1036" w:type="pct"/>
            <w:vAlign w:val="center"/>
          </w:tcPr>
          <w:p w14:paraId="10C4F333" w14:textId="77777777" w:rsidR="00AC0494" w:rsidRPr="00814FFC" w:rsidRDefault="00AC0494" w:rsidP="00C225D2">
            <w:pPr>
              <w:keepLines/>
              <w:rPr>
                <w:rFonts w:ascii="Arial Narrow" w:hAnsi="Arial Narrow"/>
                <w:sz w:val="20"/>
                <w:szCs w:val="20"/>
              </w:rPr>
            </w:pPr>
            <w:proofErr w:type="spellStart"/>
            <w:r w:rsidRPr="00814FFC">
              <w:rPr>
                <w:rFonts w:ascii="Arial Narrow" w:hAnsi="Arial Narrow"/>
                <w:sz w:val="20"/>
                <w:szCs w:val="20"/>
              </w:rPr>
              <w:t>Calquence</w:t>
            </w:r>
            <w:proofErr w:type="spellEnd"/>
          </w:p>
        </w:tc>
      </w:tr>
      <w:tr w:rsidR="00AC0494" w:rsidRPr="00D15CCA" w14:paraId="59D69BE8"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55EF5682" w14:textId="77777777" w:rsidR="00AC0494" w:rsidRPr="00814FFC" w:rsidRDefault="00AC0494" w:rsidP="00C225D2">
            <w:pPr>
              <w:rPr>
                <w:rFonts w:ascii="Arial Narrow" w:hAnsi="Arial Narrow"/>
                <w:sz w:val="20"/>
                <w:szCs w:val="20"/>
              </w:rPr>
            </w:pPr>
          </w:p>
        </w:tc>
      </w:tr>
      <w:tr w:rsidR="00AC0494" w:rsidRPr="00D15CCA" w14:paraId="2D056152"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1927F597" w14:textId="439490AC" w:rsidR="00AC0494" w:rsidRPr="00814FFC" w:rsidRDefault="00AC0494" w:rsidP="002871DA">
            <w:pPr>
              <w:keepLines/>
              <w:rPr>
                <w:rFonts w:ascii="Arial Narrow" w:hAnsi="Arial Narrow"/>
                <w:b/>
                <w:sz w:val="20"/>
                <w:szCs w:val="20"/>
              </w:rPr>
            </w:pPr>
            <w:r w:rsidRPr="00814FFC">
              <w:rPr>
                <w:rFonts w:ascii="Arial Narrow" w:hAnsi="Arial Narrow"/>
                <w:b/>
                <w:sz w:val="20"/>
                <w:szCs w:val="20"/>
              </w:rPr>
              <w:t>Restriction Summary [new3]</w:t>
            </w:r>
            <w:r w:rsidRPr="00814FFC">
              <w:rPr>
                <w:rFonts w:ascii="Arial Narrow" w:hAnsi="Arial Narrow"/>
                <w:b/>
                <w:color w:val="FF0000"/>
                <w:sz w:val="20"/>
                <w:szCs w:val="20"/>
              </w:rPr>
              <w:t xml:space="preserve"> </w:t>
            </w:r>
            <w:r w:rsidRPr="00814FFC">
              <w:rPr>
                <w:rFonts w:ascii="Arial Narrow" w:hAnsi="Arial Narrow"/>
                <w:b/>
                <w:sz w:val="20"/>
                <w:szCs w:val="20"/>
              </w:rPr>
              <w:t>/ Treatment of Concept [new3</w:t>
            </w:r>
            <w:r w:rsidR="003D7767" w:rsidRPr="00814FFC">
              <w:rPr>
                <w:rFonts w:ascii="Arial Narrow" w:hAnsi="Arial Narrow"/>
                <w:b/>
                <w:sz w:val="20"/>
                <w:szCs w:val="20"/>
              </w:rPr>
              <w:t>]</w:t>
            </w:r>
            <w:r w:rsidR="003D7767">
              <w:rPr>
                <w:rFonts w:ascii="Arial Narrow" w:hAnsi="Arial Narrow"/>
                <w:b/>
                <w:sz w:val="20"/>
                <w:szCs w:val="20"/>
              </w:rPr>
              <w:t>: Authority Required</w:t>
            </w:r>
          </w:p>
        </w:tc>
      </w:tr>
      <w:tr w:rsidR="00235BE2" w:rsidRPr="00D15CCA" w14:paraId="63379B0F"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1C07880"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p>
          <w:p w14:paraId="5FDB9B04"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The latest International Workshop on CLL (</w:t>
            </w:r>
            <w:proofErr w:type="spellStart"/>
            <w:r w:rsidRPr="00814FFC">
              <w:rPr>
                <w:rFonts w:ascii="Arial Narrow" w:hAnsi="Arial Narrow"/>
                <w:color w:val="333333"/>
                <w:sz w:val="20"/>
                <w:szCs w:val="20"/>
              </w:rPr>
              <w:t>iwCLL</w:t>
            </w:r>
            <w:proofErr w:type="spellEnd"/>
            <w:r w:rsidRPr="00814FFC">
              <w:rPr>
                <w:rFonts w:ascii="Arial Narrow" w:hAnsi="Arial Narrow"/>
                <w:color w:val="333333"/>
                <w:sz w:val="20"/>
                <w:szCs w:val="20"/>
              </w:rPr>
              <w:t>) provides guidance on various aspects of management of CLL/SLL. Notably, two of these are:</w:t>
            </w:r>
          </w:p>
          <w:p w14:paraId="06D6E477"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(1) when to treat versus when to monitor the patient without therapy - see 'Indications for treatment' section; and</w:t>
            </w:r>
          </w:p>
          <w:p w14:paraId="7D074DF1"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(2) recognising progressive disease - see 'Definition of response, relapse, and refractory disease' section.</w:t>
            </w:r>
          </w:p>
          <w:p w14:paraId="1C4616E8" w14:textId="77777777" w:rsidR="00235BE2" w:rsidRPr="00814FFC" w:rsidRDefault="00235BE2" w:rsidP="00C225D2">
            <w:pPr>
              <w:rPr>
                <w:rFonts w:ascii="Arial Narrow" w:hAnsi="Arial Narrow"/>
                <w:color w:val="333333"/>
                <w:sz w:val="20"/>
                <w:szCs w:val="20"/>
              </w:rPr>
            </w:pPr>
            <w:r w:rsidRPr="00814FFC">
              <w:rPr>
                <w:rFonts w:ascii="Arial Narrow" w:hAnsi="Arial Narrow"/>
                <w:color w:val="333333"/>
                <w:sz w:val="20"/>
                <w:szCs w:val="20"/>
              </w:rPr>
              <w:t>See the following literature reference for details:</w:t>
            </w:r>
          </w:p>
          <w:p w14:paraId="47E97B9A" w14:textId="77777777" w:rsidR="00235BE2" w:rsidRPr="00814FFC" w:rsidRDefault="00235BE2" w:rsidP="00C225D2">
            <w:pPr>
              <w:rPr>
                <w:rFonts w:ascii="Arial Narrow" w:hAnsi="Arial Narrow"/>
                <w:color w:val="333333"/>
                <w:sz w:val="20"/>
                <w:szCs w:val="20"/>
              </w:rPr>
            </w:pPr>
            <w:proofErr w:type="spellStart"/>
            <w:r w:rsidRPr="00814FFC">
              <w:rPr>
                <w:rFonts w:ascii="Arial Narrow" w:hAnsi="Arial Narrow"/>
                <w:color w:val="333333"/>
                <w:sz w:val="20"/>
                <w:szCs w:val="20"/>
              </w:rPr>
              <w:t>Hallek</w:t>
            </w:r>
            <w:proofErr w:type="spellEnd"/>
            <w:r w:rsidRPr="00814FFC">
              <w:rPr>
                <w:rFonts w:ascii="Arial Narrow" w:hAnsi="Arial Narrow"/>
                <w:color w:val="333333"/>
                <w:sz w:val="20"/>
                <w:szCs w:val="20"/>
              </w:rPr>
              <w:t xml:space="preserve">, M et al. </w:t>
            </w:r>
            <w:proofErr w:type="spellStart"/>
            <w:r w:rsidRPr="00814FFC">
              <w:rPr>
                <w:rFonts w:ascii="Arial Narrow" w:hAnsi="Arial Narrow"/>
                <w:color w:val="333333"/>
                <w:sz w:val="20"/>
                <w:szCs w:val="20"/>
              </w:rPr>
              <w:t>iwCLL</w:t>
            </w:r>
            <w:proofErr w:type="spellEnd"/>
            <w:r w:rsidRPr="00814FFC">
              <w:rPr>
                <w:rFonts w:ascii="Arial Narrow" w:hAnsi="Arial Narrow"/>
                <w:color w:val="333333"/>
                <w:sz w:val="20"/>
                <w:szCs w:val="20"/>
              </w:rPr>
              <w:t xml:space="preserve"> guidelines for diagnosis, indications for treatment, response assessment, and supportive management of CLL. Blood vol. 131, 25 (2018): 2745-2760.</w:t>
            </w:r>
          </w:p>
        </w:tc>
      </w:tr>
      <w:tr w:rsidR="00235BE2" w:rsidRPr="00D15CCA" w14:paraId="68D6517B"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7DF987A9"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D15CCA" w14:paraId="6713EA88"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3F34C91B"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lastRenderedPageBreak/>
              <w:t xml:space="preserve">Administrative Advice: </w:t>
            </w:r>
            <w:r w:rsidRPr="00814FFC">
              <w:rPr>
                <w:rFonts w:ascii="Arial Narrow" w:hAnsi="Arial Narrow"/>
                <w:color w:val="333333"/>
                <w:sz w:val="20"/>
                <w:szCs w:val="20"/>
              </w:rPr>
              <w:t>No increase in the maximum number of repeats may be authorised.</w:t>
            </w:r>
          </w:p>
        </w:tc>
      </w:tr>
      <w:tr w:rsidR="00235BE2" w:rsidRPr="00D15CCA" w14:paraId="37285612" w14:textId="77777777"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B9ED399" w14:textId="77777777" w:rsidR="00235BE2" w:rsidRPr="00814FFC" w:rsidRDefault="00235BE2" w:rsidP="00C225D2">
            <w:pPr>
              <w:rPr>
                <w:rFonts w:ascii="Arial Narrow" w:hAnsi="Arial Narrow"/>
                <w:b/>
                <w:bCs/>
                <w:color w:val="333333"/>
                <w:sz w:val="20"/>
                <w:szCs w:val="20"/>
              </w:rPr>
            </w:pPr>
            <w:r w:rsidRPr="00814FFC">
              <w:rPr>
                <w:rFonts w:ascii="Arial Narrow" w:hAnsi="Arial Narrow"/>
                <w:b/>
                <w:bCs/>
                <w:color w:val="333333"/>
                <w:sz w:val="20"/>
                <w:szCs w:val="20"/>
              </w:rPr>
              <w:t xml:space="preserve">Administrative Advice: </w:t>
            </w:r>
            <w:r w:rsidRPr="00814FFC">
              <w:rPr>
                <w:rFonts w:ascii="Arial Narrow" w:hAnsi="Arial Narrow"/>
                <w:color w:val="333333"/>
                <w:sz w:val="20"/>
                <w:szCs w:val="20"/>
              </w:rPr>
              <w:t>Special Pricing Arrangements apply.</w:t>
            </w:r>
          </w:p>
        </w:tc>
      </w:tr>
      <w:tr w:rsidR="00235BE2" w:rsidRPr="006B6BB7" w14:paraId="075D761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67C3DD9" w14:textId="77777777" w:rsidR="00235BE2" w:rsidRPr="00814FFC" w:rsidRDefault="00235BE2" w:rsidP="00C225D2">
            <w:pPr>
              <w:keepLines/>
              <w:rPr>
                <w:rFonts w:ascii="Arial Narrow" w:hAnsi="Arial Narrow"/>
                <w:color w:val="333333"/>
                <w:sz w:val="20"/>
                <w:szCs w:val="20"/>
              </w:rPr>
            </w:pPr>
            <w:r w:rsidRPr="00814FFC">
              <w:rPr>
                <w:rFonts w:ascii="Arial Narrow" w:hAnsi="Arial Narrow"/>
                <w:b/>
                <w:bCs/>
                <w:color w:val="333333"/>
                <w:sz w:val="20"/>
                <w:szCs w:val="20"/>
              </w:rPr>
              <w:t>Indication:</w:t>
            </w:r>
            <w:r w:rsidRPr="00814FFC">
              <w:rPr>
                <w:rFonts w:ascii="Arial Narrow" w:hAnsi="Arial Narrow"/>
                <w:color w:val="333333"/>
                <w:sz w:val="20"/>
                <w:szCs w:val="20"/>
              </w:rPr>
              <w:t xml:space="preserve"> Chronic lymphocytic leukaemia (CLL) or small lymphocytic lymphoma (SLL)</w:t>
            </w:r>
          </w:p>
        </w:tc>
      </w:tr>
      <w:tr w:rsidR="00235BE2" w:rsidRPr="006B6BB7" w14:paraId="68B5A24F"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61EDA9E" w14:textId="04F38535" w:rsidR="00235BE2" w:rsidRPr="00814FFC" w:rsidRDefault="00235BE2" w:rsidP="00C225D2">
            <w:pPr>
              <w:rPr>
                <w:rFonts w:ascii="Arial Narrow" w:hAnsi="Arial Narrow"/>
                <w:sz w:val="20"/>
                <w:szCs w:val="20"/>
              </w:rPr>
            </w:pPr>
            <w:r w:rsidRPr="00814FFC">
              <w:rPr>
                <w:rFonts w:ascii="Arial Narrow" w:hAnsi="Arial Narrow"/>
                <w:b/>
                <w:bCs/>
                <w:sz w:val="20"/>
                <w:szCs w:val="20"/>
              </w:rPr>
              <w:t>Treatment Phase:</w:t>
            </w:r>
            <w:r w:rsidRPr="00814FFC">
              <w:rPr>
                <w:rFonts w:ascii="Arial Narrow" w:hAnsi="Arial Narrow"/>
                <w:sz w:val="20"/>
                <w:szCs w:val="20"/>
              </w:rPr>
              <w:t xml:space="preserve"> Transitioning from non-PBS to PBS-subsidised supply in first-line therapy – Grandfather arrangements</w:t>
            </w:r>
          </w:p>
        </w:tc>
      </w:tr>
      <w:tr w:rsidR="00235BE2" w:rsidRPr="006B6BB7" w14:paraId="4C16A596" w14:textId="77777777" w:rsidTr="00235BE2">
        <w:tblPrEx>
          <w:tblCellMar>
            <w:top w:w="15" w:type="dxa"/>
            <w:bottom w:w="15" w:type="dxa"/>
          </w:tblCellMar>
          <w:tblLook w:val="04A0" w:firstRow="1" w:lastRow="0" w:firstColumn="1" w:lastColumn="0" w:noHBand="0" w:noVBand="1"/>
        </w:tblPrEx>
        <w:trPr>
          <w:cantSplit/>
          <w:trHeight w:val="347"/>
        </w:trPr>
        <w:tc>
          <w:tcPr>
            <w:tcW w:w="5000" w:type="pct"/>
            <w:gridSpan w:val="6"/>
            <w:vAlign w:val="center"/>
            <w:hideMark/>
          </w:tcPr>
          <w:p w14:paraId="7280A3BE" w14:textId="5979FCC4" w:rsidR="00235BE2" w:rsidRPr="00814FFC" w:rsidRDefault="00235BE2" w:rsidP="00C225D2">
            <w:pPr>
              <w:rPr>
                <w:rFonts w:ascii="Arial Narrow" w:hAnsi="Arial Narrow"/>
                <w:bCs/>
                <w:color w:val="FF0000"/>
                <w:sz w:val="20"/>
                <w:szCs w:val="20"/>
              </w:rPr>
            </w:pPr>
            <w:r w:rsidRPr="00814FFC">
              <w:rPr>
                <w:rFonts w:ascii="Arial Narrow" w:hAnsi="Arial Narrow"/>
                <w:b/>
                <w:bCs/>
                <w:color w:val="333333"/>
                <w:sz w:val="20"/>
                <w:szCs w:val="20"/>
              </w:rPr>
              <w:t>Clinical criteria:</w:t>
            </w:r>
          </w:p>
        </w:tc>
      </w:tr>
      <w:tr w:rsidR="00235BE2" w:rsidRPr="006B6BB7" w14:paraId="1E0BE9D5"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F9DFCF" w14:textId="77777777" w:rsidR="00235BE2" w:rsidRPr="00814FFC" w:rsidRDefault="00235BE2" w:rsidP="00C225D2">
            <w:pPr>
              <w:rPr>
                <w:rFonts w:ascii="Arial Narrow" w:hAnsi="Arial Narrow"/>
                <w:b/>
                <w:bCs/>
                <w:sz w:val="20"/>
                <w:szCs w:val="20"/>
              </w:rPr>
            </w:pPr>
            <w:r w:rsidRPr="00814FFC">
              <w:rPr>
                <w:rFonts w:ascii="Arial Narrow" w:hAnsi="Arial Narrow"/>
                <w:sz w:val="20"/>
                <w:szCs w:val="20"/>
              </w:rPr>
              <w:t>Patient must have received non-PBS-subsidised treatment with this drug for this condition prior to [PBS listing date XXX]</w:t>
            </w:r>
          </w:p>
        </w:tc>
      </w:tr>
      <w:tr w:rsidR="00235BE2" w:rsidRPr="006B6BB7" w14:paraId="523F0AE2"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71B6D5A"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6B6BB7" w14:paraId="2A444B4A"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EB2BE87"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Clinical criteria:</w:t>
            </w:r>
          </w:p>
        </w:tc>
      </w:tr>
      <w:tr w:rsidR="00235BE2" w:rsidRPr="006B6BB7" w14:paraId="5FA11EE4"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B769790" w14:textId="355D3485" w:rsidR="00235BE2" w:rsidRPr="00814FFC" w:rsidRDefault="00235BE2" w:rsidP="00C225D2">
            <w:pPr>
              <w:pStyle w:val="TableText0"/>
              <w:rPr>
                <w:szCs w:val="20"/>
              </w:rPr>
            </w:pPr>
            <w:r w:rsidRPr="00814FFC">
              <w:rPr>
                <w:szCs w:val="20"/>
              </w:rPr>
              <w:t xml:space="preserve">Patient must not have developed disease progression while </w:t>
            </w:r>
            <w:r w:rsidRPr="00EC14DB">
              <w:rPr>
                <w:szCs w:val="20"/>
              </w:rPr>
              <w:t xml:space="preserve">receiving treatment with this drug for this condition </w:t>
            </w:r>
          </w:p>
        </w:tc>
      </w:tr>
      <w:tr w:rsidR="00235BE2" w:rsidRPr="006B6BB7" w14:paraId="4246026C"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31A47ED"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6B6BB7" w14:paraId="501E801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CD34582"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Clinical criteria:</w:t>
            </w:r>
          </w:p>
        </w:tc>
      </w:tr>
      <w:tr w:rsidR="00235BE2" w:rsidRPr="006B6BB7" w14:paraId="67830C12"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4338506" w14:textId="6430456F" w:rsidR="00235BE2" w:rsidRPr="00814FFC" w:rsidRDefault="00235BE2" w:rsidP="00C225D2">
            <w:pPr>
              <w:rPr>
                <w:rFonts w:ascii="Arial Narrow" w:hAnsi="Arial Narrow"/>
                <w:bCs/>
                <w:sz w:val="20"/>
                <w:szCs w:val="20"/>
              </w:rPr>
            </w:pPr>
            <w:r w:rsidRPr="002C5B86">
              <w:rPr>
                <w:rFonts w:ascii="Arial Narrow" w:hAnsi="Arial Narrow"/>
                <w:bCs/>
                <w:sz w:val="20"/>
                <w:szCs w:val="20"/>
              </w:rPr>
              <w:t>The condition must have been untreated with drug treatment at the time of the first dose of this drug;</w:t>
            </w:r>
            <w:r w:rsidRPr="002C5B86" w:rsidDel="002C5B86">
              <w:rPr>
                <w:rFonts w:ascii="Arial Narrow" w:hAnsi="Arial Narrow"/>
                <w:bCs/>
                <w:sz w:val="20"/>
                <w:szCs w:val="20"/>
              </w:rPr>
              <w:t xml:space="preserve"> </w:t>
            </w:r>
            <w:r w:rsidRPr="00814FFC">
              <w:rPr>
                <w:rFonts w:ascii="Arial Narrow" w:hAnsi="Arial Narrow"/>
                <w:bCs/>
                <w:sz w:val="20"/>
                <w:szCs w:val="20"/>
              </w:rPr>
              <w:t xml:space="preserve"> </w:t>
            </w:r>
          </w:p>
        </w:tc>
      </w:tr>
      <w:tr w:rsidR="00235BE2" w:rsidRPr="006B6BB7" w14:paraId="2A7ACB5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E14E04" w14:textId="77777777" w:rsidR="00235BE2" w:rsidRPr="00814FFC" w:rsidRDefault="00235BE2" w:rsidP="00C225D2">
            <w:pPr>
              <w:rPr>
                <w:rFonts w:ascii="Arial Narrow" w:hAnsi="Arial Narrow"/>
                <w:b/>
                <w:sz w:val="20"/>
                <w:szCs w:val="20"/>
              </w:rPr>
            </w:pPr>
            <w:r w:rsidRPr="00814FFC">
              <w:rPr>
                <w:rFonts w:ascii="Arial Narrow" w:hAnsi="Arial Narrow"/>
                <w:b/>
                <w:sz w:val="20"/>
                <w:szCs w:val="20"/>
              </w:rPr>
              <w:t>OR</w:t>
            </w:r>
          </w:p>
        </w:tc>
      </w:tr>
      <w:tr w:rsidR="00235BE2" w:rsidRPr="006B6BB7" w14:paraId="5DB3378A"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E3B22D0" w14:textId="475F92DE" w:rsidR="00235BE2" w:rsidRPr="00814FFC" w:rsidRDefault="00235BE2" w:rsidP="00C225D2">
            <w:pPr>
              <w:rPr>
                <w:rFonts w:ascii="Arial Narrow" w:hAnsi="Arial Narrow"/>
                <w:bCs/>
                <w:sz w:val="20"/>
                <w:szCs w:val="20"/>
              </w:rPr>
            </w:pPr>
            <w:r w:rsidRPr="00814FFC">
              <w:rPr>
                <w:rFonts w:ascii="Arial Narrow" w:hAnsi="Arial Narrow"/>
                <w:bCs/>
                <w:sz w:val="20"/>
                <w:szCs w:val="20"/>
              </w:rPr>
              <w:t>Patient must have developed an intolerance of a severity necessitating permanent treatment withdrawal following use of another drug PBS indicated as first-line treatment of CLL/SLL prior to initiating non-PBS-subsidised treatment with this drug for this condition,</w:t>
            </w:r>
          </w:p>
        </w:tc>
      </w:tr>
      <w:tr w:rsidR="00235BE2" w:rsidRPr="006B6BB7" w14:paraId="6884E4BD"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9E71E9" w14:textId="77777777" w:rsidR="00235BE2" w:rsidRPr="00814FFC" w:rsidRDefault="00235BE2" w:rsidP="00C225D2">
            <w:pPr>
              <w:rPr>
                <w:rFonts w:ascii="Arial Narrow" w:hAnsi="Arial Narrow"/>
                <w:bCs/>
                <w:sz w:val="20"/>
                <w:szCs w:val="20"/>
              </w:rPr>
            </w:pPr>
            <w:r w:rsidRPr="00814FFC">
              <w:rPr>
                <w:rFonts w:ascii="Arial Narrow" w:hAnsi="Arial Narrow"/>
                <w:b/>
                <w:bCs/>
                <w:sz w:val="20"/>
                <w:szCs w:val="20"/>
              </w:rPr>
              <w:t>AND</w:t>
            </w:r>
          </w:p>
        </w:tc>
      </w:tr>
      <w:tr w:rsidR="00235BE2" w:rsidRPr="006B6BB7" w14:paraId="6D3EB721"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0F9E122" w14:textId="77777777" w:rsidR="00235BE2" w:rsidRPr="00814FFC" w:rsidRDefault="00235BE2" w:rsidP="00C225D2">
            <w:pPr>
              <w:rPr>
                <w:rFonts w:ascii="Arial Narrow" w:hAnsi="Arial Narrow"/>
                <w:bCs/>
                <w:sz w:val="20"/>
                <w:szCs w:val="20"/>
              </w:rPr>
            </w:pPr>
            <w:r w:rsidRPr="00814FFC">
              <w:rPr>
                <w:rFonts w:ascii="Arial Narrow" w:hAnsi="Arial Narrow"/>
                <w:b/>
                <w:bCs/>
                <w:sz w:val="20"/>
                <w:szCs w:val="20"/>
              </w:rPr>
              <w:t>Clinical criteria:</w:t>
            </w:r>
          </w:p>
        </w:tc>
      </w:tr>
      <w:tr w:rsidR="00235BE2" w:rsidRPr="006B6BB7" w14:paraId="0041250E"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71A1FC2" w14:textId="1EA42980" w:rsidR="00235BE2" w:rsidRPr="00814FFC" w:rsidRDefault="00235BE2" w:rsidP="00C225D2">
            <w:pPr>
              <w:rPr>
                <w:rFonts w:ascii="Arial Narrow" w:hAnsi="Arial Narrow"/>
                <w:bCs/>
                <w:sz w:val="20"/>
                <w:szCs w:val="20"/>
              </w:rPr>
            </w:pPr>
            <w:r w:rsidRPr="00A316B4">
              <w:rPr>
                <w:rFonts w:ascii="Arial Narrow" w:hAnsi="Arial Narrow"/>
                <w:bCs/>
                <w:sz w:val="20"/>
                <w:szCs w:val="20"/>
              </w:rPr>
              <w:t>The treatment must only be prescribed for a patient with active disease in accordance with the International Workshop on CLL (</w:t>
            </w:r>
            <w:proofErr w:type="spellStart"/>
            <w:r w:rsidRPr="00A316B4">
              <w:rPr>
                <w:rFonts w:ascii="Arial Narrow" w:hAnsi="Arial Narrow"/>
                <w:bCs/>
                <w:sz w:val="20"/>
                <w:szCs w:val="20"/>
              </w:rPr>
              <w:t>iwCLL</w:t>
            </w:r>
            <w:proofErr w:type="spellEnd"/>
            <w:r w:rsidRPr="00A316B4">
              <w:rPr>
                <w:rFonts w:ascii="Arial Narrow" w:hAnsi="Arial Narrow"/>
                <w:bCs/>
                <w:sz w:val="20"/>
                <w:szCs w:val="20"/>
              </w:rPr>
              <w:t>) guidance (latest version) in relation to when to prescribe drug treatment for this condition</w:t>
            </w:r>
          </w:p>
        </w:tc>
      </w:tr>
      <w:tr w:rsidR="00235BE2" w:rsidRPr="006B6BB7" w14:paraId="4C5692CA" w14:textId="7777777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7B1D575" w14:textId="77777777" w:rsidR="00235BE2" w:rsidRPr="00814FFC" w:rsidRDefault="00235BE2" w:rsidP="00C225D2">
            <w:pPr>
              <w:rPr>
                <w:rFonts w:ascii="Arial Narrow" w:hAnsi="Arial Narrow"/>
                <w:bCs/>
                <w:sz w:val="20"/>
                <w:szCs w:val="20"/>
              </w:rPr>
            </w:pPr>
            <w:r w:rsidRPr="00814FFC">
              <w:rPr>
                <w:rFonts w:ascii="Arial Narrow" w:hAnsi="Arial Narrow"/>
                <w:b/>
                <w:bCs/>
                <w:sz w:val="20"/>
                <w:szCs w:val="20"/>
              </w:rPr>
              <w:t>AND</w:t>
            </w:r>
          </w:p>
        </w:tc>
      </w:tr>
      <w:tr w:rsidR="00235BE2" w:rsidRPr="006B6BB7" w14:paraId="64D8C8ED"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2897DBD2" w14:textId="77777777" w:rsidR="00235BE2" w:rsidRPr="00814FFC" w:rsidRDefault="00235BE2" w:rsidP="00C225D2">
            <w:pPr>
              <w:rPr>
                <w:rFonts w:ascii="Arial Narrow" w:hAnsi="Arial Narrow"/>
                <w:bCs/>
                <w:sz w:val="20"/>
                <w:szCs w:val="20"/>
              </w:rPr>
            </w:pPr>
            <w:r w:rsidRPr="00814FFC">
              <w:rPr>
                <w:rFonts w:ascii="Arial Narrow" w:hAnsi="Arial Narrow"/>
                <w:b/>
                <w:bCs/>
                <w:sz w:val="20"/>
                <w:szCs w:val="20"/>
              </w:rPr>
              <w:t>Clinical criteria:</w:t>
            </w:r>
          </w:p>
        </w:tc>
      </w:tr>
      <w:tr w:rsidR="00235BE2" w:rsidRPr="006B6BB7" w14:paraId="2F3537E7"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1C1A121A" w14:textId="0175FF3C" w:rsidR="00235BE2" w:rsidRPr="00814FFC" w:rsidRDefault="00235BE2" w:rsidP="00C225D2">
            <w:pPr>
              <w:rPr>
                <w:rFonts w:ascii="Arial Narrow" w:hAnsi="Arial Narrow"/>
                <w:sz w:val="20"/>
                <w:szCs w:val="20"/>
              </w:rPr>
            </w:pPr>
            <w:r w:rsidRPr="00814FFC">
              <w:rPr>
                <w:rFonts w:ascii="Arial Narrow" w:hAnsi="Arial Narrow"/>
                <w:sz w:val="20"/>
                <w:szCs w:val="20"/>
              </w:rPr>
              <w:t>The treatment must be in combination with venetoclax</w:t>
            </w:r>
            <w:r>
              <w:rPr>
                <w:rFonts w:ascii="Arial Narrow" w:hAnsi="Arial Narrow"/>
                <w:sz w:val="20"/>
                <w:szCs w:val="20"/>
              </w:rPr>
              <w:t xml:space="preserve"> as continuing treatment for this condition (treatment cycles 3 to 14 inclusive);</w:t>
            </w:r>
            <w:r w:rsidRPr="00814FFC">
              <w:rPr>
                <w:rFonts w:ascii="Arial Narrow" w:hAnsi="Arial Narrow"/>
                <w:sz w:val="20"/>
                <w:szCs w:val="20"/>
              </w:rPr>
              <w:t xml:space="preserve"> </w:t>
            </w:r>
          </w:p>
        </w:tc>
      </w:tr>
      <w:tr w:rsidR="00235BE2" w:rsidRPr="006B6BB7" w14:paraId="397B02FC"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686D058E" w14:textId="77777777" w:rsidR="00235BE2" w:rsidRPr="00814FFC" w:rsidRDefault="00235BE2" w:rsidP="00C225D2">
            <w:pPr>
              <w:rPr>
                <w:rFonts w:ascii="Arial Narrow" w:hAnsi="Arial Narrow"/>
                <w:b/>
                <w:bCs/>
                <w:sz w:val="20"/>
                <w:szCs w:val="20"/>
              </w:rPr>
            </w:pPr>
            <w:r w:rsidRPr="00814FFC">
              <w:rPr>
                <w:rFonts w:ascii="Arial Narrow" w:hAnsi="Arial Narrow"/>
                <w:b/>
                <w:bCs/>
                <w:sz w:val="20"/>
                <w:szCs w:val="20"/>
              </w:rPr>
              <w:t>OR</w:t>
            </w:r>
          </w:p>
        </w:tc>
      </w:tr>
      <w:tr w:rsidR="00235BE2" w:rsidRPr="006B6BB7" w14:paraId="47B15C8A"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6F73C74A" w14:textId="5AC9B2CB" w:rsidR="00235BE2" w:rsidRPr="00814FFC" w:rsidRDefault="00235BE2" w:rsidP="00C225D2">
            <w:pPr>
              <w:rPr>
                <w:rFonts w:ascii="Arial Narrow" w:hAnsi="Arial Narrow"/>
                <w:sz w:val="20"/>
                <w:szCs w:val="20"/>
              </w:rPr>
            </w:pPr>
            <w:r w:rsidRPr="00814FFC">
              <w:rPr>
                <w:rFonts w:ascii="Arial Narrow" w:hAnsi="Arial Narrow"/>
                <w:sz w:val="20"/>
                <w:szCs w:val="20"/>
              </w:rPr>
              <w:t>The treatment must be as monotherapy</w:t>
            </w:r>
            <w:r>
              <w:rPr>
                <w:rFonts w:ascii="Arial Narrow" w:hAnsi="Arial Narrow"/>
                <w:sz w:val="20"/>
                <w:szCs w:val="20"/>
              </w:rPr>
              <w:t xml:space="preserve"> for initial treatment of this condition (treatment cycles 1 to 2 inclusive)</w:t>
            </w:r>
          </w:p>
        </w:tc>
      </w:tr>
      <w:tr w:rsidR="00235BE2" w:rsidRPr="006B6BB7" w14:paraId="2B9E90EB"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5197121C"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AND</w:t>
            </w:r>
          </w:p>
        </w:tc>
      </w:tr>
      <w:tr w:rsidR="00235BE2" w:rsidRPr="006B6BB7" w14:paraId="7DAC33F1"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5AA16BAA"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Clinical criteria:</w:t>
            </w:r>
          </w:p>
        </w:tc>
      </w:tr>
      <w:tr w:rsidR="00235BE2" w:rsidRPr="006B6BB7" w14:paraId="6D8A643C"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217DAE09" w14:textId="77777777" w:rsidR="00235BE2" w:rsidRPr="00814FFC" w:rsidRDefault="00235BE2" w:rsidP="00C225D2">
            <w:pPr>
              <w:rPr>
                <w:rFonts w:ascii="Arial Narrow" w:hAnsi="Arial Narrow"/>
                <w:sz w:val="20"/>
                <w:szCs w:val="20"/>
              </w:rPr>
            </w:pPr>
            <w:r w:rsidRPr="00814FFC">
              <w:rPr>
                <w:rFonts w:ascii="Arial Narrow" w:hAnsi="Arial Narrow"/>
                <w:bCs/>
                <w:sz w:val="20"/>
                <w:szCs w:val="20"/>
              </w:rPr>
              <w:t>The treatment must not be in combination with obinutuzumab</w:t>
            </w:r>
          </w:p>
        </w:tc>
      </w:tr>
      <w:tr w:rsidR="00235BE2" w:rsidRPr="006B6BB7" w14:paraId="0B3FE81C"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4D8F3DBA" w14:textId="4EF03750" w:rsidR="00235BE2" w:rsidRPr="00C51166" w:rsidRDefault="00235BE2" w:rsidP="00C225D2">
            <w:pPr>
              <w:rPr>
                <w:rFonts w:ascii="Arial Narrow" w:hAnsi="Arial Narrow"/>
                <w:b/>
                <w:sz w:val="20"/>
                <w:szCs w:val="20"/>
              </w:rPr>
            </w:pPr>
            <w:r w:rsidRPr="00C51166">
              <w:rPr>
                <w:rFonts w:ascii="Arial Narrow" w:hAnsi="Arial Narrow"/>
                <w:b/>
                <w:sz w:val="20"/>
                <w:szCs w:val="20"/>
              </w:rPr>
              <w:t xml:space="preserve">AND </w:t>
            </w:r>
          </w:p>
        </w:tc>
      </w:tr>
      <w:tr w:rsidR="00235BE2" w:rsidRPr="006B6BB7" w14:paraId="3957AA4F"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702793A2" w14:textId="7C99CFDD" w:rsidR="00235BE2" w:rsidRPr="00C35715" w:rsidRDefault="00235BE2" w:rsidP="00C225D2">
            <w:pPr>
              <w:rPr>
                <w:rFonts w:ascii="Arial Narrow" w:hAnsi="Arial Narrow"/>
                <w:b/>
                <w:sz w:val="20"/>
                <w:szCs w:val="20"/>
              </w:rPr>
            </w:pPr>
            <w:r w:rsidRPr="00C35715">
              <w:rPr>
                <w:rFonts w:ascii="Arial Narrow" w:hAnsi="Arial Narrow"/>
                <w:b/>
                <w:sz w:val="20"/>
                <w:szCs w:val="20"/>
              </w:rPr>
              <w:t>Clinical criteria:</w:t>
            </w:r>
          </w:p>
        </w:tc>
      </w:tr>
      <w:tr w:rsidR="00235BE2" w:rsidRPr="006B6BB7" w14:paraId="6A1AF160"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415EBA39" w14:textId="7C59418D" w:rsidR="00235BE2" w:rsidRPr="00C35715" w:rsidRDefault="00235BE2" w:rsidP="003D7767">
            <w:pPr>
              <w:rPr>
                <w:rFonts w:ascii="Arial Narrow" w:hAnsi="Arial Narrow"/>
                <w:bCs/>
                <w:sz w:val="20"/>
                <w:szCs w:val="20"/>
              </w:rPr>
            </w:pPr>
            <w:r w:rsidRPr="00C35715">
              <w:rPr>
                <w:rFonts w:ascii="Arial Narrow" w:hAnsi="Arial Narrow"/>
                <w:bCs/>
                <w:sz w:val="20"/>
                <w:szCs w:val="20"/>
              </w:rPr>
              <w:t xml:space="preserve">The treatment must not exceed 14 cycles in total with this drug, measured from the initial dose, </w:t>
            </w:r>
            <w:proofErr w:type="gramStart"/>
            <w:r w:rsidRPr="00C35715">
              <w:rPr>
                <w:rFonts w:ascii="Arial Narrow" w:hAnsi="Arial Narrow"/>
                <w:bCs/>
                <w:sz w:val="20"/>
                <w:szCs w:val="20"/>
              </w:rPr>
              <w:t>or,</w:t>
            </w:r>
            <w:proofErr w:type="gramEnd"/>
            <w:r w:rsidRPr="00C35715">
              <w:rPr>
                <w:rFonts w:ascii="Arial Narrow" w:hAnsi="Arial Narrow"/>
                <w:bCs/>
                <w:sz w:val="20"/>
                <w:szCs w:val="20"/>
              </w:rPr>
              <w:t xml:space="preserve"> must not extend beyond disease progression, whichever comes first</w:t>
            </w:r>
          </w:p>
        </w:tc>
      </w:tr>
      <w:tr w:rsidR="00235BE2" w:rsidRPr="006B6BB7" w14:paraId="37B5ABEA"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7F1DDD09"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Prescribing Instructions:</w:t>
            </w:r>
            <w:r w:rsidRPr="00814FFC">
              <w:rPr>
                <w:rFonts w:ascii="Arial Narrow" w:hAnsi="Arial Narrow"/>
                <w:sz w:val="20"/>
                <w:szCs w:val="20"/>
              </w:rPr>
              <w:t xml:space="preserve"> A patient may qualify for PBS-subsidised treatment under this restriction once only.</w:t>
            </w:r>
          </w:p>
        </w:tc>
      </w:tr>
      <w:tr w:rsidR="00235BE2" w:rsidRPr="006B6BB7" w14:paraId="7738D366"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085670FA" w14:textId="77777777" w:rsidR="00235BE2" w:rsidRPr="00814FFC" w:rsidRDefault="00235BE2" w:rsidP="00C225D2">
            <w:pPr>
              <w:rPr>
                <w:rFonts w:ascii="Arial Narrow" w:hAnsi="Arial Narrow"/>
                <w:sz w:val="20"/>
                <w:szCs w:val="20"/>
              </w:rPr>
            </w:pPr>
            <w:r w:rsidRPr="00814FFC">
              <w:rPr>
                <w:rFonts w:ascii="Arial Narrow" w:hAnsi="Arial Narrow"/>
                <w:b/>
                <w:bCs/>
                <w:sz w:val="20"/>
                <w:szCs w:val="20"/>
              </w:rPr>
              <w:t>Prescribing Instructions:</w:t>
            </w:r>
            <w:r w:rsidRPr="00814FFC">
              <w:rPr>
                <w:rFonts w:ascii="Arial Narrow" w:hAnsi="Arial Narrow"/>
                <w:sz w:val="20"/>
                <w:szCs w:val="20"/>
              </w:rPr>
              <w:t xml:space="preserve"> For continuing PBS-subsidised treatment, a 'Grandfathered' patient must qualify under the next relevant treatment phase.</w:t>
            </w:r>
          </w:p>
        </w:tc>
      </w:tr>
      <w:tr w:rsidR="00235BE2" w:rsidRPr="006B6BB7" w14:paraId="5FD28894" w14:textId="77777777" w:rsidTr="00235BE2">
        <w:tblPrEx>
          <w:tblCellMar>
            <w:top w:w="15" w:type="dxa"/>
            <w:bottom w:w="15" w:type="dxa"/>
          </w:tblCellMar>
          <w:tblLook w:val="04A0" w:firstRow="1" w:lastRow="0" w:firstColumn="1" w:lastColumn="0" w:noHBand="0" w:noVBand="1"/>
        </w:tblPrEx>
        <w:trPr>
          <w:cantSplit/>
          <w:trHeight w:val="57"/>
        </w:trPr>
        <w:tc>
          <w:tcPr>
            <w:tcW w:w="5000" w:type="pct"/>
            <w:gridSpan w:val="6"/>
            <w:vAlign w:val="center"/>
          </w:tcPr>
          <w:p w14:paraId="240800C2" w14:textId="77777777" w:rsidR="00235BE2" w:rsidRPr="00814FFC" w:rsidRDefault="00235BE2" w:rsidP="00C225D2">
            <w:pPr>
              <w:rPr>
                <w:rFonts w:ascii="Arial Narrow" w:hAnsi="Arial Narrow"/>
                <w:color w:val="333333"/>
                <w:sz w:val="20"/>
                <w:szCs w:val="20"/>
              </w:rPr>
            </w:pPr>
            <w:r w:rsidRPr="00814FFC">
              <w:rPr>
                <w:rFonts w:ascii="Arial Narrow" w:hAnsi="Arial Narrow"/>
                <w:b/>
                <w:bCs/>
                <w:color w:val="333333"/>
                <w:sz w:val="20"/>
                <w:szCs w:val="20"/>
              </w:rPr>
              <w:t>Administrative Advice:</w:t>
            </w:r>
          </w:p>
          <w:p w14:paraId="6211CC2B" w14:textId="77777777" w:rsidR="00235BE2" w:rsidRPr="00814FFC" w:rsidRDefault="00235BE2" w:rsidP="00C225D2">
            <w:pPr>
              <w:rPr>
                <w:rFonts w:ascii="Arial Narrow" w:hAnsi="Arial Narrow"/>
                <w:b/>
                <w:bCs/>
                <w:sz w:val="20"/>
                <w:szCs w:val="20"/>
              </w:rPr>
            </w:pPr>
            <w:r w:rsidRPr="00814FFC">
              <w:rPr>
                <w:rFonts w:ascii="Arial Narrow" w:hAnsi="Arial Narrow"/>
                <w:color w:val="333333"/>
                <w:sz w:val="20"/>
                <w:szCs w:val="20"/>
              </w:rPr>
              <w:t>This grandfather restriction will cease to operate from 12 months after the date specified in the clinical criteria.</w:t>
            </w:r>
          </w:p>
        </w:tc>
      </w:tr>
    </w:tbl>
    <w:p w14:paraId="2ACE7261" w14:textId="77777777" w:rsidR="00AC0494" w:rsidRPr="007C5080" w:rsidRDefault="00AC0494" w:rsidP="00AC0494">
      <w:pPr>
        <w:rPr>
          <w:rFonts w:ascii="Arial" w:hAnsi="Arial"/>
          <w:b/>
          <w:bCs/>
          <w:color w:val="365F91" w:themeColor="accent1" w:themeShade="BF"/>
          <w:sz w:val="22"/>
          <w:szCs w:val="22"/>
        </w:rPr>
      </w:pPr>
    </w:p>
    <w:p w14:paraId="33BAF5FD" w14:textId="24074E68" w:rsidR="00202D9A" w:rsidRDefault="00202D9A" w:rsidP="00202D9A">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Flow-</w:t>
      </w:r>
      <w:proofErr w:type="spellStart"/>
      <w:r>
        <w:rPr>
          <w:rFonts w:asciiTheme="minorHAnsi" w:hAnsiTheme="minorHAnsi"/>
          <w:snapToGrid w:val="0"/>
          <w:lang w:val="en-GB" w:eastAsia="en-US"/>
        </w:rPr>
        <w:t>ons</w:t>
      </w:r>
      <w:proofErr w:type="spellEnd"/>
      <w:r>
        <w:rPr>
          <w:rFonts w:asciiTheme="minorHAnsi" w:hAnsiTheme="minorHAnsi"/>
          <w:snapToGrid w:val="0"/>
          <w:lang w:val="en-GB" w:eastAsia="en-US"/>
        </w:rPr>
        <w:t xml:space="preserve"> to add new</w:t>
      </w:r>
      <w:r w:rsidR="00563168">
        <w:rPr>
          <w:rFonts w:asciiTheme="minorHAnsi" w:hAnsiTheme="minorHAnsi"/>
          <w:snapToGrid w:val="0"/>
          <w:lang w:val="en-GB" w:eastAsia="en-US"/>
        </w:rPr>
        <w:t xml:space="preserve"> </w:t>
      </w:r>
      <w:r>
        <w:rPr>
          <w:rFonts w:asciiTheme="minorHAnsi" w:hAnsiTheme="minorHAnsi"/>
          <w:snapToGrid w:val="0"/>
          <w:lang w:val="en-GB" w:eastAsia="en-US"/>
        </w:rPr>
        <w:t xml:space="preserve">venetoclax listings: </w:t>
      </w:r>
      <w:r w:rsidRPr="00816C06">
        <w:rPr>
          <w:rFonts w:asciiTheme="minorHAnsi" w:hAnsiTheme="minorHAnsi"/>
          <w:snapToGrid w:val="0"/>
          <w:lang w:val="en-GB" w:eastAsia="en-US"/>
        </w:rPr>
        <w:t xml:space="preserve"> </w:t>
      </w:r>
    </w:p>
    <w:p w14:paraId="2E2F1922" w14:textId="6C331CB7" w:rsidR="00AC0494" w:rsidRPr="00B3081F" w:rsidRDefault="00AC0494" w:rsidP="00AC0494">
      <w:pPr>
        <w:pStyle w:val="Caption"/>
        <w:rPr>
          <w:rFonts w:cstheme="minorHAnsi"/>
          <w:szCs w:val="20"/>
        </w:rPr>
      </w:pPr>
      <w:r w:rsidRPr="00B3081F">
        <w:rPr>
          <w:rFonts w:cstheme="minorHAnsi"/>
          <w:szCs w:val="20"/>
        </w:rPr>
        <w:t>Initial treatment (Cycle 3)</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low ons to venetoclax - Initial treatment (Cycle 3)"/>
      </w:tblPr>
      <w:tblGrid>
        <w:gridCol w:w="3943"/>
        <w:gridCol w:w="813"/>
        <w:gridCol w:w="812"/>
        <w:gridCol w:w="812"/>
        <w:gridCol w:w="812"/>
        <w:gridCol w:w="1875"/>
      </w:tblGrid>
      <w:tr w:rsidR="00CA2FC0" w:rsidRPr="008C5D7B" w14:paraId="7E2B2866" w14:textId="2C611EA2" w:rsidTr="00235BE2">
        <w:trPr>
          <w:cantSplit/>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866E7D2" w14:textId="750555F9" w:rsidR="00A5207E" w:rsidRDefault="00A5207E" w:rsidP="00A5207E">
            <w:pPr>
              <w:keepLines/>
              <w:rPr>
                <w:rFonts w:ascii="Arial Narrow" w:eastAsia="Calibri" w:hAnsi="Arial Narrow"/>
                <w:sz w:val="20"/>
                <w:szCs w:val="20"/>
              </w:rPr>
            </w:pPr>
            <w:r w:rsidRPr="002103BE">
              <w:rPr>
                <w:rFonts w:ascii="Arial Narrow" w:hAnsi="Arial Narrow"/>
                <w:b/>
                <w:sz w:val="20"/>
                <w:szCs w:val="20"/>
              </w:rPr>
              <w:t>Category / Program:</w:t>
            </w:r>
            <w:r w:rsidRPr="002103BE">
              <w:rPr>
                <w:rFonts w:ascii="Arial Narrow" w:hAnsi="Arial Narrow"/>
                <w:color w:val="FF0000"/>
                <w:sz w:val="20"/>
                <w:szCs w:val="20"/>
              </w:rPr>
              <w:t xml:space="preserve"> </w:t>
            </w:r>
            <w:r w:rsidRPr="002103BE">
              <w:rPr>
                <w:rFonts w:ascii="Arial Narrow" w:eastAsia="Calibri" w:hAnsi="Arial Narrow"/>
                <w:sz w:val="20"/>
                <w:szCs w:val="20"/>
              </w:rPr>
              <w:fldChar w:fldCharType="begin">
                <w:ffData>
                  <w:name w:val="Check1"/>
                  <w:enabled/>
                  <w:calcOnExit w:val="0"/>
                  <w:checkBox>
                    <w:sizeAuto/>
                    <w:default w:val="1"/>
                  </w:checkBox>
                </w:ffData>
              </w:fldChar>
            </w:r>
            <w:r w:rsidRPr="002103BE">
              <w:rPr>
                <w:rFonts w:ascii="Arial Narrow" w:eastAsia="Calibri" w:hAnsi="Arial Narrow"/>
                <w:sz w:val="20"/>
                <w:szCs w:val="20"/>
              </w:rPr>
              <w:instrText xml:space="preserve"> FORMCHECKBOX </w:instrText>
            </w:r>
            <w:r w:rsidRPr="002103BE">
              <w:rPr>
                <w:rFonts w:ascii="Arial Narrow" w:eastAsia="Calibri" w:hAnsi="Arial Narrow"/>
                <w:sz w:val="20"/>
                <w:szCs w:val="20"/>
              </w:rPr>
            </w:r>
            <w:r w:rsidRPr="002103BE">
              <w:rPr>
                <w:rFonts w:ascii="Arial Narrow" w:eastAsia="Calibri" w:hAnsi="Arial Narrow"/>
                <w:sz w:val="20"/>
                <w:szCs w:val="20"/>
              </w:rPr>
              <w:fldChar w:fldCharType="separate"/>
            </w:r>
            <w:r w:rsidRPr="002103BE">
              <w:rPr>
                <w:rFonts w:ascii="Arial Narrow" w:eastAsia="Calibri" w:hAnsi="Arial Narrow"/>
                <w:sz w:val="20"/>
                <w:szCs w:val="20"/>
              </w:rPr>
              <w:fldChar w:fldCharType="end"/>
            </w:r>
            <w:r w:rsidRPr="002103BE">
              <w:rPr>
                <w:rFonts w:ascii="Arial Narrow" w:eastAsia="Calibri" w:hAnsi="Arial Narrow"/>
                <w:sz w:val="20"/>
                <w:szCs w:val="20"/>
              </w:rPr>
              <w:t xml:space="preserve"> GENERAL - General Schedule (Code GE) </w:t>
            </w:r>
          </w:p>
          <w:p w14:paraId="2C73F902" w14:textId="68C017E2" w:rsidR="00A5207E" w:rsidRPr="002103BE" w:rsidRDefault="00A5207E" w:rsidP="00A5207E">
            <w:pPr>
              <w:keepLines/>
              <w:rPr>
                <w:rFonts w:ascii="Arial Narrow" w:hAnsi="Arial Narrow"/>
                <w:b/>
                <w:sz w:val="20"/>
                <w:szCs w:val="20"/>
              </w:rPr>
            </w:pPr>
          </w:p>
        </w:tc>
      </w:tr>
      <w:tr w:rsidR="00AC0494" w:rsidRPr="008C5D7B" w14:paraId="5BAAA74A" w14:textId="6E339219" w:rsidTr="00235BE2">
        <w:trPr>
          <w:cantSplit/>
          <w:trHeight w:val="20"/>
        </w:trPr>
        <w:tc>
          <w:tcPr>
            <w:tcW w:w="2174" w:type="pct"/>
            <w:vAlign w:val="center"/>
          </w:tcPr>
          <w:p w14:paraId="5FE3E9E4" w14:textId="62BFE00A" w:rsidR="00AC0494" w:rsidRPr="002103BE" w:rsidRDefault="00AC0494" w:rsidP="00C225D2">
            <w:pPr>
              <w:keepLines/>
              <w:rPr>
                <w:rFonts w:ascii="Arial Narrow" w:hAnsi="Arial Narrow"/>
                <w:b/>
                <w:bCs/>
                <w:sz w:val="20"/>
                <w:szCs w:val="20"/>
              </w:rPr>
            </w:pPr>
            <w:r w:rsidRPr="002103BE">
              <w:rPr>
                <w:rFonts w:ascii="Arial Narrow" w:hAnsi="Arial Narrow"/>
                <w:b/>
                <w:bCs/>
                <w:sz w:val="20"/>
                <w:szCs w:val="20"/>
              </w:rPr>
              <w:t>MEDICINAL PRODUCT</w:t>
            </w:r>
          </w:p>
          <w:p w14:paraId="4590C70A" w14:textId="62D6FA03" w:rsidR="00AC0494" w:rsidRPr="002103BE" w:rsidRDefault="00AC0494" w:rsidP="00C225D2">
            <w:pPr>
              <w:keepLines/>
              <w:rPr>
                <w:rFonts w:ascii="Arial Narrow" w:hAnsi="Arial Narrow"/>
                <w:b/>
                <w:sz w:val="20"/>
                <w:szCs w:val="20"/>
              </w:rPr>
            </w:pPr>
            <w:r w:rsidRPr="002103BE">
              <w:rPr>
                <w:rFonts w:ascii="Arial Narrow" w:hAnsi="Arial Narrow"/>
                <w:b/>
                <w:bCs/>
                <w:sz w:val="20"/>
                <w:szCs w:val="20"/>
              </w:rPr>
              <w:t>medicinal product pack</w:t>
            </w:r>
          </w:p>
        </w:tc>
        <w:tc>
          <w:tcPr>
            <w:tcW w:w="448" w:type="pct"/>
            <w:vAlign w:val="center"/>
          </w:tcPr>
          <w:p w14:paraId="5E30A418" w14:textId="448EA9BF"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PBS item code</w:t>
            </w:r>
          </w:p>
        </w:tc>
        <w:tc>
          <w:tcPr>
            <w:tcW w:w="448" w:type="pct"/>
            <w:vAlign w:val="center"/>
          </w:tcPr>
          <w:p w14:paraId="0B142847" w14:textId="5FCA1E65"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Max. qty packs</w:t>
            </w:r>
          </w:p>
        </w:tc>
        <w:tc>
          <w:tcPr>
            <w:tcW w:w="448" w:type="pct"/>
            <w:vAlign w:val="center"/>
          </w:tcPr>
          <w:p w14:paraId="1F59F36D" w14:textId="6DCFF2F4"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Max. qty units</w:t>
            </w:r>
          </w:p>
        </w:tc>
        <w:tc>
          <w:tcPr>
            <w:tcW w:w="448" w:type="pct"/>
            <w:vAlign w:val="center"/>
          </w:tcPr>
          <w:p w14:paraId="58DC68F3" w14:textId="1F67314B"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№.of</w:t>
            </w:r>
          </w:p>
          <w:p w14:paraId="1AB30FA4" w14:textId="683CC1E7" w:rsidR="00AC0494" w:rsidRPr="002103BE" w:rsidRDefault="00AC0494" w:rsidP="00C225D2">
            <w:pPr>
              <w:keepLines/>
              <w:jc w:val="center"/>
              <w:rPr>
                <w:rFonts w:ascii="Arial Narrow" w:hAnsi="Arial Narrow"/>
                <w:b/>
                <w:sz w:val="20"/>
                <w:szCs w:val="20"/>
              </w:rPr>
            </w:pPr>
            <w:proofErr w:type="spellStart"/>
            <w:r w:rsidRPr="002103BE">
              <w:rPr>
                <w:rFonts w:ascii="Arial Narrow" w:hAnsi="Arial Narrow"/>
                <w:b/>
                <w:sz w:val="20"/>
                <w:szCs w:val="20"/>
              </w:rPr>
              <w:t>Rpts</w:t>
            </w:r>
            <w:proofErr w:type="spellEnd"/>
          </w:p>
        </w:tc>
        <w:tc>
          <w:tcPr>
            <w:tcW w:w="1034" w:type="pct"/>
            <w:vAlign w:val="center"/>
          </w:tcPr>
          <w:p w14:paraId="626BC67D" w14:textId="38960466" w:rsidR="00AC0494" w:rsidRPr="002103BE" w:rsidRDefault="00AC0494" w:rsidP="00C225D2">
            <w:pPr>
              <w:keepLines/>
              <w:rPr>
                <w:rFonts w:ascii="Arial Narrow" w:hAnsi="Arial Narrow"/>
                <w:b/>
                <w:sz w:val="20"/>
                <w:szCs w:val="20"/>
              </w:rPr>
            </w:pPr>
            <w:r w:rsidRPr="002103BE">
              <w:rPr>
                <w:rFonts w:ascii="Arial Narrow" w:hAnsi="Arial Narrow"/>
                <w:b/>
                <w:sz w:val="20"/>
                <w:szCs w:val="20"/>
              </w:rPr>
              <w:t>Available brands</w:t>
            </w:r>
          </w:p>
        </w:tc>
      </w:tr>
      <w:tr w:rsidR="00AC0494" w:rsidRPr="008C5D7B" w14:paraId="10A8CF89" w14:textId="12C2C8D7" w:rsidTr="00235BE2">
        <w:trPr>
          <w:cantSplit/>
          <w:trHeight w:val="20"/>
        </w:trPr>
        <w:tc>
          <w:tcPr>
            <w:tcW w:w="5000" w:type="pct"/>
            <w:gridSpan w:val="6"/>
            <w:vAlign w:val="center"/>
          </w:tcPr>
          <w:p w14:paraId="3CE0A1B7" w14:textId="6EFD9ED2" w:rsidR="00AC0494" w:rsidRPr="002103BE" w:rsidRDefault="00AC0494" w:rsidP="00C225D2">
            <w:pPr>
              <w:keepLines/>
              <w:rPr>
                <w:rFonts w:ascii="Arial Narrow" w:hAnsi="Arial Narrow"/>
                <w:sz w:val="20"/>
                <w:szCs w:val="20"/>
              </w:rPr>
            </w:pPr>
            <w:r w:rsidRPr="002103BE">
              <w:rPr>
                <w:rFonts w:ascii="Arial Narrow" w:hAnsi="Arial Narrow"/>
                <w:sz w:val="20"/>
                <w:szCs w:val="20"/>
              </w:rPr>
              <w:t>VENETOCLAX</w:t>
            </w:r>
          </w:p>
        </w:tc>
      </w:tr>
      <w:tr w:rsidR="00AC0494" w:rsidRPr="008C5D7B" w14:paraId="3E966F61" w14:textId="6A7B75B5" w:rsidTr="00235BE2">
        <w:trPr>
          <w:cantSplit/>
          <w:trHeight w:val="20"/>
        </w:trPr>
        <w:tc>
          <w:tcPr>
            <w:tcW w:w="2174" w:type="pct"/>
            <w:vAlign w:val="center"/>
          </w:tcPr>
          <w:p w14:paraId="372E7D62" w14:textId="67A27924" w:rsidR="00AC0494" w:rsidRPr="002103BE" w:rsidRDefault="00AC0494" w:rsidP="00C225D2">
            <w:pPr>
              <w:keepLines/>
              <w:rPr>
                <w:rFonts w:ascii="Arial Narrow" w:hAnsi="Arial Narrow"/>
                <w:sz w:val="20"/>
                <w:szCs w:val="20"/>
              </w:rPr>
            </w:pPr>
            <w:r w:rsidRPr="002103BE">
              <w:rPr>
                <w:rFonts w:ascii="Arial Narrow" w:hAnsi="Arial Narrow"/>
                <w:sz w:val="20"/>
                <w:szCs w:val="20"/>
              </w:rPr>
              <w:lastRenderedPageBreak/>
              <w:t>venetoclax 10 mg tablet [14] (&amp;) venetoclax 50 mg tablet [7] (&amp;) venetoclax 100 mg tablet [7] (&amp;) venetoclax 100 mg tablet [14], 1 pack</w:t>
            </w:r>
          </w:p>
        </w:tc>
        <w:tc>
          <w:tcPr>
            <w:tcW w:w="448" w:type="pct"/>
            <w:vAlign w:val="center"/>
          </w:tcPr>
          <w:p w14:paraId="540520BE" w14:textId="609C9E6E" w:rsidR="00A5207E" w:rsidRDefault="00AC0494" w:rsidP="00A5207E">
            <w:pPr>
              <w:keepLines/>
              <w:jc w:val="center"/>
              <w:rPr>
                <w:rFonts w:ascii="Arial Narrow" w:hAnsi="Arial Narrow"/>
                <w:sz w:val="20"/>
                <w:szCs w:val="20"/>
              </w:rPr>
            </w:pPr>
            <w:r w:rsidRPr="002103BE">
              <w:rPr>
                <w:rFonts w:ascii="Arial Narrow" w:hAnsi="Arial Narrow"/>
                <w:sz w:val="20"/>
                <w:szCs w:val="20"/>
              </w:rPr>
              <w:t>NEW</w:t>
            </w:r>
            <w:r w:rsidR="00A5207E">
              <w:rPr>
                <w:rFonts w:ascii="Arial Narrow" w:hAnsi="Arial Narrow"/>
                <w:sz w:val="20"/>
                <w:szCs w:val="20"/>
              </w:rPr>
              <w:t xml:space="preserve"> 4</w:t>
            </w:r>
          </w:p>
          <w:p w14:paraId="0D8CDE70" w14:textId="2D0C9946" w:rsidR="00AC0494" w:rsidRPr="00244016" w:rsidRDefault="00A5207E" w:rsidP="00C225D2">
            <w:pPr>
              <w:keepLines/>
              <w:jc w:val="center"/>
              <w:rPr>
                <w:rFonts w:ascii="Arial Narrow" w:hAnsi="Arial Narrow"/>
                <w:sz w:val="12"/>
                <w:szCs w:val="12"/>
              </w:rPr>
            </w:pPr>
            <w:r w:rsidRPr="00244016">
              <w:rPr>
                <w:rFonts w:ascii="Arial Narrow" w:hAnsi="Arial Narrow"/>
                <w:sz w:val="12"/>
                <w:szCs w:val="12"/>
              </w:rPr>
              <w:t>MP</w:t>
            </w:r>
          </w:p>
        </w:tc>
        <w:tc>
          <w:tcPr>
            <w:tcW w:w="448" w:type="pct"/>
            <w:vAlign w:val="center"/>
          </w:tcPr>
          <w:p w14:paraId="703E2D40" w14:textId="3CE49E46"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1</w:t>
            </w:r>
          </w:p>
        </w:tc>
        <w:tc>
          <w:tcPr>
            <w:tcW w:w="448" w:type="pct"/>
            <w:vAlign w:val="center"/>
          </w:tcPr>
          <w:p w14:paraId="1C5AE3CB" w14:textId="616E6B16"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1</w:t>
            </w:r>
          </w:p>
        </w:tc>
        <w:tc>
          <w:tcPr>
            <w:tcW w:w="448" w:type="pct"/>
            <w:vAlign w:val="center"/>
          </w:tcPr>
          <w:p w14:paraId="65E199D1" w14:textId="2F786E35"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0</w:t>
            </w:r>
          </w:p>
        </w:tc>
        <w:tc>
          <w:tcPr>
            <w:tcW w:w="1034" w:type="pct"/>
            <w:vAlign w:val="center"/>
          </w:tcPr>
          <w:p w14:paraId="1AD6D42C" w14:textId="465CA039" w:rsidR="00AC0494" w:rsidRPr="002103BE" w:rsidRDefault="00AC0494" w:rsidP="00C225D2">
            <w:pPr>
              <w:keepLines/>
              <w:rPr>
                <w:rFonts w:ascii="Arial Narrow" w:hAnsi="Arial Narrow"/>
                <w:sz w:val="20"/>
                <w:szCs w:val="20"/>
              </w:rPr>
            </w:pPr>
            <w:proofErr w:type="spellStart"/>
            <w:r w:rsidRPr="002103BE">
              <w:rPr>
                <w:rFonts w:ascii="Arial Narrow" w:hAnsi="Arial Narrow"/>
                <w:sz w:val="20"/>
                <w:szCs w:val="20"/>
              </w:rPr>
              <w:t>Venclexta</w:t>
            </w:r>
            <w:proofErr w:type="spellEnd"/>
          </w:p>
        </w:tc>
      </w:tr>
      <w:tr w:rsidR="00AC0494" w:rsidRPr="008C5D7B" w14:paraId="0AB943F3" w14:textId="77A91471"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2C3BBC73" w14:textId="1D5F9A24" w:rsidR="00AC0494" w:rsidRPr="002103BE" w:rsidRDefault="00AC0494" w:rsidP="00C225D2">
            <w:pPr>
              <w:rPr>
                <w:rFonts w:ascii="Arial Narrow" w:hAnsi="Arial Narrow"/>
                <w:sz w:val="20"/>
                <w:szCs w:val="20"/>
              </w:rPr>
            </w:pPr>
          </w:p>
        </w:tc>
      </w:tr>
      <w:tr w:rsidR="00AC0494" w:rsidRPr="008C5D7B" w14:paraId="746A0B39" w14:textId="33B0355A" w:rsidTr="00235BE2">
        <w:tblPrEx>
          <w:tblCellMar>
            <w:top w:w="15" w:type="dxa"/>
            <w:bottom w:w="15" w:type="dxa"/>
          </w:tblCellMar>
          <w:tblLook w:val="04A0" w:firstRow="1" w:lastRow="0" w:firstColumn="1" w:lastColumn="0" w:noHBand="0" w:noVBand="1"/>
        </w:tblPrEx>
        <w:trPr>
          <w:trHeight w:val="286"/>
        </w:trPr>
        <w:tc>
          <w:tcPr>
            <w:tcW w:w="5000" w:type="pct"/>
            <w:gridSpan w:val="6"/>
            <w:tcBorders>
              <w:top w:val="single" w:sz="4" w:space="0" w:color="auto"/>
              <w:left w:val="single" w:sz="4" w:space="0" w:color="auto"/>
              <w:right w:val="single" w:sz="4" w:space="0" w:color="auto"/>
            </w:tcBorders>
            <w:vAlign w:val="center"/>
          </w:tcPr>
          <w:p w14:paraId="2247A121" w14:textId="52BFBFE1" w:rsidR="00A5207E" w:rsidRDefault="00AC0494" w:rsidP="00A5207E">
            <w:pPr>
              <w:keepLines/>
              <w:rPr>
                <w:rFonts w:ascii="Arial Narrow" w:hAnsi="Arial Narrow"/>
                <w:b/>
                <w:sz w:val="20"/>
                <w:szCs w:val="20"/>
              </w:rPr>
            </w:pPr>
            <w:r w:rsidRPr="002103BE">
              <w:rPr>
                <w:rFonts w:ascii="Arial Narrow" w:hAnsi="Arial Narrow"/>
                <w:b/>
                <w:sz w:val="20"/>
                <w:szCs w:val="20"/>
              </w:rPr>
              <w:t>Restriction Summary [new4]</w:t>
            </w:r>
            <w:r w:rsidRPr="002103BE">
              <w:rPr>
                <w:rFonts w:ascii="Arial Narrow" w:hAnsi="Arial Narrow"/>
                <w:b/>
                <w:color w:val="FF0000"/>
                <w:sz w:val="20"/>
                <w:szCs w:val="20"/>
              </w:rPr>
              <w:t xml:space="preserve"> </w:t>
            </w:r>
            <w:r w:rsidRPr="002103BE">
              <w:rPr>
                <w:rFonts w:ascii="Arial Narrow" w:hAnsi="Arial Narrow"/>
                <w:b/>
                <w:sz w:val="20"/>
                <w:szCs w:val="20"/>
              </w:rPr>
              <w:t>/ Treatment of Concept [new4</w:t>
            </w:r>
            <w:r w:rsidR="00A5207E" w:rsidRPr="002103BE">
              <w:rPr>
                <w:rFonts w:ascii="Arial Narrow" w:hAnsi="Arial Narrow"/>
                <w:b/>
                <w:sz w:val="20"/>
                <w:szCs w:val="20"/>
              </w:rPr>
              <w:t>]</w:t>
            </w:r>
            <w:r w:rsidR="00A5207E">
              <w:rPr>
                <w:rFonts w:ascii="Arial Narrow" w:hAnsi="Arial Narrow"/>
                <w:b/>
                <w:sz w:val="20"/>
                <w:szCs w:val="20"/>
              </w:rPr>
              <w:t>: Authority Required</w:t>
            </w:r>
          </w:p>
          <w:p w14:paraId="00706F4A" w14:textId="1EF18CB8" w:rsidR="00AC0494" w:rsidRPr="002103BE" w:rsidRDefault="00AC0494" w:rsidP="00C225D2">
            <w:pPr>
              <w:keepLines/>
              <w:rPr>
                <w:rFonts w:ascii="Arial Narrow" w:hAnsi="Arial Narrow"/>
                <w:b/>
                <w:sz w:val="20"/>
                <w:szCs w:val="20"/>
              </w:rPr>
            </w:pPr>
          </w:p>
        </w:tc>
      </w:tr>
      <w:tr w:rsidR="00235BE2" w:rsidRPr="008C5D7B" w14:paraId="249AFBB3" w14:textId="6A04BF34"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EA09F84" w14:textId="6129E1B6" w:rsidR="00235BE2" w:rsidRPr="002103BE" w:rsidRDefault="00235BE2" w:rsidP="00C225D2">
            <w:pPr>
              <w:rPr>
                <w:rFonts w:ascii="Arial Narrow" w:hAnsi="Arial Narrow"/>
                <w:b/>
                <w:bCs/>
                <w:color w:val="333333"/>
                <w:sz w:val="20"/>
                <w:szCs w:val="20"/>
              </w:rPr>
            </w:pPr>
            <w:r w:rsidRPr="002103BE">
              <w:rPr>
                <w:rFonts w:ascii="Arial Narrow" w:hAnsi="Arial Narrow"/>
                <w:b/>
                <w:bCs/>
                <w:color w:val="333333"/>
                <w:sz w:val="20"/>
                <w:szCs w:val="20"/>
              </w:rPr>
              <w:t xml:space="preserve">Administrative Advice: </w:t>
            </w:r>
          </w:p>
          <w:p w14:paraId="531468FD" w14:textId="06B896FE"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The latest International Workshop on CLL (</w:t>
            </w:r>
            <w:proofErr w:type="spellStart"/>
            <w:r w:rsidRPr="002103BE">
              <w:rPr>
                <w:rFonts w:ascii="Arial Narrow" w:hAnsi="Arial Narrow"/>
                <w:color w:val="333333"/>
                <w:sz w:val="20"/>
                <w:szCs w:val="20"/>
              </w:rPr>
              <w:t>iwCLL</w:t>
            </w:r>
            <w:proofErr w:type="spellEnd"/>
            <w:r w:rsidRPr="002103BE">
              <w:rPr>
                <w:rFonts w:ascii="Arial Narrow" w:hAnsi="Arial Narrow"/>
                <w:color w:val="333333"/>
                <w:sz w:val="20"/>
                <w:szCs w:val="20"/>
              </w:rPr>
              <w:t>) provides guidance on various aspects of management of CLL/SLL. Notably, two of these are:</w:t>
            </w:r>
          </w:p>
          <w:p w14:paraId="510C8A2D" w14:textId="7BC5651A"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(1) when to treat versus when to monitor the patient without therapy - see 'Indications for treatment' section; and</w:t>
            </w:r>
          </w:p>
          <w:p w14:paraId="691DB923" w14:textId="35F3FA24"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(2) recognising progressive disease - see 'Definition of response, relapse, and refractory disease' section.</w:t>
            </w:r>
          </w:p>
          <w:p w14:paraId="345456EC" w14:textId="258DD6EB"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See the following literature reference for details:</w:t>
            </w:r>
          </w:p>
          <w:p w14:paraId="22976218" w14:textId="7A4CA938" w:rsidR="00235BE2" w:rsidRPr="002103BE" w:rsidRDefault="00235BE2" w:rsidP="00C225D2">
            <w:pPr>
              <w:rPr>
                <w:rFonts w:ascii="Arial Narrow" w:hAnsi="Arial Narrow"/>
                <w:color w:val="333333"/>
                <w:sz w:val="20"/>
                <w:szCs w:val="20"/>
              </w:rPr>
            </w:pPr>
            <w:proofErr w:type="spellStart"/>
            <w:r w:rsidRPr="002103BE">
              <w:rPr>
                <w:rFonts w:ascii="Arial Narrow" w:hAnsi="Arial Narrow"/>
                <w:color w:val="333333"/>
                <w:sz w:val="20"/>
                <w:szCs w:val="20"/>
              </w:rPr>
              <w:t>Hallek</w:t>
            </w:r>
            <w:proofErr w:type="spellEnd"/>
            <w:r w:rsidRPr="002103BE">
              <w:rPr>
                <w:rFonts w:ascii="Arial Narrow" w:hAnsi="Arial Narrow"/>
                <w:color w:val="333333"/>
                <w:sz w:val="20"/>
                <w:szCs w:val="20"/>
              </w:rPr>
              <w:t xml:space="preserve">, M et al. </w:t>
            </w:r>
            <w:proofErr w:type="spellStart"/>
            <w:r w:rsidRPr="002103BE">
              <w:rPr>
                <w:rFonts w:ascii="Arial Narrow" w:hAnsi="Arial Narrow"/>
                <w:color w:val="333333"/>
                <w:sz w:val="20"/>
                <w:szCs w:val="20"/>
              </w:rPr>
              <w:t>iwCLL</w:t>
            </w:r>
            <w:proofErr w:type="spellEnd"/>
            <w:r w:rsidRPr="002103BE">
              <w:rPr>
                <w:rFonts w:ascii="Arial Narrow" w:hAnsi="Arial Narrow"/>
                <w:color w:val="333333"/>
                <w:sz w:val="20"/>
                <w:szCs w:val="20"/>
              </w:rPr>
              <w:t xml:space="preserve"> guidelines for diagnosis, indications for treatment, response assessment, and supportive management of CLL. Blood vol. 131, 25 (2018): 2745-2760.</w:t>
            </w:r>
          </w:p>
        </w:tc>
      </w:tr>
      <w:tr w:rsidR="00235BE2" w:rsidRPr="008C5D7B" w14:paraId="5470CB71" w14:textId="5A5C12B3"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6CEB4C5" w14:textId="1076220C" w:rsidR="00235BE2" w:rsidRPr="002103BE" w:rsidRDefault="00235BE2" w:rsidP="00C225D2">
            <w:pPr>
              <w:rPr>
                <w:rFonts w:ascii="Arial Narrow" w:hAnsi="Arial Narrow"/>
                <w:color w:val="333333"/>
                <w:sz w:val="20"/>
                <w:szCs w:val="20"/>
              </w:rPr>
            </w:pPr>
            <w:r w:rsidRPr="002103BE">
              <w:rPr>
                <w:rFonts w:ascii="Arial Narrow" w:hAnsi="Arial Narrow"/>
                <w:b/>
                <w:bCs/>
                <w:color w:val="333333"/>
                <w:sz w:val="20"/>
                <w:szCs w:val="20"/>
              </w:rPr>
              <w:t>Administrative Advice:</w:t>
            </w:r>
          </w:p>
          <w:p w14:paraId="52F9CE6B" w14:textId="19B54671" w:rsidR="00235BE2" w:rsidRPr="002103BE" w:rsidRDefault="00235BE2" w:rsidP="00C225D2">
            <w:pPr>
              <w:rPr>
                <w:rFonts w:ascii="Arial Narrow" w:hAnsi="Arial Narrow"/>
                <w:b/>
                <w:bCs/>
                <w:color w:val="333333"/>
                <w:sz w:val="20"/>
                <w:szCs w:val="20"/>
              </w:rPr>
            </w:pPr>
            <w:r w:rsidRPr="002103BE">
              <w:rPr>
                <w:rFonts w:ascii="Arial Narrow" w:hAnsi="Arial Narrow"/>
                <w:color w:val="333333"/>
                <w:sz w:val="20"/>
                <w:szCs w:val="20"/>
              </w:rPr>
              <w:t>A patient may only qualify for PBS-subsidised treatment under this restriction once in a lifetime.</w:t>
            </w:r>
          </w:p>
        </w:tc>
      </w:tr>
      <w:tr w:rsidR="00235BE2" w:rsidRPr="008C5D7B" w14:paraId="657EA788" w14:textId="0FDDC841"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0B3759DA" w14:textId="67BB19E8" w:rsidR="00235BE2" w:rsidRPr="002103BE" w:rsidRDefault="00235BE2" w:rsidP="00C225D2">
            <w:pPr>
              <w:rPr>
                <w:rFonts w:ascii="Arial Narrow" w:hAnsi="Arial Narrow"/>
                <w:b/>
                <w:bCs/>
                <w:color w:val="333333"/>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8C5D7B" w14:paraId="30C6E858" w14:textId="472AEC44"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E7E5D1C" w14:textId="31F961D5" w:rsidR="00235BE2" w:rsidRPr="002103BE" w:rsidRDefault="00235BE2" w:rsidP="00C225D2">
            <w:pPr>
              <w:rPr>
                <w:rFonts w:ascii="Arial Narrow" w:hAnsi="Arial Narrow"/>
                <w:b/>
                <w:bCs/>
                <w:color w:val="333333"/>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No increase in the maximum quantity or number of units may be authorised.</w:t>
            </w:r>
          </w:p>
        </w:tc>
      </w:tr>
      <w:tr w:rsidR="00235BE2" w:rsidRPr="008C5D7B" w14:paraId="0A55785A" w14:textId="3CFBBF73"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28DB90F9" w14:textId="7AE4F79A" w:rsidR="00235BE2" w:rsidRPr="002103BE" w:rsidRDefault="00235BE2" w:rsidP="00C225D2">
            <w:pPr>
              <w:rPr>
                <w:rFonts w:ascii="Arial Narrow" w:hAnsi="Arial Narrow"/>
                <w:b/>
                <w:bCs/>
                <w:color w:val="333333"/>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No increase in the maximum number of repeats may be authorised.</w:t>
            </w:r>
          </w:p>
        </w:tc>
      </w:tr>
      <w:tr w:rsidR="00235BE2" w:rsidRPr="008C5D7B" w14:paraId="577BDB26" w14:textId="48BB425C" w:rsidTr="00235BE2">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847D9D0" w14:textId="0A2F040E" w:rsidR="00235BE2" w:rsidRPr="002103BE" w:rsidRDefault="00235BE2" w:rsidP="00C225D2">
            <w:pPr>
              <w:rPr>
                <w:rFonts w:ascii="Arial Narrow" w:hAnsi="Arial Narrow"/>
                <w:b/>
                <w:bCs/>
                <w:color w:val="333333"/>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Special Pricing Arrangements apply.</w:t>
            </w:r>
          </w:p>
        </w:tc>
      </w:tr>
      <w:tr w:rsidR="00235BE2" w:rsidRPr="008C5D7B" w14:paraId="233AE31B" w14:textId="3E77542E"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E36467D" w14:textId="1491F52C" w:rsidR="00235BE2" w:rsidRPr="002103BE" w:rsidRDefault="00235BE2" w:rsidP="00C225D2">
            <w:pPr>
              <w:keepLines/>
              <w:rPr>
                <w:rFonts w:ascii="Arial Narrow" w:hAnsi="Arial Narrow"/>
                <w:color w:val="333333"/>
                <w:sz w:val="20"/>
                <w:szCs w:val="20"/>
              </w:rPr>
            </w:pPr>
            <w:r w:rsidRPr="002103BE">
              <w:rPr>
                <w:rFonts w:ascii="Arial Narrow" w:hAnsi="Arial Narrow"/>
                <w:b/>
                <w:bCs/>
                <w:color w:val="333333"/>
                <w:sz w:val="20"/>
                <w:szCs w:val="20"/>
              </w:rPr>
              <w:t>Indication:</w:t>
            </w:r>
            <w:r w:rsidRPr="002103BE">
              <w:rPr>
                <w:rFonts w:ascii="Arial Narrow" w:hAnsi="Arial Narrow"/>
                <w:color w:val="333333"/>
                <w:sz w:val="20"/>
                <w:szCs w:val="20"/>
              </w:rPr>
              <w:t xml:space="preserve"> Chronic lymphocytic leukaemia (CLL) or small lymphocytic lymphoma (SLL)</w:t>
            </w:r>
          </w:p>
        </w:tc>
      </w:tr>
      <w:tr w:rsidR="00235BE2" w:rsidRPr="008C5D7B" w14:paraId="47BBE4DD" w14:textId="7EDE261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150E707" w14:textId="13249E6B" w:rsidR="00235BE2" w:rsidRPr="002103BE" w:rsidRDefault="00235BE2" w:rsidP="00C225D2">
            <w:pPr>
              <w:rPr>
                <w:rFonts w:ascii="Arial Narrow" w:hAnsi="Arial Narrow"/>
                <w:sz w:val="20"/>
                <w:szCs w:val="20"/>
              </w:rPr>
            </w:pPr>
            <w:r w:rsidRPr="002103BE">
              <w:rPr>
                <w:rFonts w:ascii="Arial Narrow" w:hAnsi="Arial Narrow"/>
                <w:b/>
                <w:bCs/>
                <w:sz w:val="20"/>
                <w:szCs w:val="20"/>
              </w:rPr>
              <w:t>Treatment Phase:</w:t>
            </w:r>
            <w:r w:rsidRPr="002103BE">
              <w:rPr>
                <w:rFonts w:ascii="Arial Narrow" w:hAnsi="Arial Narrow"/>
                <w:sz w:val="20"/>
                <w:szCs w:val="20"/>
              </w:rPr>
              <w:t xml:space="preserve"> Initial treatment in first-line therapy with acalabrutinib - Dose titration (cycle 3) </w:t>
            </w:r>
          </w:p>
        </w:tc>
      </w:tr>
      <w:tr w:rsidR="00235BE2" w:rsidRPr="008C5D7B" w14:paraId="6BFAC11F" w14:textId="1A1BB946"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385B842" w14:textId="221BA87E" w:rsidR="00235BE2" w:rsidRPr="002103BE" w:rsidRDefault="00235BE2" w:rsidP="00C225D2">
            <w:pPr>
              <w:rPr>
                <w:rFonts w:ascii="Arial Narrow" w:hAnsi="Arial Narrow"/>
                <w:sz w:val="20"/>
                <w:szCs w:val="20"/>
              </w:rPr>
            </w:pPr>
            <w:r w:rsidRPr="002103BE">
              <w:rPr>
                <w:rFonts w:ascii="Arial Narrow" w:hAnsi="Arial Narrow"/>
                <w:b/>
                <w:bCs/>
                <w:color w:val="333333"/>
                <w:sz w:val="20"/>
                <w:szCs w:val="20"/>
              </w:rPr>
              <w:t>Clinical criteria:</w:t>
            </w:r>
            <w:r w:rsidRPr="002103BE">
              <w:rPr>
                <w:rFonts w:ascii="Arial Narrow" w:hAnsi="Arial Narrow"/>
                <w:bCs/>
                <w:color w:val="FF0000"/>
                <w:sz w:val="20"/>
                <w:szCs w:val="20"/>
              </w:rPr>
              <w:tab/>
            </w:r>
          </w:p>
        </w:tc>
      </w:tr>
      <w:tr w:rsidR="00235BE2" w:rsidRPr="008C5D7B" w14:paraId="5EF6CFA4" w14:textId="0CA174E6"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51C6FB8" w14:textId="2ADA1D44"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The condition must be untreated with venetoclax at the time of the first dose of this drug</w:t>
            </w:r>
            <w:r>
              <w:rPr>
                <w:rFonts w:ascii="Arial Narrow" w:hAnsi="Arial Narrow"/>
                <w:color w:val="333333"/>
                <w:sz w:val="20"/>
                <w:szCs w:val="20"/>
              </w:rPr>
              <w:t>; or</w:t>
            </w:r>
            <w:r w:rsidRPr="002103BE">
              <w:rPr>
                <w:rFonts w:ascii="Arial Narrow" w:hAnsi="Arial Narrow"/>
                <w:color w:val="333333"/>
                <w:sz w:val="20"/>
                <w:szCs w:val="20"/>
              </w:rPr>
              <w:tab/>
            </w:r>
          </w:p>
        </w:tc>
      </w:tr>
      <w:tr w:rsidR="00235BE2" w:rsidRPr="008C5D7B" w14:paraId="5FD8D13C" w14:textId="70B018F9"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979916" w14:textId="680DB39A" w:rsidR="00235BE2" w:rsidRPr="002103BE" w:rsidRDefault="00235BE2" w:rsidP="00C225D2">
            <w:pPr>
              <w:rPr>
                <w:rFonts w:ascii="Arial Narrow" w:hAnsi="Arial Narrow"/>
                <w:color w:val="333333"/>
                <w:sz w:val="20"/>
                <w:szCs w:val="20"/>
              </w:rPr>
            </w:pPr>
            <w:r w:rsidRPr="002103BE">
              <w:rPr>
                <w:rFonts w:ascii="Arial Narrow" w:hAnsi="Arial Narrow"/>
                <w:sz w:val="20"/>
                <w:szCs w:val="20"/>
              </w:rPr>
              <w:t>Patient must have developed an intolerance of a severity necessitating permanent treatment withdrawal following use of another drug PBS indicated as first-line drug treatment of CLL/SLL</w:t>
            </w:r>
          </w:p>
        </w:tc>
      </w:tr>
      <w:tr w:rsidR="00235BE2" w:rsidRPr="008C5D7B" w14:paraId="379CCA2B" w14:textId="30D4C6EA"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31CEC29" w14:textId="67833D55" w:rsidR="00235BE2" w:rsidRPr="002103BE" w:rsidRDefault="00235BE2" w:rsidP="00C225D2">
            <w:pPr>
              <w:rPr>
                <w:rFonts w:ascii="Arial Narrow" w:hAnsi="Arial Narrow"/>
                <w:sz w:val="20"/>
                <w:szCs w:val="20"/>
              </w:rPr>
            </w:pPr>
            <w:r w:rsidRPr="002103BE">
              <w:rPr>
                <w:rFonts w:ascii="Arial Narrow" w:hAnsi="Arial Narrow"/>
                <w:b/>
                <w:bCs/>
                <w:sz w:val="20"/>
                <w:szCs w:val="20"/>
              </w:rPr>
              <w:t>AND</w:t>
            </w:r>
          </w:p>
        </w:tc>
      </w:tr>
      <w:tr w:rsidR="00235BE2" w:rsidRPr="008C5D7B" w14:paraId="2CC2B4EF" w14:textId="6ACC1341"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0B00BD4" w14:textId="267B7F36" w:rsidR="00235BE2" w:rsidRPr="002103BE" w:rsidRDefault="00235BE2" w:rsidP="00C225D2">
            <w:pPr>
              <w:rPr>
                <w:rFonts w:ascii="Arial Narrow" w:hAnsi="Arial Narrow"/>
                <w:sz w:val="20"/>
                <w:szCs w:val="20"/>
              </w:rPr>
            </w:pPr>
            <w:r w:rsidRPr="002103BE">
              <w:rPr>
                <w:rFonts w:ascii="Arial Narrow" w:hAnsi="Arial Narrow"/>
                <w:b/>
                <w:bCs/>
                <w:sz w:val="20"/>
                <w:szCs w:val="20"/>
              </w:rPr>
              <w:t>Clinical criteria:</w:t>
            </w:r>
          </w:p>
        </w:tc>
      </w:tr>
      <w:tr w:rsidR="00235BE2" w:rsidRPr="008C5D7B" w14:paraId="06E55139" w14:textId="380B5A3A"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34C7304" w14:textId="20CB7319" w:rsidR="00235BE2" w:rsidRPr="002103BE" w:rsidRDefault="00235BE2" w:rsidP="00C225D2">
            <w:pPr>
              <w:rPr>
                <w:rFonts w:ascii="Arial Narrow" w:hAnsi="Arial Narrow"/>
                <w:bCs/>
                <w:sz w:val="20"/>
                <w:szCs w:val="20"/>
              </w:rPr>
            </w:pPr>
            <w:r w:rsidRPr="002103BE">
              <w:rPr>
                <w:rFonts w:ascii="Arial Narrow" w:hAnsi="Arial Narrow"/>
                <w:bCs/>
                <w:sz w:val="20"/>
                <w:szCs w:val="20"/>
              </w:rPr>
              <w:t>The treatment must only be prescribed for a patient with active disease in accordance with the International Workshop on CLL (</w:t>
            </w:r>
            <w:proofErr w:type="spellStart"/>
            <w:r w:rsidRPr="002103BE">
              <w:rPr>
                <w:rFonts w:ascii="Arial Narrow" w:hAnsi="Arial Narrow"/>
                <w:bCs/>
                <w:sz w:val="20"/>
                <w:szCs w:val="20"/>
              </w:rPr>
              <w:t>iwCLL</w:t>
            </w:r>
            <w:proofErr w:type="spellEnd"/>
            <w:r w:rsidRPr="002103BE">
              <w:rPr>
                <w:rFonts w:ascii="Arial Narrow" w:hAnsi="Arial Narrow"/>
                <w:bCs/>
                <w:sz w:val="20"/>
                <w:szCs w:val="20"/>
              </w:rPr>
              <w:t>) guidance (latest version) in relation to when to prescribe drug treatment for this condition</w:t>
            </w:r>
          </w:p>
        </w:tc>
      </w:tr>
      <w:tr w:rsidR="00235BE2" w:rsidRPr="008C5D7B" w14:paraId="0F3AD51D" w14:textId="10F5A254"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0F8434E" w14:textId="7632ABCC" w:rsidR="00235BE2" w:rsidRPr="002103BE" w:rsidRDefault="00235BE2" w:rsidP="00C225D2">
            <w:pPr>
              <w:rPr>
                <w:rFonts w:ascii="Arial Narrow" w:hAnsi="Arial Narrow"/>
                <w:sz w:val="20"/>
                <w:szCs w:val="20"/>
              </w:rPr>
            </w:pPr>
            <w:r w:rsidRPr="002103BE">
              <w:rPr>
                <w:rFonts w:ascii="Arial Narrow" w:hAnsi="Arial Narrow"/>
                <w:b/>
                <w:bCs/>
                <w:sz w:val="20"/>
                <w:szCs w:val="20"/>
              </w:rPr>
              <w:t>AND</w:t>
            </w:r>
          </w:p>
        </w:tc>
      </w:tr>
      <w:tr w:rsidR="00235BE2" w:rsidRPr="008C5D7B" w14:paraId="435758D5" w14:textId="72A27D25"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A97F9CF" w14:textId="4A246E26" w:rsidR="00235BE2" w:rsidRPr="002103BE" w:rsidRDefault="00235BE2" w:rsidP="00C225D2">
            <w:pPr>
              <w:rPr>
                <w:rFonts w:ascii="Arial Narrow" w:hAnsi="Arial Narrow"/>
                <w:sz w:val="20"/>
                <w:szCs w:val="20"/>
              </w:rPr>
            </w:pPr>
            <w:r w:rsidRPr="002103BE">
              <w:rPr>
                <w:rFonts w:ascii="Arial Narrow" w:hAnsi="Arial Narrow"/>
                <w:b/>
                <w:bCs/>
                <w:sz w:val="20"/>
                <w:szCs w:val="20"/>
              </w:rPr>
              <w:t>Clinical criteria:</w:t>
            </w:r>
          </w:p>
        </w:tc>
      </w:tr>
      <w:tr w:rsidR="00235BE2" w:rsidRPr="008C5D7B" w14:paraId="6FDBBCC5" w14:textId="4EB23A9C"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58163BB" w14:textId="47D888E2" w:rsidR="00235BE2" w:rsidRPr="002103BE" w:rsidRDefault="00235BE2" w:rsidP="00C225D2">
            <w:pPr>
              <w:rPr>
                <w:rFonts w:ascii="Arial Narrow" w:hAnsi="Arial Narrow"/>
                <w:bCs/>
                <w:sz w:val="20"/>
                <w:szCs w:val="20"/>
              </w:rPr>
            </w:pPr>
            <w:r w:rsidRPr="002103BE">
              <w:rPr>
                <w:rFonts w:ascii="Arial Narrow" w:hAnsi="Arial Narrow"/>
                <w:bCs/>
                <w:sz w:val="20"/>
                <w:szCs w:val="20"/>
              </w:rPr>
              <w:t xml:space="preserve">The treatment must be in combination with acalabrutinib </w:t>
            </w:r>
          </w:p>
        </w:tc>
      </w:tr>
      <w:tr w:rsidR="00235BE2" w:rsidRPr="008C5D7B" w14:paraId="1A0746FB" w14:textId="062C8634"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948D45A" w14:textId="6EB08D60" w:rsidR="00235BE2" w:rsidRPr="002103BE" w:rsidRDefault="00235BE2" w:rsidP="00C225D2">
            <w:pPr>
              <w:rPr>
                <w:rFonts w:ascii="Arial Narrow" w:hAnsi="Arial Narrow"/>
                <w:bCs/>
                <w:sz w:val="20"/>
                <w:szCs w:val="20"/>
              </w:rPr>
            </w:pPr>
            <w:r w:rsidRPr="002103BE">
              <w:rPr>
                <w:rFonts w:ascii="Arial Narrow" w:hAnsi="Arial Narrow"/>
                <w:b/>
                <w:bCs/>
                <w:sz w:val="20"/>
                <w:szCs w:val="20"/>
              </w:rPr>
              <w:t>AND</w:t>
            </w:r>
          </w:p>
        </w:tc>
      </w:tr>
      <w:tr w:rsidR="00235BE2" w:rsidRPr="008C5D7B" w14:paraId="452A435B" w14:textId="76B63C7B"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DED1F9" w14:textId="4F687DFD" w:rsidR="00235BE2" w:rsidRPr="002103BE" w:rsidRDefault="00235BE2" w:rsidP="00C225D2">
            <w:pPr>
              <w:rPr>
                <w:rFonts w:ascii="Arial Narrow" w:hAnsi="Arial Narrow"/>
                <w:bCs/>
                <w:sz w:val="20"/>
                <w:szCs w:val="20"/>
              </w:rPr>
            </w:pPr>
            <w:r w:rsidRPr="002103BE">
              <w:rPr>
                <w:rFonts w:ascii="Arial Narrow" w:hAnsi="Arial Narrow"/>
                <w:b/>
                <w:bCs/>
                <w:sz w:val="20"/>
                <w:szCs w:val="20"/>
              </w:rPr>
              <w:t>Clinical criteria:</w:t>
            </w:r>
          </w:p>
        </w:tc>
      </w:tr>
      <w:tr w:rsidR="00235BE2" w:rsidRPr="008C5D7B" w14:paraId="5765B134" w14:textId="7EBF076E"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E860B20" w14:textId="1B43451C" w:rsidR="00235BE2" w:rsidRPr="002103BE" w:rsidRDefault="00235BE2" w:rsidP="00C225D2">
            <w:pPr>
              <w:rPr>
                <w:rFonts w:ascii="Arial Narrow" w:hAnsi="Arial Narrow"/>
                <w:bCs/>
                <w:sz w:val="20"/>
                <w:szCs w:val="20"/>
              </w:rPr>
            </w:pPr>
            <w:r w:rsidRPr="002103BE">
              <w:rPr>
                <w:rFonts w:ascii="Arial Narrow" w:hAnsi="Arial Narrow"/>
                <w:bCs/>
                <w:sz w:val="20"/>
                <w:szCs w:val="20"/>
              </w:rPr>
              <w:t>The treatment must not be in combination with obinutuzumab</w:t>
            </w:r>
          </w:p>
        </w:tc>
      </w:tr>
    </w:tbl>
    <w:p w14:paraId="734BF061" w14:textId="018CF303" w:rsidR="00AC0494" w:rsidRPr="008C5D7B" w:rsidRDefault="00AC0494" w:rsidP="00AC0494"/>
    <w:p w14:paraId="766818DC" w14:textId="5F1EB9DA" w:rsidR="000756A4" w:rsidRPr="00221BF5" w:rsidRDefault="00AC0494" w:rsidP="00F5623A">
      <w:pPr>
        <w:jc w:val="left"/>
        <w:rPr>
          <w:rFonts w:ascii="Arial Narrow" w:hAnsi="Arial Narrow"/>
          <w:b/>
          <w:bCs/>
          <w:sz w:val="20"/>
          <w:szCs w:val="20"/>
        </w:rPr>
      </w:pPr>
      <w:r w:rsidRPr="00221BF5">
        <w:rPr>
          <w:rFonts w:ascii="Arial Narrow" w:hAnsi="Arial Narrow" w:cstheme="minorHAnsi"/>
          <w:b/>
          <w:bCs/>
          <w:sz w:val="20"/>
          <w:szCs w:val="20"/>
        </w:rPr>
        <w:t xml:space="preserve">First continuing treatment (Cycle 4-8)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low ons to venetoclax - First continuing treatment (Cycle 4-8) "/>
      </w:tblPr>
      <w:tblGrid>
        <w:gridCol w:w="3943"/>
        <w:gridCol w:w="813"/>
        <w:gridCol w:w="812"/>
        <w:gridCol w:w="812"/>
        <w:gridCol w:w="812"/>
        <w:gridCol w:w="1875"/>
      </w:tblGrid>
      <w:tr w:rsidR="00AC0494" w:rsidRPr="002103BE" w14:paraId="2FA9AF6D" w14:textId="0963ABFB" w:rsidTr="00235BE2">
        <w:trPr>
          <w:cantSplit/>
          <w:trHeight w:val="20"/>
        </w:trPr>
        <w:tc>
          <w:tcPr>
            <w:tcW w:w="2174" w:type="pct"/>
            <w:vAlign w:val="center"/>
          </w:tcPr>
          <w:p w14:paraId="2E7DF5AB" w14:textId="3F686CA6" w:rsidR="00AC0494" w:rsidRPr="002103BE" w:rsidRDefault="00AC0494" w:rsidP="00C225D2">
            <w:pPr>
              <w:keepLines/>
              <w:rPr>
                <w:rFonts w:ascii="Arial Narrow" w:hAnsi="Arial Narrow"/>
                <w:b/>
                <w:bCs/>
                <w:sz w:val="20"/>
                <w:szCs w:val="20"/>
              </w:rPr>
            </w:pPr>
            <w:r w:rsidRPr="002103BE">
              <w:rPr>
                <w:rFonts w:ascii="Arial Narrow" w:hAnsi="Arial Narrow"/>
                <w:b/>
                <w:bCs/>
                <w:sz w:val="20"/>
                <w:szCs w:val="20"/>
              </w:rPr>
              <w:t>MEDICINAL PRODUCT</w:t>
            </w:r>
          </w:p>
          <w:p w14:paraId="3146689B" w14:textId="06131B81" w:rsidR="00AC0494" w:rsidRPr="002103BE" w:rsidRDefault="00AC0494" w:rsidP="00C225D2">
            <w:pPr>
              <w:keepLines/>
              <w:rPr>
                <w:rFonts w:ascii="Arial Narrow" w:hAnsi="Arial Narrow"/>
                <w:b/>
                <w:sz w:val="20"/>
                <w:szCs w:val="20"/>
              </w:rPr>
            </w:pPr>
            <w:r w:rsidRPr="002103BE">
              <w:rPr>
                <w:rFonts w:ascii="Arial Narrow" w:hAnsi="Arial Narrow"/>
                <w:b/>
                <w:bCs/>
                <w:sz w:val="20"/>
                <w:szCs w:val="20"/>
              </w:rPr>
              <w:t>medicinal product pack</w:t>
            </w:r>
          </w:p>
        </w:tc>
        <w:tc>
          <w:tcPr>
            <w:tcW w:w="448" w:type="pct"/>
            <w:vAlign w:val="center"/>
          </w:tcPr>
          <w:p w14:paraId="7527C0B9" w14:textId="3DA501B7"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PBS item code</w:t>
            </w:r>
          </w:p>
        </w:tc>
        <w:tc>
          <w:tcPr>
            <w:tcW w:w="448" w:type="pct"/>
            <w:vAlign w:val="center"/>
          </w:tcPr>
          <w:p w14:paraId="11195ED0" w14:textId="69E23889"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Max. qty packs</w:t>
            </w:r>
          </w:p>
        </w:tc>
        <w:tc>
          <w:tcPr>
            <w:tcW w:w="448" w:type="pct"/>
            <w:vAlign w:val="center"/>
          </w:tcPr>
          <w:p w14:paraId="155710BB" w14:textId="5E99A28A"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Max. qty units</w:t>
            </w:r>
          </w:p>
        </w:tc>
        <w:tc>
          <w:tcPr>
            <w:tcW w:w="448" w:type="pct"/>
            <w:vAlign w:val="center"/>
          </w:tcPr>
          <w:p w14:paraId="48298E21" w14:textId="06786786" w:rsidR="00AC0494" w:rsidRPr="002103BE" w:rsidRDefault="00AC0494" w:rsidP="00C225D2">
            <w:pPr>
              <w:keepLines/>
              <w:jc w:val="center"/>
              <w:rPr>
                <w:rFonts w:ascii="Arial Narrow" w:hAnsi="Arial Narrow"/>
                <w:b/>
                <w:sz w:val="20"/>
                <w:szCs w:val="20"/>
              </w:rPr>
            </w:pPr>
            <w:r w:rsidRPr="002103BE">
              <w:rPr>
                <w:rFonts w:ascii="Arial Narrow" w:hAnsi="Arial Narrow"/>
                <w:b/>
                <w:sz w:val="20"/>
                <w:szCs w:val="20"/>
              </w:rPr>
              <w:t>№.of</w:t>
            </w:r>
          </w:p>
          <w:p w14:paraId="7D3E6AAA" w14:textId="241464A8" w:rsidR="00AC0494" w:rsidRPr="002103BE" w:rsidRDefault="00AC0494" w:rsidP="00C225D2">
            <w:pPr>
              <w:keepLines/>
              <w:jc w:val="center"/>
              <w:rPr>
                <w:rFonts w:ascii="Arial Narrow" w:hAnsi="Arial Narrow"/>
                <w:b/>
                <w:sz w:val="20"/>
                <w:szCs w:val="20"/>
              </w:rPr>
            </w:pPr>
            <w:proofErr w:type="spellStart"/>
            <w:r w:rsidRPr="002103BE">
              <w:rPr>
                <w:rFonts w:ascii="Arial Narrow" w:hAnsi="Arial Narrow"/>
                <w:b/>
                <w:sz w:val="20"/>
                <w:szCs w:val="20"/>
              </w:rPr>
              <w:t>Rpts</w:t>
            </w:r>
            <w:proofErr w:type="spellEnd"/>
          </w:p>
        </w:tc>
        <w:tc>
          <w:tcPr>
            <w:tcW w:w="1035" w:type="pct"/>
            <w:vAlign w:val="center"/>
          </w:tcPr>
          <w:p w14:paraId="5E8F046D" w14:textId="15E4E64C" w:rsidR="00AC0494" w:rsidRPr="002103BE" w:rsidRDefault="00AC0494" w:rsidP="00C225D2">
            <w:pPr>
              <w:keepLines/>
              <w:rPr>
                <w:rFonts w:ascii="Arial Narrow" w:hAnsi="Arial Narrow"/>
                <w:b/>
                <w:sz w:val="20"/>
                <w:szCs w:val="20"/>
              </w:rPr>
            </w:pPr>
            <w:r w:rsidRPr="002103BE">
              <w:rPr>
                <w:rFonts w:ascii="Arial Narrow" w:hAnsi="Arial Narrow"/>
                <w:b/>
                <w:sz w:val="20"/>
                <w:szCs w:val="20"/>
              </w:rPr>
              <w:t>Available brands</w:t>
            </w:r>
          </w:p>
        </w:tc>
      </w:tr>
      <w:tr w:rsidR="00AC0494" w:rsidRPr="002103BE" w14:paraId="0C41BE52" w14:textId="26A777B0" w:rsidTr="00235BE2">
        <w:trPr>
          <w:cantSplit/>
          <w:trHeight w:val="20"/>
        </w:trPr>
        <w:tc>
          <w:tcPr>
            <w:tcW w:w="5000" w:type="pct"/>
            <w:gridSpan w:val="6"/>
            <w:vAlign w:val="center"/>
          </w:tcPr>
          <w:p w14:paraId="1BBBBCAB" w14:textId="00AA7718" w:rsidR="00AC0494" w:rsidRPr="002103BE" w:rsidRDefault="00AC0494" w:rsidP="00C225D2">
            <w:pPr>
              <w:keepLines/>
              <w:rPr>
                <w:rFonts w:ascii="Arial Narrow" w:hAnsi="Arial Narrow"/>
                <w:sz w:val="20"/>
                <w:szCs w:val="20"/>
              </w:rPr>
            </w:pPr>
            <w:r w:rsidRPr="002103BE">
              <w:rPr>
                <w:rFonts w:ascii="Arial Narrow" w:hAnsi="Arial Narrow"/>
                <w:sz w:val="20"/>
                <w:szCs w:val="20"/>
              </w:rPr>
              <w:t>VENETOCLAX</w:t>
            </w:r>
          </w:p>
        </w:tc>
      </w:tr>
      <w:tr w:rsidR="00AC0494" w:rsidRPr="002103BE" w14:paraId="202D6E6E" w14:textId="7C7A12B5" w:rsidTr="00235BE2">
        <w:trPr>
          <w:cantSplit/>
          <w:trHeight w:val="20"/>
        </w:trPr>
        <w:tc>
          <w:tcPr>
            <w:tcW w:w="2174" w:type="pct"/>
            <w:vAlign w:val="center"/>
          </w:tcPr>
          <w:p w14:paraId="512F0D3B" w14:textId="0B8C0945" w:rsidR="00AC0494" w:rsidRPr="002103BE" w:rsidRDefault="00AC0494" w:rsidP="00C225D2">
            <w:pPr>
              <w:keepLines/>
              <w:rPr>
                <w:rFonts w:ascii="Arial Narrow" w:hAnsi="Arial Narrow"/>
                <w:sz w:val="20"/>
                <w:szCs w:val="20"/>
              </w:rPr>
            </w:pPr>
            <w:r w:rsidRPr="002103BE">
              <w:rPr>
                <w:rFonts w:ascii="Arial Narrow" w:hAnsi="Arial Narrow"/>
                <w:sz w:val="20"/>
                <w:szCs w:val="20"/>
              </w:rPr>
              <w:t>venetoclax 100 mg tablet, 120</w:t>
            </w:r>
          </w:p>
        </w:tc>
        <w:tc>
          <w:tcPr>
            <w:tcW w:w="448" w:type="pct"/>
            <w:vAlign w:val="center"/>
          </w:tcPr>
          <w:p w14:paraId="5294C890" w14:textId="77777777" w:rsidR="005A460C" w:rsidRDefault="00AC0494" w:rsidP="00C225D2">
            <w:pPr>
              <w:keepLines/>
              <w:jc w:val="center"/>
              <w:rPr>
                <w:rFonts w:ascii="Arial Narrow" w:hAnsi="Arial Narrow"/>
                <w:sz w:val="20"/>
                <w:szCs w:val="20"/>
              </w:rPr>
            </w:pPr>
            <w:r w:rsidRPr="002103BE">
              <w:rPr>
                <w:rFonts w:ascii="Arial Narrow" w:hAnsi="Arial Narrow"/>
                <w:sz w:val="20"/>
                <w:szCs w:val="20"/>
              </w:rPr>
              <w:t>NEW</w:t>
            </w:r>
            <w:r w:rsidR="000605FA">
              <w:rPr>
                <w:rFonts w:ascii="Arial Narrow" w:hAnsi="Arial Narrow"/>
                <w:sz w:val="20"/>
                <w:szCs w:val="20"/>
              </w:rPr>
              <w:t xml:space="preserve"> 5</w:t>
            </w:r>
          </w:p>
          <w:p w14:paraId="151B682D" w14:textId="67D2C509" w:rsidR="000605FA" w:rsidRPr="000605FA" w:rsidRDefault="000605FA" w:rsidP="00C225D2">
            <w:pPr>
              <w:keepLines/>
              <w:jc w:val="center"/>
              <w:rPr>
                <w:rFonts w:ascii="Arial Narrow" w:hAnsi="Arial Narrow"/>
                <w:sz w:val="12"/>
                <w:szCs w:val="12"/>
              </w:rPr>
            </w:pPr>
            <w:r w:rsidRPr="000605FA">
              <w:rPr>
                <w:rFonts w:ascii="Arial Narrow" w:hAnsi="Arial Narrow"/>
                <w:sz w:val="12"/>
                <w:szCs w:val="12"/>
              </w:rPr>
              <w:t>MP</w:t>
            </w:r>
          </w:p>
        </w:tc>
        <w:tc>
          <w:tcPr>
            <w:tcW w:w="448" w:type="pct"/>
            <w:vAlign w:val="center"/>
          </w:tcPr>
          <w:p w14:paraId="577854B9" w14:textId="6AB49517"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1</w:t>
            </w:r>
          </w:p>
        </w:tc>
        <w:tc>
          <w:tcPr>
            <w:tcW w:w="448" w:type="pct"/>
            <w:vAlign w:val="center"/>
          </w:tcPr>
          <w:p w14:paraId="3E5716E6" w14:textId="25532C50"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120</w:t>
            </w:r>
          </w:p>
        </w:tc>
        <w:tc>
          <w:tcPr>
            <w:tcW w:w="448" w:type="pct"/>
            <w:vAlign w:val="center"/>
          </w:tcPr>
          <w:p w14:paraId="2E16394B" w14:textId="2B1F0C79" w:rsidR="00AC0494" w:rsidRPr="002103BE" w:rsidRDefault="00AC0494" w:rsidP="00C225D2">
            <w:pPr>
              <w:keepLines/>
              <w:jc w:val="center"/>
              <w:rPr>
                <w:rFonts w:ascii="Arial Narrow" w:hAnsi="Arial Narrow"/>
                <w:sz w:val="20"/>
                <w:szCs w:val="20"/>
              </w:rPr>
            </w:pPr>
            <w:r w:rsidRPr="002103BE">
              <w:rPr>
                <w:rFonts w:ascii="Arial Narrow" w:hAnsi="Arial Narrow"/>
                <w:sz w:val="20"/>
                <w:szCs w:val="20"/>
              </w:rPr>
              <w:t>4</w:t>
            </w:r>
          </w:p>
        </w:tc>
        <w:tc>
          <w:tcPr>
            <w:tcW w:w="1035" w:type="pct"/>
            <w:vAlign w:val="center"/>
          </w:tcPr>
          <w:p w14:paraId="25A0AD84" w14:textId="48082B83" w:rsidR="00AC0494" w:rsidRPr="002103BE" w:rsidRDefault="00AC0494" w:rsidP="00C225D2">
            <w:pPr>
              <w:keepLines/>
              <w:rPr>
                <w:rFonts w:ascii="Arial Narrow" w:hAnsi="Arial Narrow"/>
                <w:sz w:val="20"/>
                <w:szCs w:val="20"/>
              </w:rPr>
            </w:pPr>
            <w:proofErr w:type="spellStart"/>
            <w:r w:rsidRPr="002103BE">
              <w:rPr>
                <w:rFonts w:ascii="Arial Narrow" w:hAnsi="Arial Narrow"/>
                <w:sz w:val="20"/>
                <w:szCs w:val="20"/>
              </w:rPr>
              <w:t>Venclexta</w:t>
            </w:r>
            <w:proofErr w:type="spellEnd"/>
          </w:p>
        </w:tc>
      </w:tr>
      <w:tr w:rsidR="00AC0494" w:rsidRPr="002103BE" w14:paraId="2E44954D" w14:textId="36F3E894"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09F244C3" w14:textId="722CACF3" w:rsidR="00AC0494" w:rsidRPr="002103BE" w:rsidRDefault="00AC0494" w:rsidP="00C225D2">
            <w:pPr>
              <w:rPr>
                <w:rFonts w:ascii="Arial Narrow" w:hAnsi="Arial Narrow"/>
                <w:sz w:val="20"/>
                <w:szCs w:val="20"/>
              </w:rPr>
            </w:pPr>
          </w:p>
        </w:tc>
      </w:tr>
      <w:tr w:rsidR="00AC0494" w:rsidRPr="002103BE" w14:paraId="33126B8C" w14:textId="23C40B54"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1820881C" w14:textId="6A313DE5" w:rsidR="00AC0494" w:rsidRPr="002103BE" w:rsidRDefault="00AC0494" w:rsidP="00C225D2">
            <w:pPr>
              <w:keepLines/>
              <w:rPr>
                <w:rFonts w:ascii="Arial Narrow" w:hAnsi="Arial Narrow"/>
                <w:b/>
                <w:sz w:val="20"/>
                <w:szCs w:val="20"/>
              </w:rPr>
            </w:pPr>
            <w:r w:rsidRPr="002103BE">
              <w:rPr>
                <w:rFonts w:ascii="Arial Narrow" w:hAnsi="Arial Narrow"/>
                <w:b/>
                <w:sz w:val="20"/>
                <w:szCs w:val="20"/>
              </w:rPr>
              <w:t>Restriction Summary [new5]</w:t>
            </w:r>
            <w:r w:rsidRPr="002103BE">
              <w:rPr>
                <w:rFonts w:ascii="Arial Narrow" w:hAnsi="Arial Narrow"/>
                <w:b/>
                <w:color w:val="FF0000"/>
                <w:sz w:val="20"/>
                <w:szCs w:val="20"/>
              </w:rPr>
              <w:t xml:space="preserve"> </w:t>
            </w:r>
            <w:r w:rsidRPr="002103BE">
              <w:rPr>
                <w:rFonts w:ascii="Arial Narrow" w:hAnsi="Arial Narrow"/>
                <w:b/>
                <w:sz w:val="20"/>
                <w:szCs w:val="20"/>
              </w:rPr>
              <w:t>/ Treatment of Concept: [new5]</w:t>
            </w:r>
            <w:r w:rsidR="000605FA">
              <w:rPr>
                <w:rFonts w:ascii="Arial Narrow" w:hAnsi="Arial Narrow"/>
                <w:b/>
                <w:sz w:val="20"/>
                <w:szCs w:val="20"/>
              </w:rPr>
              <w:t xml:space="preserve"> Authority required</w:t>
            </w:r>
          </w:p>
        </w:tc>
      </w:tr>
      <w:tr w:rsidR="00235BE2" w:rsidRPr="002103BE" w14:paraId="5EC117E5" w14:textId="1C1EEF25" w:rsidTr="00235BE2">
        <w:tblPrEx>
          <w:tblCellMar>
            <w:top w:w="15" w:type="dxa"/>
            <w:bottom w:w="15" w:type="dxa"/>
          </w:tblCellMar>
          <w:tblLook w:val="04A0" w:firstRow="1" w:lastRow="0" w:firstColumn="1" w:lastColumn="0" w:noHBand="0" w:noVBand="1"/>
        </w:tblPrEx>
        <w:trPr>
          <w:cantSplit/>
          <w:trHeight w:val="913"/>
        </w:trPr>
        <w:tc>
          <w:tcPr>
            <w:tcW w:w="5000" w:type="pct"/>
            <w:gridSpan w:val="6"/>
            <w:vAlign w:val="center"/>
          </w:tcPr>
          <w:p w14:paraId="695E3917" w14:textId="0E3ED931" w:rsidR="00235BE2" w:rsidRPr="002103BE" w:rsidRDefault="00235BE2" w:rsidP="00C225D2">
            <w:pPr>
              <w:keepLines/>
              <w:rPr>
                <w:rFonts w:ascii="Arial Narrow" w:hAnsi="Arial Narrow"/>
                <w:b/>
                <w:bCs/>
                <w:color w:val="A6A6A6" w:themeColor="background1" w:themeShade="A6"/>
                <w:sz w:val="20"/>
                <w:szCs w:val="20"/>
              </w:rPr>
            </w:pPr>
            <w:r w:rsidRPr="002103BE">
              <w:rPr>
                <w:rFonts w:ascii="Arial Narrow" w:hAnsi="Arial Narrow"/>
                <w:b/>
                <w:bCs/>
                <w:color w:val="333333"/>
                <w:sz w:val="20"/>
                <w:szCs w:val="20"/>
              </w:rPr>
              <w:lastRenderedPageBreak/>
              <w:t xml:space="preserve">Administrative Advice: </w:t>
            </w:r>
            <w:r w:rsidRPr="002103BE">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2103BE" w14:paraId="6B004F52" w14:textId="7BD6B3DE" w:rsidTr="00235BE2">
        <w:tblPrEx>
          <w:tblCellMar>
            <w:top w:w="15" w:type="dxa"/>
            <w:bottom w:w="15" w:type="dxa"/>
          </w:tblCellMar>
          <w:tblLook w:val="04A0" w:firstRow="1" w:lastRow="0" w:firstColumn="1" w:lastColumn="0" w:noHBand="0" w:noVBand="1"/>
        </w:tblPrEx>
        <w:trPr>
          <w:cantSplit/>
          <w:trHeight w:val="224"/>
        </w:trPr>
        <w:tc>
          <w:tcPr>
            <w:tcW w:w="5000" w:type="pct"/>
            <w:gridSpan w:val="6"/>
            <w:vAlign w:val="center"/>
          </w:tcPr>
          <w:p w14:paraId="346A3F04" w14:textId="6334CE2E" w:rsidR="00235BE2" w:rsidRPr="002103BE" w:rsidRDefault="00235BE2" w:rsidP="00C225D2">
            <w:pPr>
              <w:keepLines/>
              <w:rPr>
                <w:rFonts w:ascii="Arial Narrow" w:hAnsi="Arial Narrow"/>
                <w:b/>
                <w:bCs/>
                <w:color w:val="A6A6A6" w:themeColor="background1" w:themeShade="A6"/>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No increase in the maximum quantity or number of units may be authorised.</w:t>
            </w:r>
          </w:p>
        </w:tc>
      </w:tr>
      <w:tr w:rsidR="00235BE2" w:rsidRPr="002103BE" w14:paraId="1B0B1B81" w14:textId="2C1DF113" w:rsidTr="00235BE2">
        <w:tblPrEx>
          <w:tblCellMar>
            <w:top w:w="15" w:type="dxa"/>
            <w:bottom w:w="15" w:type="dxa"/>
          </w:tblCellMar>
          <w:tblLook w:val="04A0" w:firstRow="1" w:lastRow="0" w:firstColumn="1" w:lastColumn="0" w:noHBand="0" w:noVBand="1"/>
        </w:tblPrEx>
        <w:trPr>
          <w:cantSplit/>
          <w:trHeight w:val="242"/>
        </w:trPr>
        <w:tc>
          <w:tcPr>
            <w:tcW w:w="5000" w:type="pct"/>
            <w:gridSpan w:val="6"/>
            <w:vAlign w:val="center"/>
          </w:tcPr>
          <w:p w14:paraId="21B44015" w14:textId="20E92ADC" w:rsidR="00235BE2" w:rsidRPr="002103BE" w:rsidRDefault="00235BE2" w:rsidP="00C225D2">
            <w:pPr>
              <w:keepLines/>
              <w:rPr>
                <w:rFonts w:ascii="Arial Narrow" w:hAnsi="Arial Narrow"/>
                <w:b/>
                <w:bCs/>
                <w:color w:val="A6A6A6" w:themeColor="background1" w:themeShade="A6"/>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No increase in the maximum number of repeats may be authorised.</w:t>
            </w:r>
          </w:p>
        </w:tc>
      </w:tr>
      <w:tr w:rsidR="00235BE2" w:rsidRPr="002103BE" w14:paraId="3878968D" w14:textId="3589A96D" w:rsidTr="00235BE2">
        <w:tblPrEx>
          <w:tblCellMar>
            <w:top w:w="15" w:type="dxa"/>
            <w:bottom w:w="15" w:type="dxa"/>
          </w:tblCellMar>
          <w:tblLook w:val="04A0" w:firstRow="1" w:lastRow="0" w:firstColumn="1" w:lastColumn="0" w:noHBand="0" w:noVBand="1"/>
        </w:tblPrEx>
        <w:trPr>
          <w:cantSplit/>
          <w:trHeight w:val="232"/>
        </w:trPr>
        <w:tc>
          <w:tcPr>
            <w:tcW w:w="5000" w:type="pct"/>
            <w:gridSpan w:val="6"/>
            <w:vAlign w:val="center"/>
          </w:tcPr>
          <w:p w14:paraId="67CCD79D" w14:textId="4B3B1B0D" w:rsidR="00235BE2" w:rsidRPr="002103BE" w:rsidRDefault="00235BE2" w:rsidP="00C225D2">
            <w:pPr>
              <w:keepLines/>
              <w:rPr>
                <w:rFonts w:ascii="Arial Narrow" w:hAnsi="Arial Narrow"/>
                <w:b/>
                <w:bCs/>
                <w:color w:val="A6A6A6" w:themeColor="background1" w:themeShade="A6"/>
                <w:sz w:val="20"/>
                <w:szCs w:val="20"/>
              </w:rPr>
            </w:pPr>
            <w:r w:rsidRPr="002103BE">
              <w:rPr>
                <w:rFonts w:ascii="Arial Narrow" w:hAnsi="Arial Narrow"/>
                <w:b/>
                <w:bCs/>
                <w:color w:val="333333"/>
                <w:sz w:val="20"/>
                <w:szCs w:val="20"/>
              </w:rPr>
              <w:t xml:space="preserve">Administrative Advice: </w:t>
            </w:r>
            <w:r w:rsidRPr="002103BE">
              <w:rPr>
                <w:rFonts w:ascii="Arial Narrow" w:hAnsi="Arial Narrow"/>
                <w:color w:val="333333"/>
                <w:sz w:val="20"/>
                <w:szCs w:val="20"/>
              </w:rPr>
              <w:t>Special Pricing Arrangements apply.</w:t>
            </w:r>
          </w:p>
        </w:tc>
      </w:tr>
      <w:tr w:rsidR="00235BE2" w:rsidRPr="002103BE" w14:paraId="7B670082" w14:textId="47B66708"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8366FAD" w14:textId="74C86ACE" w:rsidR="00235BE2" w:rsidRPr="002103BE" w:rsidRDefault="00235BE2" w:rsidP="00C225D2">
            <w:pPr>
              <w:keepLines/>
              <w:rPr>
                <w:rFonts w:ascii="Arial Narrow" w:hAnsi="Arial Narrow"/>
                <w:color w:val="333333"/>
                <w:sz w:val="20"/>
                <w:szCs w:val="20"/>
              </w:rPr>
            </w:pPr>
            <w:r w:rsidRPr="002103BE">
              <w:rPr>
                <w:rFonts w:ascii="Arial Narrow" w:hAnsi="Arial Narrow"/>
                <w:b/>
                <w:bCs/>
                <w:color w:val="333333"/>
                <w:sz w:val="20"/>
                <w:szCs w:val="20"/>
              </w:rPr>
              <w:t>Indication:</w:t>
            </w:r>
            <w:r w:rsidRPr="002103BE">
              <w:rPr>
                <w:rFonts w:ascii="Arial Narrow" w:hAnsi="Arial Narrow"/>
                <w:color w:val="333333"/>
                <w:sz w:val="20"/>
                <w:szCs w:val="20"/>
              </w:rPr>
              <w:t xml:space="preserve"> Chronic lymphocytic leukaemia (CLL) or small lymphocytic lymphoma (SLL)</w:t>
            </w:r>
          </w:p>
        </w:tc>
      </w:tr>
      <w:tr w:rsidR="00235BE2" w:rsidRPr="002103BE" w14:paraId="632EB7A6" w14:textId="55D8E325"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5A3ACF3" w14:textId="39142B96" w:rsidR="00235BE2" w:rsidRPr="002103BE" w:rsidRDefault="00235BE2" w:rsidP="00C225D2">
            <w:pPr>
              <w:rPr>
                <w:rFonts w:ascii="Arial Narrow" w:hAnsi="Arial Narrow"/>
                <w:sz w:val="20"/>
                <w:szCs w:val="20"/>
              </w:rPr>
            </w:pPr>
            <w:r w:rsidRPr="002103BE">
              <w:rPr>
                <w:rFonts w:ascii="Arial Narrow" w:hAnsi="Arial Narrow"/>
                <w:b/>
                <w:bCs/>
                <w:sz w:val="20"/>
                <w:szCs w:val="20"/>
              </w:rPr>
              <w:t>Treatment Phase:</w:t>
            </w:r>
            <w:r w:rsidRPr="002103BE">
              <w:rPr>
                <w:rFonts w:ascii="Arial Narrow" w:hAnsi="Arial Narrow"/>
                <w:sz w:val="20"/>
                <w:szCs w:val="20"/>
              </w:rPr>
              <w:t xml:space="preserve"> First continuing treatment (treatment cycles 4 to 8 inclusive) of first-line therapy with acalabrutinib</w:t>
            </w:r>
          </w:p>
        </w:tc>
      </w:tr>
      <w:tr w:rsidR="00235BE2" w:rsidRPr="002103BE" w14:paraId="5E8C2891" w14:textId="24AB0A77" w:rsidTr="00235BE2">
        <w:tblPrEx>
          <w:tblCellMar>
            <w:top w:w="15" w:type="dxa"/>
            <w:bottom w:w="15" w:type="dxa"/>
          </w:tblCellMar>
          <w:tblLook w:val="04A0" w:firstRow="1" w:lastRow="0" w:firstColumn="1" w:lastColumn="0" w:noHBand="0" w:noVBand="1"/>
        </w:tblPrEx>
        <w:trPr>
          <w:cantSplit/>
          <w:trHeight w:val="258"/>
        </w:trPr>
        <w:tc>
          <w:tcPr>
            <w:tcW w:w="5000" w:type="pct"/>
            <w:gridSpan w:val="6"/>
            <w:vAlign w:val="center"/>
            <w:hideMark/>
          </w:tcPr>
          <w:p w14:paraId="18390547" w14:textId="79E3060A" w:rsidR="00235BE2" w:rsidRPr="002103BE" w:rsidRDefault="00235BE2" w:rsidP="00795ED4">
            <w:pPr>
              <w:contextualSpacing/>
              <w:rPr>
                <w:rFonts w:ascii="Arial Narrow" w:hAnsi="Arial Narrow"/>
                <w:sz w:val="20"/>
                <w:szCs w:val="20"/>
              </w:rPr>
            </w:pPr>
            <w:r w:rsidRPr="002103BE">
              <w:rPr>
                <w:rFonts w:ascii="Arial Narrow" w:hAnsi="Arial Narrow"/>
                <w:b/>
                <w:bCs/>
                <w:color w:val="333333"/>
                <w:sz w:val="20"/>
                <w:szCs w:val="20"/>
              </w:rPr>
              <w:t>Clinical criteria:</w:t>
            </w:r>
            <w:r w:rsidRPr="002103BE">
              <w:rPr>
                <w:rFonts w:ascii="Arial Narrow" w:hAnsi="Arial Narrow"/>
                <w:bCs/>
                <w:color w:val="FF0000"/>
                <w:sz w:val="20"/>
                <w:szCs w:val="20"/>
              </w:rPr>
              <w:tab/>
            </w:r>
          </w:p>
        </w:tc>
      </w:tr>
      <w:tr w:rsidR="00235BE2" w:rsidRPr="002103BE" w14:paraId="28702DC3" w14:textId="45CC31B6"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92FC39D" w14:textId="40EC56D6"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Patient must have previously received PBS-subsidised treatment with this drug for this condition</w:t>
            </w:r>
          </w:p>
        </w:tc>
      </w:tr>
      <w:tr w:rsidR="00235BE2" w:rsidRPr="002103BE" w14:paraId="1C6707C1" w14:textId="436253C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82EF482" w14:textId="642A3C90" w:rsidR="00235BE2" w:rsidRPr="002103BE" w:rsidRDefault="00235BE2" w:rsidP="00C225D2">
            <w:pPr>
              <w:rPr>
                <w:rFonts w:ascii="Arial Narrow" w:hAnsi="Arial Narrow"/>
                <w:sz w:val="20"/>
                <w:szCs w:val="20"/>
              </w:rPr>
            </w:pPr>
            <w:r w:rsidRPr="002103BE">
              <w:rPr>
                <w:rFonts w:ascii="Arial Narrow" w:hAnsi="Arial Narrow"/>
                <w:b/>
                <w:bCs/>
                <w:sz w:val="20"/>
                <w:szCs w:val="20"/>
              </w:rPr>
              <w:t>AND</w:t>
            </w:r>
          </w:p>
        </w:tc>
      </w:tr>
      <w:tr w:rsidR="00235BE2" w:rsidRPr="002103BE" w14:paraId="7235C8AC" w14:textId="47A61AE1"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3F27BACB" w14:textId="081FD11E" w:rsidR="00235BE2" w:rsidRPr="002103BE" w:rsidRDefault="00235BE2" w:rsidP="00C225D2">
            <w:pPr>
              <w:rPr>
                <w:rFonts w:ascii="Arial Narrow" w:hAnsi="Arial Narrow"/>
                <w:sz w:val="20"/>
                <w:szCs w:val="20"/>
              </w:rPr>
            </w:pPr>
            <w:r w:rsidRPr="002103BE">
              <w:rPr>
                <w:rFonts w:ascii="Arial Narrow" w:hAnsi="Arial Narrow"/>
                <w:b/>
                <w:bCs/>
                <w:sz w:val="20"/>
                <w:szCs w:val="20"/>
              </w:rPr>
              <w:t>Clinical criteria:</w:t>
            </w:r>
          </w:p>
        </w:tc>
      </w:tr>
      <w:tr w:rsidR="00235BE2" w:rsidRPr="002103BE" w14:paraId="49FA290D" w14:textId="188D0F5B"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0723F7B" w14:textId="156B9C01"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 xml:space="preserve">The treatment must be in combination with acalabrutinib </w:t>
            </w:r>
          </w:p>
        </w:tc>
      </w:tr>
      <w:tr w:rsidR="00235BE2" w:rsidRPr="002103BE" w14:paraId="74AC6E86" w14:textId="03D1BD20"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D4900B1" w14:textId="14BF23EB" w:rsidR="00235BE2" w:rsidRPr="002103BE" w:rsidRDefault="00235BE2" w:rsidP="00C225D2">
            <w:pPr>
              <w:rPr>
                <w:rFonts w:ascii="Arial Narrow" w:hAnsi="Arial Narrow"/>
                <w:color w:val="333333"/>
                <w:sz w:val="20"/>
                <w:szCs w:val="20"/>
              </w:rPr>
            </w:pPr>
            <w:r w:rsidRPr="002103BE">
              <w:rPr>
                <w:rFonts w:ascii="Arial Narrow" w:hAnsi="Arial Narrow"/>
                <w:b/>
                <w:bCs/>
                <w:sz w:val="20"/>
                <w:szCs w:val="20"/>
              </w:rPr>
              <w:t>AND</w:t>
            </w:r>
          </w:p>
        </w:tc>
      </w:tr>
      <w:tr w:rsidR="00235BE2" w:rsidRPr="002103BE" w14:paraId="1DD8AD00" w14:textId="620D3E88"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7D4E817" w14:textId="652F48EB" w:rsidR="00235BE2" w:rsidRPr="002103BE" w:rsidRDefault="00235BE2" w:rsidP="00C225D2">
            <w:pPr>
              <w:rPr>
                <w:rFonts w:ascii="Arial Narrow" w:hAnsi="Arial Narrow"/>
                <w:color w:val="333333"/>
                <w:sz w:val="20"/>
                <w:szCs w:val="20"/>
              </w:rPr>
            </w:pPr>
            <w:r w:rsidRPr="002103BE">
              <w:rPr>
                <w:rFonts w:ascii="Arial Narrow" w:hAnsi="Arial Narrow"/>
                <w:b/>
                <w:bCs/>
                <w:sz w:val="20"/>
                <w:szCs w:val="20"/>
              </w:rPr>
              <w:t>Clinical criteria:</w:t>
            </w:r>
          </w:p>
        </w:tc>
      </w:tr>
      <w:tr w:rsidR="00235BE2" w:rsidRPr="002103BE" w14:paraId="6010E3B1" w14:textId="109AB96B"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AA2BBF1" w14:textId="79962873" w:rsidR="00235BE2" w:rsidRPr="002103BE" w:rsidRDefault="00235BE2" w:rsidP="00C225D2">
            <w:pPr>
              <w:rPr>
                <w:rFonts w:ascii="Arial Narrow" w:hAnsi="Arial Narrow"/>
                <w:color w:val="333333"/>
                <w:sz w:val="20"/>
                <w:szCs w:val="20"/>
              </w:rPr>
            </w:pPr>
            <w:r w:rsidRPr="002103BE">
              <w:rPr>
                <w:rFonts w:ascii="Arial Narrow" w:hAnsi="Arial Narrow"/>
                <w:bCs/>
                <w:sz w:val="20"/>
                <w:szCs w:val="20"/>
              </w:rPr>
              <w:t>The treatment must not be in combination with obinutuzumab</w:t>
            </w:r>
          </w:p>
        </w:tc>
      </w:tr>
      <w:tr w:rsidR="00235BE2" w:rsidRPr="002103BE" w14:paraId="08309442" w14:textId="586A4CFE"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3E66154" w14:textId="69B4CEB1" w:rsidR="00235BE2" w:rsidRPr="002103BE" w:rsidRDefault="00235BE2" w:rsidP="00C225D2">
            <w:pPr>
              <w:rPr>
                <w:rFonts w:ascii="Arial Narrow" w:hAnsi="Arial Narrow"/>
                <w:sz w:val="20"/>
                <w:szCs w:val="20"/>
              </w:rPr>
            </w:pPr>
            <w:r w:rsidRPr="002103BE">
              <w:rPr>
                <w:rFonts w:ascii="Arial Narrow" w:hAnsi="Arial Narrow"/>
                <w:b/>
                <w:bCs/>
                <w:sz w:val="20"/>
                <w:szCs w:val="20"/>
              </w:rPr>
              <w:t>AND</w:t>
            </w:r>
          </w:p>
        </w:tc>
      </w:tr>
      <w:tr w:rsidR="00235BE2" w:rsidRPr="002103BE" w14:paraId="1A24BEE3" w14:textId="6B7976E8"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73BBF40" w14:textId="26F3A123" w:rsidR="00235BE2" w:rsidRPr="002103BE" w:rsidRDefault="00235BE2" w:rsidP="00C225D2">
            <w:pPr>
              <w:rPr>
                <w:rFonts w:ascii="Arial Narrow" w:hAnsi="Arial Narrow"/>
                <w:sz w:val="20"/>
                <w:szCs w:val="20"/>
              </w:rPr>
            </w:pPr>
            <w:r w:rsidRPr="002103BE">
              <w:rPr>
                <w:rFonts w:ascii="Arial Narrow" w:hAnsi="Arial Narrow"/>
                <w:b/>
                <w:bCs/>
                <w:sz w:val="20"/>
                <w:szCs w:val="20"/>
              </w:rPr>
              <w:t>Clinical criteria:</w:t>
            </w:r>
          </w:p>
        </w:tc>
      </w:tr>
      <w:tr w:rsidR="00235BE2" w:rsidRPr="002103BE" w14:paraId="5C2FAEAA" w14:textId="332F1CEF"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5A5FEE0" w14:textId="69D1DD99" w:rsidR="00235BE2" w:rsidRPr="002103BE" w:rsidRDefault="00235BE2" w:rsidP="00C225D2">
            <w:pPr>
              <w:rPr>
                <w:rFonts w:ascii="Arial Narrow" w:hAnsi="Arial Narrow"/>
                <w:color w:val="333333"/>
                <w:sz w:val="20"/>
                <w:szCs w:val="20"/>
              </w:rPr>
            </w:pPr>
            <w:r w:rsidRPr="002103BE">
              <w:rPr>
                <w:rFonts w:ascii="Arial Narrow" w:hAnsi="Arial Narrow"/>
                <w:color w:val="333333"/>
                <w:sz w:val="20"/>
                <w:szCs w:val="20"/>
              </w:rPr>
              <w:t>The treatment must cease upon disease progression</w:t>
            </w:r>
          </w:p>
        </w:tc>
      </w:tr>
    </w:tbl>
    <w:p w14:paraId="2C4CA10D" w14:textId="3175DB4F" w:rsidR="00AC0494" w:rsidRDefault="00AC0494" w:rsidP="00AC0494"/>
    <w:p w14:paraId="31F18D9D" w14:textId="77777777" w:rsidR="00AB7532" w:rsidRPr="008C5D7B" w:rsidRDefault="00AB7532" w:rsidP="00AC0494"/>
    <w:p w14:paraId="12CB3BC7" w14:textId="5AB93F92" w:rsidR="00AC0494" w:rsidRPr="008C5D7B" w:rsidRDefault="00AC0494" w:rsidP="00AC0494">
      <w:pPr>
        <w:pStyle w:val="Caption"/>
      </w:pPr>
      <w:r w:rsidRPr="008C5D7B">
        <w:lastRenderedPageBreak/>
        <w:t>Second and final continuing treatment (Cycle 9-14)</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Flow ons to venetoclax - Second and final continuing treatment (Cycle 9-14)"/>
      </w:tblPr>
      <w:tblGrid>
        <w:gridCol w:w="3939"/>
        <w:gridCol w:w="811"/>
        <w:gridCol w:w="811"/>
        <w:gridCol w:w="812"/>
        <w:gridCol w:w="812"/>
        <w:gridCol w:w="1882"/>
      </w:tblGrid>
      <w:tr w:rsidR="00AC0494" w:rsidRPr="008C5D7B" w14:paraId="34DC68EB" w14:textId="13E3A929" w:rsidTr="00235BE2">
        <w:trPr>
          <w:cantSplit/>
          <w:trHeight w:val="20"/>
        </w:trPr>
        <w:tc>
          <w:tcPr>
            <w:tcW w:w="2172" w:type="pct"/>
            <w:vAlign w:val="center"/>
          </w:tcPr>
          <w:p w14:paraId="19C102C8" w14:textId="08FE9133" w:rsidR="00AC0494" w:rsidRPr="008C5D7B" w:rsidRDefault="00AC0494" w:rsidP="00C225D2">
            <w:pPr>
              <w:keepNext/>
              <w:keepLines/>
              <w:rPr>
                <w:rFonts w:ascii="Arial Narrow" w:hAnsi="Arial Narrow"/>
                <w:b/>
                <w:bCs/>
                <w:sz w:val="20"/>
                <w:szCs w:val="20"/>
              </w:rPr>
            </w:pPr>
            <w:r w:rsidRPr="008C5D7B">
              <w:rPr>
                <w:rFonts w:ascii="Arial Narrow" w:hAnsi="Arial Narrow"/>
                <w:b/>
                <w:bCs/>
                <w:sz w:val="20"/>
                <w:szCs w:val="20"/>
              </w:rPr>
              <w:t>MEDICINAL PRODUCT</w:t>
            </w:r>
          </w:p>
          <w:p w14:paraId="1C94830F" w14:textId="23E9E602" w:rsidR="00AC0494" w:rsidRPr="008C5D7B" w:rsidRDefault="00AC0494" w:rsidP="00C225D2">
            <w:pPr>
              <w:keepNext/>
              <w:keepLines/>
              <w:rPr>
                <w:rFonts w:ascii="Arial Narrow" w:hAnsi="Arial Narrow"/>
                <w:b/>
                <w:sz w:val="20"/>
                <w:szCs w:val="20"/>
              </w:rPr>
            </w:pPr>
            <w:r w:rsidRPr="008C5D7B">
              <w:rPr>
                <w:rFonts w:ascii="Arial Narrow" w:hAnsi="Arial Narrow"/>
                <w:b/>
                <w:bCs/>
                <w:sz w:val="20"/>
                <w:szCs w:val="20"/>
              </w:rPr>
              <w:t>medicinal product pack</w:t>
            </w:r>
          </w:p>
        </w:tc>
        <w:tc>
          <w:tcPr>
            <w:tcW w:w="447" w:type="pct"/>
            <w:vAlign w:val="center"/>
          </w:tcPr>
          <w:p w14:paraId="0874861B" w14:textId="588BEF33" w:rsidR="00AC0494" w:rsidRPr="008C5D7B" w:rsidRDefault="00AC0494" w:rsidP="00C225D2">
            <w:pPr>
              <w:keepNext/>
              <w:keepLines/>
              <w:jc w:val="center"/>
              <w:rPr>
                <w:rFonts w:ascii="Arial Narrow" w:hAnsi="Arial Narrow"/>
                <w:b/>
                <w:sz w:val="20"/>
                <w:szCs w:val="20"/>
              </w:rPr>
            </w:pPr>
            <w:r w:rsidRPr="008C5D7B">
              <w:rPr>
                <w:rFonts w:ascii="Arial Narrow" w:hAnsi="Arial Narrow"/>
                <w:b/>
                <w:sz w:val="20"/>
                <w:szCs w:val="20"/>
              </w:rPr>
              <w:t>PBS item code</w:t>
            </w:r>
          </w:p>
        </w:tc>
        <w:tc>
          <w:tcPr>
            <w:tcW w:w="447" w:type="pct"/>
            <w:vAlign w:val="center"/>
          </w:tcPr>
          <w:p w14:paraId="7949815D" w14:textId="23B1C7E4" w:rsidR="00AC0494" w:rsidRPr="008C5D7B" w:rsidRDefault="00AC0494" w:rsidP="00C225D2">
            <w:pPr>
              <w:keepNext/>
              <w:keepLines/>
              <w:jc w:val="center"/>
              <w:rPr>
                <w:rFonts w:ascii="Arial Narrow" w:hAnsi="Arial Narrow"/>
                <w:b/>
                <w:sz w:val="20"/>
                <w:szCs w:val="20"/>
              </w:rPr>
            </w:pPr>
            <w:r w:rsidRPr="008C5D7B">
              <w:rPr>
                <w:rFonts w:ascii="Arial Narrow" w:hAnsi="Arial Narrow"/>
                <w:b/>
                <w:sz w:val="20"/>
                <w:szCs w:val="20"/>
              </w:rPr>
              <w:t>Max. qty packs</w:t>
            </w:r>
          </w:p>
        </w:tc>
        <w:tc>
          <w:tcPr>
            <w:tcW w:w="448" w:type="pct"/>
            <w:vAlign w:val="center"/>
          </w:tcPr>
          <w:p w14:paraId="13F4B889" w14:textId="30FD96B7" w:rsidR="00AC0494" w:rsidRPr="008C5D7B" w:rsidRDefault="00AC0494" w:rsidP="00C225D2">
            <w:pPr>
              <w:keepNext/>
              <w:keepLines/>
              <w:jc w:val="center"/>
              <w:rPr>
                <w:rFonts w:ascii="Arial Narrow" w:hAnsi="Arial Narrow"/>
                <w:b/>
                <w:sz w:val="20"/>
                <w:szCs w:val="20"/>
              </w:rPr>
            </w:pPr>
            <w:r w:rsidRPr="008C5D7B">
              <w:rPr>
                <w:rFonts w:ascii="Arial Narrow" w:hAnsi="Arial Narrow"/>
                <w:b/>
                <w:sz w:val="20"/>
                <w:szCs w:val="20"/>
              </w:rPr>
              <w:t>Max. qty units</w:t>
            </w:r>
          </w:p>
        </w:tc>
        <w:tc>
          <w:tcPr>
            <w:tcW w:w="448" w:type="pct"/>
            <w:vAlign w:val="center"/>
          </w:tcPr>
          <w:p w14:paraId="2E581B0A" w14:textId="08D273AD" w:rsidR="00AC0494" w:rsidRPr="008C5D7B" w:rsidRDefault="00AC0494" w:rsidP="00C225D2">
            <w:pPr>
              <w:keepNext/>
              <w:keepLines/>
              <w:jc w:val="center"/>
              <w:rPr>
                <w:rFonts w:ascii="Arial Narrow" w:hAnsi="Arial Narrow"/>
                <w:b/>
                <w:sz w:val="20"/>
                <w:szCs w:val="20"/>
              </w:rPr>
            </w:pPr>
            <w:r w:rsidRPr="008C5D7B">
              <w:rPr>
                <w:rFonts w:ascii="Arial Narrow" w:hAnsi="Arial Narrow"/>
                <w:b/>
                <w:sz w:val="20"/>
                <w:szCs w:val="20"/>
              </w:rPr>
              <w:t>№.of</w:t>
            </w:r>
          </w:p>
          <w:p w14:paraId="05121C1D" w14:textId="4D66686D" w:rsidR="00AC0494" w:rsidRPr="008C5D7B" w:rsidRDefault="00AC0494" w:rsidP="00C225D2">
            <w:pPr>
              <w:keepNext/>
              <w:keepLines/>
              <w:jc w:val="center"/>
              <w:rPr>
                <w:rFonts w:ascii="Arial Narrow" w:hAnsi="Arial Narrow"/>
                <w:b/>
                <w:sz w:val="20"/>
                <w:szCs w:val="20"/>
              </w:rPr>
            </w:pPr>
            <w:proofErr w:type="spellStart"/>
            <w:r w:rsidRPr="008C5D7B">
              <w:rPr>
                <w:rFonts w:ascii="Arial Narrow" w:hAnsi="Arial Narrow"/>
                <w:b/>
                <w:sz w:val="20"/>
                <w:szCs w:val="20"/>
              </w:rPr>
              <w:t>Rpts</w:t>
            </w:r>
            <w:proofErr w:type="spellEnd"/>
          </w:p>
        </w:tc>
        <w:tc>
          <w:tcPr>
            <w:tcW w:w="1038" w:type="pct"/>
            <w:vAlign w:val="center"/>
          </w:tcPr>
          <w:p w14:paraId="22CD30F8" w14:textId="43CFBF1E" w:rsidR="00AC0494" w:rsidRPr="008C5D7B" w:rsidRDefault="00AC0494" w:rsidP="00C225D2">
            <w:pPr>
              <w:keepNext/>
              <w:keepLines/>
              <w:rPr>
                <w:rFonts w:ascii="Arial Narrow" w:hAnsi="Arial Narrow"/>
                <w:b/>
                <w:sz w:val="20"/>
                <w:szCs w:val="20"/>
              </w:rPr>
            </w:pPr>
            <w:r w:rsidRPr="008C5D7B">
              <w:rPr>
                <w:rFonts w:ascii="Arial Narrow" w:hAnsi="Arial Narrow"/>
                <w:b/>
                <w:sz w:val="20"/>
                <w:szCs w:val="20"/>
              </w:rPr>
              <w:t>Available brands</w:t>
            </w:r>
          </w:p>
        </w:tc>
      </w:tr>
      <w:tr w:rsidR="00AC0494" w:rsidRPr="008C5D7B" w14:paraId="70653899" w14:textId="0B24DC02" w:rsidTr="00235BE2">
        <w:trPr>
          <w:cantSplit/>
          <w:trHeight w:val="20"/>
        </w:trPr>
        <w:tc>
          <w:tcPr>
            <w:tcW w:w="5000" w:type="pct"/>
            <w:gridSpan w:val="6"/>
            <w:vAlign w:val="center"/>
          </w:tcPr>
          <w:p w14:paraId="06B1DC83" w14:textId="0409E863" w:rsidR="00AC0494" w:rsidRPr="008C5D7B" w:rsidRDefault="00AC0494" w:rsidP="00C225D2">
            <w:pPr>
              <w:keepNext/>
              <w:keepLines/>
              <w:rPr>
                <w:rFonts w:ascii="Arial Narrow" w:hAnsi="Arial Narrow"/>
                <w:sz w:val="20"/>
                <w:szCs w:val="20"/>
              </w:rPr>
            </w:pPr>
            <w:r w:rsidRPr="008C5D7B">
              <w:rPr>
                <w:rFonts w:ascii="Arial Narrow" w:hAnsi="Arial Narrow"/>
                <w:sz w:val="20"/>
                <w:szCs w:val="20"/>
              </w:rPr>
              <w:t>VENETOCLAX</w:t>
            </w:r>
          </w:p>
        </w:tc>
      </w:tr>
      <w:tr w:rsidR="00AC0494" w:rsidRPr="008C5D7B" w14:paraId="3FEE88C4" w14:textId="56620C88" w:rsidTr="00235BE2">
        <w:trPr>
          <w:cantSplit/>
          <w:trHeight w:val="20"/>
        </w:trPr>
        <w:tc>
          <w:tcPr>
            <w:tcW w:w="2172" w:type="pct"/>
            <w:vAlign w:val="center"/>
          </w:tcPr>
          <w:p w14:paraId="76392975" w14:textId="7974BE2D" w:rsidR="00AC0494" w:rsidRPr="008C5D7B" w:rsidRDefault="00AC0494" w:rsidP="00C225D2">
            <w:pPr>
              <w:keepNext/>
              <w:keepLines/>
              <w:rPr>
                <w:rFonts w:ascii="Arial Narrow" w:hAnsi="Arial Narrow"/>
                <w:sz w:val="20"/>
                <w:szCs w:val="20"/>
              </w:rPr>
            </w:pPr>
            <w:r w:rsidRPr="008C5D7B">
              <w:rPr>
                <w:rFonts w:ascii="Arial Narrow" w:hAnsi="Arial Narrow"/>
                <w:sz w:val="20"/>
                <w:szCs w:val="20"/>
              </w:rPr>
              <w:t>venetoclax 100 mg tablet, 120</w:t>
            </w:r>
          </w:p>
        </w:tc>
        <w:tc>
          <w:tcPr>
            <w:tcW w:w="447" w:type="pct"/>
            <w:vAlign w:val="center"/>
          </w:tcPr>
          <w:p w14:paraId="57723016" w14:textId="77777777" w:rsidR="00B204AC" w:rsidRDefault="00AC0494" w:rsidP="00C225D2">
            <w:pPr>
              <w:keepNext/>
              <w:keepLines/>
              <w:jc w:val="center"/>
              <w:rPr>
                <w:rFonts w:ascii="Arial Narrow" w:hAnsi="Arial Narrow"/>
                <w:sz w:val="20"/>
                <w:szCs w:val="20"/>
              </w:rPr>
            </w:pPr>
            <w:r w:rsidRPr="008C5D7B">
              <w:rPr>
                <w:rFonts w:ascii="Arial Narrow" w:hAnsi="Arial Narrow"/>
                <w:sz w:val="20"/>
                <w:szCs w:val="20"/>
              </w:rPr>
              <w:t>NEW</w:t>
            </w:r>
            <w:r w:rsidR="004553B0">
              <w:rPr>
                <w:rFonts w:ascii="Arial Narrow" w:hAnsi="Arial Narrow"/>
                <w:sz w:val="20"/>
                <w:szCs w:val="20"/>
              </w:rPr>
              <w:t xml:space="preserve"> 6</w:t>
            </w:r>
          </w:p>
          <w:p w14:paraId="09F872A8" w14:textId="08A803B5" w:rsidR="004553B0" w:rsidRPr="004553B0" w:rsidRDefault="004553B0" w:rsidP="00C225D2">
            <w:pPr>
              <w:keepNext/>
              <w:keepLines/>
              <w:jc w:val="center"/>
              <w:rPr>
                <w:rFonts w:ascii="Arial Narrow" w:hAnsi="Arial Narrow"/>
                <w:sz w:val="12"/>
                <w:szCs w:val="12"/>
              </w:rPr>
            </w:pPr>
            <w:r w:rsidRPr="004553B0">
              <w:rPr>
                <w:rFonts w:ascii="Arial Narrow" w:hAnsi="Arial Narrow"/>
                <w:sz w:val="12"/>
                <w:szCs w:val="12"/>
              </w:rPr>
              <w:t>MP</w:t>
            </w:r>
          </w:p>
        </w:tc>
        <w:tc>
          <w:tcPr>
            <w:tcW w:w="447" w:type="pct"/>
            <w:vAlign w:val="center"/>
          </w:tcPr>
          <w:p w14:paraId="1B5341F8" w14:textId="21EC2258" w:rsidR="00AC0494" w:rsidRPr="008C5D7B" w:rsidRDefault="00AC0494" w:rsidP="00C225D2">
            <w:pPr>
              <w:keepNext/>
              <w:keepLines/>
              <w:jc w:val="center"/>
              <w:rPr>
                <w:rFonts w:ascii="Arial Narrow" w:hAnsi="Arial Narrow"/>
                <w:sz w:val="20"/>
                <w:szCs w:val="20"/>
              </w:rPr>
            </w:pPr>
            <w:r w:rsidRPr="008C5D7B">
              <w:rPr>
                <w:rFonts w:ascii="Arial Narrow" w:hAnsi="Arial Narrow"/>
                <w:sz w:val="20"/>
                <w:szCs w:val="20"/>
              </w:rPr>
              <w:t>1</w:t>
            </w:r>
          </w:p>
        </w:tc>
        <w:tc>
          <w:tcPr>
            <w:tcW w:w="448" w:type="pct"/>
            <w:vAlign w:val="center"/>
          </w:tcPr>
          <w:p w14:paraId="64167DA4" w14:textId="21E8C261" w:rsidR="00AC0494" w:rsidRPr="008C5D7B" w:rsidRDefault="00AC0494" w:rsidP="00C225D2">
            <w:pPr>
              <w:keepNext/>
              <w:keepLines/>
              <w:jc w:val="center"/>
              <w:rPr>
                <w:rFonts w:ascii="Arial Narrow" w:hAnsi="Arial Narrow"/>
                <w:sz w:val="20"/>
                <w:szCs w:val="20"/>
              </w:rPr>
            </w:pPr>
            <w:r w:rsidRPr="008C5D7B">
              <w:rPr>
                <w:rFonts w:ascii="Arial Narrow" w:hAnsi="Arial Narrow"/>
                <w:sz w:val="20"/>
                <w:szCs w:val="20"/>
              </w:rPr>
              <w:t>120</w:t>
            </w:r>
          </w:p>
        </w:tc>
        <w:tc>
          <w:tcPr>
            <w:tcW w:w="448" w:type="pct"/>
            <w:vAlign w:val="center"/>
          </w:tcPr>
          <w:p w14:paraId="4DDEDF68" w14:textId="3764B452" w:rsidR="00AC0494" w:rsidRPr="008C5D7B" w:rsidRDefault="00AC0494" w:rsidP="00C225D2">
            <w:pPr>
              <w:keepNext/>
              <w:keepLines/>
              <w:jc w:val="center"/>
              <w:rPr>
                <w:rFonts w:ascii="Arial Narrow" w:hAnsi="Arial Narrow"/>
                <w:sz w:val="20"/>
                <w:szCs w:val="20"/>
              </w:rPr>
            </w:pPr>
            <w:r w:rsidRPr="008C5D7B">
              <w:rPr>
                <w:rFonts w:ascii="Arial Narrow" w:hAnsi="Arial Narrow"/>
                <w:sz w:val="20"/>
                <w:szCs w:val="20"/>
              </w:rPr>
              <w:t>5</w:t>
            </w:r>
          </w:p>
        </w:tc>
        <w:tc>
          <w:tcPr>
            <w:tcW w:w="1038" w:type="pct"/>
            <w:vAlign w:val="center"/>
          </w:tcPr>
          <w:p w14:paraId="7A2D8905" w14:textId="50E4035E" w:rsidR="00AC0494" w:rsidRPr="008C5D7B" w:rsidRDefault="00AC0494" w:rsidP="00C225D2">
            <w:pPr>
              <w:keepNext/>
              <w:keepLines/>
              <w:rPr>
                <w:rFonts w:ascii="Arial Narrow" w:hAnsi="Arial Narrow"/>
                <w:sz w:val="20"/>
                <w:szCs w:val="20"/>
              </w:rPr>
            </w:pPr>
            <w:proofErr w:type="spellStart"/>
            <w:r w:rsidRPr="008C5D7B">
              <w:rPr>
                <w:rFonts w:ascii="Arial Narrow" w:hAnsi="Arial Narrow"/>
                <w:sz w:val="20"/>
                <w:szCs w:val="20"/>
              </w:rPr>
              <w:t>Venclexta</w:t>
            </w:r>
            <w:proofErr w:type="spellEnd"/>
          </w:p>
        </w:tc>
      </w:tr>
      <w:tr w:rsidR="00AC0494" w:rsidRPr="008C5D7B" w14:paraId="01CE3D35" w14:textId="10126E6E"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3D019C19" w14:textId="0A87A004" w:rsidR="00AC0494" w:rsidRPr="008C5D7B" w:rsidRDefault="00AC0494" w:rsidP="00C225D2">
            <w:pPr>
              <w:keepNext/>
              <w:keepLines/>
              <w:rPr>
                <w:rFonts w:ascii="Arial Narrow" w:hAnsi="Arial Narrow"/>
                <w:sz w:val="20"/>
                <w:szCs w:val="20"/>
              </w:rPr>
            </w:pPr>
          </w:p>
        </w:tc>
      </w:tr>
      <w:tr w:rsidR="00AC0494" w:rsidRPr="008C5D7B" w14:paraId="336A4B70" w14:textId="2D8A0A10" w:rsidTr="00235BE2">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600ED0BA" w14:textId="6B251B34" w:rsidR="00AC0494" w:rsidRPr="008C5D7B" w:rsidRDefault="00AC0494" w:rsidP="00C225D2">
            <w:pPr>
              <w:keepNext/>
              <w:keepLines/>
              <w:rPr>
                <w:rFonts w:ascii="Arial Narrow" w:hAnsi="Arial Narrow"/>
                <w:b/>
                <w:sz w:val="20"/>
                <w:szCs w:val="20"/>
              </w:rPr>
            </w:pPr>
            <w:r w:rsidRPr="008C5D7B">
              <w:rPr>
                <w:rFonts w:ascii="Arial Narrow" w:hAnsi="Arial Narrow"/>
                <w:b/>
                <w:sz w:val="20"/>
                <w:szCs w:val="20"/>
              </w:rPr>
              <w:t>Restriction Summary [new6]</w:t>
            </w:r>
            <w:r w:rsidRPr="008C5D7B">
              <w:rPr>
                <w:rFonts w:ascii="Arial Narrow" w:hAnsi="Arial Narrow"/>
                <w:b/>
                <w:color w:val="FF0000"/>
                <w:sz w:val="20"/>
                <w:szCs w:val="20"/>
              </w:rPr>
              <w:t xml:space="preserve"> </w:t>
            </w:r>
            <w:r w:rsidRPr="008C5D7B">
              <w:rPr>
                <w:rFonts w:ascii="Arial Narrow" w:hAnsi="Arial Narrow"/>
                <w:b/>
                <w:sz w:val="20"/>
                <w:szCs w:val="20"/>
              </w:rPr>
              <w:t>/ Treatment of Concept: [new6]</w:t>
            </w:r>
            <w:r w:rsidR="004553B0">
              <w:rPr>
                <w:rFonts w:ascii="Arial Narrow" w:hAnsi="Arial Narrow"/>
                <w:b/>
                <w:sz w:val="20"/>
                <w:szCs w:val="20"/>
              </w:rPr>
              <w:t xml:space="preserve"> Authority required</w:t>
            </w:r>
          </w:p>
        </w:tc>
      </w:tr>
      <w:tr w:rsidR="00235BE2" w:rsidRPr="008C5D7B" w14:paraId="75FDCD47" w14:textId="6AC26728"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BFD290" w14:textId="50446423" w:rsidR="00235BE2" w:rsidRPr="008C5D7B" w:rsidRDefault="00235BE2" w:rsidP="00C225D2">
            <w:pPr>
              <w:keepNext/>
              <w:keepLines/>
              <w:rPr>
                <w:rFonts w:ascii="Arial Narrow" w:hAnsi="Arial Narrow"/>
                <w:b/>
                <w:bCs/>
                <w:color w:val="A6A6A6" w:themeColor="background1" w:themeShade="A6"/>
                <w:sz w:val="20"/>
                <w:szCs w:val="20"/>
              </w:rPr>
            </w:pPr>
            <w:r w:rsidRPr="008C5D7B">
              <w:rPr>
                <w:rFonts w:ascii="Arial Narrow" w:hAnsi="Arial Narrow"/>
                <w:b/>
                <w:bCs/>
                <w:color w:val="333333"/>
                <w:sz w:val="20"/>
                <w:szCs w:val="20"/>
              </w:rPr>
              <w:t xml:space="preserve">Administrative Advice: </w:t>
            </w:r>
            <w:r w:rsidRPr="008C5D7B">
              <w:rPr>
                <w:rFonts w:ascii="Arial Narrow" w:hAnsi="Arial Narrow"/>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235BE2" w:rsidRPr="008C5D7B" w14:paraId="171C95BF" w14:textId="36317170"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A35A58B" w14:textId="3C2A19ED" w:rsidR="00235BE2" w:rsidRPr="008C5D7B" w:rsidRDefault="00235BE2" w:rsidP="00C225D2">
            <w:pPr>
              <w:keepNext/>
              <w:keepLines/>
              <w:rPr>
                <w:rFonts w:ascii="Arial Narrow" w:hAnsi="Arial Narrow"/>
                <w:b/>
                <w:bCs/>
                <w:color w:val="A6A6A6" w:themeColor="background1" w:themeShade="A6"/>
                <w:sz w:val="20"/>
                <w:szCs w:val="20"/>
              </w:rPr>
            </w:pPr>
            <w:r w:rsidRPr="008C5D7B">
              <w:rPr>
                <w:rFonts w:ascii="Arial Narrow" w:hAnsi="Arial Narrow"/>
                <w:b/>
                <w:bCs/>
                <w:color w:val="333333"/>
                <w:sz w:val="20"/>
                <w:szCs w:val="20"/>
              </w:rPr>
              <w:t xml:space="preserve">Administrative Advice: </w:t>
            </w:r>
            <w:r w:rsidRPr="008C5D7B">
              <w:rPr>
                <w:rFonts w:ascii="Arial Narrow" w:hAnsi="Arial Narrow"/>
                <w:color w:val="333333"/>
                <w:sz w:val="20"/>
                <w:szCs w:val="20"/>
              </w:rPr>
              <w:t>No increase in the maximum quantity or number of units may be authorised.</w:t>
            </w:r>
          </w:p>
        </w:tc>
      </w:tr>
      <w:tr w:rsidR="00235BE2" w:rsidRPr="008C5D7B" w14:paraId="58224EAD" w14:textId="193D28A2"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BF16E53" w14:textId="7D1B3E97" w:rsidR="00235BE2" w:rsidRPr="008C5D7B" w:rsidRDefault="00235BE2" w:rsidP="00C225D2">
            <w:pPr>
              <w:keepNext/>
              <w:keepLines/>
              <w:rPr>
                <w:rFonts w:ascii="Arial Narrow" w:hAnsi="Arial Narrow"/>
                <w:b/>
                <w:bCs/>
                <w:color w:val="A6A6A6" w:themeColor="background1" w:themeShade="A6"/>
                <w:sz w:val="20"/>
                <w:szCs w:val="20"/>
              </w:rPr>
            </w:pPr>
            <w:r w:rsidRPr="008C5D7B">
              <w:rPr>
                <w:rFonts w:ascii="Arial Narrow" w:hAnsi="Arial Narrow"/>
                <w:b/>
                <w:bCs/>
                <w:color w:val="333333"/>
                <w:sz w:val="20"/>
                <w:szCs w:val="20"/>
              </w:rPr>
              <w:t xml:space="preserve">Administrative Advice: </w:t>
            </w:r>
            <w:r w:rsidRPr="008C5D7B">
              <w:rPr>
                <w:rFonts w:ascii="Arial Narrow" w:hAnsi="Arial Narrow"/>
                <w:color w:val="333333"/>
                <w:sz w:val="20"/>
                <w:szCs w:val="20"/>
              </w:rPr>
              <w:t>No increase in the maximum number of repeats may be authorised.</w:t>
            </w:r>
          </w:p>
        </w:tc>
      </w:tr>
      <w:tr w:rsidR="00235BE2" w:rsidRPr="008C5D7B" w14:paraId="3DEEA363" w14:textId="61CB322B"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D9E534D" w14:textId="2A06CBF5" w:rsidR="00235BE2" w:rsidRPr="008C5D7B" w:rsidRDefault="00235BE2" w:rsidP="00C225D2">
            <w:pPr>
              <w:keepNext/>
              <w:keepLines/>
              <w:rPr>
                <w:rFonts w:ascii="Arial Narrow" w:hAnsi="Arial Narrow"/>
                <w:b/>
                <w:bCs/>
                <w:color w:val="A6A6A6" w:themeColor="background1" w:themeShade="A6"/>
                <w:sz w:val="20"/>
                <w:szCs w:val="20"/>
              </w:rPr>
            </w:pPr>
            <w:r w:rsidRPr="008C5D7B">
              <w:rPr>
                <w:rFonts w:ascii="Arial Narrow" w:hAnsi="Arial Narrow"/>
                <w:b/>
                <w:bCs/>
                <w:color w:val="333333"/>
                <w:sz w:val="20"/>
                <w:szCs w:val="20"/>
              </w:rPr>
              <w:t xml:space="preserve">Administrative Advice: </w:t>
            </w:r>
            <w:r w:rsidRPr="008C5D7B">
              <w:rPr>
                <w:rFonts w:ascii="Arial Narrow" w:hAnsi="Arial Narrow"/>
                <w:color w:val="333333"/>
                <w:sz w:val="20"/>
                <w:szCs w:val="20"/>
              </w:rPr>
              <w:t>Special Pricing Arrangements apply.</w:t>
            </w:r>
          </w:p>
        </w:tc>
      </w:tr>
      <w:tr w:rsidR="00235BE2" w:rsidRPr="008C5D7B" w14:paraId="5CA286C5" w14:textId="74A894EC"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FA0F34B" w14:textId="78371835" w:rsidR="00235BE2" w:rsidRPr="008C5D7B" w:rsidRDefault="00235BE2" w:rsidP="00C225D2">
            <w:pPr>
              <w:keepNext/>
              <w:keepLines/>
              <w:rPr>
                <w:rFonts w:ascii="Arial Narrow" w:hAnsi="Arial Narrow"/>
                <w:color w:val="333333"/>
                <w:sz w:val="20"/>
                <w:szCs w:val="20"/>
              </w:rPr>
            </w:pPr>
            <w:r w:rsidRPr="008C5D7B">
              <w:rPr>
                <w:rFonts w:ascii="Arial Narrow" w:hAnsi="Arial Narrow"/>
                <w:b/>
                <w:bCs/>
                <w:color w:val="333333"/>
                <w:sz w:val="20"/>
                <w:szCs w:val="20"/>
              </w:rPr>
              <w:t>Indication:</w:t>
            </w:r>
            <w:r w:rsidRPr="008C5D7B">
              <w:rPr>
                <w:rFonts w:ascii="Arial Narrow" w:hAnsi="Arial Narrow"/>
                <w:color w:val="333333"/>
                <w:sz w:val="20"/>
                <w:szCs w:val="20"/>
              </w:rPr>
              <w:t xml:space="preserve"> Chronic lymphocytic leukaemia (CLL) or small lymphocytic lymphoma (SLL)</w:t>
            </w:r>
          </w:p>
        </w:tc>
      </w:tr>
      <w:tr w:rsidR="00235BE2" w:rsidRPr="008C5D7B" w14:paraId="6E6733E9" w14:textId="2C64C5FA"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8910484" w14:textId="74C10835" w:rsidR="00235BE2" w:rsidRPr="008C5D7B" w:rsidRDefault="00235BE2" w:rsidP="00C225D2">
            <w:pPr>
              <w:keepNext/>
              <w:keepLines/>
              <w:rPr>
                <w:rFonts w:ascii="Arial Narrow" w:hAnsi="Arial Narrow"/>
                <w:sz w:val="20"/>
                <w:szCs w:val="20"/>
              </w:rPr>
            </w:pPr>
            <w:r w:rsidRPr="008C5D7B">
              <w:rPr>
                <w:rFonts w:ascii="Arial Narrow" w:hAnsi="Arial Narrow"/>
                <w:b/>
                <w:bCs/>
                <w:sz w:val="20"/>
                <w:szCs w:val="20"/>
              </w:rPr>
              <w:t>Treatment Phase:</w:t>
            </w:r>
            <w:r w:rsidRPr="008C5D7B">
              <w:rPr>
                <w:rFonts w:ascii="Arial Narrow" w:hAnsi="Arial Narrow"/>
                <w:sz w:val="20"/>
                <w:szCs w:val="20"/>
              </w:rPr>
              <w:t xml:space="preserve"> Second and final continuing treatment (treatment cycles 9 to 14 inclusive) of first-line therapy with acalabrutinib</w:t>
            </w:r>
          </w:p>
        </w:tc>
      </w:tr>
      <w:tr w:rsidR="00235BE2" w:rsidRPr="008C5D7B" w14:paraId="1DA77BD7" w14:textId="6F776F6B" w:rsidTr="00235BE2">
        <w:tblPrEx>
          <w:tblCellMar>
            <w:top w:w="15" w:type="dxa"/>
            <w:bottom w:w="15" w:type="dxa"/>
          </w:tblCellMar>
          <w:tblLook w:val="04A0" w:firstRow="1" w:lastRow="0" w:firstColumn="1" w:lastColumn="0" w:noHBand="0" w:noVBand="1"/>
        </w:tblPrEx>
        <w:trPr>
          <w:cantSplit/>
          <w:trHeight w:val="316"/>
        </w:trPr>
        <w:tc>
          <w:tcPr>
            <w:tcW w:w="5000" w:type="pct"/>
            <w:gridSpan w:val="6"/>
            <w:vAlign w:val="center"/>
            <w:hideMark/>
          </w:tcPr>
          <w:p w14:paraId="03E5B042" w14:textId="07B61605" w:rsidR="00235BE2" w:rsidRPr="008C5D7B" w:rsidRDefault="00235BE2" w:rsidP="00C225D2">
            <w:pPr>
              <w:keepNext/>
              <w:keepLines/>
              <w:rPr>
                <w:rFonts w:ascii="Arial Narrow" w:hAnsi="Arial Narrow"/>
                <w:sz w:val="20"/>
                <w:szCs w:val="20"/>
              </w:rPr>
            </w:pPr>
            <w:r w:rsidRPr="008C5D7B">
              <w:rPr>
                <w:rFonts w:ascii="Arial Narrow" w:hAnsi="Arial Narrow"/>
                <w:b/>
                <w:bCs/>
                <w:color w:val="333333"/>
                <w:sz w:val="20"/>
                <w:szCs w:val="20"/>
              </w:rPr>
              <w:t>Clinical criteria:</w:t>
            </w:r>
            <w:r w:rsidRPr="008C5D7B">
              <w:rPr>
                <w:rFonts w:ascii="Arial Narrow" w:hAnsi="Arial Narrow"/>
                <w:bCs/>
                <w:color w:val="FF0000"/>
                <w:sz w:val="20"/>
                <w:szCs w:val="20"/>
              </w:rPr>
              <w:tab/>
            </w:r>
          </w:p>
        </w:tc>
      </w:tr>
      <w:tr w:rsidR="00235BE2" w:rsidRPr="008C5D7B" w14:paraId="61ACF16F" w14:textId="436CB2FB"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C486DE6" w14:textId="4EDE5B98" w:rsidR="00235BE2" w:rsidRPr="008C5D7B" w:rsidRDefault="00235BE2" w:rsidP="00C225D2">
            <w:pPr>
              <w:keepNext/>
              <w:keepLines/>
              <w:rPr>
                <w:rFonts w:ascii="Arial Narrow" w:hAnsi="Arial Narrow"/>
                <w:color w:val="333333"/>
                <w:sz w:val="20"/>
                <w:szCs w:val="20"/>
              </w:rPr>
            </w:pPr>
            <w:r w:rsidRPr="008C5D7B">
              <w:rPr>
                <w:rFonts w:ascii="Arial Narrow" w:hAnsi="Arial Narrow"/>
                <w:color w:val="333333"/>
                <w:sz w:val="20"/>
                <w:szCs w:val="20"/>
              </w:rPr>
              <w:t>Patient must have previously received PBS-subsidised treatment with this drug for this condition</w:t>
            </w:r>
          </w:p>
        </w:tc>
      </w:tr>
      <w:tr w:rsidR="00235BE2" w:rsidRPr="008C5D7B" w14:paraId="78F12AA1" w14:textId="5AC6E369"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7DB08E7" w14:textId="61D59BCD" w:rsidR="00235BE2" w:rsidRPr="008C5D7B" w:rsidRDefault="00235BE2" w:rsidP="00C225D2">
            <w:pPr>
              <w:keepNext/>
              <w:keepLines/>
              <w:rPr>
                <w:rFonts w:ascii="Arial Narrow" w:hAnsi="Arial Narrow"/>
                <w:sz w:val="20"/>
                <w:szCs w:val="20"/>
              </w:rPr>
            </w:pPr>
            <w:r w:rsidRPr="008C5D7B">
              <w:rPr>
                <w:rFonts w:ascii="Arial Narrow" w:hAnsi="Arial Narrow"/>
                <w:b/>
                <w:bCs/>
                <w:sz w:val="20"/>
                <w:szCs w:val="20"/>
              </w:rPr>
              <w:t>AND</w:t>
            </w:r>
          </w:p>
        </w:tc>
      </w:tr>
      <w:tr w:rsidR="00235BE2" w:rsidRPr="008C5D7B" w14:paraId="28426A80" w14:textId="65250D62"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1C5B1CA" w14:textId="54809D72" w:rsidR="00235BE2" w:rsidRPr="008C5D7B" w:rsidRDefault="00235BE2" w:rsidP="00C225D2">
            <w:pPr>
              <w:keepNext/>
              <w:keepLines/>
              <w:rPr>
                <w:rFonts w:ascii="Arial Narrow" w:hAnsi="Arial Narrow"/>
                <w:sz w:val="20"/>
                <w:szCs w:val="20"/>
              </w:rPr>
            </w:pPr>
            <w:r w:rsidRPr="008C5D7B">
              <w:rPr>
                <w:rFonts w:ascii="Arial Narrow" w:hAnsi="Arial Narrow"/>
                <w:b/>
                <w:bCs/>
                <w:sz w:val="20"/>
                <w:szCs w:val="20"/>
              </w:rPr>
              <w:t>Clinical criteria:</w:t>
            </w:r>
          </w:p>
        </w:tc>
      </w:tr>
      <w:tr w:rsidR="00235BE2" w:rsidRPr="008C5D7B" w14:paraId="1725AC0D" w14:textId="74373A72"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F151724" w14:textId="44D6A6BF" w:rsidR="00235BE2" w:rsidRPr="008C5D7B" w:rsidRDefault="00235BE2" w:rsidP="00C225D2">
            <w:pPr>
              <w:keepNext/>
              <w:keepLines/>
              <w:rPr>
                <w:rFonts w:ascii="Arial Narrow" w:hAnsi="Arial Narrow"/>
                <w:color w:val="333333"/>
                <w:sz w:val="20"/>
                <w:szCs w:val="20"/>
              </w:rPr>
            </w:pPr>
            <w:r w:rsidRPr="008C5D7B">
              <w:rPr>
                <w:rFonts w:ascii="Arial Narrow" w:hAnsi="Arial Narrow"/>
                <w:color w:val="333333"/>
                <w:sz w:val="20"/>
                <w:szCs w:val="20"/>
              </w:rPr>
              <w:t>The treatment must be in combination with acalabrutinib</w:t>
            </w:r>
          </w:p>
        </w:tc>
      </w:tr>
      <w:tr w:rsidR="00235BE2" w:rsidRPr="008C5D7B" w14:paraId="17441027" w14:textId="3D838266"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0E4DECB" w14:textId="4C2188A2" w:rsidR="00235BE2" w:rsidRPr="008C5D7B" w:rsidRDefault="00235BE2" w:rsidP="00C225D2">
            <w:pPr>
              <w:keepNext/>
              <w:keepLines/>
              <w:rPr>
                <w:rFonts w:ascii="Arial Narrow" w:hAnsi="Arial Narrow"/>
                <w:color w:val="333333"/>
                <w:sz w:val="20"/>
                <w:szCs w:val="20"/>
              </w:rPr>
            </w:pPr>
            <w:r w:rsidRPr="008C5D7B">
              <w:rPr>
                <w:rFonts w:ascii="Arial Narrow" w:hAnsi="Arial Narrow"/>
                <w:b/>
                <w:bCs/>
                <w:sz w:val="20"/>
                <w:szCs w:val="20"/>
              </w:rPr>
              <w:t>AND</w:t>
            </w:r>
          </w:p>
        </w:tc>
      </w:tr>
      <w:tr w:rsidR="00235BE2" w:rsidRPr="008C5D7B" w14:paraId="46EF525F" w14:textId="2B73DEA7"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3CFE2A" w14:textId="6E8CD27C" w:rsidR="00235BE2" w:rsidRPr="008C5D7B" w:rsidRDefault="00235BE2" w:rsidP="00C225D2">
            <w:pPr>
              <w:keepNext/>
              <w:keepLines/>
              <w:rPr>
                <w:rFonts w:ascii="Arial Narrow" w:hAnsi="Arial Narrow"/>
                <w:color w:val="333333"/>
                <w:sz w:val="20"/>
                <w:szCs w:val="20"/>
              </w:rPr>
            </w:pPr>
            <w:r w:rsidRPr="008C5D7B">
              <w:rPr>
                <w:rFonts w:ascii="Arial Narrow" w:hAnsi="Arial Narrow"/>
                <w:b/>
                <w:bCs/>
                <w:sz w:val="20"/>
                <w:szCs w:val="20"/>
              </w:rPr>
              <w:t>Clinical criteria:</w:t>
            </w:r>
          </w:p>
        </w:tc>
      </w:tr>
      <w:tr w:rsidR="00235BE2" w:rsidRPr="008C5D7B" w14:paraId="75C1782C" w14:textId="7B88172A"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7C39896" w14:textId="7083635F" w:rsidR="00235BE2" w:rsidRPr="008C5D7B" w:rsidRDefault="00235BE2" w:rsidP="00C225D2">
            <w:pPr>
              <w:keepNext/>
              <w:keepLines/>
              <w:rPr>
                <w:rFonts w:ascii="Arial Narrow" w:hAnsi="Arial Narrow"/>
                <w:color w:val="333333"/>
                <w:sz w:val="20"/>
                <w:szCs w:val="20"/>
              </w:rPr>
            </w:pPr>
            <w:r w:rsidRPr="008C5D7B">
              <w:rPr>
                <w:rFonts w:ascii="Arial Narrow" w:hAnsi="Arial Narrow"/>
                <w:bCs/>
                <w:sz w:val="20"/>
                <w:szCs w:val="20"/>
              </w:rPr>
              <w:t>The treatment must not be in combination with obinutuzumab</w:t>
            </w:r>
          </w:p>
        </w:tc>
      </w:tr>
      <w:tr w:rsidR="00235BE2" w:rsidRPr="008C5D7B" w14:paraId="0778FA97" w14:textId="5933AAF5"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BD4381A" w14:textId="500E8C92" w:rsidR="00235BE2" w:rsidRPr="008C5D7B" w:rsidRDefault="00235BE2" w:rsidP="00C225D2">
            <w:pPr>
              <w:keepNext/>
              <w:keepLines/>
              <w:rPr>
                <w:rFonts w:ascii="Arial Narrow" w:hAnsi="Arial Narrow"/>
                <w:sz w:val="20"/>
                <w:szCs w:val="20"/>
              </w:rPr>
            </w:pPr>
            <w:r w:rsidRPr="008C5D7B">
              <w:rPr>
                <w:rFonts w:ascii="Arial Narrow" w:hAnsi="Arial Narrow"/>
                <w:b/>
                <w:bCs/>
                <w:sz w:val="20"/>
                <w:szCs w:val="20"/>
              </w:rPr>
              <w:t>AND</w:t>
            </w:r>
          </w:p>
        </w:tc>
      </w:tr>
      <w:tr w:rsidR="00235BE2" w:rsidRPr="008C5D7B" w14:paraId="43BABA5E" w14:textId="5511BD9D"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B374E10" w14:textId="4DE7EA3B" w:rsidR="00235BE2" w:rsidRPr="008C5D7B" w:rsidRDefault="00235BE2" w:rsidP="00C225D2">
            <w:pPr>
              <w:keepNext/>
              <w:keepLines/>
              <w:rPr>
                <w:rFonts w:ascii="Arial Narrow" w:hAnsi="Arial Narrow"/>
                <w:sz w:val="20"/>
                <w:szCs w:val="20"/>
              </w:rPr>
            </w:pPr>
            <w:r w:rsidRPr="008C5D7B">
              <w:rPr>
                <w:rFonts w:ascii="Arial Narrow" w:hAnsi="Arial Narrow"/>
                <w:b/>
                <w:bCs/>
                <w:sz w:val="20"/>
                <w:szCs w:val="20"/>
              </w:rPr>
              <w:t>Clinical criteria:</w:t>
            </w:r>
          </w:p>
        </w:tc>
      </w:tr>
      <w:tr w:rsidR="00235BE2" w:rsidRPr="008C5D7B" w14:paraId="6167380C" w14:textId="451A65E6" w:rsidTr="00235BE2">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8B98D1B" w14:textId="615CEDC4" w:rsidR="00235BE2" w:rsidRPr="008C5D7B" w:rsidRDefault="00235BE2" w:rsidP="00C225D2">
            <w:pPr>
              <w:keepNext/>
              <w:keepLines/>
              <w:rPr>
                <w:rFonts w:ascii="Arial Narrow" w:hAnsi="Arial Narrow"/>
                <w:strike/>
                <w:sz w:val="20"/>
                <w:szCs w:val="20"/>
              </w:rPr>
            </w:pPr>
            <w:r w:rsidRPr="008C5D7B">
              <w:rPr>
                <w:rFonts w:ascii="Arial Narrow" w:hAnsi="Arial Narrow"/>
                <w:sz w:val="20"/>
                <w:szCs w:val="20"/>
              </w:rPr>
              <w:t xml:space="preserve">The treatment must not exceed 12 cycles in total with this drug, measured from the initial dose, </w:t>
            </w:r>
            <w:proofErr w:type="gramStart"/>
            <w:r w:rsidRPr="008C5D7B">
              <w:rPr>
                <w:rFonts w:ascii="Arial Narrow" w:hAnsi="Arial Narrow"/>
                <w:sz w:val="20"/>
                <w:szCs w:val="20"/>
              </w:rPr>
              <w:t>or,</w:t>
            </w:r>
            <w:proofErr w:type="gramEnd"/>
            <w:r w:rsidRPr="008C5D7B">
              <w:rPr>
                <w:rFonts w:ascii="Arial Narrow" w:hAnsi="Arial Narrow"/>
                <w:sz w:val="20"/>
                <w:szCs w:val="20"/>
              </w:rPr>
              <w:t xml:space="preserve"> must not extend beyond disease progression, whichever comes first.</w:t>
            </w:r>
          </w:p>
        </w:tc>
      </w:tr>
    </w:tbl>
    <w:p w14:paraId="21965050" w14:textId="77777777" w:rsidR="00AC0494" w:rsidRDefault="00AC0494" w:rsidP="00AC0494"/>
    <w:p w14:paraId="6BC12A6A" w14:textId="105384AB" w:rsidR="00B3081F" w:rsidRDefault="00B3081F" w:rsidP="00B3081F">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Flow-on changes</w:t>
      </w:r>
      <w:r w:rsidR="00202D9A">
        <w:rPr>
          <w:rFonts w:asciiTheme="minorHAnsi" w:hAnsiTheme="minorHAnsi"/>
          <w:snapToGrid w:val="0"/>
          <w:lang w:val="en-GB" w:eastAsia="en-US"/>
        </w:rPr>
        <w:t xml:space="preserve"> to existing venetoclax and obinutuzumab listings</w:t>
      </w:r>
      <w:r>
        <w:rPr>
          <w:rFonts w:asciiTheme="minorHAnsi" w:hAnsiTheme="minorHAnsi"/>
          <w:snapToGrid w:val="0"/>
          <w:lang w:val="en-GB" w:eastAsia="en-US"/>
        </w:rPr>
        <w:t xml:space="preserve">: </w:t>
      </w:r>
      <w:r w:rsidRPr="00816C06">
        <w:rPr>
          <w:rFonts w:asciiTheme="minorHAnsi" w:hAnsiTheme="minorHAnsi"/>
          <w:snapToGrid w:val="0"/>
          <w:lang w:val="en-GB" w:eastAsia="en-US"/>
        </w:rPr>
        <w:t xml:space="preserve"> </w:t>
      </w:r>
    </w:p>
    <w:p w14:paraId="6C850B15" w14:textId="77777777" w:rsidR="00B3081F" w:rsidRPr="007C5080" w:rsidRDefault="00B3081F" w:rsidP="00B3081F">
      <w:pPr>
        <w:rPr>
          <w:rFonts w:ascii="Arial" w:hAnsi="Arial"/>
          <w:b/>
          <w:bCs/>
          <w:color w:val="365F91" w:themeColor="accent1" w:themeShade="BF"/>
          <w:sz w:val="22"/>
          <w:szCs w:val="22"/>
        </w:rPr>
      </w:pPr>
    </w:p>
    <w:p w14:paraId="1E93D5F8" w14:textId="77777777" w:rsidR="00AC0494" w:rsidRPr="009D176F" w:rsidRDefault="00AC0494" w:rsidP="00AC0494">
      <w:pPr>
        <w:rPr>
          <w:rFonts w:asciiTheme="minorHAnsi" w:hAnsiTheme="minorHAnsi" w:cstheme="minorHAnsi"/>
          <w:b/>
          <w:bCs/>
          <w:u w:val="single"/>
        </w:rPr>
      </w:pPr>
      <w:r w:rsidRPr="009D176F">
        <w:rPr>
          <w:rFonts w:asciiTheme="minorHAnsi" w:hAnsiTheme="minorHAnsi" w:cstheme="minorHAnsi"/>
          <w:b/>
          <w:bCs/>
          <w:u w:val="single"/>
        </w:rPr>
        <w:t>Flow-</w:t>
      </w:r>
      <w:proofErr w:type="spellStart"/>
      <w:r w:rsidRPr="009D176F">
        <w:rPr>
          <w:rFonts w:asciiTheme="minorHAnsi" w:hAnsiTheme="minorHAnsi" w:cstheme="minorHAnsi"/>
          <w:b/>
          <w:bCs/>
          <w:u w:val="single"/>
        </w:rPr>
        <w:t>ons</w:t>
      </w:r>
      <w:proofErr w:type="spellEnd"/>
      <w:r w:rsidRPr="009D176F">
        <w:rPr>
          <w:rFonts w:asciiTheme="minorHAnsi" w:hAnsiTheme="minorHAnsi" w:cstheme="minorHAnsi"/>
          <w:b/>
          <w:bCs/>
          <w:u w:val="single"/>
        </w:rPr>
        <w:t xml:space="preserve"> to existing venetoclax listings</w:t>
      </w:r>
    </w:p>
    <w:p w14:paraId="28845AD2" w14:textId="2E21CBE8" w:rsidR="00AC0494" w:rsidRPr="009D176F" w:rsidRDefault="00AC0494" w:rsidP="00AC0494">
      <w:pPr>
        <w:rPr>
          <w:rFonts w:asciiTheme="minorHAnsi" w:hAnsiTheme="minorHAnsi" w:cstheme="minorHAnsi"/>
        </w:rPr>
      </w:pPr>
      <w:r w:rsidRPr="009D176F">
        <w:rPr>
          <w:rFonts w:asciiTheme="minorHAnsi" w:hAnsiTheme="minorHAnsi" w:cstheme="minorHAnsi"/>
        </w:rPr>
        <w:t>To prevent triple therapy with acalabrutinib, add the following clinical criteria to the venetoclax listings in combination with obin</w:t>
      </w:r>
      <w:r w:rsidR="00FF42B7">
        <w:rPr>
          <w:rFonts w:asciiTheme="minorHAnsi" w:hAnsiTheme="minorHAnsi" w:cstheme="minorHAnsi"/>
        </w:rPr>
        <w:t>u</w:t>
      </w:r>
      <w:r w:rsidRPr="009D176F">
        <w:rPr>
          <w:rFonts w:asciiTheme="minorHAnsi" w:hAnsiTheme="minorHAnsi" w:cstheme="minorHAnsi"/>
        </w:rPr>
        <w:t xml:space="preserve">tuzumab (PBS item codes: 12193R; 12204H; 12205J; 12188L; 12199C).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Flow ons to existing venetoclax listings"/>
      </w:tblPr>
      <w:tblGrid>
        <w:gridCol w:w="9017"/>
      </w:tblGrid>
      <w:tr w:rsidR="00235BE2" w:rsidRPr="008C5D7B" w14:paraId="779B0BBE" w14:textId="77777777" w:rsidTr="00235BE2">
        <w:trPr>
          <w:cantSplit/>
          <w:trHeight w:val="567"/>
        </w:trPr>
        <w:tc>
          <w:tcPr>
            <w:tcW w:w="5000" w:type="pct"/>
            <w:vAlign w:val="center"/>
          </w:tcPr>
          <w:p w14:paraId="367B684A" w14:textId="77777777" w:rsidR="00235BE2" w:rsidRPr="008C5D7B" w:rsidRDefault="00235BE2" w:rsidP="00C225D2">
            <w:pPr>
              <w:rPr>
                <w:rFonts w:ascii="Arial Narrow" w:hAnsi="Arial Narrow"/>
                <w:color w:val="333333"/>
                <w:sz w:val="20"/>
                <w:szCs w:val="20"/>
              </w:rPr>
            </w:pPr>
            <w:r w:rsidRPr="008C5D7B">
              <w:rPr>
                <w:rFonts w:ascii="Arial Narrow" w:hAnsi="Arial Narrow"/>
                <w:b/>
                <w:bCs/>
                <w:color w:val="333333"/>
                <w:sz w:val="20"/>
                <w:szCs w:val="20"/>
              </w:rPr>
              <w:t>Clinical Criteria:</w:t>
            </w:r>
          </w:p>
          <w:p w14:paraId="375CA10C" w14:textId="77777777" w:rsidR="00235BE2" w:rsidRPr="008C5D7B" w:rsidRDefault="00235BE2" w:rsidP="00C225D2">
            <w:pPr>
              <w:rPr>
                <w:rFonts w:ascii="Arial Narrow" w:hAnsi="Arial Narrow"/>
                <w:color w:val="333333"/>
                <w:sz w:val="20"/>
                <w:szCs w:val="20"/>
              </w:rPr>
            </w:pPr>
            <w:r w:rsidRPr="008C5D7B">
              <w:rPr>
                <w:rFonts w:ascii="Arial Narrow" w:hAnsi="Arial Narrow"/>
                <w:color w:val="333333"/>
                <w:sz w:val="20"/>
                <w:szCs w:val="20"/>
              </w:rPr>
              <w:t>The treatment must not be in combination with acalabrutinib.</w:t>
            </w:r>
          </w:p>
        </w:tc>
      </w:tr>
    </w:tbl>
    <w:p w14:paraId="121E75AE" w14:textId="77777777" w:rsidR="00AC0494" w:rsidRPr="008C5D7B" w:rsidRDefault="00AC0494" w:rsidP="00AC0494">
      <w:pPr>
        <w:rPr>
          <w:rFonts w:ascii="Arial Narrow" w:hAnsi="Arial Narrow" w:cstheme="minorHAnsi"/>
          <w:b/>
          <w:bCs/>
          <w:u w:val="single"/>
        </w:rPr>
      </w:pPr>
    </w:p>
    <w:p w14:paraId="2B8AD742" w14:textId="77777777" w:rsidR="002956F6" w:rsidRDefault="002956F6">
      <w:pPr>
        <w:jc w:val="left"/>
        <w:rPr>
          <w:rFonts w:asciiTheme="minorHAnsi" w:hAnsiTheme="minorHAnsi" w:cstheme="minorHAnsi"/>
          <w:b/>
          <w:bCs/>
          <w:u w:val="single"/>
        </w:rPr>
      </w:pPr>
      <w:r>
        <w:rPr>
          <w:rFonts w:asciiTheme="minorHAnsi" w:hAnsiTheme="minorHAnsi" w:cstheme="minorHAnsi"/>
          <w:b/>
          <w:bCs/>
          <w:u w:val="single"/>
        </w:rPr>
        <w:br w:type="page"/>
      </w:r>
    </w:p>
    <w:p w14:paraId="35955F37" w14:textId="56C3AB2E" w:rsidR="00AC0494" w:rsidRPr="009D176F" w:rsidRDefault="00AC0494" w:rsidP="00AC0494">
      <w:pPr>
        <w:rPr>
          <w:rFonts w:asciiTheme="minorHAnsi" w:hAnsiTheme="minorHAnsi" w:cstheme="minorHAnsi"/>
          <w:b/>
          <w:bCs/>
          <w:u w:val="single"/>
        </w:rPr>
      </w:pPr>
      <w:r w:rsidRPr="009D176F">
        <w:rPr>
          <w:rFonts w:asciiTheme="minorHAnsi" w:hAnsiTheme="minorHAnsi" w:cstheme="minorHAnsi"/>
          <w:b/>
          <w:bCs/>
          <w:u w:val="single"/>
        </w:rPr>
        <w:lastRenderedPageBreak/>
        <w:t>Flow-</w:t>
      </w:r>
      <w:proofErr w:type="spellStart"/>
      <w:r w:rsidRPr="009D176F">
        <w:rPr>
          <w:rFonts w:asciiTheme="minorHAnsi" w:hAnsiTheme="minorHAnsi" w:cstheme="minorHAnsi"/>
          <w:b/>
          <w:bCs/>
          <w:u w:val="single"/>
        </w:rPr>
        <w:t>ons</w:t>
      </w:r>
      <w:proofErr w:type="spellEnd"/>
      <w:r w:rsidRPr="009D176F">
        <w:rPr>
          <w:rFonts w:asciiTheme="minorHAnsi" w:hAnsiTheme="minorHAnsi" w:cstheme="minorHAnsi"/>
          <w:b/>
          <w:bCs/>
          <w:u w:val="single"/>
        </w:rPr>
        <w:t xml:space="preserve"> to existing </w:t>
      </w:r>
      <w:r w:rsidR="00730461">
        <w:rPr>
          <w:rFonts w:asciiTheme="minorHAnsi" w:hAnsiTheme="minorHAnsi" w:cstheme="minorHAnsi"/>
          <w:b/>
          <w:bCs/>
          <w:u w:val="single"/>
        </w:rPr>
        <w:t>o</w:t>
      </w:r>
      <w:r w:rsidR="00B41BD8" w:rsidRPr="009D176F">
        <w:rPr>
          <w:rFonts w:asciiTheme="minorHAnsi" w:hAnsiTheme="minorHAnsi" w:cstheme="minorHAnsi"/>
          <w:b/>
          <w:bCs/>
          <w:u w:val="single"/>
        </w:rPr>
        <w:t>binutuzumab</w:t>
      </w:r>
      <w:r w:rsidRPr="009D176F">
        <w:rPr>
          <w:rFonts w:asciiTheme="minorHAnsi" w:hAnsiTheme="minorHAnsi" w:cstheme="minorHAnsi"/>
          <w:b/>
          <w:bCs/>
          <w:u w:val="single"/>
        </w:rPr>
        <w:t xml:space="preserve"> listings</w:t>
      </w:r>
    </w:p>
    <w:p w14:paraId="3E729400" w14:textId="77777777" w:rsidR="00AC0494" w:rsidRPr="008C5D7B" w:rsidRDefault="00AC0494" w:rsidP="00AC0494">
      <w:pPr>
        <w:rPr>
          <w:rFonts w:ascii="Arial Narrow" w:hAnsi="Arial Narrow"/>
        </w:rPr>
      </w:pPr>
      <w:r w:rsidRPr="009D176F">
        <w:rPr>
          <w:rFonts w:asciiTheme="minorHAnsi" w:hAnsiTheme="minorHAnsi" w:cstheme="minorHAnsi"/>
        </w:rPr>
        <w:t>To prevent triple therapy with venetoclax, add the following clinical criteria to the obinutuzumab listings in combination with acalabrutinib (PBS item codes: 13787P; 13793Y; 13810W)</w:t>
      </w:r>
      <w:r w:rsidRPr="008C5D7B">
        <w:rPr>
          <w:rFonts w:ascii="Arial Narrow" w:hAnsi="Arial Narrow"/>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Flow ons to existing obinutuzumab listings "/>
      </w:tblPr>
      <w:tblGrid>
        <w:gridCol w:w="9017"/>
      </w:tblGrid>
      <w:tr w:rsidR="00235BE2" w:rsidRPr="008C5D7B" w14:paraId="5042A390" w14:textId="77777777" w:rsidTr="00235BE2">
        <w:trPr>
          <w:cantSplit/>
          <w:trHeight w:val="567"/>
        </w:trPr>
        <w:tc>
          <w:tcPr>
            <w:tcW w:w="5000" w:type="pct"/>
            <w:vAlign w:val="center"/>
          </w:tcPr>
          <w:p w14:paraId="63C381B4" w14:textId="77777777" w:rsidR="00235BE2" w:rsidRPr="008C5D7B" w:rsidRDefault="00235BE2" w:rsidP="00C225D2">
            <w:pPr>
              <w:rPr>
                <w:rFonts w:ascii="Arial Narrow" w:hAnsi="Arial Narrow"/>
                <w:color w:val="333333"/>
                <w:sz w:val="20"/>
                <w:szCs w:val="20"/>
              </w:rPr>
            </w:pPr>
            <w:r w:rsidRPr="008C5D7B">
              <w:rPr>
                <w:rFonts w:ascii="Arial Narrow" w:hAnsi="Arial Narrow"/>
                <w:b/>
                <w:bCs/>
                <w:color w:val="333333"/>
                <w:sz w:val="20"/>
                <w:szCs w:val="20"/>
              </w:rPr>
              <w:t>Clinical Criteria:</w:t>
            </w:r>
          </w:p>
          <w:p w14:paraId="5E53CF40" w14:textId="77777777" w:rsidR="00235BE2" w:rsidRPr="008C5D7B" w:rsidRDefault="00235BE2" w:rsidP="00C225D2">
            <w:pPr>
              <w:rPr>
                <w:rFonts w:ascii="Arial Narrow" w:hAnsi="Arial Narrow"/>
                <w:color w:val="333333"/>
                <w:sz w:val="20"/>
                <w:szCs w:val="20"/>
              </w:rPr>
            </w:pPr>
            <w:r w:rsidRPr="008C5D7B">
              <w:rPr>
                <w:rFonts w:ascii="Arial Narrow" w:hAnsi="Arial Narrow"/>
                <w:color w:val="333333"/>
                <w:sz w:val="20"/>
                <w:szCs w:val="20"/>
              </w:rPr>
              <w:t>The treatment must not be in combination with venetoclax.</w:t>
            </w:r>
          </w:p>
        </w:tc>
      </w:tr>
    </w:tbl>
    <w:p w14:paraId="2789B8EF" w14:textId="77777777" w:rsidR="00AC0494" w:rsidRPr="008C5D7B" w:rsidRDefault="00AC0494" w:rsidP="00AC0494">
      <w:pPr>
        <w:jc w:val="left"/>
      </w:pPr>
    </w:p>
    <w:p w14:paraId="5E0F2D84" w14:textId="795AD352" w:rsidR="003E6981" w:rsidRDefault="002956F6" w:rsidP="00A90D7A">
      <w:pPr>
        <w:jc w:val="left"/>
        <w:rPr>
          <w:rFonts w:asciiTheme="minorHAnsi" w:hAnsiTheme="minorHAnsi"/>
          <w:b/>
          <w:bCs/>
          <w:i/>
          <w:iCs/>
          <w:snapToGrid w:val="0"/>
        </w:rPr>
      </w:pPr>
      <w:r w:rsidRPr="00AB7532">
        <w:rPr>
          <w:rFonts w:asciiTheme="minorHAnsi" w:hAnsiTheme="minorHAnsi"/>
          <w:b/>
          <w:i/>
          <w:iCs/>
          <w:snapToGrid w:val="0"/>
        </w:rPr>
        <w:t xml:space="preserve">These restrictions may be subject to further review. Should there be any changes made to </w:t>
      </w:r>
      <w:r w:rsidRPr="00AB7532">
        <w:rPr>
          <w:rFonts w:asciiTheme="minorHAnsi" w:hAnsiTheme="minorHAnsi"/>
          <w:b/>
          <w:bCs/>
          <w:i/>
          <w:iCs/>
          <w:snapToGrid w:val="0"/>
        </w:rPr>
        <w:t>the restriction</w:t>
      </w:r>
      <w:r>
        <w:rPr>
          <w:rFonts w:asciiTheme="minorHAnsi" w:hAnsiTheme="minorHAnsi"/>
          <w:b/>
          <w:bCs/>
          <w:i/>
          <w:iCs/>
          <w:snapToGrid w:val="0"/>
        </w:rPr>
        <w:t>s</w:t>
      </w:r>
      <w:r w:rsidRPr="00AB7532">
        <w:rPr>
          <w:rFonts w:asciiTheme="minorHAnsi" w:hAnsiTheme="minorHAnsi"/>
          <w:b/>
          <w:bCs/>
          <w:i/>
          <w:iCs/>
          <w:snapToGrid w:val="0"/>
        </w:rPr>
        <w:t xml:space="preserve"> the sponsor will be informed.</w:t>
      </w:r>
      <w:bookmarkStart w:id="52" w:name="_Toc22897694"/>
      <w:bookmarkEnd w:id="1"/>
      <w:bookmarkEnd w:id="2"/>
      <w:bookmarkEnd w:id="3"/>
      <w:bookmarkEnd w:id="52"/>
    </w:p>
    <w:p w14:paraId="7AFCBB51" w14:textId="77777777" w:rsidR="00CD0D8A" w:rsidRDefault="00CD0D8A" w:rsidP="00A90D7A">
      <w:pPr>
        <w:jc w:val="left"/>
        <w:rPr>
          <w:rFonts w:asciiTheme="minorHAnsi" w:hAnsiTheme="minorHAnsi"/>
          <w:b/>
          <w:bCs/>
          <w:i/>
          <w:iCs/>
          <w:snapToGrid w:val="0"/>
        </w:rPr>
      </w:pPr>
    </w:p>
    <w:p w14:paraId="2F7E61AC" w14:textId="77777777" w:rsidR="007B5BAF" w:rsidRPr="007B5BAF" w:rsidRDefault="007B5BAF" w:rsidP="007B5BAF">
      <w:pPr>
        <w:pStyle w:val="2Sections"/>
        <w:numPr>
          <w:ilvl w:val="0"/>
          <w:numId w:val="1"/>
        </w:numPr>
      </w:pPr>
      <w:r w:rsidRPr="007B5BAF">
        <w:t>Context for Decision</w:t>
      </w:r>
    </w:p>
    <w:p w14:paraId="5039D40D" w14:textId="6099A51B" w:rsidR="007B5BAF" w:rsidRDefault="007B5BAF" w:rsidP="00331220">
      <w:pPr>
        <w:ind w:left="720"/>
        <w:jc w:val="left"/>
        <w:rPr>
          <w:rFonts w:cs="Calibri"/>
        </w:rPr>
      </w:pPr>
      <w:r w:rsidRPr="007B5BAF">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5A2DEC" w14:textId="3C16CF36" w:rsidR="007B5BAF" w:rsidRPr="00331220" w:rsidRDefault="007B5BAF" w:rsidP="00331220">
      <w:pPr>
        <w:pStyle w:val="2-SectionHeading"/>
        <w:numPr>
          <w:ilvl w:val="0"/>
          <w:numId w:val="1"/>
        </w:numPr>
        <w:rPr>
          <w:sz w:val="24"/>
          <w:szCs w:val="24"/>
        </w:rPr>
      </w:pPr>
      <w:r w:rsidRPr="007B5BAF">
        <w:t>Sponsor’s Comment</w:t>
      </w:r>
    </w:p>
    <w:p w14:paraId="63A0688F" w14:textId="77777777" w:rsidR="007B5BAF" w:rsidRPr="007B5BAF" w:rsidRDefault="007B5BAF" w:rsidP="00331220">
      <w:pPr>
        <w:spacing w:before="120" w:after="120"/>
        <w:ind w:firstLine="720"/>
        <w:jc w:val="left"/>
        <w:rPr>
          <w:rFonts w:cs="Calibri"/>
        </w:rPr>
      </w:pPr>
      <w:r w:rsidRPr="007B5BAF">
        <w:rPr>
          <w:rFonts w:cs="Calibri"/>
        </w:rPr>
        <w:t>The sponsor had no comment.</w:t>
      </w:r>
    </w:p>
    <w:p w14:paraId="07396BF4" w14:textId="77777777" w:rsidR="00CD0D8A" w:rsidRPr="00A90D7A" w:rsidRDefault="00CD0D8A" w:rsidP="00A90D7A">
      <w:pPr>
        <w:jc w:val="left"/>
        <w:rPr>
          <w:rFonts w:asciiTheme="minorHAnsi" w:hAnsiTheme="minorHAnsi"/>
          <w:b/>
          <w:bCs/>
          <w:i/>
          <w:iCs/>
          <w:snapToGrid w:val="0"/>
        </w:rPr>
      </w:pPr>
    </w:p>
    <w:sectPr w:rsidR="00CD0D8A" w:rsidRPr="00A90D7A" w:rsidSect="00EF7518">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A181" w14:textId="77777777" w:rsidR="005D29CD" w:rsidRPr="00A55C25" w:rsidRDefault="005D29CD" w:rsidP="00124A51">
      <w:r w:rsidRPr="00A55C25">
        <w:separator/>
      </w:r>
    </w:p>
    <w:p w14:paraId="4799B884" w14:textId="77777777" w:rsidR="005D29CD" w:rsidRPr="00A55C25" w:rsidRDefault="005D29CD"/>
  </w:endnote>
  <w:endnote w:type="continuationSeparator" w:id="0">
    <w:p w14:paraId="4994FC81" w14:textId="77777777" w:rsidR="005D29CD" w:rsidRPr="00A55C25" w:rsidRDefault="005D29CD" w:rsidP="00124A51">
      <w:r w:rsidRPr="00A55C25">
        <w:continuationSeparator/>
      </w:r>
    </w:p>
    <w:p w14:paraId="73A7C8C9" w14:textId="77777777" w:rsidR="005D29CD" w:rsidRPr="00A55C25" w:rsidRDefault="005D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838" w14:textId="13E811E5" w:rsidR="001E7508" w:rsidRDefault="00101D8C">
    <w:pPr>
      <w:pStyle w:val="Footer"/>
    </w:pPr>
    <w:r>
      <w:rPr>
        <w:noProof/>
      </w:rPr>
      <mc:AlternateContent>
        <mc:Choice Requires="wps">
          <w:drawing>
            <wp:anchor distT="0" distB="0" distL="0" distR="0" simplePos="0" relativeHeight="251658244" behindDoc="0" locked="0" layoutInCell="1" allowOverlap="1" wp14:anchorId="4903314B" wp14:editId="54401576">
              <wp:simplePos x="635" y="635"/>
              <wp:positionH relativeFrom="page">
                <wp:align>center</wp:align>
              </wp:positionH>
              <wp:positionV relativeFrom="page">
                <wp:align>bottom</wp:align>
              </wp:positionV>
              <wp:extent cx="622300" cy="376555"/>
              <wp:effectExtent l="0" t="0" r="6350" b="0"/>
              <wp:wrapNone/>
              <wp:docPr id="2585980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7E3AEE" w14:textId="76A77375"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03314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57E3AEE" w14:textId="76A77375"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EED4EAB" w:rsidR="002A750F" w:rsidRPr="00A55C25" w:rsidRDefault="00101D8C" w:rsidP="00753B29">
    <w:pPr>
      <w:pStyle w:val="Footer"/>
      <w:jc w:val="center"/>
    </w:pPr>
    <w:r>
      <w:rPr>
        <w:noProof/>
      </w:rPr>
      <mc:AlternateContent>
        <mc:Choice Requires="wps">
          <w:drawing>
            <wp:anchor distT="0" distB="0" distL="0" distR="0" simplePos="0" relativeHeight="251658245" behindDoc="0" locked="0" layoutInCell="1" allowOverlap="1" wp14:anchorId="10EFBE6E" wp14:editId="3F90B772">
              <wp:simplePos x="635" y="635"/>
              <wp:positionH relativeFrom="page">
                <wp:align>center</wp:align>
              </wp:positionH>
              <wp:positionV relativeFrom="page">
                <wp:align>bottom</wp:align>
              </wp:positionV>
              <wp:extent cx="622300" cy="376555"/>
              <wp:effectExtent l="0" t="0" r="6350" b="0"/>
              <wp:wrapNone/>
              <wp:docPr id="21350444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552BF4" w14:textId="6B843430"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EFBE6E"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1552BF4" w14:textId="6B843430"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p>
  <w:p w14:paraId="37484CD3" w14:textId="2C45712E" w:rsidR="002A750F" w:rsidRPr="00A55C25" w:rsidRDefault="002A750F" w:rsidP="006028D3">
    <w:pPr>
      <w:pStyle w:val="PageFooter"/>
    </w:pPr>
    <w:r w:rsidRPr="00A55C25">
      <w:fldChar w:fldCharType="begin"/>
    </w:r>
    <w:r w:rsidRPr="00A55C25">
      <w:instrText xml:space="preserve"> PAGE   \* MERGEFORMAT </w:instrText>
    </w:r>
    <w:r w:rsidRPr="00A55C25">
      <w:fldChar w:fldCharType="separate"/>
    </w:r>
    <w:r w:rsidRPr="00A55C25">
      <w:t>2</w:t>
    </w:r>
    <w:r w:rsidRPr="00A55C2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7123" w14:textId="1C42D61F" w:rsidR="001E7508" w:rsidRDefault="00101D8C">
    <w:pPr>
      <w:pStyle w:val="Footer"/>
    </w:pPr>
    <w:r>
      <w:rPr>
        <w:noProof/>
      </w:rPr>
      <mc:AlternateContent>
        <mc:Choice Requires="wps">
          <w:drawing>
            <wp:anchor distT="0" distB="0" distL="0" distR="0" simplePos="0" relativeHeight="251658243" behindDoc="0" locked="0" layoutInCell="1" allowOverlap="1" wp14:anchorId="4B1D2247" wp14:editId="7842904C">
              <wp:simplePos x="635" y="635"/>
              <wp:positionH relativeFrom="page">
                <wp:align>center</wp:align>
              </wp:positionH>
              <wp:positionV relativeFrom="page">
                <wp:align>bottom</wp:align>
              </wp:positionV>
              <wp:extent cx="622300" cy="376555"/>
              <wp:effectExtent l="0" t="0" r="6350" b="0"/>
              <wp:wrapNone/>
              <wp:docPr id="10299542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319485" w14:textId="121B78D4"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D224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D319485" w14:textId="121B78D4"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29D1" w14:textId="77777777" w:rsidR="005D29CD" w:rsidRPr="00A55C25" w:rsidRDefault="005D29CD" w:rsidP="00124A51">
      <w:r w:rsidRPr="00A55C25">
        <w:separator/>
      </w:r>
    </w:p>
    <w:p w14:paraId="139E1723" w14:textId="77777777" w:rsidR="005D29CD" w:rsidRPr="00A55C25" w:rsidRDefault="005D29CD"/>
  </w:footnote>
  <w:footnote w:type="continuationSeparator" w:id="0">
    <w:p w14:paraId="62ED9378" w14:textId="77777777" w:rsidR="005D29CD" w:rsidRPr="00A55C25" w:rsidRDefault="005D29CD" w:rsidP="00124A51">
      <w:r w:rsidRPr="00A55C25">
        <w:continuationSeparator/>
      </w:r>
    </w:p>
    <w:p w14:paraId="4F3F50AA" w14:textId="77777777" w:rsidR="005D29CD" w:rsidRPr="00A55C25" w:rsidRDefault="005D29CD"/>
  </w:footnote>
  <w:footnote w:id="1">
    <w:p w14:paraId="1B06CA28" w14:textId="77777777" w:rsidR="005F5691" w:rsidRDefault="005F5691" w:rsidP="005F5691">
      <w:pPr>
        <w:pStyle w:val="FootnoteText"/>
      </w:pPr>
      <w:r>
        <w:rPr>
          <w:rStyle w:val="FootnoteReference"/>
        </w:rPr>
        <w:footnoteRef/>
      </w:r>
      <w:r>
        <w:t xml:space="preserve"> </w:t>
      </w:r>
      <w:r>
        <w:rPr>
          <w:rFonts w:ascii="Segoe UI" w:hAnsi="Segoe UI" w:cs="Segoe UI"/>
          <w:color w:val="222222"/>
          <w:shd w:val="clear" w:color="auto" w:fill="FFFFFF"/>
        </w:rPr>
        <w:t>Tedeschi, A., Frustaci, A.M., Menna, P. </w:t>
      </w:r>
      <w:r>
        <w:rPr>
          <w:rFonts w:ascii="Segoe UI" w:hAnsi="Segoe UI" w:cs="Segoe UI"/>
          <w:i/>
          <w:iCs/>
          <w:color w:val="222222"/>
          <w:shd w:val="clear" w:color="auto" w:fill="FFFFFF"/>
        </w:rPr>
        <w:t>et al.</w:t>
      </w:r>
      <w:r>
        <w:rPr>
          <w:rFonts w:ascii="Segoe UI" w:hAnsi="Segoe UI" w:cs="Segoe UI"/>
          <w:color w:val="222222"/>
          <w:shd w:val="clear" w:color="auto" w:fill="FFFFFF"/>
        </w:rPr>
        <w:t> Fixed-duration therapy of chronic lymphocytic leukemia with venetoclax and Bruton tyrosine kinase inhibitors: an insight into differences between ibrutinib and acalabrutinib. </w:t>
      </w:r>
      <w:r>
        <w:rPr>
          <w:rFonts w:ascii="Segoe UI" w:hAnsi="Segoe UI" w:cs="Segoe UI"/>
          <w:i/>
          <w:iCs/>
          <w:color w:val="222222"/>
          <w:shd w:val="clear" w:color="auto" w:fill="FFFFFF"/>
        </w:rPr>
        <w:t>Leukemia</w:t>
      </w:r>
      <w:r>
        <w:rPr>
          <w:rFonts w:ascii="Segoe UI" w:hAnsi="Segoe UI" w:cs="Segoe UI"/>
          <w:color w:val="222222"/>
          <w:shd w:val="clear" w:color="auto" w:fill="FFFFFF"/>
        </w:rPr>
        <w:t> </w:t>
      </w:r>
      <w:r>
        <w:rPr>
          <w:rFonts w:ascii="Segoe UI" w:hAnsi="Segoe UI" w:cs="Segoe UI"/>
          <w:b/>
          <w:bCs/>
          <w:color w:val="222222"/>
          <w:shd w:val="clear" w:color="auto" w:fill="FFFFFF"/>
        </w:rPr>
        <w:t>39</w:t>
      </w:r>
      <w:r>
        <w:rPr>
          <w:rFonts w:ascii="Segoe UI" w:hAnsi="Segoe UI" w:cs="Segoe UI"/>
          <w:color w:val="222222"/>
          <w:shd w:val="clear" w:color="auto" w:fill="FFFFFF"/>
        </w:rPr>
        <w:t>, 2618–2621 (2025). https://doi.org/10.1038/s41375-025-02778-1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73EB" w14:textId="5CA7E14D" w:rsidR="001E7508" w:rsidRDefault="00101D8C">
    <w:pPr>
      <w:pStyle w:val="Header"/>
    </w:pPr>
    <w:r>
      <w:rPr>
        <w:noProof/>
      </w:rPr>
      <mc:AlternateContent>
        <mc:Choice Requires="wps">
          <w:drawing>
            <wp:anchor distT="0" distB="0" distL="0" distR="0" simplePos="0" relativeHeight="251658241" behindDoc="0" locked="0" layoutInCell="1" allowOverlap="1" wp14:anchorId="2F7B290E" wp14:editId="334F3F56">
              <wp:simplePos x="635" y="635"/>
              <wp:positionH relativeFrom="page">
                <wp:align>center</wp:align>
              </wp:positionH>
              <wp:positionV relativeFrom="page">
                <wp:align>top</wp:align>
              </wp:positionV>
              <wp:extent cx="622300" cy="376555"/>
              <wp:effectExtent l="0" t="0" r="6350" b="4445"/>
              <wp:wrapNone/>
              <wp:docPr id="2061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71D5F8" w14:textId="492A5340"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B290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B71D5F8" w14:textId="492A5340"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AF76F02" w:rsidR="002A750F" w:rsidRPr="001705BD" w:rsidRDefault="00101D8C" w:rsidP="001705BD">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40B8C556" wp14:editId="081B8606">
              <wp:simplePos x="635" y="635"/>
              <wp:positionH relativeFrom="page">
                <wp:align>center</wp:align>
              </wp:positionH>
              <wp:positionV relativeFrom="page">
                <wp:align>top</wp:align>
              </wp:positionV>
              <wp:extent cx="622300" cy="376555"/>
              <wp:effectExtent l="0" t="0" r="6350" b="4445"/>
              <wp:wrapNone/>
              <wp:docPr id="9213228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0F9694" w14:textId="6F106FB9"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B8C55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60F9694" w14:textId="6F106FB9"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r w:rsidR="00CD0D8A">
      <w:rPr>
        <w:rFonts w:asciiTheme="minorHAnsi" w:hAnsiTheme="minorHAnsi"/>
        <w:color w:val="808080"/>
      </w:rPr>
      <w:t xml:space="preserve">Public Summary Document </w:t>
    </w:r>
    <w:r w:rsidR="001705BD">
      <w:rPr>
        <w:rFonts w:asciiTheme="minorHAnsi" w:hAnsiTheme="minorHAnsi"/>
        <w:color w:val="808080"/>
      </w:rPr>
      <w:t xml:space="preserve">– </w:t>
    </w:r>
    <w:r w:rsidR="002A750F" w:rsidRPr="00A55C25">
      <w:rPr>
        <w:rFonts w:asciiTheme="minorHAnsi" w:hAnsiTheme="minorHAnsi"/>
        <w:color w:val="808080"/>
      </w:rPr>
      <w:t>November 2025 PBAC Meeting</w:t>
    </w:r>
    <w:r w:rsidR="00A66964">
      <w:rPr>
        <w:rFonts w:asciiTheme="minorHAnsi" w:hAnsiTheme="minorHAnsi"/>
        <w:color w:val="808080"/>
      </w:rPr>
      <w:t xml:space="preserve"> with </w:t>
    </w:r>
    <w:r w:rsidR="00782736" w:rsidRPr="00782736">
      <w:rPr>
        <w:rFonts w:asciiTheme="minorHAnsi" w:hAnsiTheme="minorHAnsi"/>
        <w:color w:val="808080"/>
      </w:rPr>
      <w:t>Out of Session Addendum</w:t>
    </w:r>
  </w:p>
  <w:p w14:paraId="03AF943B" w14:textId="77777777" w:rsidR="002A750F" w:rsidRPr="00A55C25" w:rsidRDefault="002A750F" w:rsidP="003208C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A739" w14:textId="0246FD55" w:rsidR="001E7508" w:rsidRDefault="00101D8C">
    <w:pPr>
      <w:pStyle w:val="Header"/>
    </w:pPr>
    <w:r>
      <w:rPr>
        <w:noProof/>
      </w:rPr>
      <mc:AlternateContent>
        <mc:Choice Requires="wps">
          <w:drawing>
            <wp:anchor distT="0" distB="0" distL="0" distR="0" simplePos="0" relativeHeight="251658240" behindDoc="0" locked="0" layoutInCell="1" allowOverlap="1" wp14:anchorId="78714B91" wp14:editId="18D6D2EA">
              <wp:simplePos x="635" y="635"/>
              <wp:positionH relativeFrom="page">
                <wp:align>center</wp:align>
              </wp:positionH>
              <wp:positionV relativeFrom="page">
                <wp:align>top</wp:align>
              </wp:positionV>
              <wp:extent cx="622300" cy="376555"/>
              <wp:effectExtent l="0" t="0" r="6350" b="4445"/>
              <wp:wrapNone/>
              <wp:docPr id="1938068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CFC53C" w14:textId="59CE796B"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714B91"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CCFC53C" w14:textId="59CE796B" w:rsidR="00101D8C" w:rsidRPr="00101D8C" w:rsidRDefault="00101D8C" w:rsidP="00101D8C">
                    <w:pPr>
                      <w:rPr>
                        <w:rFonts w:ascii="Aptos" w:eastAsia="Aptos" w:hAnsi="Aptos" w:cs="Aptos"/>
                        <w:noProof/>
                        <w:color w:val="FF0000"/>
                      </w:rPr>
                    </w:pPr>
                    <w:r w:rsidRPr="00101D8C">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311091"/>
    <w:multiLevelType w:val="multilevel"/>
    <w:tmpl w:val="62B0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73424"/>
    <w:multiLevelType w:val="hybridMultilevel"/>
    <w:tmpl w:val="0948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8A314D"/>
    <w:multiLevelType w:val="hybridMultilevel"/>
    <w:tmpl w:val="34BED1B8"/>
    <w:lvl w:ilvl="0" w:tplc="DBDC020E">
      <w:start w:val="1"/>
      <w:numFmt w:val="lowerLetter"/>
      <w:lvlText w:val="%1."/>
      <w:lvlJc w:val="left"/>
      <w:pPr>
        <w:ind w:left="3960" w:hanging="360"/>
      </w:pPr>
      <w:rPr>
        <w:rFonts w:hint="default"/>
      </w:rPr>
    </w:lvl>
    <w:lvl w:ilvl="1" w:tplc="FFFFFFFF">
      <w:start w:val="1"/>
      <w:numFmt w:val="lowerLetter"/>
      <w:lvlText w:val="%2."/>
      <w:lvlJc w:val="left"/>
      <w:pPr>
        <w:ind w:left="4680" w:hanging="360"/>
      </w:pPr>
      <w:rPr>
        <w:rFonts w:hint="default"/>
      </w:r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5" w15:restartNumberingAfterBreak="0">
    <w:nsid w:val="236D3CD9"/>
    <w:multiLevelType w:val="hybridMultilevel"/>
    <w:tmpl w:val="7968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6030320"/>
    <w:multiLevelType w:val="multilevel"/>
    <w:tmpl w:val="206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BCD5A18"/>
    <w:multiLevelType w:val="hybridMultilevel"/>
    <w:tmpl w:val="0BCA98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88438D"/>
    <w:multiLevelType w:val="hybridMultilevel"/>
    <w:tmpl w:val="ACBEA6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77D1D"/>
    <w:multiLevelType w:val="hybridMultilevel"/>
    <w:tmpl w:val="1B90E2E0"/>
    <w:lvl w:ilvl="0" w:tplc="0C090001">
      <w:start w:val="1"/>
      <w:numFmt w:val="bullet"/>
      <w:lvlText w:val=""/>
      <w:lvlJc w:val="left"/>
      <w:pPr>
        <w:ind w:left="720" w:hanging="360"/>
      </w:pPr>
      <w:rPr>
        <w:rFonts w:ascii="Symbol" w:hAnsi="Symbol" w:hint="default"/>
      </w:rPr>
    </w:lvl>
    <w:lvl w:ilvl="1" w:tplc="0D6EA70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4D490F"/>
    <w:multiLevelType w:val="hybridMultilevel"/>
    <w:tmpl w:val="2C24C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D57639B"/>
    <w:multiLevelType w:val="multilevel"/>
    <w:tmpl w:val="206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F87410"/>
    <w:multiLevelType w:val="hybridMultilevel"/>
    <w:tmpl w:val="489CDC5E"/>
    <w:lvl w:ilvl="0" w:tplc="0C09000F">
      <w:start w:val="1"/>
      <w:numFmt w:val="decimal"/>
      <w:lvlText w:val="%1."/>
      <w:lvlJc w:val="left"/>
      <w:pPr>
        <w:ind w:left="720" w:hanging="360"/>
      </w:pPr>
      <w:rPr>
        <w:rFonts w:hint="default"/>
      </w:rPr>
    </w:lvl>
    <w:lvl w:ilvl="1" w:tplc="0A3852C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4D033C"/>
    <w:multiLevelType w:val="multilevel"/>
    <w:tmpl w:val="2408B73E"/>
    <w:lvl w:ilvl="0">
      <w:start w:val="1"/>
      <w:numFmt w:val="decimal"/>
      <w:lvlText w:val="%1"/>
      <w:lvlJc w:val="left"/>
      <w:pPr>
        <w:ind w:left="720" w:hanging="720"/>
      </w:pPr>
      <w:rPr>
        <w:rFonts w:asciiTheme="minorHAnsi" w:eastAsia="Times New Roman" w:hAnsiTheme="minorHAnsi" w:cs="Arial"/>
        <w:b/>
        <w:sz w:val="32"/>
        <w:szCs w:val="32"/>
      </w:rPr>
    </w:lvl>
    <w:lvl w:ilvl="1">
      <w:start w:val="1"/>
      <w:numFmt w:val="decimal"/>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BD66BE"/>
    <w:multiLevelType w:val="multilevel"/>
    <w:tmpl w:val="206E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1415463">
    <w:abstractNumId w:val="20"/>
  </w:num>
  <w:num w:numId="2" w16cid:durableId="1873033321">
    <w:abstractNumId w:val="12"/>
  </w:num>
  <w:num w:numId="3" w16cid:durableId="1536121147">
    <w:abstractNumId w:val="0"/>
  </w:num>
  <w:num w:numId="4" w16cid:durableId="354429560">
    <w:abstractNumId w:val="17"/>
  </w:num>
  <w:num w:numId="5" w16cid:durableId="1388606614">
    <w:abstractNumId w:val="9"/>
  </w:num>
  <w:num w:numId="6" w16cid:durableId="245697051">
    <w:abstractNumId w:val="11"/>
  </w:num>
  <w:num w:numId="7" w16cid:durableId="1887333250">
    <w:abstractNumId w:val="3"/>
  </w:num>
  <w:num w:numId="8" w16cid:durableId="378481434">
    <w:abstractNumId w:val="5"/>
  </w:num>
  <w:num w:numId="9" w16cid:durableId="1688822151">
    <w:abstractNumId w:val="13"/>
  </w:num>
  <w:num w:numId="10" w16cid:durableId="835923959">
    <w:abstractNumId w:val="14"/>
  </w:num>
  <w:num w:numId="11" w16cid:durableId="182012804">
    <w:abstractNumId w:val="19"/>
  </w:num>
  <w:num w:numId="12" w16cid:durableId="96678507">
    <w:abstractNumId w:val="4"/>
  </w:num>
  <w:num w:numId="13" w16cid:durableId="408699874">
    <w:abstractNumId w:val="15"/>
  </w:num>
  <w:num w:numId="14" w16cid:durableId="1569418770">
    <w:abstractNumId w:val="1"/>
  </w:num>
  <w:num w:numId="15" w16cid:durableId="1979457665">
    <w:abstractNumId w:val="8"/>
  </w:num>
  <w:num w:numId="16" w16cid:durableId="2038313566">
    <w:abstractNumId w:val="6"/>
  </w:num>
  <w:num w:numId="17"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906688">
    <w:abstractNumId w:val="16"/>
  </w:num>
  <w:num w:numId="19" w16cid:durableId="1420247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399262">
    <w:abstractNumId w:val="2"/>
    <w:lvlOverride w:ilvl="0">
      <w:startOverride w:val="1"/>
    </w:lvlOverride>
  </w:num>
  <w:num w:numId="21" w16cid:durableId="993799115">
    <w:abstractNumId w:val="7"/>
  </w:num>
  <w:num w:numId="22" w16cid:durableId="874729631">
    <w:abstractNumId w:val="10"/>
  </w:num>
  <w:num w:numId="23" w16cid:durableId="447118934">
    <w:abstractNumId w:val="18"/>
  </w:num>
  <w:num w:numId="24" w16cid:durableId="93717670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EE6"/>
    <w:rsid w:val="0000110B"/>
    <w:rsid w:val="0000257E"/>
    <w:rsid w:val="0000281E"/>
    <w:rsid w:val="00002B25"/>
    <w:rsid w:val="00003499"/>
    <w:rsid w:val="000039B7"/>
    <w:rsid w:val="00004CFD"/>
    <w:rsid w:val="000056B9"/>
    <w:rsid w:val="00006068"/>
    <w:rsid w:val="0000639A"/>
    <w:rsid w:val="00006540"/>
    <w:rsid w:val="00007218"/>
    <w:rsid w:val="0001024C"/>
    <w:rsid w:val="000104AE"/>
    <w:rsid w:val="0001077F"/>
    <w:rsid w:val="00010987"/>
    <w:rsid w:val="00011813"/>
    <w:rsid w:val="000128FD"/>
    <w:rsid w:val="00012C42"/>
    <w:rsid w:val="00013247"/>
    <w:rsid w:val="00015886"/>
    <w:rsid w:val="000162EF"/>
    <w:rsid w:val="00016D48"/>
    <w:rsid w:val="00017D82"/>
    <w:rsid w:val="000207C9"/>
    <w:rsid w:val="00020D19"/>
    <w:rsid w:val="00021DEB"/>
    <w:rsid w:val="0002225F"/>
    <w:rsid w:val="00023763"/>
    <w:rsid w:val="00023A03"/>
    <w:rsid w:val="00024EB5"/>
    <w:rsid w:val="00025345"/>
    <w:rsid w:val="00025C6D"/>
    <w:rsid w:val="000274B8"/>
    <w:rsid w:val="00027733"/>
    <w:rsid w:val="00030080"/>
    <w:rsid w:val="00030761"/>
    <w:rsid w:val="0003076F"/>
    <w:rsid w:val="00031A38"/>
    <w:rsid w:val="00031A46"/>
    <w:rsid w:val="00032748"/>
    <w:rsid w:val="00033863"/>
    <w:rsid w:val="000339F6"/>
    <w:rsid w:val="00033C30"/>
    <w:rsid w:val="00034212"/>
    <w:rsid w:val="00034228"/>
    <w:rsid w:val="00034396"/>
    <w:rsid w:val="00034668"/>
    <w:rsid w:val="00034B39"/>
    <w:rsid w:val="00034FF2"/>
    <w:rsid w:val="00035C68"/>
    <w:rsid w:val="00035DC0"/>
    <w:rsid w:val="000362C3"/>
    <w:rsid w:val="00036829"/>
    <w:rsid w:val="00036BD3"/>
    <w:rsid w:val="00036C7D"/>
    <w:rsid w:val="00037610"/>
    <w:rsid w:val="000407C8"/>
    <w:rsid w:val="00040895"/>
    <w:rsid w:val="00040AF0"/>
    <w:rsid w:val="00040EE6"/>
    <w:rsid w:val="000410A0"/>
    <w:rsid w:val="00041126"/>
    <w:rsid w:val="000435EE"/>
    <w:rsid w:val="00043C37"/>
    <w:rsid w:val="000449CF"/>
    <w:rsid w:val="00045017"/>
    <w:rsid w:val="00045801"/>
    <w:rsid w:val="000458CB"/>
    <w:rsid w:val="00045918"/>
    <w:rsid w:val="00045A2B"/>
    <w:rsid w:val="00045D7C"/>
    <w:rsid w:val="0004698F"/>
    <w:rsid w:val="00046CD5"/>
    <w:rsid w:val="00046D64"/>
    <w:rsid w:val="000508C2"/>
    <w:rsid w:val="00050A12"/>
    <w:rsid w:val="00051F4E"/>
    <w:rsid w:val="000539D0"/>
    <w:rsid w:val="000541B5"/>
    <w:rsid w:val="000544D3"/>
    <w:rsid w:val="00054621"/>
    <w:rsid w:val="000546D7"/>
    <w:rsid w:val="00054A8D"/>
    <w:rsid w:val="0005546B"/>
    <w:rsid w:val="00056981"/>
    <w:rsid w:val="00056ECF"/>
    <w:rsid w:val="00057A1A"/>
    <w:rsid w:val="000601FE"/>
    <w:rsid w:val="00060357"/>
    <w:rsid w:val="000604DF"/>
    <w:rsid w:val="000605FA"/>
    <w:rsid w:val="000609FF"/>
    <w:rsid w:val="00061AEA"/>
    <w:rsid w:val="00062324"/>
    <w:rsid w:val="00062952"/>
    <w:rsid w:val="000637B3"/>
    <w:rsid w:val="00064AA5"/>
    <w:rsid w:val="00064E83"/>
    <w:rsid w:val="000653B5"/>
    <w:rsid w:val="000656C6"/>
    <w:rsid w:val="00066360"/>
    <w:rsid w:val="000666FB"/>
    <w:rsid w:val="00066AF8"/>
    <w:rsid w:val="00067DE8"/>
    <w:rsid w:val="00070588"/>
    <w:rsid w:val="00070C36"/>
    <w:rsid w:val="00071109"/>
    <w:rsid w:val="00071248"/>
    <w:rsid w:val="000716C3"/>
    <w:rsid w:val="000720B9"/>
    <w:rsid w:val="0007227D"/>
    <w:rsid w:val="000722BE"/>
    <w:rsid w:val="00072AAB"/>
    <w:rsid w:val="000730AA"/>
    <w:rsid w:val="000737C5"/>
    <w:rsid w:val="000737F7"/>
    <w:rsid w:val="00074B06"/>
    <w:rsid w:val="00074EDE"/>
    <w:rsid w:val="000756A4"/>
    <w:rsid w:val="00075C2F"/>
    <w:rsid w:val="0007672F"/>
    <w:rsid w:val="00076B54"/>
    <w:rsid w:val="00076BFE"/>
    <w:rsid w:val="00076E36"/>
    <w:rsid w:val="000774F0"/>
    <w:rsid w:val="00080410"/>
    <w:rsid w:val="00080909"/>
    <w:rsid w:val="00080927"/>
    <w:rsid w:val="00080AB4"/>
    <w:rsid w:val="000812CA"/>
    <w:rsid w:val="00081E63"/>
    <w:rsid w:val="000820BA"/>
    <w:rsid w:val="0008258D"/>
    <w:rsid w:val="00082E7D"/>
    <w:rsid w:val="0008374F"/>
    <w:rsid w:val="00083A6D"/>
    <w:rsid w:val="00083E99"/>
    <w:rsid w:val="00083F63"/>
    <w:rsid w:val="00084211"/>
    <w:rsid w:val="0008472E"/>
    <w:rsid w:val="00084FA8"/>
    <w:rsid w:val="000856C5"/>
    <w:rsid w:val="00085C31"/>
    <w:rsid w:val="0008659E"/>
    <w:rsid w:val="00086B67"/>
    <w:rsid w:val="000902D9"/>
    <w:rsid w:val="00090C7E"/>
    <w:rsid w:val="000911AC"/>
    <w:rsid w:val="00091664"/>
    <w:rsid w:val="00092600"/>
    <w:rsid w:val="0009262B"/>
    <w:rsid w:val="000930B2"/>
    <w:rsid w:val="00093310"/>
    <w:rsid w:val="000942F1"/>
    <w:rsid w:val="0009445C"/>
    <w:rsid w:val="00094896"/>
    <w:rsid w:val="00094A2E"/>
    <w:rsid w:val="00094CA9"/>
    <w:rsid w:val="00095200"/>
    <w:rsid w:val="00095FE5"/>
    <w:rsid w:val="000960FF"/>
    <w:rsid w:val="00096284"/>
    <w:rsid w:val="00096304"/>
    <w:rsid w:val="00097FD0"/>
    <w:rsid w:val="000A121E"/>
    <w:rsid w:val="000A1BC0"/>
    <w:rsid w:val="000A2F9E"/>
    <w:rsid w:val="000A3781"/>
    <w:rsid w:val="000A3E47"/>
    <w:rsid w:val="000A522B"/>
    <w:rsid w:val="000A5C40"/>
    <w:rsid w:val="000A5E7C"/>
    <w:rsid w:val="000A6039"/>
    <w:rsid w:val="000A7453"/>
    <w:rsid w:val="000A7712"/>
    <w:rsid w:val="000A7D08"/>
    <w:rsid w:val="000B004A"/>
    <w:rsid w:val="000B0121"/>
    <w:rsid w:val="000B0251"/>
    <w:rsid w:val="000B0670"/>
    <w:rsid w:val="000B09DB"/>
    <w:rsid w:val="000B0E75"/>
    <w:rsid w:val="000B1B9B"/>
    <w:rsid w:val="000B2DCB"/>
    <w:rsid w:val="000B36A1"/>
    <w:rsid w:val="000B3CB2"/>
    <w:rsid w:val="000B43EB"/>
    <w:rsid w:val="000B4535"/>
    <w:rsid w:val="000B4616"/>
    <w:rsid w:val="000B5116"/>
    <w:rsid w:val="000B55F5"/>
    <w:rsid w:val="000B5C9E"/>
    <w:rsid w:val="000B5CE0"/>
    <w:rsid w:val="000B5F58"/>
    <w:rsid w:val="000B6CAC"/>
    <w:rsid w:val="000B7612"/>
    <w:rsid w:val="000B78AE"/>
    <w:rsid w:val="000B799F"/>
    <w:rsid w:val="000C1ABF"/>
    <w:rsid w:val="000C2517"/>
    <w:rsid w:val="000C2738"/>
    <w:rsid w:val="000C2AF9"/>
    <w:rsid w:val="000C2E37"/>
    <w:rsid w:val="000C30B5"/>
    <w:rsid w:val="000C337A"/>
    <w:rsid w:val="000C33F1"/>
    <w:rsid w:val="000C3DF9"/>
    <w:rsid w:val="000C428D"/>
    <w:rsid w:val="000C431A"/>
    <w:rsid w:val="000C4394"/>
    <w:rsid w:val="000C4CF2"/>
    <w:rsid w:val="000C5126"/>
    <w:rsid w:val="000C6713"/>
    <w:rsid w:val="000C6840"/>
    <w:rsid w:val="000C68D2"/>
    <w:rsid w:val="000C7175"/>
    <w:rsid w:val="000C718D"/>
    <w:rsid w:val="000C7535"/>
    <w:rsid w:val="000C7CAD"/>
    <w:rsid w:val="000D01E5"/>
    <w:rsid w:val="000D0298"/>
    <w:rsid w:val="000D0377"/>
    <w:rsid w:val="000D1111"/>
    <w:rsid w:val="000D1BFC"/>
    <w:rsid w:val="000D1C10"/>
    <w:rsid w:val="000D1D5D"/>
    <w:rsid w:val="000D2509"/>
    <w:rsid w:val="000D281A"/>
    <w:rsid w:val="000D2848"/>
    <w:rsid w:val="000D2E7A"/>
    <w:rsid w:val="000D326A"/>
    <w:rsid w:val="000D4145"/>
    <w:rsid w:val="000D4810"/>
    <w:rsid w:val="000D51FB"/>
    <w:rsid w:val="000D5565"/>
    <w:rsid w:val="000D5AB7"/>
    <w:rsid w:val="000D6F2F"/>
    <w:rsid w:val="000D7124"/>
    <w:rsid w:val="000D78F6"/>
    <w:rsid w:val="000D7AE4"/>
    <w:rsid w:val="000E04B2"/>
    <w:rsid w:val="000E0640"/>
    <w:rsid w:val="000E135D"/>
    <w:rsid w:val="000E21EC"/>
    <w:rsid w:val="000E246D"/>
    <w:rsid w:val="000E4A26"/>
    <w:rsid w:val="000E546D"/>
    <w:rsid w:val="000E5CE9"/>
    <w:rsid w:val="000E6DD7"/>
    <w:rsid w:val="000E7AB9"/>
    <w:rsid w:val="000E7C34"/>
    <w:rsid w:val="000F00BA"/>
    <w:rsid w:val="000F01DE"/>
    <w:rsid w:val="000F120D"/>
    <w:rsid w:val="000F2A1F"/>
    <w:rsid w:val="000F2FAE"/>
    <w:rsid w:val="000F316A"/>
    <w:rsid w:val="000F347C"/>
    <w:rsid w:val="000F3C74"/>
    <w:rsid w:val="000F47A2"/>
    <w:rsid w:val="000F4BB8"/>
    <w:rsid w:val="000F4FA9"/>
    <w:rsid w:val="000F53FB"/>
    <w:rsid w:val="000F58DB"/>
    <w:rsid w:val="000F6AC1"/>
    <w:rsid w:val="000F7127"/>
    <w:rsid w:val="000F7315"/>
    <w:rsid w:val="000F7B54"/>
    <w:rsid w:val="000F7D6D"/>
    <w:rsid w:val="001000B3"/>
    <w:rsid w:val="00100F8A"/>
    <w:rsid w:val="00101617"/>
    <w:rsid w:val="001017B7"/>
    <w:rsid w:val="00101D8C"/>
    <w:rsid w:val="00102574"/>
    <w:rsid w:val="001025F4"/>
    <w:rsid w:val="00102DAC"/>
    <w:rsid w:val="00104523"/>
    <w:rsid w:val="0010452E"/>
    <w:rsid w:val="00105AE2"/>
    <w:rsid w:val="001060C6"/>
    <w:rsid w:val="00106AC9"/>
    <w:rsid w:val="00106B80"/>
    <w:rsid w:val="0010796F"/>
    <w:rsid w:val="0011032E"/>
    <w:rsid w:val="00110DE4"/>
    <w:rsid w:val="00112794"/>
    <w:rsid w:val="0011348B"/>
    <w:rsid w:val="001140B6"/>
    <w:rsid w:val="001142A8"/>
    <w:rsid w:val="001148D5"/>
    <w:rsid w:val="00115502"/>
    <w:rsid w:val="00115694"/>
    <w:rsid w:val="0011576D"/>
    <w:rsid w:val="001158A4"/>
    <w:rsid w:val="00115982"/>
    <w:rsid w:val="00116C53"/>
    <w:rsid w:val="001172F1"/>
    <w:rsid w:val="001177C9"/>
    <w:rsid w:val="001204BC"/>
    <w:rsid w:val="00121799"/>
    <w:rsid w:val="001221DC"/>
    <w:rsid w:val="001222FC"/>
    <w:rsid w:val="00122BAF"/>
    <w:rsid w:val="0012354E"/>
    <w:rsid w:val="00123902"/>
    <w:rsid w:val="00124095"/>
    <w:rsid w:val="00124A51"/>
    <w:rsid w:val="001251EA"/>
    <w:rsid w:val="00126621"/>
    <w:rsid w:val="001266B9"/>
    <w:rsid w:val="00126B1D"/>
    <w:rsid w:val="0012724E"/>
    <w:rsid w:val="001276D5"/>
    <w:rsid w:val="00127F16"/>
    <w:rsid w:val="001301E9"/>
    <w:rsid w:val="0013132C"/>
    <w:rsid w:val="00131496"/>
    <w:rsid w:val="00131D82"/>
    <w:rsid w:val="0013230A"/>
    <w:rsid w:val="00132AC3"/>
    <w:rsid w:val="00132B22"/>
    <w:rsid w:val="00133D36"/>
    <w:rsid w:val="00133EBD"/>
    <w:rsid w:val="00134BA3"/>
    <w:rsid w:val="001350E8"/>
    <w:rsid w:val="00135C35"/>
    <w:rsid w:val="00135C4B"/>
    <w:rsid w:val="00137645"/>
    <w:rsid w:val="00137D1E"/>
    <w:rsid w:val="0014015A"/>
    <w:rsid w:val="00140DD0"/>
    <w:rsid w:val="00140E99"/>
    <w:rsid w:val="00143F67"/>
    <w:rsid w:val="0014406D"/>
    <w:rsid w:val="00144DD5"/>
    <w:rsid w:val="00145234"/>
    <w:rsid w:val="00145540"/>
    <w:rsid w:val="001455F2"/>
    <w:rsid w:val="001456B0"/>
    <w:rsid w:val="00146A4B"/>
    <w:rsid w:val="001474BA"/>
    <w:rsid w:val="001542C9"/>
    <w:rsid w:val="0015463E"/>
    <w:rsid w:val="00154669"/>
    <w:rsid w:val="001547AB"/>
    <w:rsid w:val="00154930"/>
    <w:rsid w:val="0015525E"/>
    <w:rsid w:val="00156156"/>
    <w:rsid w:val="00156F8F"/>
    <w:rsid w:val="00157130"/>
    <w:rsid w:val="00157484"/>
    <w:rsid w:val="00157666"/>
    <w:rsid w:val="001576B1"/>
    <w:rsid w:val="00157EBB"/>
    <w:rsid w:val="00160288"/>
    <w:rsid w:val="0016047B"/>
    <w:rsid w:val="0016077E"/>
    <w:rsid w:val="00160A4C"/>
    <w:rsid w:val="001612BD"/>
    <w:rsid w:val="001612DD"/>
    <w:rsid w:val="00161582"/>
    <w:rsid w:val="00162913"/>
    <w:rsid w:val="00163DB8"/>
    <w:rsid w:val="00163EA9"/>
    <w:rsid w:val="00163EFF"/>
    <w:rsid w:val="00163F66"/>
    <w:rsid w:val="0016478E"/>
    <w:rsid w:val="0016546D"/>
    <w:rsid w:val="00165E07"/>
    <w:rsid w:val="00165EC4"/>
    <w:rsid w:val="00165F84"/>
    <w:rsid w:val="001661FB"/>
    <w:rsid w:val="0016620F"/>
    <w:rsid w:val="00166644"/>
    <w:rsid w:val="0016665A"/>
    <w:rsid w:val="00166DCE"/>
    <w:rsid w:val="00166FAA"/>
    <w:rsid w:val="001671A0"/>
    <w:rsid w:val="0016767F"/>
    <w:rsid w:val="00167CBF"/>
    <w:rsid w:val="001705BD"/>
    <w:rsid w:val="00170B67"/>
    <w:rsid w:val="00171317"/>
    <w:rsid w:val="00171329"/>
    <w:rsid w:val="00172151"/>
    <w:rsid w:val="0017337F"/>
    <w:rsid w:val="00173565"/>
    <w:rsid w:val="00173B07"/>
    <w:rsid w:val="00173FBA"/>
    <w:rsid w:val="0017459A"/>
    <w:rsid w:val="00174834"/>
    <w:rsid w:val="001751FA"/>
    <w:rsid w:val="00175C91"/>
    <w:rsid w:val="001802ED"/>
    <w:rsid w:val="00180D2C"/>
    <w:rsid w:val="00181963"/>
    <w:rsid w:val="00181C10"/>
    <w:rsid w:val="00181D9C"/>
    <w:rsid w:val="00182170"/>
    <w:rsid w:val="00182613"/>
    <w:rsid w:val="00182EF7"/>
    <w:rsid w:val="001837FF"/>
    <w:rsid w:val="001838E1"/>
    <w:rsid w:val="00184539"/>
    <w:rsid w:val="00184B0E"/>
    <w:rsid w:val="00184E60"/>
    <w:rsid w:val="0018665A"/>
    <w:rsid w:val="0018751E"/>
    <w:rsid w:val="0018752F"/>
    <w:rsid w:val="00190437"/>
    <w:rsid w:val="00190B1E"/>
    <w:rsid w:val="00190CA2"/>
    <w:rsid w:val="00192035"/>
    <w:rsid w:val="001932F2"/>
    <w:rsid w:val="00193838"/>
    <w:rsid w:val="001941FF"/>
    <w:rsid w:val="0019458C"/>
    <w:rsid w:val="001947C4"/>
    <w:rsid w:val="0019499D"/>
    <w:rsid w:val="00194A85"/>
    <w:rsid w:val="00194AD8"/>
    <w:rsid w:val="00194F69"/>
    <w:rsid w:val="00195222"/>
    <w:rsid w:val="00195354"/>
    <w:rsid w:val="00195452"/>
    <w:rsid w:val="001967A1"/>
    <w:rsid w:val="001975D8"/>
    <w:rsid w:val="001A01F8"/>
    <w:rsid w:val="001A178E"/>
    <w:rsid w:val="001A19FF"/>
    <w:rsid w:val="001A3DEE"/>
    <w:rsid w:val="001A43FA"/>
    <w:rsid w:val="001A47C5"/>
    <w:rsid w:val="001A575E"/>
    <w:rsid w:val="001A59FB"/>
    <w:rsid w:val="001A5E9E"/>
    <w:rsid w:val="001A6354"/>
    <w:rsid w:val="001A6366"/>
    <w:rsid w:val="001A6F6D"/>
    <w:rsid w:val="001A749D"/>
    <w:rsid w:val="001A7AE8"/>
    <w:rsid w:val="001B1AC9"/>
    <w:rsid w:val="001B204E"/>
    <w:rsid w:val="001B2372"/>
    <w:rsid w:val="001B2CC8"/>
    <w:rsid w:val="001B3443"/>
    <w:rsid w:val="001B3CD4"/>
    <w:rsid w:val="001B3EDB"/>
    <w:rsid w:val="001B4409"/>
    <w:rsid w:val="001B4D20"/>
    <w:rsid w:val="001B4EF0"/>
    <w:rsid w:val="001B566A"/>
    <w:rsid w:val="001B619E"/>
    <w:rsid w:val="001B6532"/>
    <w:rsid w:val="001B69FA"/>
    <w:rsid w:val="001B7F84"/>
    <w:rsid w:val="001C161D"/>
    <w:rsid w:val="001C246B"/>
    <w:rsid w:val="001C2A9B"/>
    <w:rsid w:val="001C355E"/>
    <w:rsid w:val="001C3DD6"/>
    <w:rsid w:val="001C4299"/>
    <w:rsid w:val="001C4874"/>
    <w:rsid w:val="001C5988"/>
    <w:rsid w:val="001C598B"/>
    <w:rsid w:val="001C5F94"/>
    <w:rsid w:val="001C6E66"/>
    <w:rsid w:val="001C76F9"/>
    <w:rsid w:val="001C79D9"/>
    <w:rsid w:val="001C7A9B"/>
    <w:rsid w:val="001C7D9D"/>
    <w:rsid w:val="001D0A05"/>
    <w:rsid w:val="001D1100"/>
    <w:rsid w:val="001D1246"/>
    <w:rsid w:val="001D1391"/>
    <w:rsid w:val="001D17A6"/>
    <w:rsid w:val="001D18FE"/>
    <w:rsid w:val="001D1CE2"/>
    <w:rsid w:val="001D25D7"/>
    <w:rsid w:val="001D2BB7"/>
    <w:rsid w:val="001D394B"/>
    <w:rsid w:val="001D41CF"/>
    <w:rsid w:val="001D50B2"/>
    <w:rsid w:val="001D5FF2"/>
    <w:rsid w:val="001D64A1"/>
    <w:rsid w:val="001D662D"/>
    <w:rsid w:val="001D693A"/>
    <w:rsid w:val="001D6E3F"/>
    <w:rsid w:val="001D71F4"/>
    <w:rsid w:val="001D7312"/>
    <w:rsid w:val="001D7645"/>
    <w:rsid w:val="001E007F"/>
    <w:rsid w:val="001E05CE"/>
    <w:rsid w:val="001E0CB3"/>
    <w:rsid w:val="001E18CB"/>
    <w:rsid w:val="001E1E86"/>
    <w:rsid w:val="001E234B"/>
    <w:rsid w:val="001E238E"/>
    <w:rsid w:val="001E2483"/>
    <w:rsid w:val="001E27DF"/>
    <w:rsid w:val="001E2B1E"/>
    <w:rsid w:val="001E2CFF"/>
    <w:rsid w:val="001E2E50"/>
    <w:rsid w:val="001E2F24"/>
    <w:rsid w:val="001E30D4"/>
    <w:rsid w:val="001E34DF"/>
    <w:rsid w:val="001E3A64"/>
    <w:rsid w:val="001E4810"/>
    <w:rsid w:val="001E52EB"/>
    <w:rsid w:val="001E56D6"/>
    <w:rsid w:val="001E61D2"/>
    <w:rsid w:val="001E6313"/>
    <w:rsid w:val="001E6DF5"/>
    <w:rsid w:val="001E740C"/>
    <w:rsid w:val="001E7508"/>
    <w:rsid w:val="001E7ACA"/>
    <w:rsid w:val="001F0A2D"/>
    <w:rsid w:val="001F1235"/>
    <w:rsid w:val="001F1CB3"/>
    <w:rsid w:val="001F23FF"/>
    <w:rsid w:val="001F2A0F"/>
    <w:rsid w:val="001F2DC8"/>
    <w:rsid w:val="001F35B6"/>
    <w:rsid w:val="001F38B5"/>
    <w:rsid w:val="001F4081"/>
    <w:rsid w:val="001F6DF4"/>
    <w:rsid w:val="001F7269"/>
    <w:rsid w:val="001F7338"/>
    <w:rsid w:val="001F7361"/>
    <w:rsid w:val="001F78A9"/>
    <w:rsid w:val="001F7D36"/>
    <w:rsid w:val="002011B0"/>
    <w:rsid w:val="002018F7"/>
    <w:rsid w:val="00202626"/>
    <w:rsid w:val="002026A4"/>
    <w:rsid w:val="0020293E"/>
    <w:rsid w:val="00202D9A"/>
    <w:rsid w:val="00202E11"/>
    <w:rsid w:val="00203181"/>
    <w:rsid w:val="00203783"/>
    <w:rsid w:val="0020385F"/>
    <w:rsid w:val="00203C5D"/>
    <w:rsid w:val="00204334"/>
    <w:rsid w:val="00204502"/>
    <w:rsid w:val="00204C47"/>
    <w:rsid w:val="00204D66"/>
    <w:rsid w:val="00204D75"/>
    <w:rsid w:val="00204DC5"/>
    <w:rsid w:val="00206237"/>
    <w:rsid w:val="002066AA"/>
    <w:rsid w:val="002068A0"/>
    <w:rsid w:val="00206E89"/>
    <w:rsid w:val="00207021"/>
    <w:rsid w:val="0020732F"/>
    <w:rsid w:val="0020760E"/>
    <w:rsid w:val="00207D00"/>
    <w:rsid w:val="002103BE"/>
    <w:rsid w:val="002105AD"/>
    <w:rsid w:val="002105C1"/>
    <w:rsid w:val="00210608"/>
    <w:rsid w:val="00210E2C"/>
    <w:rsid w:val="00210EFC"/>
    <w:rsid w:val="002114A5"/>
    <w:rsid w:val="002116FD"/>
    <w:rsid w:val="00212555"/>
    <w:rsid w:val="002128D3"/>
    <w:rsid w:val="002132A6"/>
    <w:rsid w:val="00213C68"/>
    <w:rsid w:val="00213EF5"/>
    <w:rsid w:val="00215354"/>
    <w:rsid w:val="002154E2"/>
    <w:rsid w:val="00215756"/>
    <w:rsid w:val="00215996"/>
    <w:rsid w:val="00216BF5"/>
    <w:rsid w:val="0021734C"/>
    <w:rsid w:val="00217C84"/>
    <w:rsid w:val="00217F45"/>
    <w:rsid w:val="002203E3"/>
    <w:rsid w:val="002209E4"/>
    <w:rsid w:val="002218F9"/>
    <w:rsid w:val="00221BF5"/>
    <w:rsid w:val="002231AC"/>
    <w:rsid w:val="002237FD"/>
    <w:rsid w:val="00223B49"/>
    <w:rsid w:val="00223D5A"/>
    <w:rsid w:val="00223F7C"/>
    <w:rsid w:val="0022461A"/>
    <w:rsid w:val="00224856"/>
    <w:rsid w:val="002249D4"/>
    <w:rsid w:val="00224B5C"/>
    <w:rsid w:val="00224DD4"/>
    <w:rsid w:val="00226210"/>
    <w:rsid w:val="00226B5D"/>
    <w:rsid w:val="00227192"/>
    <w:rsid w:val="002273A6"/>
    <w:rsid w:val="002278A0"/>
    <w:rsid w:val="002309CC"/>
    <w:rsid w:val="002315C7"/>
    <w:rsid w:val="00231BA9"/>
    <w:rsid w:val="0023209F"/>
    <w:rsid w:val="00232804"/>
    <w:rsid w:val="00233BFE"/>
    <w:rsid w:val="00233C01"/>
    <w:rsid w:val="0023413C"/>
    <w:rsid w:val="002346F0"/>
    <w:rsid w:val="002349F9"/>
    <w:rsid w:val="00234E89"/>
    <w:rsid w:val="00235BE2"/>
    <w:rsid w:val="00236110"/>
    <w:rsid w:val="00236152"/>
    <w:rsid w:val="0023629D"/>
    <w:rsid w:val="00236452"/>
    <w:rsid w:val="00237255"/>
    <w:rsid w:val="00237710"/>
    <w:rsid w:val="00237826"/>
    <w:rsid w:val="00240BA2"/>
    <w:rsid w:val="0024125B"/>
    <w:rsid w:val="00241820"/>
    <w:rsid w:val="002424AF"/>
    <w:rsid w:val="002433BE"/>
    <w:rsid w:val="002439DC"/>
    <w:rsid w:val="00244016"/>
    <w:rsid w:val="002441D2"/>
    <w:rsid w:val="002449E2"/>
    <w:rsid w:val="00244DC8"/>
    <w:rsid w:val="002458BA"/>
    <w:rsid w:val="00245CE9"/>
    <w:rsid w:val="0024636C"/>
    <w:rsid w:val="00246D8D"/>
    <w:rsid w:val="00246F22"/>
    <w:rsid w:val="00247925"/>
    <w:rsid w:val="00247CEA"/>
    <w:rsid w:val="00250B4B"/>
    <w:rsid w:val="00251006"/>
    <w:rsid w:val="002517F7"/>
    <w:rsid w:val="002524D5"/>
    <w:rsid w:val="00252D50"/>
    <w:rsid w:val="00253224"/>
    <w:rsid w:val="0025325C"/>
    <w:rsid w:val="00253B1D"/>
    <w:rsid w:val="002543E0"/>
    <w:rsid w:val="0025444B"/>
    <w:rsid w:val="00254859"/>
    <w:rsid w:val="00254DCF"/>
    <w:rsid w:val="00255032"/>
    <w:rsid w:val="0025534B"/>
    <w:rsid w:val="00255BB7"/>
    <w:rsid w:val="00256F55"/>
    <w:rsid w:val="00257541"/>
    <w:rsid w:val="002576CF"/>
    <w:rsid w:val="0025792E"/>
    <w:rsid w:val="00257A39"/>
    <w:rsid w:val="00257AC4"/>
    <w:rsid w:val="00257BBE"/>
    <w:rsid w:val="0026106B"/>
    <w:rsid w:val="00261385"/>
    <w:rsid w:val="00261EEF"/>
    <w:rsid w:val="00261F87"/>
    <w:rsid w:val="00262266"/>
    <w:rsid w:val="0026244B"/>
    <w:rsid w:val="00262A1A"/>
    <w:rsid w:val="00262A87"/>
    <w:rsid w:val="00263113"/>
    <w:rsid w:val="00263133"/>
    <w:rsid w:val="00263274"/>
    <w:rsid w:val="00264D26"/>
    <w:rsid w:val="002656EE"/>
    <w:rsid w:val="00267642"/>
    <w:rsid w:val="00267AEA"/>
    <w:rsid w:val="00267D61"/>
    <w:rsid w:val="002700E6"/>
    <w:rsid w:val="00270946"/>
    <w:rsid w:val="00271A9D"/>
    <w:rsid w:val="0027294B"/>
    <w:rsid w:val="00272AF5"/>
    <w:rsid w:val="00273EB4"/>
    <w:rsid w:val="00273F59"/>
    <w:rsid w:val="00274682"/>
    <w:rsid w:val="002746C6"/>
    <w:rsid w:val="00275158"/>
    <w:rsid w:val="0027561B"/>
    <w:rsid w:val="00275908"/>
    <w:rsid w:val="00275C5A"/>
    <w:rsid w:val="0027611B"/>
    <w:rsid w:val="0027650E"/>
    <w:rsid w:val="00276E9F"/>
    <w:rsid w:val="002773B4"/>
    <w:rsid w:val="00277443"/>
    <w:rsid w:val="00280CFB"/>
    <w:rsid w:val="00281014"/>
    <w:rsid w:val="00281A0A"/>
    <w:rsid w:val="00281FE6"/>
    <w:rsid w:val="00283AFB"/>
    <w:rsid w:val="002849BF"/>
    <w:rsid w:val="00284F8B"/>
    <w:rsid w:val="002859EC"/>
    <w:rsid w:val="00285BCE"/>
    <w:rsid w:val="00285BDF"/>
    <w:rsid w:val="00285D72"/>
    <w:rsid w:val="0028646A"/>
    <w:rsid w:val="002864EC"/>
    <w:rsid w:val="0028665D"/>
    <w:rsid w:val="0028672D"/>
    <w:rsid w:val="00286F50"/>
    <w:rsid w:val="002871DA"/>
    <w:rsid w:val="0028735E"/>
    <w:rsid w:val="0028754E"/>
    <w:rsid w:val="00287992"/>
    <w:rsid w:val="00290463"/>
    <w:rsid w:val="00291C9B"/>
    <w:rsid w:val="00291F2F"/>
    <w:rsid w:val="00293235"/>
    <w:rsid w:val="00293368"/>
    <w:rsid w:val="002936AD"/>
    <w:rsid w:val="00293952"/>
    <w:rsid w:val="002956F6"/>
    <w:rsid w:val="002959DE"/>
    <w:rsid w:val="00295C25"/>
    <w:rsid w:val="00295E2B"/>
    <w:rsid w:val="00296366"/>
    <w:rsid w:val="002965EE"/>
    <w:rsid w:val="00297D86"/>
    <w:rsid w:val="00297ECB"/>
    <w:rsid w:val="002A00DD"/>
    <w:rsid w:val="002A14AB"/>
    <w:rsid w:val="002A2ADE"/>
    <w:rsid w:val="002A2F50"/>
    <w:rsid w:val="002A2FA4"/>
    <w:rsid w:val="002A3365"/>
    <w:rsid w:val="002A37BB"/>
    <w:rsid w:val="002A4DE9"/>
    <w:rsid w:val="002A5960"/>
    <w:rsid w:val="002A5FF3"/>
    <w:rsid w:val="002A6422"/>
    <w:rsid w:val="002A750F"/>
    <w:rsid w:val="002A7943"/>
    <w:rsid w:val="002B05A1"/>
    <w:rsid w:val="002B09A4"/>
    <w:rsid w:val="002B0E49"/>
    <w:rsid w:val="002B1460"/>
    <w:rsid w:val="002B15C8"/>
    <w:rsid w:val="002B1C1F"/>
    <w:rsid w:val="002B257B"/>
    <w:rsid w:val="002B25E1"/>
    <w:rsid w:val="002B32F3"/>
    <w:rsid w:val="002B432F"/>
    <w:rsid w:val="002B469D"/>
    <w:rsid w:val="002B4992"/>
    <w:rsid w:val="002B4E2E"/>
    <w:rsid w:val="002B50F5"/>
    <w:rsid w:val="002B62B3"/>
    <w:rsid w:val="002B6655"/>
    <w:rsid w:val="002B6754"/>
    <w:rsid w:val="002B6CCE"/>
    <w:rsid w:val="002B7370"/>
    <w:rsid w:val="002B7D44"/>
    <w:rsid w:val="002B7FB3"/>
    <w:rsid w:val="002C0F2E"/>
    <w:rsid w:val="002C1265"/>
    <w:rsid w:val="002C2510"/>
    <w:rsid w:val="002C2775"/>
    <w:rsid w:val="002C27C1"/>
    <w:rsid w:val="002C2A1D"/>
    <w:rsid w:val="002C31D0"/>
    <w:rsid w:val="002C351C"/>
    <w:rsid w:val="002C36E3"/>
    <w:rsid w:val="002C3EBC"/>
    <w:rsid w:val="002C451B"/>
    <w:rsid w:val="002C4AAE"/>
    <w:rsid w:val="002C5099"/>
    <w:rsid w:val="002C5889"/>
    <w:rsid w:val="002C5B86"/>
    <w:rsid w:val="002C71CE"/>
    <w:rsid w:val="002C7580"/>
    <w:rsid w:val="002D0191"/>
    <w:rsid w:val="002D08F8"/>
    <w:rsid w:val="002D0900"/>
    <w:rsid w:val="002D1282"/>
    <w:rsid w:val="002D1649"/>
    <w:rsid w:val="002D3F09"/>
    <w:rsid w:val="002D4B31"/>
    <w:rsid w:val="002D577C"/>
    <w:rsid w:val="002D5EA1"/>
    <w:rsid w:val="002D6F30"/>
    <w:rsid w:val="002D7530"/>
    <w:rsid w:val="002D7832"/>
    <w:rsid w:val="002D7E89"/>
    <w:rsid w:val="002E0E82"/>
    <w:rsid w:val="002E1071"/>
    <w:rsid w:val="002E143C"/>
    <w:rsid w:val="002E15B9"/>
    <w:rsid w:val="002E17CE"/>
    <w:rsid w:val="002E1E98"/>
    <w:rsid w:val="002E2158"/>
    <w:rsid w:val="002E31BD"/>
    <w:rsid w:val="002E346B"/>
    <w:rsid w:val="002E3C2C"/>
    <w:rsid w:val="002E3E79"/>
    <w:rsid w:val="002E4F02"/>
    <w:rsid w:val="002E513B"/>
    <w:rsid w:val="002E5189"/>
    <w:rsid w:val="002E51A5"/>
    <w:rsid w:val="002E541F"/>
    <w:rsid w:val="002E5792"/>
    <w:rsid w:val="002E65FF"/>
    <w:rsid w:val="002E6858"/>
    <w:rsid w:val="002E737E"/>
    <w:rsid w:val="002E7722"/>
    <w:rsid w:val="002F0099"/>
    <w:rsid w:val="002F0237"/>
    <w:rsid w:val="002F02DC"/>
    <w:rsid w:val="002F07AE"/>
    <w:rsid w:val="002F07BA"/>
    <w:rsid w:val="002F0DA9"/>
    <w:rsid w:val="002F1014"/>
    <w:rsid w:val="002F15B4"/>
    <w:rsid w:val="002F1904"/>
    <w:rsid w:val="002F1B61"/>
    <w:rsid w:val="002F1E3B"/>
    <w:rsid w:val="002F220F"/>
    <w:rsid w:val="002F47DD"/>
    <w:rsid w:val="002F5D08"/>
    <w:rsid w:val="002F6072"/>
    <w:rsid w:val="002F623C"/>
    <w:rsid w:val="002F643C"/>
    <w:rsid w:val="002F71C0"/>
    <w:rsid w:val="002F747F"/>
    <w:rsid w:val="002F74F1"/>
    <w:rsid w:val="002F7A5C"/>
    <w:rsid w:val="00300910"/>
    <w:rsid w:val="00300B17"/>
    <w:rsid w:val="00301017"/>
    <w:rsid w:val="0030155F"/>
    <w:rsid w:val="00301BCE"/>
    <w:rsid w:val="0030246E"/>
    <w:rsid w:val="0030587B"/>
    <w:rsid w:val="003061A5"/>
    <w:rsid w:val="003066F6"/>
    <w:rsid w:val="00306D98"/>
    <w:rsid w:val="00306E95"/>
    <w:rsid w:val="00307868"/>
    <w:rsid w:val="0030786C"/>
    <w:rsid w:val="0031031A"/>
    <w:rsid w:val="00310981"/>
    <w:rsid w:val="00311515"/>
    <w:rsid w:val="00311D9B"/>
    <w:rsid w:val="00311FDE"/>
    <w:rsid w:val="003120C8"/>
    <w:rsid w:val="003122F3"/>
    <w:rsid w:val="003124D9"/>
    <w:rsid w:val="00312594"/>
    <w:rsid w:val="00313632"/>
    <w:rsid w:val="00315498"/>
    <w:rsid w:val="003156AA"/>
    <w:rsid w:val="00315D48"/>
    <w:rsid w:val="00316474"/>
    <w:rsid w:val="00316D60"/>
    <w:rsid w:val="003208C1"/>
    <w:rsid w:val="00320E30"/>
    <w:rsid w:val="00321972"/>
    <w:rsid w:val="00322096"/>
    <w:rsid w:val="00322107"/>
    <w:rsid w:val="00322355"/>
    <w:rsid w:val="00322846"/>
    <w:rsid w:val="00323737"/>
    <w:rsid w:val="003237FC"/>
    <w:rsid w:val="00324926"/>
    <w:rsid w:val="00324CE7"/>
    <w:rsid w:val="0032662D"/>
    <w:rsid w:val="00326DA7"/>
    <w:rsid w:val="003270E4"/>
    <w:rsid w:val="003274F6"/>
    <w:rsid w:val="00327F1A"/>
    <w:rsid w:val="00330DAA"/>
    <w:rsid w:val="00330F5C"/>
    <w:rsid w:val="00331220"/>
    <w:rsid w:val="0033158E"/>
    <w:rsid w:val="00331618"/>
    <w:rsid w:val="0033303C"/>
    <w:rsid w:val="0033320C"/>
    <w:rsid w:val="00333323"/>
    <w:rsid w:val="00333456"/>
    <w:rsid w:val="00333F0D"/>
    <w:rsid w:val="00335C4A"/>
    <w:rsid w:val="003366C9"/>
    <w:rsid w:val="003371B0"/>
    <w:rsid w:val="003374C9"/>
    <w:rsid w:val="00340DF1"/>
    <w:rsid w:val="0034137E"/>
    <w:rsid w:val="0034159C"/>
    <w:rsid w:val="00342CAE"/>
    <w:rsid w:val="00343526"/>
    <w:rsid w:val="00343C9B"/>
    <w:rsid w:val="00344F6E"/>
    <w:rsid w:val="0034500E"/>
    <w:rsid w:val="003457DB"/>
    <w:rsid w:val="00345FB5"/>
    <w:rsid w:val="003464AD"/>
    <w:rsid w:val="00346E2F"/>
    <w:rsid w:val="00347337"/>
    <w:rsid w:val="0034760F"/>
    <w:rsid w:val="00350714"/>
    <w:rsid w:val="00350CD4"/>
    <w:rsid w:val="00350ECB"/>
    <w:rsid w:val="00350F66"/>
    <w:rsid w:val="00350FC3"/>
    <w:rsid w:val="003517F9"/>
    <w:rsid w:val="00351B31"/>
    <w:rsid w:val="00351BA9"/>
    <w:rsid w:val="00353337"/>
    <w:rsid w:val="00353510"/>
    <w:rsid w:val="00354563"/>
    <w:rsid w:val="003547DC"/>
    <w:rsid w:val="00354F64"/>
    <w:rsid w:val="0035620E"/>
    <w:rsid w:val="00356FF8"/>
    <w:rsid w:val="003575BE"/>
    <w:rsid w:val="00357740"/>
    <w:rsid w:val="00357D33"/>
    <w:rsid w:val="00360345"/>
    <w:rsid w:val="00360ABF"/>
    <w:rsid w:val="00361A05"/>
    <w:rsid w:val="00361DA1"/>
    <w:rsid w:val="003624C4"/>
    <w:rsid w:val="00363769"/>
    <w:rsid w:val="00363780"/>
    <w:rsid w:val="00363B00"/>
    <w:rsid w:val="0036465B"/>
    <w:rsid w:val="003649ED"/>
    <w:rsid w:val="00364D48"/>
    <w:rsid w:val="003654AC"/>
    <w:rsid w:val="00365DCF"/>
    <w:rsid w:val="003702FD"/>
    <w:rsid w:val="00370518"/>
    <w:rsid w:val="003710CF"/>
    <w:rsid w:val="00371280"/>
    <w:rsid w:val="00371AB7"/>
    <w:rsid w:val="00372990"/>
    <w:rsid w:val="00372A11"/>
    <w:rsid w:val="00373051"/>
    <w:rsid w:val="0037358A"/>
    <w:rsid w:val="003737AD"/>
    <w:rsid w:val="003750F6"/>
    <w:rsid w:val="0037531A"/>
    <w:rsid w:val="00375485"/>
    <w:rsid w:val="003760FC"/>
    <w:rsid w:val="0037692D"/>
    <w:rsid w:val="00377D2C"/>
    <w:rsid w:val="00381C5B"/>
    <w:rsid w:val="0038248C"/>
    <w:rsid w:val="00382C10"/>
    <w:rsid w:val="0038365C"/>
    <w:rsid w:val="0038369B"/>
    <w:rsid w:val="003839B6"/>
    <w:rsid w:val="00383B78"/>
    <w:rsid w:val="0038491E"/>
    <w:rsid w:val="003855B8"/>
    <w:rsid w:val="003856E1"/>
    <w:rsid w:val="003858BF"/>
    <w:rsid w:val="00385A9D"/>
    <w:rsid w:val="00385B8B"/>
    <w:rsid w:val="00387121"/>
    <w:rsid w:val="0038740A"/>
    <w:rsid w:val="003902B1"/>
    <w:rsid w:val="003904CF"/>
    <w:rsid w:val="00390642"/>
    <w:rsid w:val="00390EFD"/>
    <w:rsid w:val="0039179C"/>
    <w:rsid w:val="00392489"/>
    <w:rsid w:val="003933C0"/>
    <w:rsid w:val="003936F8"/>
    <w:rsid w:val="00396896"/>
    <w:rsid w:val="00396F28"/>
    <w:rsid w:val="00396F2B"/>
    <w:rsid w:val="00396FD0"/>
    <w:rsid w:val="0039712B"/>
    <w:rsid w:val="00397679"/>
    <w:rsid w:val="00397946"/>
    <w:rsid w:val="003A0902"/>
    <w:rsid w:val="003A1A7A"/>
    <w:rsid w:val="003A2270"/>
    <w:rsid w:val="003A2392"/>
    <w:rsid w:val="003A2831"/>
    <w:rsid w:val="003A2AC8"/>
    <w:rsid w:val="003A2D23"/>
    <w:rsid w:val="003A37EA"/>
    <w:rsid w:val="003A3CB6"/>
    <w:rsid w:val="003A3ED1"/>
    <w:rsid w:val="003A4081"/>
    <w:rsid w:val="003A4219"/>
    <w:rsid w:val="003A44DB"/>
    <w:rsid w:val="003A4C14"/>
    <w:rsid w:val="003A623B"/>
    <w:rsid w:val="003A78B9"/>
    <w:rsid w:val="003B097D"/>
    <w:rsid w:val="003B0E50"/>
    <w:rsid w:val="003B1382"/>
    <w:rsid w:val="003B1CD3"/>
    <w:rsid w:val="003B25AC"/>
    <w:rsid w:val="003B3971"/>
    <w:rsid w:val="003B3BF7"/>
    <w:rsid w:val="003B444D"/>
    <w:rsid w:val="003B4921"/>
    <w:rsid w:val="003B49F7"/>
    <w:rsid w:val="003B54E2"/>
    <w:rsid w:val="003B55D1"/>
    <w:rsid w:val="003B5804"/>
    <w:rsid w:val="003B5B61"/>
    <w:rsid w:val="003B6DDB"/>
    <w:rsid w:val="003C0BB3"/>
    <w:rsid w:val="003C1654"/>
    <w:rsid w:val="003C278E"/>
    <w:rsid w:val="003C5542"/>
    <w:rsid w:val="003C58C4"/>
    <w:rsid w:val="003C603F"/>
    <w:rsid w:val="003C6260"/>
    <w:rsid w:val="003C63C2"/>
    <w:rsid w:val="003C64D3"/>
    <w:rsid w:val="003C6C52"/>
    <w:rsid w:val="003C7C15"/>
    <w:rsid w:val="003C7D19"/>
    <w:rsid w:val="003C7D2F"/>
    <w:rsid w:val="003C7D60"/>
    <w:rsid w:val="003D0C2C"/>
    <w:rsid w:val="003D0C5A"/>
    <w:rsid w:val="003D1689"/>
    <w:rsid w:val="003D1828"/>
    <w:rsid w:val="003D1DE4"/>
    <w:rsid w:val="003D1E9A"/>
    <w:rsid w:val="003D2422"/>
    <w:rsid w:val="003D254B"/>
    <w:rsid w:val="003D277E"/>
    <w:rsid w:val="003D2DAD"/>
    <w:rsid w:val="003D3714"/>
    <w:rsid w:val="003D39A1"/>
    <w:rsid w:val="003D3FBF"/>
    <w:rsid w:val="003D445F"/>
    <w:rsid w:val="003D470F"/>
    <w:rsid w:val="003D486B"/>
    <w:rsid w:val="003D4A30"/>
    <w:rsid w:val="003D4D7B"/>
    <w:rsid w:val="003D6C9F"/>
    <w:rsid w:val="003D7452"/>
    <w:rsid w:val="003D7767"/>
    <w:rsid w:val="003D79BB"/>
    <w:rsid w:val="003D7C98"/>
    <w:rsid w:val="003D7D9D"/>
    <w:rsid w:val="003E0543"/>
    <w:rsid w:val="003E0B95"/>
    <w:rsid w:val="003E0F5C"/>
    <w:rsid w:val="003E202A"/>
    <w:rsid w:val="003E26F8"/>
    <w:rsid w:val="003E2AA5"/>
    <w:rsid w:val="003E33FD"/>
    <w:rsid w:val="003E3FCC"/>
    <w:rsid w:val="003E4881"/>
    <w:rsid w:val="003E5256"/>
    <w:rsid w:val="003E5603"/>
    <w:rsid w:val="003E68F2"/>
    <w:rsid w:val="003E6981"/>
    <w:rsid w:val="003E749E"/>
    <w:rsid w:val="003F0CFC"/>
    <w:rsid w:val="003F1953"/>
    <w:rsid w:val="003F1CAE"/>
    <w:rsid w:val="003F1EEF"/>
    <w:rsid w:val="003F285B"/>
    <w:rsid w:val="003F32EC"/>
    <w:rsid w:val="003F3A55"/>
    <w:rsid w:val="003F3EBD"/>
    <w:rsid w:val="003F4156"/>
    <w:rsid w:val="003F59E8"/>
    <w:rsid w:val="003F5ADF"/>
    <w:rsid w:val="003F795E"/>
    <w:rsid w:val="003F7A9A"/>
    <w:rsid w:val="00400770"/>
    <w:rsid w:val="004007E9"/>
    <w:rsid w:val="00400B29"/>
    <w:rsid w:val="00400F0B"/>
    <w:rsid w:val="00401847"/>
    <w:rsid w:val="004019D3"/>
    <w:rsid w:val="00402812"/>
    <w:rsid w:val="004040D0"/>
    <w:rsid w:val="00404707"/>
    <w:rsid w:val="00405020"/>
    <w:rsid w:val="0040504B"/>
    <w:rsid w:val="004052E9"/>
    <w:rsid w:val="004059F4"/>
    <w:rsid w:val="00405E5C"/>
    <w:rsid w:val="00407FE5"/>
    <w:rsid w:val="004101B0"/>
    <w:rsid w:val="00410326"/>
    <w:rsid w:val="00410708"/>
    <w:rsid w:val="00410EC7"/>
    <w:rsid w:val="00411451"/>
    <w:rsid w:val="00411AB2"/>
    <w:rsid w:val="00411B39"/>
    <w:rsid w:val="004127A7"/>
    <w:rsid w:val="0041317C"/>
    <w:rsid w:val="004138B2"/>
    <w:rsid w:val="00413A1E"/>
    <w:rsid w:val="00414476"/>
    <w:rsid w:val="00414C2E"/>
    <w:rsid w:val="004151CF"/>
    <w:rsid w:val="00415DEF"/>
    <w:rsid w:val="00416364"/>
    <w:rsid w:val="00416A92"/>
    <w:rsid w:val="0042047F"/>
    <w:rsid w:val="00420AA6"/>
    <w:rsid w:val="00420B9F"/>
    <w:rsid w:val="0042192C"/>
    <w:rsid w:val="00422260"/>
    <w:rsid w:val="0042413F"/>
    <w:rsid w:val="00424488"/>
    <w:rsid w:val="004252EB"/>
    <w:rsid w:val="0042608A"/>
    <w:rsid w:val="004276AC"/>
    <w:rsid w:val="00427833"/>
    <w:rsid w:val="00430D00"/>
    <w:rsid w:val="00431043"/>
    <w:rsid w:val="0043165B"/>
    <w:rsid w:val="004319F8"/>
    <w:rsid w:val="00431E55"/>
    <w:rsid w:val="004321F6"/>
    <w:rsid w:val="00433044"/>
    <w:rsid w:val="00433764"/>
    <w:rsid w:val="00434088"/>
    <w:rsid w:val="004342B0"/>
    <w:rsid w:val="004352E1"/>
    <w:rsid w:val="004353DB"/>
    <w:rsid w:val="00435784"/>
    <w:rsid w:val="004357BC"/>
    <w:rsid w:val="00435A2B"/>
    <w:rsid w:val="00436083"/>
    <w:rsid w:val="00436138"/>
    <w:rsid w:val="00436423"/>
    <w:rsid w:val="004372BC"/>
    <w:rsid w:val="004375B9"/>
    <w:rsid w:val="00437D77"/>
    <w:rsid w:val="00440660"/>
    <w:rsid w:val="00441041"/>
    <w:rsid w:val="00441C83"/>
    <w:rsid w:val="004428D0"/>
    <w:rsid w:val="004434AF"/>
    <w:rsid w:val="00443CF9"/>
    <w:rsid w:val="00444185"/>
    <w:rsid w:val="004443A7"/>
    <w:rsid w:val="0044442C"/>
    <w:rsid w:val="00444FA0"/>
    <w:rsid w:val="004451F3"/>
    <w:rsid w:val="00445941"/>
    <w:rsid w:val="00445B93"/>
    <w:rsid w:val="004464EB"/>
    <w:rsid w:val="0044650F"/>
    <w:rsid w:val="00446E71"/>
    <w:rsid w:val="00446EFC"/>
    <w:rsid w:val="00446FC6"/>
    <w:rsid w:val="004471FA"/>
    <w:rsid w:val="00447B5D"/>
    <w:rsid w:val="00447D26"/>
    <w:rsid w:val="00447DFC"/>
    <w:rsid w:val="00450063"/>
    <w:rsid w:val="00451489"/>
    <w:rsid w:val="00452764"/>
    <w:rsid w:val="00452899"/>
    <w:rsid w:val="00453F0C"/>
    <w:rsid w:val="00454491"/>
    <w:rsid w:val="00454C75"/>
    <w:rsid w:val="004553B0"/>
    <w:rsid w:val="00455D45"/>
    <w:rsid w:val="00456084"/>
    <w:rsid w:val="00456114"/>
    <w:rsid w:val="00457837"/>
    <w:rsid w:val="0046024D"/>
    <w:rsid w:val="00460622"/>
    <w:rsid w:val="00460888"/>
    <w:rsid w:val="00461469"/>
    <w:rsid w:val="0046178C"/>
    <w:rsid w:val="00461D1B"/>
    <w:rsid w:val="00461DD8"/>
    <w:rsid w:val="00462AEA"/>
    <w:rsid w:val="004634D9"/>
    <w:rsid w:val="00464595"/>
    <w:rsid w:val="004651E9"/>
    <w:rsid w:val="004653B1"/>
    <w:rsid w:val="004658B5"/>
    <w:rsid w:val="00466615"/>
    <w:rsid w:val="004707A7"/>
    <w:rsid w:val="00471267"/>
    <w:rsid w:val="00471EA5"/>
    <w:rsid w:val="00471ED6"/>
    <w:rsid w:val="00472A79"/>
    <w:rsid w:val="00472D51"/>
    <w:rsid w:val="004730F4"/>
    <w:rsid w:val="0047325E"/>
    <w:rsid w:val="00473BA4"/>
    <w:rsid w:val="00473CB0"/>
    <w:rsid w:val="00473F19"/>
    <w:rsid w:val="00474DC9"/>
    <w:rsid w:val="00474FC2"/>
    <w:rsid w:val="00475C36"/>
    <w:rsid w:val="00475E22"/>
    <w:rsid w:val="00476377"/>
    <w:rsid w:val="004763C2"/>
    <w:rsid w:val="00476A41"/>
    <w:rsid w:val="00480201"/>
    <w:rsid w:val="004803CA"/>
    <w:rsid w:val="0048088E"/>
    <w:rsid w:val="00480A80"/>
    <w:rsid w:val="00480A9C"/>
    <w:rsid w:val="00480F2B"/>
    <w:rsid w:val="0048223F"/>
    <w:rsid w:val="004824FA"/>
    <w:rsid w:val="00482720"/>
    <w:rsid w:val="00482773"/>
    <w:rsid w:val="004835E7"/>
    <w:rsid w:val="00484168"/>
    <w:rsid w:val="004845F2"/>
    <w:rsid w:val="004859E1"/>
    <w:rsid w:val="00485F5A"/>
    <w:rsid w:val="004867E2"/>
    <w:rsid w:val="00486C9B"/>
    <w:rsid w:val="0048762E"/>
    <w:rsid w:val="0049057B"/>
    <w:rsid w:val="00490B17"/>
    <w:rsid w:val="00490B88"/>
    <w:rsid w:val="00491B3A"/>
    <w:rsid w:val="00492CFD"/>
    <w:rsid w:val="00492EF9"/>
    <w:rsid w:val="00493268"/>
    <w:rsid w:val="004935F8"/>
    <w:rsid w:val="00494207"/>
    <w:rsid w:val="00494220"/>
    <w:rsid w:val="00494D11"/>
    <w:rsid w:val="00494DD5"/>
    <w:rsid w:val="00495524"/>
    <w:rsid w:val="0049563E"/>
    <w:rsid w:val="00495D74"/>
    <w:rsid w:val="004962D2"/>
    <w:rsid w:val="00496B51"/>
    <w:rsid w:val="00497AD8"/>
    <w:rsid w:val="00497F34"/>
    <w:rsid w:val="004A05D8"/>
    <w:rsid w:val="004A0ABC"/>
    <w:rsid w:val="004A0DA1"/>
    <w:rsid w:val="004A11D4"/>
    <w:rsid w:val="004A13D6"/>
    <w:rsid w:val="004A16FD"/>
    <w:rsid w:val="004A1B9A"/>
    <w:rsid w:val="004A4121"/>
    <w:rsid w:val="004A4F8C"/>
    <w:rsid w:val="004A52E9"/>
    <w:rsid w:val="004A6040"/>
    <w:rsid w:val="004A6597"/>
    <w:rsid w:val="004A7286"/>
    <w:rsid w:val="004A7848"/>
    <w:rsid w:val="004A793B"/>
    <w:rsid w:val="004B0014"/>
    <w:rsid w:val="004B1CB4"/>
    <w:rsid w:val="004B1D21"/>
    <w:rsid w:val="004B2F18"/>
    <w:rsid w:val="004B35AB"/>
    <w:rsid w:val="004B3886"/>
    <w:rsid w:val="004B3C9A"/>
    <w:rsid w:val="004B3DDB"/>
    <w:rsid w:val="004B40EF"/>
    <w:rsid w:val="004B44FD"/>
    <w:rsid w:val="004B531D"/>
    <w:rsid w:val="004B5CFC"/>
    <w:rsid w:val="004B639D"/>
    <w:rsid w:val="004B644A"/>
    <w:rsid w:val="004B6489"/>
    <w:rsid w:val="004B6DFC"/>
    <w:rsid w:val="004B6F79"/>
    <w:rsid w:val="004B774D"/>
    <w:rsid w:val="004C0C92"/>
    <w:rsid w:val="004C0D55"/>
    <w:rsid w:val="004C1120"/>
    <w:rsid w:val="004C151B"/>
    <w:rsid w:val="004C2169"/>
    <w:rsid w:val="004C23CE"/>
    <w:rsid w:val="004C2476"/>
    <w:rsid w:val="004C2573"/>
    <w:rsid w:val="004C2AC2"/>
    <w:rsid w:val="004C3260"/>
    <w:rsid w:val="004C37B2"/>
    <w:rsid w:val="004C3B02"/>
    <w:rsid w:val="004C3CDD"/>
    <w:rsid w:val="004C3F8B"/>
    <w:rsid w:val="004C4AED"/>
    <w:rsid w:val="004C56D8"/>
    <w:rsid w:val="004C6450"/>
    <w:rsid w:val="004C6B3F"/>
    <w:rsid w:val="004C71D1"/>
    <w:rsid w:val="004C7460"/>
    <w:rsid w:val="004D2C2D"/>
    <w:rsid w:val="004D2CB1"/>
    <w:rsid w:val="004D2F9F"/>
    <w:rsid w:val="004D3337"/>
    <w:rsid w:val="004D3933"/>
    <w:rsid w:val="004D3B38"/>
    <w:rsid w:val="004D3C0C"/>
    <w:rsid w:val="004D419F"/>
    <w:rsid w:val="004D4533"/>
    <w:rsid w:val="004D50AF"/>
    <w:rsid w:val="004D5388"/>
    <w:rsid w:val="004D54DC"/>
    <w:rsid w:val="004D5AE7"/>
    <w:rsid w:val="004D5C56"/>
    <w:rsid w:val="004D6186"/>
    <w:rsid w:val="004D69B5"/>
    <w:rsid w:val="004D7227"/>
    <w:rsid w:val="004D7B5E"/>
    <w:rsid w:val="004E0054"/>
    <w:rsid w:val="004E0E7F"/>
    <w:rsid w:val="004E0EB8"/>
    <w:rsid w:val="004E18E9"/>
    <w:rsid w:val="004E20C8"/>
    <w:rsid w:val="004E2448"/>
    <w:rsid w:val="004E2ADC"/>
    <w:rsid w:val="004E3EC6"/>
    <w:rsid w:val="004E43B2"/>
    <w:rsid w:val="004E58B5"/>
    <w:rsid w:val="004E5F28"/>
    <w:rsid w:val="004E7446"/>
    <w:rsid w:val="004E7492"/>
    <w:rsid w:val="004E75C2"/>
    <w:rsid w:val="004E775D"/>
    <w:rsid w:val="004F14F5"/>
    <w:rsid w:val="004F1760"/>
    <w:rsid w:val="004F1D02"/>
    <w:rsid w:val="004F2679"/>
    <w:rsid w:val="004F27B7"/>
    <w:rsid w:val="004F2F21"/>
    <w:rsid w:val="004F3DE5"/>
    <w:rsid w:val="004F574D"/>
    <w:rsid w:val="004F59EF"/>
    <w:rsid w:val="004F5DA3"/>
    <w:rsid w:val="004F6192"/>
    <w:rsid w:val="004F683A"/>
    <w:rsid w:val="004F6913"/>
    <w:rsid w:val="004F6C19"/>
    <w:rsid w:val="004F7865"/>
    <w:rsid w:val="004F7D61"/>
    <w:rsid w:val="005004D2"/>
    <w:rsid w:val="0050174E"/>
    <w:rsid w:val="00501854"/>
    <w:rsid w:val="00501984"/>
    <w:rsid w:val="00501A48"/>
    <w:rsid w:val="0050219B"/>
    <w:rsid w:val="00503F17"/>
    <w:rsid w:val="00503F3A"/>
    <w:rsid w:val="00504AED"/>
    <w:rsid w:val="005056BA"/>
    <w:rsid w:val="00506928"/>
    <w:rsid w:val="005077EF"/>
    <w:rsid w:val="00510D93"/>
    <w:rsid w:val="00511083"/>
    <w:rsid w:val="005113F1"/>
    <w:rsid w:val="005117C2"/>
    <w:rsid w:val="00511AD5"/>
    <w:rsid w:val="00511DC7"/>
    <w:rsid w:val="005137AF"/>
    <w:rsid w:val="005142C5"/>
    <w:rsid w:val="00514638"/>
    <w:rsid w:val="0051501B"/>
    <w:rsid w:val="005152B5"/>
    <w:rsid w:val="00515886"/>
    <w:rsid w:val="00517424"/>
    <w:rsid w:val="00517841"/>
    <w:rsid w:val="00517A0A"/>
    <w:rsid w:val="00520078"/>
    <w:rsid w:val="00520BAE"/>
    <w:rsid w:val="0052123C"/>
    <w:rsid w:val="00521319"/>
    <w:rsid w:val="00522BC8"/>
    <w:rsid w:val="00523C28"/>
    <w:rsid w:val="00524303"/>
    <w:rsid w:val="00524940"/>
    <w:rsid w:val="00524A26"/>
    <w:rsid w:val="0052503D"/>
    <w:rsid w:val="005259F1"/>
    <w:rsid w:val="0052774C"/>
    <w:rsid w:val="0052787A"/>
    <w:rsid w:val="00527CC6"/>
    <w:rsid w:val="0053176B"/>
    <w:rsid w:val="005318FB"/>
    <w:rsid w:val="00531B32"/>
    <w:rsid w:val="00531F97"/>
    <w:rsid w:val="00532127"/>
    <w:rsid w:val="00533186"/>
    <w:rsid w:val="005331DC"/>
    <w:rsid w:val="005341B3"/>
    <w:rsid w:val="005342A0"/>
    <w:rsid w:val="00535546"/>
    <w:rsid w:val="00535716"/>
    <w:rsid w:val="00536F42"/>
    <w:rsid w:val="00537182"/>
    <w:rsid w:val="005411F9"/>
    <w:rsid w:val="00541EDD"/>
    <w:rsid w:val="00542056"/>
    <w:rsid w:val="0054224B"/>
    <w:rsid w:val="0054259D"/>
    <w:rsid w:val="00542743"/>
    <w:rsid w:val="005428B8"/>
    <w:rsid w:val="00542A00"/>
    <w:rsid w:val="00542C2D"/>
    <w:rsid w:val="00543026"/>
    <w:rsid w:val="00544416"/>
    <w:rsid w:val="005449C4"/>
    <w:rsid w:val="0054736C"/>
    <w:rsid w:val="005477B7"/>
    <w:rsid w:val="005478BD"/>
    <w:rsid w:val="005479E3"/>
    <w:rsid w:val="00551052"/>
    <w:rsid w:val="00551985"/>
    <w:rsid w:val="00552697"/>
    <w:rsid w:val="005527E2"/>
    <w:rsid w:val="00552BD3"/>
    <w:rsid w:val="005532A0"/>
    <w:rsid w:val="00553BED"/>
    <w:rsid w:val="00553F63"/>
    <w:rsid w:val="00554227"/>
    <w:rsid w:val="005543DF"/>
    <w:rsid w:val="00555109"/>
    <w:rsid w:val="005566CD"/>
    <w:rsid w:val="00556B35"/>
    <w:rsid w:val="0055741A"/>
    <w:rsid w:val="005611B7"/>
    <w:rsid w:val="005611F0"/>
    <w:rsid w:val="005614EB"/>
    <w:rsid w:val="005618D4"/>
    <w:rsid w:val="00561DFD"/>
    <w:rsid w:val="00562186"/>
    <w:rsid w:val="0056275D"/>
    <w:rsid w:val="00562A66"/>
    <w:rsid w:val="00563168"/>
    <w:rsid w:val="005631C3"/>
    <w:rsid w:val="00563392"/>
    <w:rsid w:val="005634B1"/>
    <w:rsid w:val="00563CA0"/>
    <w:rsid w:val="005644CC"/>
    <w:rsid w:val="00564867"/>
    <w:rsid w:val="00564C01"/>
    <w:rsid w:val="00564D61"/>
    <w:rsid w:val="0056543F"/>
    <w:rsid w:val="00565C79"/>
    <w:rsid w:val="00565DF0"/>
    <w:rsid w:val="0056624C"/>
    <w:rsid w:val="00566332"/>
    <w:rsid w:val="0056696F"/>
    <w:rsid w:val="00566C90"/>
    <w:rsid w:val="00567B8B"/>
    <w:rsid w:val="00567EBD"/>
    <w:rsid w:val="005706A2"/>
    <w:rsid w:val="005715B6"/>
    <w:rsid w:val="00571D24"/>
    <w:rsid w:val="00571E5B"/>
    <w:rsid w:val="00571F8E"/>
    <w:rsid w:val="00572269"/>
    <w:rsid w:val="0057244A"/>
    <w:rsid w:val="005728CA"/>
    <w:rsid w:val="00572F26"/>
    <w:rsid w:val="0057395C"/>
    <w:rsid w:val="00574132"/>
    <w:rsid w:val="005750C5"/>
    <w:rsid w:val="005752DE"/>
    <w:rsid w:val="005756B5"/>
    <w:rsid w:val="00575D60"/>
    <w:rsid w:val="00575D8D"/>
    <w:rsid w:val="00575FA7"/>
    <w:rsid w:val="00576503"/>
    <w:rsid w:val="00576972"/>
    <w:rsid w:val="005771DC"/>
    <w:rsid w:val="00577248"/>
    <w:rsid w:val="0057724A"/>
    <w:rsid w:val="00577472"/>
    <w:rsid w:val="005776A1"/>
    <w:rsid w:val="00577D83"/>
    <w:rsid w:val="00580493"/>
    <w:rsid w:val="00581B69"/>
    <w:rsid w:val="00582C02"/>
    <w:rsid w:val="00583699"/>
    <w:rsid w:val="00584B22"/>
    <w:rsid w:val="0058540A"/>
    <w:rsid w:val="00585414"/>
    <w:rsid w:val="00585CDD"/>
    <w:rsid w:val="00586781"/>
    <w:rsid w:val="00587058"/>
    <w:rsid w:val="00587AC4"/>
    <w:rsid w:val="00590DEB"/>
    <w:rsid w:val="00591957"/>
    <w:rsid w:val="00592401"/>
    <w:rsid w:val="00592DED"/>
    <w:rsid w:val="0059368B"/>
    <w:rsid w:val="00595714"/>
    <w:rsid w:val="005958F5"/>
    <w:rsid w:val="00595DBB"/>
    <w:rsid w:val="0059634E"/>
    <w:rsid w:val="005964F2"/>
    <w:rsid w:val="005969AD"/>
    <w:rsid w:val="00596E48"/>
    <w:rsid w:val="005979DD"/>
    <w:rsid w:val="00597AD1"/>
    <w:rsid w:val="00597BF9"/>
    <w:rsid w:val="005A02A2"/>
    <w:rsid w:val="005A0421"/>
    <w:rsid w:val="005A0511"/>
    <w:rsid w:val="005A0C11"/>
    <w:rsid w:val="005A1AB2"/>
    <w:rsid w:val="005A2E95"/>
    <w:rsid w:val="005A309A"/>
    <w:rsid w:val="005A33F8"/>
    <w:rsid w:val="005A373D"/>
    <w:rsid w:val="005A460C"/>
    <w:rsid w:val="005A4E50"/>
    <w:rsid w:val="005A640F"/>
    <w:rsid w:val="005A7905"/>
    <w:rsid w:val="005B0B58"/>
    <w:rsid w:val="005B0CF0"/>
    <w:rsid w:val="005B11F7"/>
    <w:rsid w:val="005B19FC"/>
    <w:rsid w:val="005B1A27"/>
    <w:rsid w:val="005B1D38"/>
    <w:rsid w:val="005B1F40"/>
    <w:rsid w:val="005B1F98"/>
    <w:rsid w:val="005B272B"/>
    <w:rsid w:val="005B2C92"/>
    <w:rsid w:val="005B2D12"/>
    <w:rsid w:val="005B30AF"/>
    <w:rsid w:val="005B416D"/>
    <w:rsid w:val="005B42FA"/>
    <w:rsid w:val="005B4E53"/>
    <w:rsid w:val="005B5281"/>
    <w:rsid w:val="005B544D"/>
    <w:rsid w:val="005B5857"/>
    <w:rsid w:val="005B5AA4"/>
    <w:rsid w:val="005B617C"/>
    <w:rsid w:val="005B76A9"/>
    <w:rsid w:val="005C0216"/>
    <w:rsid w:val="005C19C4"/>
    <w:rsid w:val="005C1ABB"/>
    <w:rsid w:val="005C1B83"/>
    <w:rsid w:val="005C204C"/>
    <w:rsid w:val="005C2503"/>
    <w:rsid w:val="005C25FF"/>
    <w:rsid w:val="005C276E"/>
    <w:rsid w:val="005C2D55"/>
    <w:rsid w:val="005C2DEA"/>
    <w:rsid w:val="005C30B0"/>
    <w:rsid w:val="005C346B"/>
    <w:rsid w:val="005C4743"/>
    <w:rsid w:val="005C4942"/>
    <w:rsid w:val="005C4C1E"/>
    <w:rsid w:val="005C5ABC"/>
    <w:rsid w:val="005C5B78"/>
    <w:rsid w:val="005C62E2"/>
    <w:rsid w:val="005C6313"/>
    <w:rsid w:val="005C72C8"/>
    <w:rsid w:val="005C7A5A"/>
    <w:rsid w:val="005D044D"/>
    <w:rsid w:val="005D0ABD"/>
    <w:rsid w:val="005D18AD"/>
    <w:rsid w:val="005D1C8C"/>
    <w:rsid w:val="005D2174"/>
    <w:rsid w:val="005D26B4"/>
    <w:rsid w:val="005D29CD"/>
    <w:rsid w:val="005D302B"/>
    <w:rsid w:val="005D4137"/>
    <w:rsid w:val="005D435E"/>
    <w:rsid w:val="005D484B"/>
    <w:rsid w:val="005D4F3C"/>
    <w:rsid w:val="005D5ADD"/>
    <w:rsid w:val="005D6100"/>
    <w:rsid w:val="005D788A"/>
    <w:rsid w:val="005E040D"/>
    <w:rsid w:val="005E0D5B"/>
    <w:rsid w:val="005E1352"/>
    <w:rsid w:val="005E1950"/>
    <w:rsid w:val="005E1995"/>
    <w:rsid w:val="005E1B4F"/>
    <w:rsid w:val="005E203B"/>
    <w:rsid w:val="005E3A3A"/>
    <w:rsid w:val="005E5138"/>
    <w:rsid w:val="005E52F0"/>
    <w:rsid w:val="005E5618"/>
    <w:rsid w:val="005E66C8"/>
    <w:rsid w:val="005E6B03"/>
    <w:rsid w:val="005E6CBC"/>
    <w:rsid w:val="005E72FF"/>
    <w:rsid w:val="005E73C0"/>
    <w:rsid w:val="005E7E9A"/>
    <w:rsid w:val="005F0748"/>
    <w:rsid w:val="005F07ED"/>
    <w:rsid w:val="005F0E1E"/>
    <w:rsid w:val="005F19DA"/>
    <w:rsid w:val="005F2706"/>
    <w:rsid w:val="005F2829"/>
    <w:rsid w:val="005F2928"/>
    <w:rsid w:val="005F35E5"/>
    <w:rsid w:val="005F3B8D"/>
    <w:rsid w:val="005F5490"/>
    <w:rsid w:val="005F5691"/>
    <w:rsid w:val="005F5A6E"/>
    <w:rsid w:val="005F6468"/>
    <w:rsid w:val="005F69F6"/>
    <w:rsid w:val="005F6A8F"/>
    <w:rsid w:val="005F6BB7"/>
    <w:rsid w:val="005F7247"/>
    <w:rsid w:val="005F7588"/>
    <w:rsid w:val="005F7E9A"/>
    <w:rsid w:val="00600441"/>
    <w:rsid w:val="006005BF"/>
    <w:rsid w:val="006006BF"/>
    <w:rsid w:val="00600EF1"/>
    <w:rsid w:val="00601A74"/>
    <w:rsid w:val="00601E40"/>
    <w:rsid w:val="006028D3"/>
    <w:rsid w:val="00603C23"/>
    <w:rsid w:val="00603DB9"/>
    <w:rsid w:val="00603E9C"/>
    <w:rsid w:val="0060506C"/>
    <w:rsid w:val="00605B4B"/>
    <w:rsid w:val="006064FC"/>
    <w:rsid w:val="00606A07"/>
    <w:rsid w:val="00606FBA"/>
    <w:rsid w:val="00607669"/>
    <w:rsid w:val="006076F4"/>
    <w:rsid w:val="00607AFD"/>
    <w:rsid w:val="00607D16"/>
    <w:rsid w:val="006103A0"/>
    <w:rsid w:val="006109C6"/>
    <w:rsid w:val="006117B9"/>
    <w:rsid w:val="00611B12"/>
    <w:rsid w:val="00611E07"/>
    <w:rsid w:val="006121AF"/>
    <w:rsid w:val="00612480"/>
    <w:rsid w:val="006129C9"/>
    <w:rsid w:val="00612EA6"/>
    <w:rsid w:val="00612F97"/>
    <w:rsid w:val="00613354"/>
    <w:rsid w:val="0061345D"/>
    <w:rsid w:val="00613D74"/>
    <w:rsid w:val="006144D9"/>
    <w:rsid w:val="006147CD"/>
    <w:rsid w:val="0061543E"/>
    <w:rsid w:val="0061546D"/>
    <w:rsid w:val="0061549B"/>
    <w:rsid w:val="00616802"/>
    <w:rsid w:val="0061704D"/>
    <w:rsid w:val="006176E0"/>
    <w:rsid w:val="00617704"/>
    <w:rsid w:val="00617944"/>
    <w:rsid w:val="00617D44"/>
    <w:rsid w:val="00617E12"/>
    <w:rsid w:val="0062060D"/>
    <w:rsid w:val="0062084B"/>
    <w:rsid w:val="00620B66"/>
    <w:rsid w:val="00620C25"/>
    <w:rsid w:val="00621477"/>
    <w:rsid w:val="006219A1"/>
    <w:rsid w:val="006219D3"/>
    <w:rsid w:val="00621ADA"/>
    <w:rsid w:val="00621B15"/>
    <w:rsid w:val="00622744"/>
    <w:rsid w:val="00622B80"/>
    <w:rsid w:val="00623495"/>
    <w:rsid w:val="00623F7B"/>
    <w:rsid w:val="00624A52"/>
    <w:rsid w:val="00624BD4"/>
    <w:rsid w:val="006251D0"/>
    <w:rsid w:val="006252D3"/>
    <w:rsid w:val="00627477"/>
    <w:rsid w:val="006274F2"/>
    <w:rsid w:val="00630286"/>
    <w:rsid w:val="00630D4E"/>
    <w:rsid w:val="0063158F"/>
    <w:rsid w:val="00631D6B"/>
    <w:rsid w:val="00632183"/>
    <w:rsid w:val="00632C36"/>
    <w:rsid w:val="006330A1"/>
    <w:rsid w:val="00633B48"/>
    <w:rsid w:val="006346CE"/>
    <w:rsid w:val="0063479F"/>
    <w:rsid w:val="00634F35"/>
    <w:rsid w:val="006352C9"/>
    <w:rsid w:val="006353F0"/>
    <w:rsid w:val="006357B5"/>
    <w:rsid w:val="006364A1"/>
    <w:rsid w:val="0063678E"/>
    <w:rsid w:val="006371CD"/>
    <w:rsid w:val="0063772D"/>
    <w:rsid w:val="00637BFD"/>
    <w:rsid w:val="00637C5C"/>
    <w:rsid w:val="00640266"/>
    <w:rsid w:val="00640812"/>
    <w:rsid w:val="00641030"/>
    <w:rsid w:val="0064143B"/>
    <w:rsid w:val="0064170C"/>
    <w:rsid w:val="006419C5"/>
    <w:rsid w:val="00641C4E"/>
    <w:rsid w:val="00641FB3"/>
    <w:rsid w:val="006421C4"/>
    <w:rsid w:val="0064234A"/>
    <w:rsid w:val="00642A91"/>
    <w:rsid w:val="00643CDC"/>
    <w:rsid w:val="0064434C"/>
    <w:rsid w:val="00645CB0"/>
    <w:rsid w:val="006460E2"/>
    <w:rsid w:val="00646E36"/>
    <w:rsid w:val="00646EE2"/>
    <w:rsid w:val="006471CC"/>
    <w:rsid w:val="006472FE"/>
    <w:rsid w:val="00647A29"/>
    <w:rsid w:val="0065079F"/>
    <w:rsid w:val="0065092C"/>
    <w:rsid w:val="00650DFD"/>
    <w:rsid w:val="0065271E"/>
    <w:rsid w:val="00652A28"/>
    <w:rsid w:val="0065379F"/>
    <w:rsid w:val="0065496C"/>
    <w:rsid w:val="00655115"/>
    <w:rsid w:val="006553F2"/>
    <w:rsid w:val="00655A5F"/>
    <w:rsid w:val="00656188"/>
    <w:rsid w:val="00656E0F"/>
    <w:rsid w:val="0065715A"/>
    <w:rsid w:val="00660B1B"/>
    <w:rsid w:val="00660C52"/>
    <w:rsid w:val="006610F1"/>
    <w:rsid w:val="00661748"/>
    <w:rsid w:val="00661C6B"/>
    <w:rsid w:val="00661E25"/>
    <w:rsid w:val="00662D3E"/>
    <w:rsid w:val="00662ED2"/>
    <w:rsid w:val="00663745"/>
    <w:rsid w:val="00663A2D"/>
    <w:rsid w:val="006642F7"/>
    <w:rsid w:val="006645F3"/>
    <w:rsid w:val="006655C5"/>
    <w:rsid w:val="00666361"/>
    <w:rsid w:val="006665DE"/>
    <w:rsid w:val="00666AE2"/>
    <w:rsid w:val="0066789A"/>
    <w:rsid w:val="00667BE3"/>
    <w:rsid w:val="00667C18"/>
    <w:rsid w:val="00667DDD"/>
    <w:rsid w:val="00670816"/>
    <w:rsid w:val="00670A90"/>
    <w:rsid w:val="00670D34"/>
    <w:rsid w:val="00671004"/>
    <w:rsid w:val="00671B91"/>
    <w:rsid w:val="00672646"/>
    <w:rsid w:val="00673BB8"/>
    <w:rsid w:val="00673F90"/>
    <w:rsid w:val="00674E42"/>
    <w:rsid w:val="0067523E"/>
    <w:rsid w:val="00676563"/>
    <w:rsid w:val="00676B5A"/>
    <w:rsid w:val="00677243"/>
    <w:rsid w:val="00677840"/>
    <w:rsid w:val="006778C8"/>
    <w:rsid w:val="00677A0D"/>
    <w:rsid w:val="00677DC8"/>
    <w:rsid w:val="00677FB3"/>
    <w:rsid w:val="006802D7"/>
    <w:rsid w:val="006813F8"/>
    <w:rsid w:val="00681480"/>
    <w:rsid w:val="00682112"/>
    <w:rsid w:val="0068299D"/>
    <w:rsid w:val="00682BA6"/>
    <w:rsid w:val="00683507"/>
    <w:rsid w:val="0068380B"/>
    <w:rsid w:val="0068446F"/>
    <w:rsid w:val="00685E97"/>
    <w:rsid w:val="00686035"/>
    <w:rsid w:val="00686957"/>
    <w:rsid w:val="00686FCF"/>
    <w:rsid w:val="006871A6"/>
    <w:rsid w:val="006872BA"/>
    <w:rsid w:val="00690623"/>
    <w:rsid w:val="00690795"/>
    <w:rsid w:val="00691402"/>
    <w:rsid w:val="00691648"/>
    <w:rsid w:val="006917D7"/>
    <w:rsid w:val="006929A5"/>
    <w:rsid w:val="00693AF6"/>
    <w:rsid w:val="00693D23"/>
    <w:rsid w:val="0069434C"/>
    <w:rsid w:val="00694F44"/>
    <w:rsid w:val="006950BF"/>
    <w:rsid w:val="0069536C"/>
    <w:rsid w:val="00696BBA"/>
    <w:rsid w:val="00696EF9"/>
    <w:rsid w:val="00696F06"/>
    <w:rsid w:val="00696F51"/>
    <w:rsid w:val="006979A5"/>
    <w:rsid w:val="006A016F"/>
    <w:rsid w:val="006A052D"/>
    <w:rsid w:val="006A0BD3"/>
    <w:rsid w:val="006A0BDF"/>
    <w:rsid w:val="006A0DF7"/>
    <w:rsid w:val="006A1686"/>
    <w:rsid w:val="006A1DE3"/>
    <w:rsid w:val="006A1F97"/>
    <w:rsid w:val="006A23B9"/>
    <w:rsid w:val="006A4321"/>
    <w:rsid w:val="006A43D9"/>
    <w:rsid w:val="006A4A8D"/>
    <w:rsid w:val="006A6B99"/>
    <w:rsid w:val="006A7AA7"/>
    <w:rsid w:val="006A7E5F"/>
    <w:rsid w:val="006A7E85"/>
    <w:rsid w:val="006B0FD1"/>
    <w:rsid w:val="006B1078"/>
    <w:rsid w:val="006B1B99"/>
    <w:rsid w:val="006B1F39"/>
    <w:rsid w:val="006B22BE"/>
    <w:rsid w:val="006B261B"/>
    <w:rsid w:val="006B2C90"/>
    <w:rsid w:val="006B35E6"/>
    <w:rsid w:val="006B39FA"/>
    <w:rsid w:val="006B465A"/>
    <w:rsid w:val="006B4906"/>
    <w:rsid w:val="006B62B0"/>
    <w:rsid w:val="006B6BB7"/>
    <w:rsid w:val="006B6DD0"/>
    <w:rsid w:val="006C0399"/>
    <w:rsid w:val="006C0590"/>
    <w:rsid w:val="006C1B09"/>
    <w:rsid w:val="006C2A8E"/>
    <w:rsid w:val="006C3255"/>
    <w:rsid w:val="006C3D0C"/>
    <w:rsid w:val="006C3F26"/>
    <w:rsid w:val="006C40B1"/>
    <w:rsid w:val="006C4FF0"/>
    <w:rsid w:val="006C522A"/>
    <w:rsid w:val="006C572B"/>
    <w:rsid w:val="006C6154"/>
    <w:rsid w:val="006C67C8"/>
    <w:rsid w:val="006C749F"/>
    <w:rsid w:val="006D0D17"/>
    <w:rsid w:val="006D11E4"/>
    <w:rsid w:val="006D1B08"/>
    <w:rsid w:val="006D1CF6"/>
    <w:rsid w:val="006D312E"/>
    <w:rsid w:val="006D337D"/>
    <w:rsid w:val="006D3C7D"/>
    <w:rsid w:val="006D4659"/>
    <w:rsid w:val="006D5710"/>
    <w:rsid w:val="006D5D5F"/>
    <w:rsid w:val="006D61D3"/>
    <w:rsid w:val="006D68FB"/>
    <w:rsid w:val="006D6E7A"/>
    <w:rsid w:val="006D7755"/>
    <w:rsid w:val="006E008F"/>
    <w:rsid w:val="006E06A4"/>
    <w:rsid w:val="006E0CD9"/>
    <w:rsid w:val="006E206B"/>
    <w:rsid w:val="006E2868"/>
    <w:rsid w:val="006E29F4"/>
    <w:rsid w:val="006E4F51"/>
    <w:rsid w:val="006E57B9"/>
    <w:rsid w:val="006E60C6"/>
    <w:rsid w:val="006E6205"/>
    <w:rsid w:val="006E76CC"/>
    <w:rsid w:val="006F0D11"/>
    <w:rsid w:val="006F306C"/>
    <w:rsid w:val="006F3C20"/>
    <w:rsid w:val="006F3DD2"/>
    <w:rsid w:val="006F4A7C"/>
    <w:rsid w:val="006F4C48"/>
    <w:rsid w:val="006F4D17"/>
    <w:rsid w:val="006F57F7"/>
    <w:rsid w:val="006F587F"/>
    <w:rsid w:val="006F61AF"/>
    <w:rsid w:val="006F63A5"/>
    <w:rsid w:val="006F6611"/>
    <w:rsid w:val="006F6631"/>
    <w:rsid w:val="006F719A"/>
    <w:rsid w:val="0070142B"/>
    <w:rsid w:val="007018BA"/>
    <w:rsid w:val="00701ACA"/>
    <w:rsid w:val="00702319"/>
    <w:rsid w:val="0070276E"/>
    <w:rsid w:val="007027EE"/>
    <w:rsid w:val="00702F8F"/>
    <w:rsid w:val="00702F94"/>
    <w:rsid w:val="00703309"/>
    <w:rsid w:val="007053E4"/>
    <w:rsid w:val="007071C8"/>
    <w:rsid w:val="00707830"/>
    <w:rsid w:val="007079FC"/>
    <w:rsid w:val="00707E84"/>
    <w:rsid w:val="00710360"/>
    <w:rsid w:val="00710436"/>
    <w:rsid w:val="00710F86"/>
    <w:rsid w:val="007114AD"/>
    <w:rsid w:val="00711A36"/>
    <w:rsid w:val="00711C15"/>
    <w:rsid w:val="00711F14"/>
    <w:rsid w:val="007125D3"/>
    <w:rsid w:val="00712B27"/>
    <w:rsid w:val="00714C26"/>
    <w:rsid w:val="00714F58"/>
    <w:rsid w:val="00715237"/>
    <w:rsid w:val="0071529C"/>
    <w:rsid w:val="00715AB7"/>
    <w:rsid w:val="007170DA"/>
    <w:rsid w:val="007172AD"/>
    <w:rsid w:val="00717546"/>
    <w:rsid w:val="00717804"/>
    <w:rsid w:val="00720801"/>
    <w:rsid w:val="00722898"/>
    <w:rsid w:val="00722B1B"/>
    <w:rsid w:val="00722C38"/>
    <w:rsid w:val="00723D6F"/>
    <w:rsid w:val="00723DA0"/>
    <w:rsid w:val="0072416F"/>
    <w:rsid w:val="00724A1C"/>
    <w:rsid w:val="00725865"/>
    <w:rsid w:val="00725F0C"/>
    <w:rsid w:val="00726DCB"/>
    <w:rsid w:val="00727095"/>
    <w:rsid w:val="00727C94"/>
    <w:rsid w:val="00730461"/>
    <w:rsid w:val="00731105"/>
    <w:rsid w:val="0073148C"/>
    <w:rsid w:val="00731B0A"/>
    <w:rsid w:val="00731EAE"/>
    <w:rsid w:val="00732A58"/>
    <w:rsid w:val="00733073"/>
    <w:rsid w:val="00734F63"/>
    <w:rsid w:val="00735033"/>
    <w:rsid w:val="007350B4"/>
    <w:rsid w:val="00735328"/>
    <w:rsid w:val="00736456"/>
    <w:rsid w:val="0073685B"/>
    <w:rsid w:val="00737585"/>
    <w:rsid w:val="0073773B"/>
    <w:rsid w:val="00737851"/>
    <w:rsid w:val="00737A75"/>
    <w:rsid w:val="00743073"/>
    <w:rsid w:val="00743AC1"/>
    <w:rsid w:val="007447F5"/>
    <w:rsid w:val="007449BF"/>
    <w:rsid w:val="00744A05"/>
    <w:rsid w:val="00744BDE"/>
    <w:rsid w:val="0074543A"/>
    <w:rsid w:val="00745FA8"/>
    <w:rsid w:val="007463FE"/>
    <w:rsid w:val="00746BC0"/>
    <w:rsid w:val="00747885"/>
    <w:rsid w:val="00747C2A"/>
    <w:rsid w:val="007500EB"/>
    <w:rsid w:val="007506A5"/>
    <w:rsid w:val="007510B4"/>
    <w:rsid w:val="00752142"/>
    <w:rsid w:val="007523F9"/>
    <w:rsid w:val="00752698"/>
    <w:rsid w:val="00752EFA"/>
    <w:rsid w:val="0075357E"/>
    <w:rsid w:val="00753B29"/>
    <w:rsid w:val="00754B25"/>
    <w:rsid w:val="007550A8"/>
    <w:rsid w:val="00755285"/>
    <w:rsid w:val="007573E8"/>
    <w:rsid w:val="0076076F"/>
    <w:rsid w:val="00760C4E"/>
    <w:rsid w:val="00760F9E"/>
    <w:rsid w:val="00761017"/>
    <w:rsid w:val="0076106A"/>
    <w:rsid w:val="00761070"/>
    <w:rsid w:val="0076125C"/>
    <w:rsid w:val="007616E6"/>
    <w:rsid w:val="00761775"/>
    <w:rsid w:val="00761E1C"/>
    <w:rsid w:val="00761FCA"/>
    <w:rsid w:val="007627BE"/>
    <w:rsid w:val="00764129"/>
    <w:rsid w:val="00764F03"/>
    <w:rsid w:val="0076559C"/>
    <w:rsid w:val="00765B1A"/>
    <w:rsid w:val="00765DC1"/>
    <w:rsid w:val="00765F4E"/>
    <w:rsid w:val="00766C10"/>
    <w:rsid w:val="00766FB5"/>
    <w:rsid w:val="00767522"/>
    <w:rsid w:val="00767E1E"/>
    <w:rsid w:val="007707A3"/>
    <w:rsid w:val="00772258"/>
    <w:rsid w:val="0077261C"/>
    <w:rsid w:val="007739CA"/>
    <w:rsid w:val="007740F7"/>
    <w:rsid w:val="0077526A"/>
    <w:rsid w:val="007755F5"/>
    <w:rsid w:val="00776298"/>
    <w:rsid w:val="007765BB"/>
    <w:rsid w:val="00776A29"/>
    <w:rsid w:val="00777335"/>
    <w:rsid w:val="007807EE"/>
    <w:rsid w:val="007819AC"/>
    <w:rsid w:val="007821EB"/>
    <w:rsid w:val="00782450"/>
    <w:rsid w:val="00782736"/>
    <w:rsid w:val="007835DC"/>
    <w:rsid w:val="0078379E"/>
    <w:rsid w:val="00783D5C"/>
    <w:rsid w:val="0078405C"/>
    <w:rsid w:val="007843E5"/>
    <w:rsid w:val="007843F2"/>
    <w:rsid w:val="007846FA"/>
    <w:rsid w:val="00784818"/>
    <w:rsid w:val="00784BF0"/>
    <w:rsid w:val="00785A9F"/>
    <w:rsid w:val="00785AC3"/>
    <w:rsid w:val="0078735F"/>
    <w:rsid w:val="0078770A"/>
    <w:rsid w:val="0079103D"/>
    <w:rsid w:val="00792366"/>
    <w:rsid w:val="007925DF"/>
    <w:rsid w:val="007927D0"/>
    <w:rsid w:val="00792DCF"/>
    <w:rsid w:val="0079333B"/>
    <w:rsid w:val="00794814"/>
    <w:rsid w:val="00794F3F"/>
    <w:rsid w:val="00795ED4"/>
    <w:rsid w:val="00795FC1"/>
    <w:rsid w:val="007963EE"/>
    <w:rsid w:val="007966A3"/>
    <w:rsid w:val="00797985"/>
    <w:rsid w:val="007A003D"/>
    <w:rsid w:val="007A04E0"/>
    <w:rsid w:val="007A08AA"/>
    <w:rsid w:val="007A0A12"/>
    <w:rsid w:val="007A132D"/>
    <w:rsid w:val="007A1345"/>
    <w:rsid w:val="007A1781"/>
    <w:rsid w:val="007A2DDB"/>
    <w:rsid w:val="007A2F54"/>
    <w:rsid w:val="007A3A2E"/>
    <w:rsid w:val="007A3F06"/>
    <w:rsid w:val="007A46AE"/>
    <w:rsid w:val="007A4D85"/>
    <w:rsid w:val="007A5523"/>
    <w:rsid w:val="007A5A23"/>
    <w:rsid w:val="007A6D23"/>
    <w:rsid w:val="007A70BA"/>
    <w:rsid w:val="007A7C99"/>
    <w:rsid w:val="007A7F46"/>
    <w:rsid w:val="007B0683"/>
    <w:rsid w:val="007B0B8D"/>
    <w:rsid w:val="007B0D68"/>
    <w:rsid w:val="007B1ADD"/>
    <w:rsid w:val="007B22EE"/>
    <w:rsid w:val="007B2395"/>
    <w:rsid w:val="007B251D"/>
    <w:rsid w:val="007B2B51"/>
    <w:rsid w:val="007B2F4A"/>
    <w:rsid w:val="007B2F91"/>
    <w:rsid w:val="007B3533"/>
    <w:rsid w:val="007B3E83"/>
    <w:rsid w:val="007B4735"/>
    <w:rsid w:val="007B48D1"/>
    <w:rsid w:val="007B4F58"/>
    <w:rsid w:val="007B528D"/>
    <w:rsid w:val="007B5BAF"/>
    <w:rsid w:val="007B5FBA"/>
    <w:rsid w:val="007B63CA"/>
    <w:rsid w:val="007B77D1"/>
    <w:rsid w:val="007C07C7"/>
    <w:rsid w:val="007C19D5"/>
    <w:rsid w:val="007C1CD9"/>
    <w:rsid w:val="007C2834"/>
    <w:rsid w:val="007C32EF"/>
    <w:rsid w:val="007C361D"/>
    <w:rsid w:val="007C4B84"/>
    <w:rsid w:val="007C4C87"/>
    <w:rsid w:val="007C5080"/>
    <w:rsid w:val="007C70FF"/>
    <w:rsid w:val="007C78AA"/>
    <w:rsid w:val="007C7C25"/>
    <w:rsid w:val="007C7E91"/>
    <w:rsid w:val="007D004F"/>
    <w:rsid w:val="007D035F"/>
    <w:rsid w:val="007D06B2"/>
    <w:rsid w:val="007D0B38"/>
    <w:rsid w:val="007D0DE7"/>
    <w:rsid w:val="007D1675"/>
    <w:rsid w:val="007D1BAD"/>
    <w:rsid w:val="007D1F81"/>
    <w:rsid w:val="007D2983"/>
    <w:rsid w:val="007D2CF5"/>
    <w:rsid w:val="007D2F1B"/>
    <w:rsid w:val="007D35E8"/>
    <w:rsid w:val="007D3B49"/>
    <w:rsid w:val="007D3DF7"/>
    <w:rsid w:val="007D42A2"/>
    <w:rsid w:val="007D5440"/>
    <w:rsid w:val="007D58FF"/>
    <w:rsid w:val="007D5D9B"/>
    <w:rsid w:val="007D649B"/>
    <w:rsid w:val="007D69EB"/>
    <w:rsid w:val="007D7CEB"/>
    <w:rsid w:val="007D7F47"/>
    <w:rsid w:val="007D7F59"/>
    <w:rsid w:val="007E0609"/>
    <w:rsid w:val="007E0877"/>
    <w:rsid w:val="007E08A1"/>
    <w:rsid w:val="007E128F"/>
    <w:rsid w:val="007E2324"/>
    <w:rsid w:val="007E359B"/>
    <w:rsid w:val="007E5492"/>
    <w:rsid w:val="007E564E"/>
    <w:rsid w:val="007E70AD"/>
    <w:rsid w:val="007E77EF"/>
    <w:rsid w:val="007F021C"/>
    <w:rsid w:val="007F0C76"/>
    <w:rsid w:val="007F1017"/>
    <w:rsid w:val="007F10BF"/>
    <w:rsid w:val="007F2395"/>
    <w:rsid w:val="007F2CA8"/>
    <w:rsid w:val="007F4A3F"/>
    <w:rsid w:val="007F4A61"/>
    <w:rsid w:val="007F4CB9"/>
    <w:rsid w:val="007F520C"/>
    <w:rsid w:val="007F5255"/>
    <w:rsid w:val="007F56CC"/>
    <w:rsid w:val="007F5C5D"/>
    <w:rsid w:val="007F61C2"/>
    <w:rsid w:val="007F6548"/>
    <w:rsid w:val="007F6EC1"/>
    <w:rsid w:val="007F6FC6"/>
    <w:rsid w:val="007F79DA"/>
    <w:rsid w:val="008028A6"/>
    <w:rsid w:val="00802E84"/>
    <w:rsid w:val="00804793"/>
    <w:rsid w:val="00804B35"/>
    <w:rsid w:val="00805142"/>
    <w:rsid w:val="00805340"/>
    <w:rsid w:val="0080566B"/>
    <w:rsid w:val="00805DDA"/>
    <w:rsid w:val="00805FCE"/>
    <w:rsid w:val="00806A1E"/>
    <w:rsid w:val="00807A8B"/>
    <w:rsid w:val="00810C53"/>
    <w:rsid w:val="00811383"/>
    <w:rsid w:val="00812149"/>
    <w:rsid w:val="008129B4"/>
    <w:rsid w:val="00812AE4"/>
    <w:rsid w:val="00812CAC"/>
    <w:rsid w:val="00814DE7"/>
    <w:rsid w:val="00814FFC"/>
    <w:rsid w:val="00815C8E"/>
    <w:rsid w:val="00815DE9"/>
    <w:rsid w:val="00816361"/>
    <w:rsid w:val="008166EF"/>
    <w:rsid w:val="00816AB6"/>
    <w:rsid w:val="00816ADA"/>
    <w:rsid w:val="00816BDF"/>
    <w:rsid w:val="00816C06"/>
    <w:rsid w:val="00816FEF"/>
    <w:rsid w:val="00817622"/>
    <w:rsid w:val="00817984"/>
    <w:rsid w:val="00817DE5"/>
    <w:rsid w:val="00820A8C"/>
    <w:rsid w:val="008215FB"/>
    <w:rsid w:val="00821EB7"/>
    <w:rsid w:val="008220CC"/>
    <w:rsid w:val="008223EE"/>
    <w:rsid w:val="00822D77"/>
    <w:rsid w:val="00822F98"/>
    <w:rsid w:val="00823174"/>
    <w:rsid w:val="00825751"/>
    <w:rsid w:val="008264EB"/>
    <w:rsid w:val="0082650D"/>
    <w:rsid w:val="008268CE"/>
    <w:rsid w:val="00827A6D"/>
    <w:rsid w:val="00827C23"/>
    <w:rsid w:val="00830192"/>
    <w:rsid w:val="00830592"/>
    <w:rsid w:val="00831E7C"/>
    <w:rsid w:val="00832504"/>
    <w:rsid w:val="008325DC"/>
    <w:rsid w:val="00832C9D"/>
    <w:rsid w:val="00833A2A"/>
    <w:rsid w:val="00833B05"/>
    <w:rsid w:val="0083518A"/>
    <w:rsid w:val="008362B4"/>
    <w:rsid w:val="00836DA3"/>
    <w:rsid w:val="00840CA2"/>
    <w:rsid w:val="00841471"/>
    <w:rsid w:val="008415B5"/>
    <w:rsid w:val="0084374F"/>
    <w:rsid w:val="00843FA8"/>
    <w:rsid w:val="00844A22"/>
    <w:rsid w:val="00845006"/>
    <w:rsid w:val="008466C1"/>
    <w:rsid w:val="008472FF"/>
    <w:rsid w:val="00847703"/>
    <w:rsid w:val="00847DF5"/>
    <w:rsid w:val="00847F77"/>
    <w:rsid w:val="008502FD"/>
    <w:rsid w:val="00850478"/>
    <w:rsid w:val="008505F5"/>
    <w:rsid w:val="00851655"/>
    <w:rsid w:val="00851875"/>
    <w:rsid w:val="00852047"/>
    <w:rsid w:val="00852225"/>
    <w:rsid w:val="0085309D"/>
    <w:rsid w:val="008532FB"/>
    <w:rsid w:val="00853401"/>
    <w:rsid w:val="008554A5"/>
    <w:rsid w:val="00855C6A"/>
    <w:rsid w:val="0085633F"/>
    <w:rsid w:val="0085636F"/>
    <w:rsid w:val="00856897"/>
    <w:rsid w:val="00856E9A"/>
    <w:rsid w:val="0085723A"/>
    <w:rsid w:val="008577B9"/>
    <w:rsid w:val="00857907"/>
    <w:rsid w:val="008604A7"/>
    <w:rsid w:val="00860733"/>
    <w:rsid w:val="0086075D"/>
    <w:rsid w:val="00862502"/>
    <w:rsid w:val="00862C50"/>
    <w:rsid w:val="00862CC1"/>
    <w:rsid w:val="00862FDE"/>
    <w:rsid w:val="008632D0"/>
    <w:rsid w:val="008634A8"/>
    <w:rsid w:val="0086398A"/>
    <w:rsid w:val="008642A7"/>
    <w:rsid w:val="00866074"/>
    <w:rsid w:val="008660D4"/>
    <w:rsid w:val="00866B08"/>
    <w:rsid w:val="00866F51"/>
    <w:rsid w:val="008673BA"/>
    <w:rsid w:val="00867878"/>
    <w:rsid w:val="008679DB"/>
    <w:rsid w:val="00867A12"/>
    <w:rsid w:val="00867EB8"/>
    <w:rsid w:val="00867F2F"/>
    <w:rsid w:val="0087010B"/>
    <w:rsid w:val="008709C8"/>
    <w:rsid w:val="00871FA9"/>
    <w:rsid w:val="00872109"/>
    <w:rsid w:val="008728E9"/>
    <w:rsid w:val="00873026"/>
    <w:rsid w:val="0087326E"/>
    <w:rsid w:val="00873955"/>
    <w:rsid w:val="008766B3"/>
    <w:rsid w:val="008766DA"/>
    <w:rsid w:val="0087724B"/>
    <w:rsid w:val="00877D9D"/>
    <w:rsid w:val="00877F33"/>
    <w:rsid w:val="00881A1C"/>
    <w:rsid w:val="00882483"/>
    <w:rsid w:val="00882874"/>
    <w:rsid w:val="00882E3C"/>
    <w:rsid w:val="00882F4D"/>
    <w:rsid w:val="0088308A"/>
    <w:rsid w:val="00883787"/>
    <w:rsid w:val="00884632"/>
    <w:rsid w:val="00884DA8"/>
    <w:rsid w:val="008855E4"/>
    <w:rsid w:val="00885AAE"/>
    <w:rsid w:val="00885BBB"/>
    <w:rsid w:val="00886684"/>
    <w:rsid w:val="00886CD2"/>
    <w:rsid w:val="00886E04"/>
    <w:rsid w:val="0089036C"/>
    <w:rsid w:val="0089064B"/>
    <w:rsid w:val="00891E6F"/>
    <w:rsid w:val="0089219B"/>
    <w:rsid w:val="0089275D"/>
    <w:rsid w:val="00892845"/>
    <w:rsid w:val="00892912"/>
    <w:rsid w:val="00892A36"/>
    <w:rsid w:val="00893239"/>
    <w:rsid w:val="00893B8A"/>
    <w:rsid w:val="0089420E"/>
    <w:rsid w:val="00894489"/>
    <w:rsid w:val="00894CD6"/>
    <w:rsid w:val="008963A5"/>
    <w:rsid w:val="00896D5D"/>
    <w:rsid w:val="008978FD"/>
    <w:rsid w:val="00897A92"/>
    <w:rsid w:val="008A003A"/>
    <w:rsid w:val="008A0B5D"/>
    <w:rsid w:val="008A20AE"/>
    <w:rsid w:val="008A220E"/>
    <w:rsid w:val="008A257B"/>
    <w:rsid w:val="008A2F17"/>
    <w:rsid w:val="008A2F7C"/>
    <w:rsid w:val="008A3158"/>
    <w:rsid w:val="008A3363"/>
    <w:rsid w:val="008A3371"/>
    <w:rsid w:val="008A3C3E"/>
    <w:rsid w:val="008A50AD"/>
    <w:rsid w:val="008A58C6"/>
    <w:rsid w:val="008A669F"/>
    <w:rsid w:val="008A7771"/>
    <w:rsid w:val="008A78EA"/>
    <w:rsid w:val="008A79DE"/>
    <w:rsid w:val="008A7A2A"/>
    <w:rsid w:val="008B0233"/>
    <w:rsid w:val="008B0CF8"/>
    <w:rsid w:val="008B1757"/>
    <w:rsid w:val="008B1C33"/>
    <w:rsid w:val="008B410F"/>
    <w:rsid w:val="008B4B6F"/>
    <w:rsid w:val="008B4DAA"/>
    <w:rsid w:val="008B52A3"/>
    <w:rsid w:val="008B531E"/>
    <w:rsid w:val="008B6444"/>
    <w:rsid w:val="008B7753"/>
    <w:rsid w:val="008B7766"/>
    <w:rsid w:val="008B7992"/>
    <w:rsid w:val="008B7D7E"/>
    <w:rsid w:val="008C152D"/>
    <w:rsid w:val="008C16E4"/>
    <w:rsid w:val="008C1C7C"/>
    <w:rsid w:val="008C280A"/>
    <w:rsid w:val="008C4508"/>
    <w:rsid w:val="008C4CF0"/>
    <w:rsid w:val="008C4E66"/>
    <w:rsid w:val="008C5608"/>
    <w:rsid w:val="008C5610"/>
    <w:rsid w:val="008C5739"/>
    <w:rsid w:val="008C5A5A"/>
    <w:rsid w:val="008C5D7B"/>
    <w:rsid w:val="008C6A95"/>
    <w:rsid w:val="008C71F2"/>
    <w:rsid w:val="008C7282"/>
    <w:rsid w:val="008C7348"/>
    <w:rsid w:val="008C7478"/>
    <w:rsid w:val="008C7ECB"/>
    <w:rsid w:val="008C7EF5"/>
    <w:rsid w:val="008D13B1"/>
    <w:rsid w:val="008D1F5C"/>
    <w:rsid w:val="008D35C4"/>
    <w:rsid w:val="008D3818"/>
    <w:rsid w:val="008D39CD"/>
    <w:rsid w:val="008D3B86"/>
    <w:rsid w:val="008D3D41"/>
    <w:rsid w:val="008D43FD"/>
    <w:rsid w:val="008D4755"/>
    <w:rsid w:val="008D4C3D"/>
    <w:rsid w:val="008D5738"/>
    <w:rsid w:val="008D58A0"/>
    <w:rsid w:val="008D5E84"/>
    <w:rsid w:val="008D729C"/>
    <w:rsid w:val="008D743C"/>
    <w:rsid w:val="008D7E07"/>
    <w:rsid w:val="008E0D3C"/>
    <w:rsid w:val="008E14CE"/>
    <w:rsid w:val="008E1B9E"/>
    <w:rsid w:val="008E2B1E"/>
    <w:rsid w:val="008E3EDB"/>
    <w:rsid w:val="008E478E"/>
    <w:rsid w:val="008E5043"/>
    <w:rsid w:val="008E55AB"/>
    <w:rsid w:val="008E5CA0"/>
    <w:rsid w:val="008E5EA3"/>
    <w:rsid w:val="008E64EC"/>
    <w:rsid w:val="008E6FD9"/>
    <w:rsid w:val="008E7D9E"/>
    <w:rsid w:val="008E7EDF"/>
    <w:rsid w:val="008F0673"/>
    <w:rsid w:val="008F120A"/>
    <w:rsid w:val="008F27E0"/>
    <w:rsid w:val="008F352D"/>
    <w:rsid w:val="008F3C5D"/>
    <w:rsid w:val="008F3D81"/>
    <w:rsid w:val="008F409B"/>
    <w:rsid w:val="008F4584"/>
    <w:rsid w:val="008F48EB"/>
    <w:rsid w:val="008F4904"/>
    <w:rsid w:val="008F4CFD"/>
    <w:rsid w:val="008F4F0B"/>
    <w:rsid w:val="008F5834"/>
    <w:rsid w:val="008F5B51"/>
    <w:rsid w:val="008F5BBE"/>
    <w:rsid w:val="008F5F66"/>
    <w:rsid w:val="008F6B2D"/>
    <w:rsid w:val="008F7029"/>
    <w:rsid w:val="008F7082"/>
    <w:rsid w:val="009006AF"/>
    <w:rsid w:val="0090094E"/>
    <w:rsid w:val="00900DF1"/>
    <w:rsid w:val="0090103D"/>
    <w:rsid w:val="00901779"/>
    <w:rsid w:val="00901AEE"/>
    <w:rsid w:val="0090221B"/>
    <w:rsid w:val="00903150"/>
    <w:rsid w:val="00903F66"/>
    <w:rsid w:val="0090412D"/>
    <w:rsid w:val="0090439A"/>
    <w:rsid w:val="009044D1"/>
    <w:rsid w:val="0090458E"/>
    <w:rsid w:val="009046C4"/>
    <w:rsid w:val="00905F56"/>
    <w:rsid w:val="0090618C"/>
    <w:rsid w:val="009062A5"/>
    <w:rsid w:val="009062FA"/>
    <w:rsid w:val="0090741D"/>
    <w:rsid w:val="00907699"/>
    <w:rsid w:val="00910295"/>
    <w:rsid w:val="00910FA7"/>
    <w:rsid w:val="00911272"/>
    <w:rsid w:val="00911339"/>
    <w:rsid w:val="00912C29"/>
    <w:rsid w:val="009135D6"/>
    <w:rsid w:val="00913FDB"/>
    <w:rsid w:val="00914183"/>
    <w:rsid w:val="00914C77"/>
    <w:rsid w:val="00916762"/>
    <w:rsid w:val="00917285"/>
    <w:rsid w:val="00920B6D"/>
    <w:rsid w:val="00921ACB"/>
    <w:rsid w:val="00921F2C"/>
    <w:rsid w:val="0092260C"/>
    <w:rsid w:val="00923001"/>
    <w:rsid w:val="0092369B"/>
    <w:rsid w:val="009265AA"/>
    <w:rsid w:val="00926863"/>
    <w:rsid w:val="00926C86"/>
    <w:rsid w:val="00926F85"/>
    <w:rsid w:val="00927160"/>
    <w:rsid w:val="009272F7"/>
    <w:rsid w:val="00930029"/>
    <w:rsid w:val="009301BD"/>
    <w:rsid w:val="00932FB3"/>
    <w:rsid w:val="00933406"/>
    <w:rsid w:val="00933419"/>
    <w:rsid w:val="009337BC"/>
    <w:rsid w:val="00934988"/>
    <w:rsid w:val="00934C55"/>
    <w:rsid w:val="00935864"/>
    <w:rsid w:val="009364A6"/>
    <w:rsid w:val="00936E02"/>
    <w:rsid w:val="00937089"/>
    <w:rsid w:val="009406C2"/>
    <w:rsid w:val="0094159E"/>
    <w:rsid w:val="00941733"/>
    <w:rsid w:val="0094233D"/>
    <w:rsid w:val="009423BB"/>
    <w:rsid w:val="00943347"/>
    <w:rsid w:val="00944207"/>
    <w:rsid w:val="00944F8A"/>
    <w:rsid w:val="00945080"/>
    <w:rsid w:val="00946724"/>
    <w:rsid w:val="00946B64"/>
    <w:rsid w:val="00946D2E"/>
    <w:rsid w:val="00950403"/>
    <w:rsid w:val="009510A2"/>
    <w:rsid w:val="00951F9F"/>
    <w:rsid w:val="009523BC"/>
    <w:rsid w:val="00953257"/>
    <w:rsid w:val="00953512"/>
    <w:rsid w:val="009535E1"/>
    <w:rsid w:val="00953B06"/>
    <w:rsid w:val="00953DAF"/>
    <w:rsid w:val="0095474C"/>
    <w:rsid w:val="00954991"/>
    <w:rsid w:val="00955697"/>
    <w:rsid w:val="00956DA1"/>
    <w:rsid w:val="00957241"/>
    <w:rsid w:val="00957D92"/>
    <w:rsid w:val="0096081D"/>
    <w:rsid w:val="0096152B"/>
    <w:rsid w:val="00961BE3"/>
    <w:rsid w:val="00962CB9"/>
    <w:rsid w:val="00964312"/>
    <w:rsid w:val="00964D24"/>
    <w:rsid w:val="0096509D"/>
    <w:rsid w:val="009650F7"/>
    <w:rsid w:val="00965857"/>
    <w:rsid w:val="009659FB"/>
    <w:rsid w:val="00965B8A"/>
    <w:rsid w:val="009673CB"/>
    <w:rsid w:val="0097071F"/>
    <w:rsid w:val="00970C78"/>
    <w:rsid w:val="009711C9"/>
    <w:rsid w:val="00971620"/>
    <w:rsid w:val="009717AC"/>
    <w:rsid w:val="00972303"/>
    <w:rsid w:val="00972B99"/>
    <w:rsid w:val="00973DAB"/>
    <w:rsid w:val="00974035"/>
    <w:rsid w:val="009743F7"/>
    <w:rsid w:val="009751C1"/>
    <w:rsid w:val="00976779"/>
    <w:rsid w:val="009769A4"/>
    <w:rsid w:val="00976AF8"/>
    <w:rsid w:val="0098068B"/>
    <w:rsid w:val="009811F1"/>
    <w:rsid w:val="0098262F"/>
    <w:rsid w:val="00982E12"/>
    <w:rsid w:val="00983983"/>
    <w:rsid w:val="00983C77"/>
    <w:rsid w:val="00983E57"/>
    <w:rsid w:val="00985341"/>
    <w:rsid w:val="00985BF1"/>
    <w:rsid w:val="00985DE2"/>
    <w:rsid w:val="0098675D"/>
    <w:rsid w:val="00986843"/>
    <w:rsid w:val="0098724E"/>
    <w:rsid w:val="00987285"/>
    <w:rsid w:val="0098746B"/>
    <w:rsid w:val="00987994"/>
    <w:rsid w:val="00987BA4"/>
    <w:rsid w:val="00987C3D"/>
    <w:rsid w:val="0099171A"/>
    <w:rsid w:val="009918C9"/>
    <w:rsid w:val="00991C18"/>
    <w:rsid w:val="00992300"/>
    <w:rsid w:val="009926E0"/>
    <w:rsid w:val="00992C51"/>
    <w:rsid w:val="009935CF"/>
    <w:rsid w:val="0099451E"/>
    <w:rsid w:val="00995089"/>
    <w:rsid w:val="00995403"/>
    <w:rsid w:val="00995D75"/>
    <w:rsid w:val="00996B1A"/>
    <w:rsid w:val="00996D53"/>
    <w:rsid w:val="00996DBB"/>
    <w:rsid w:val="0099763B"/>
    <w:rsid w:val="00997D00"/>
    <w:rsid w:val="009A07ED"/>
    <w:rsid w:val="009A0EE4"/>
    <w:rsid w:val="009A18F6"/>
    <w:rsid w:val="009A1A27"/>
    <w:rsid w:val="009A1C55"/>
    <w:rsid w:val="009A23D6"/>
    <w:rsid w:val="009A28D7"/>
    <w:rsid w:val="009A2A6A"/>
    <w:rsid w:val="009A2DCC"/>
    <w:rsid w:val="009A5167"/>
    <w:rsid w:val="009A537C"/>
    <w:rsid w:val="009A5ABC"/>
    <w:rsid w:val="009A5E6A"/>
    <w:rsid w:val="009A6573"/>
    <w:rsid w:val="009A71FE"/>
    <w:rsid w:val="009A7D1F"/>
    <w:rsid w:val="009A7F10"/>
    <w:rsid w:val="009B0958"/>
    <w:rsid w:val="009B0E67"/>
    <w:rsid w:val="009B1174"/>
    <w:rsid w:val="009B13C0"/>
    <w:rsid w:val="009B2D92"/>
    <w:rsid w:val="009B3674"/>
    <w:rsid w:val="009B3E26"/>
    <w:rsid w:val="009B432D"/>
    <w:rsid w:val="009B4D6E"/>
    <w:rsid w:val="009B59E4"/>
    <w:rsid w:val="009B5AD5"/>
    <w:rsid w:val="009B60C2"/>
    <w:rsid w:val="009B66A2"/>
    <w:rsid w:val="009B6EC0"/>
    <w:rsid w:val="009C0CD3"/>
    <w:rsid w:val="009C1031"/>
    <w:rsid w:val="009C1271"/>
    <w:rsid w:val="009C1A2D"/>
    <w:rsid w:val="009C1AEF"/>
    <w:rsid w:val="009C3706"/>
    <w:rsid w:val="009C3A3A"/>
    <w:rsid w:val="009C426B"/>
    <w:rsid w:val="009C5CA6"/>
    <w:rsid w:val="009C670E"/>
    <w:rsid w:val="009C6CEA"/>
    <w:rsid w:val="009C747B"/>
    <w:rsid w:val="009C79EA"/>
    <w:rsid w:val="009C7AA4"/>
    <w:rsid w:val="009C7B85"/>
    <w:rsid w:val="009D0254"/>
    <w:rsid w:val="009D034E"/>
    <w:rsid w:val="009D0A81"/>
    <w:rsid w:val="009D0FAD"/>
    <w:rsid w:val="009D176F"/>
    <w:rsid w:val="009D1A64"/>
    <w:rsid w:val="009D1C12"/>
    <w:rsid w:val="009D2D54"/>
    <w:rsid w:val="009D3580"/>
    <w:rsid w:val="009D5292"/>
    <w:rsid w:val="009D52C9"/>
    <w:rsid w:val="009D5AB3"/>
    <w:rsid w:val="009D5B91"/>
    <w:rsid w:val="009D5C00"/>
    <w:rsid w:val="009D6101"/>
    <w:rsid w:val="009D7479"/>
    <w:rsid w:val="009D75DB"/>
    <w:rsid w:val="009D792E"/>
    <w:rsid w:val="009D7FED"/>
    <w:rsid w:val="009E0CCA"/>
    <w:rsid w:val="009E0DFE"/>
    <w:rsid w:val="009E2DFC"/>
    <w:rsid w:val="009E30C4"/>
    <w:rsid w:val="009E31F6"/>
    <w:rsid w:val="009E411A"/>
    <w:rsid w:val="009E4683"/>
    <w:rsid w:val="009E496E"/>
    <w:rsid w:val="009E4C07"/>
    <w:rsid w:val="009E6207"/>
    <w:rsid w:val="009E6DE0"/>
    <w:rsid w:val="009E777F"/>
    <w:rsid w:val="009E7D2E"/>
    <w:rsid w:val="009F003A"/>
    <w:rsid w:val="009F1A47"/>
    <w:rsid w:val="009F201B"/>
    <w:rsid w:val="009F333B"/>
    <w:rsid w:val="009F4645"/>
    <w:rsid w:val="009F5F0D"/>
    <w:rsid w:val="009F6120"/>
    <w:rsid w:val="009F68D2"/>
    <w:rsid w:val="009F6B0E"/>
    <w:rsid w:val="009F75B5"/>
    <w:rsid w:val="009F7D71"/>
    <w:rsid w:val="00A00468"/>
    <w:rsid w:val="00A00472"/>
    <w:rsid w:val="00A00D76"/>
    <w:rsid w:val="00A01058"/>
    <w:rsid w:val="00A01184"/>
    <w:rsid w:val="00A01449"/>
    <w:rsid w:val="00A01D0E"/>
    <w:rsid w:val="00A01E35"/>
    <w:rsid w:val="00A01FDD"/>
    <w:rsid w:val="00A0339C"/>
    <w:rsid w:val="00A035CB"/>
    <w:rsid w:val="00A037C2"/>
    <w:rsid w:val="00A03812"/>
    <w:rsid w:val="00A03D43"/>
    <w:rsid w:val="00A03DB6"/>
    <w:rsid w:val="00A03E4E"/>
    <w:rsid w:val="00A04380"/>
    <w:rsid w:val="00A04786"/>
    <w:rsid w:val="00A049FC"/>
    <w:rsid w:val="00A05472"/>
    <w:rsid w:val="00A0567B"/>
    <w:rsid w:val="00A0567C"/>
    <w:rsid w:val="00A05C32"/>
    <w:rsid w:val="00A0653F"/>
    <w:rsid w:val="00A066A0"/>
    <w:rsid w:val="00A07501"/>
    <w:rsid w:val="00A07D76"/>
    <w:rsid w:val="00A07E82"/>
    <w:rsid w:val="00A105BD"/>
    <w:rsid w:val="00A108AE"/>
    <w:rsid w:val="00A10949"/>
    <w:rsid w:val="00A10969"/>
    <w:rsid w:val="00A10DF0"/>
    <w:rsid w:val="00A1111A"/>
    <w:rsid w:val="00A11706"/>
    <w:rsid w:val="00A119AC"/>
    <w:rsid w:val="00A11CD0"/>
    <w:rsid w:val="00A12565"/>
    <w:rsid w:val="00A125D8"/>
    <w:rsid w:val="00A1329F"/>
    <w:rsid w:val="00A13948"/>
    <w:rsid w:val="00A13A0B"/>
    <w:rsid w:val="00A13AE1"/>
    <w:rsid w:val="00A13C1B"/>
    <w:rsid w:val="00A14F1B"/>
    <w:rsid w:val="00A1510F"/>
    <w:rsid w:val="00A151D6"/>
    <w:rsid w:val="00A1555B"/>
    <w:rsid w:val="00A155C5"/>
    <w:rsid w:val="00A15D38"/>
    <w:rsid w:val="00A16AD8"/>
    <w:rsid w:val="00A16BCF"/>
    <w:rsid w:val="00A2014F"/>
    <w:rsid w:val="00A2021E"/>
    <w:rsid w:val="00A20686"/>
    <w:rsid w:val="00A211EE"/>
    <w:rsid w:val="00A213C6"/>
    <w:rsid w:val="00A21C95"/>
    <w:rsid w:val="00A21CF3"/>
    <w:rsid w:val="00A22B23"/>
    <w:rsid w:val="00A23C8C"/>
    <w:rsid w:val="00A24701"/>
    <w:rsid w:val="00A24813"/>
    <w:rsid w:val="00A24C4A"/>
    <w:rsid w:val="00A25ABB"/>
    <w:rsid w:val="00A25C2C"/>
    <w:rsid w:val="00A25C8D"/>
    <w:rsid w:val="00A26721"/>
    <w:rsid w:val="00A27AEC"/>
    <w:rsid w:val="00A27B15"/>
    <w:rsid w:val="00A30454"/>
    <w:rsid w:val="00A316B4"/>
    <w:rsid w:val="00A320DB"/>
    <w:rsid w:val="00A32768"/>
    <w:rsid w:val="00A32BCD"/>
    <w:rsid w:val="00A32C62"/>
    <w:rsid w:val="00A33695"/>
    <w:rsid w:val="00A342C7"/>
    <w:rsid w:val="00A346A4"/>
    <w:rsid w:val="00A348B1"/>
    <w:rsid w:val="00A34FD6"/>
    <w:rsid w:val="00A352CE"/>
    <w:rsid w:val="00A35D16"/>
    <w:rsid w:val="00A360F5"/>
    <w:rsid w:val="00A362C8"/>
    <w:rsid w:val="00A36E3D"/>
    <w:rsid w:val="00A37460"/>
    <w:rsid w:val="00A37654"/>
    <w:rsid w:val="00A37BCD"/>
    <w:rsid w:val="00A37CDC"/>
    <w:rsid w:val="00A40788"/>
    <w:rsid w:val="00A40F42"/>
    <w:rsid w:val="00A41689"/>
    <w:rsid w:val="00A41CF2"/>
    <w:rsid w:val="00A42592"/>
    <w:rsid w:val="00A427E3"/>
    <w:rsid w:val="00A43C59"/>
    <w:rsid w:val="00A43F1E"/>
    <w:rsid w:val="00A44F9A"/>
    <w:rsid w:val="00A4634B"/>
    <w:rsid w:val="00A466D2"/>
    <w:rsid w:val="00A46E50"/>
    <w:rsid w:val="00A47146"/>
    <w:rsid w:val="00A473C5"/>
    <w:rsid w:val="00A502BF"/>
    <w:rsid w:val="00A50ECD"/>
    <w:rsid w:val="00A511D4"/>
    <w:rsid w:val="00A51303"/>
    <w:rsid w:val="00A51753"/>
    <w:rsid w:val="00A518F3"/>
    <w:rsid w:val="00A5207E"/>
    <w:rsid w:val="00A52729"/>
    <w:rsid w:val="00A53675"/>
    <w:rsid w:val="00A5494C"/>
    <w:rsid w:val="00A55C25"/>
    <w:rsid w:val="00A564D7"/>
    <w:rsid w:val="00A56B6A"/>
    <w:rsid w:val="00A56D75"/>
    <w:rsid w:val="00A57625"/>
    <w:rsid w:val="00A57656"/>
    <w:rsid w:val="00A578DC"/>
    <w:rsid w:val="00A57EB2"/>
    <w:rsid w:val="00A57F95"/>
    <w:rsid w:val="00A60B41"/>
    <w:rsid w:val="00A616C0"/>
    <w:rsid w:val="00A61E4A"/>
    <w:rsid w:val="00A627E4"/>
    <w:rsid w:val="00A63E17"/>
    <w:rsid w:val="00A640E2"/>
    <w:rsid w:val="00A64D65"/>
    <w:rsid w:val="00A64DF8"/>
    <w:rsid w:val="00A65B72"/>
    <w:rsid w:val="00A65BF8"/>
    <w:rsid w:val="00A66964"/>
    <w:rsid w:val="00A670EB"/>
    <w:rsid w:val="00A6725B"/>
    <w:rsid w:val="00A67756"/>
    <w:rsid w:val="00A67931"/>
    <w:rsid w:val="00A67EF8"/>
    <w:rsid w:val="00A7040F"/>
    <w:rsid w:val="00A70605"/>
    <w:rsid w:val="00A70B98"/>
    <w:rsid w:val="00A70D40"/>
    <w:rsid w:val="00A71114"/>
    <w:rsid w:val="00A71D06"/>
    <w:rsid w:val="00A73134"/>
    <w:rsid w:val="00A73574"/>
    <w:rsid w:val="00A7365A"/>
    <w:rsid w:val="00A73D2F"/>
    <w:rsid w:val="00A73F52"/>
    <w:rsid w:val="00A76001"/>
    <w:rsid w:val="00A7742A"/>
    <w:rsid w:val="00A775A3"/>
    <w:rsid w:val="00A777B2"/>
    <w:rsid w:val="00A814A1"/>
    <w:rsid w:val="00A818C1"/>
    <w:rsid w:val="00A82493"/>
    <w:rsid w:val="00A825D4"/>
    <w:rsid w:val="00A828F6"/>
    <w:rsid w:val="00A82B73"/>
    <w:rsid w:val="00A8325B"/>
    <w:rsid w:val="00A834CF"/>
    <w:rsid w:val="00A8362D"/>
    <w:rsid w:val="00A83FA3"/>
    <w:rsid w:val="00A857FE"/>
    <w:rsid w:val="00A85B6C"/>
    <w:rsid w:val="00A85C33"/>
    <w:rsid w:val="00A862DE"/>
    <w:rsid w:val="00A86E8B"/>
    <w:rsid w:val="00A87164"/>
    <w:rsid w:val="00A871A9"/>
    <w:rsid w:val="00A90062"/>
    <w:rsid w:val="00A900A7"/>
    <w:rsid w:val="00A902AA"/>
    <w:rsid w:val="00A90CFB"/>
    <w:rsid w:val="00A90D7A"/>
    <w:rsid w:val="00A93072"/>
    <w:rsid w:val="00A9364E"/>
    <w:rsid w:val="00A938BD"/>
    <w:rsid w:val="00A93953"/>
    <w:rsid w:val="00A93FA0"/>
    <w:rsid w:val="00A942C7"/>
    <w:rsid w:val="00A9551A"/>
    <w:rsid w:val="00A95850"/>
    <w:rsid w:val="00A959D8"/>
    <w:rsid w:val="00AA01C4"/>
    <w:rsid w:val="00AA113D"/>
    <w:rsid w:val="00AA21D7"/>
    <w:rsid w:val="00AA34F1"/>
    <w:rsid w:val="00AA41FD"/>
    <w:rsid w:val="00AA47F6"/>
    <w:rsid w:val="00AA4DF5"/>
    <w:rsid w:val="00AA558A"/>
    <w:rsid w:val="00AA601B"/>
    <w:rsid w:val="00AA64A1"/>
    <w:rsid w:val="00AA6BD5"/>
    <w:rsid w:val="00AA6BD8"/>
    <w:rsid w:val="00AA6C7D"/>
    <w:rsid w:val="00AA712E"/>
    <w:rsid w:val="00AA7302"/>
    <w:rsid w:val="00AA7C95"/>
    <w:rsid w:val="00AA7C96"/>
    <w:rsid w:val="00AA7FD6"/>
    <w:rsid w:val="00AB042A"/>
    <w:rsid w:val="00AB047F"/>
    <w:rsid w:val="00AB0651"/>
    <w:rsid w:val="00AB067E"/>
    <w:rsid w:val="00AB11AD"/>
    <w:rsid w:val="00AB19EF"/>
    <w:rsid w:val="00AB2495"/>
    <w:rsid w:val="00AB2D34"/>
    <w:rsid w:val="00AB2FD1"/>
    <w:rsid w:val="00AB30B6"/>
    <w:rsid w:val="00AB3430"/>
    <w:rsid w:val="00AB37B9"/>
    <w:rsid w:val="00AB4122"/>
    <w:rsid w:val="00AB4420"/>
    <w:rsid w:val="00AB4AD1"/>
    <w:rsid w:val="00AB5E07"/>
    <w:rsid w:val="00AB5E42"/>
    <w:rsid w:val="00AB7532"/>
    <w:rsid w:val="00AB7991"/>
    <w:rsid w:val="00AB7CFA"/>
    <w:rsid w:val="00AB7ED0"/>
    <w:rsid w:val="00AC0494"/>
    <w:rsid w:val="00AC05E3"/>
    <w:rsid w:val="00AC2220"/>
    <w:rsid w:val="00AC2356"/>
    <w:rsid w:val="00AC3B39"/>
    <w:rsid w:val="00AC3CE8"/>
    <w:rsid w:val="00AC3E06"/>
    <w:rsid w:val="00AC3FA6"/>
    <w:rsid w:val="00AC3FD1"/>
    <w:rsid w:val="00AC4EF3"/>
    <w:rsid w:val="00AC55B1"/>
    <w:rsid w:val="00AC5B42"/>
    <w:rsid w:val="00AC5B48"/>
    <w:rsid w:val="00AC616F"/>
    <w:rsid w:val="00AC6AC6"/>
    <w:rsid w:val="00AC7362"/>
    <w:rsid w:val="00AD0E99"/>
    <w:rsid w:val="00AD123F"/>
    <w:rsid w:val="00AD1450"/>
    <w:rsid w:val="00AD1509"/>
    <w:rsid w:val="00AD15E8"/>
    <w:rsid w:val="00AD18DE"/>
    <w:rsid w:val="00AD356D"/>
    <w:rsid w:val="00AD6502"/>
    <w:rsid w:val="00AD6795"/>
    <w:rsid w:val="00AD69F7"/>
    <w:rsid w:val="00AD69F8"/>
    <w:rsid w:val="00AD79BE"/>
    <w:rsid w:val="00AE0695"/>
    <w:rsid w:val="00AE06D4"/>
    <w:rsid w:val="00AE3107"/>
    <w:rsid w:val="00AE3E7E"/>
    <w:rsid w:val="00AE3EB6"/>
    <w:rsid w:val="00AE41B0"/>
    <w:rsid w:val="00AE505C"/>
    <w:rsid w:val="00AE52E5"/>
    <w:rsid w:val="00AE6607"/>
    <w:rsid w:val="00AE68B1"/>
    <w:rsid w:val="00AE7E53"/>
    <w:rsid w:val="00AF0E97"/>
    <w:rsid w:val="00AF1315"/>
    <w:rsid w:val="00AF19BF"/>
    <w:rsid w:val="00AF2072"/>
    <w:rsid w:val="00AF25D3"/>
    <w:rsid w:val="00AF2DC3"/>
    <w:rsid w:val="00AF2FDB"/>
    <w:rsid w:val="00AF34B2"/>
    <w:rsid w:val="00AF37F5"/>
    <w:rsid w:val="00AF40C8"/>
    <w:rsid w:val="00AF4946"/>
    <w:rsid w:val="00AF4BC4"/>
    <w:rsid w:val="00AF5611"/>
    <w:rsid w:val="00AF5764"/>
    <w:rsid w:val="00AF60B4"/>
    <w:rsid w:val="00AF652F"/>
    <w:rsid w:val="00AF7614"/>
    <w:rsid w:val="00AF7827"/>
    <w:rsid w:val="00AF7AEB"/>
    <w:rsid w:val="00AF7D0A"/>
    <w:rsid w:val="00B002F4"/>
    <w:rsid w:val="00B01A70"/>
    <w:rsid w:val="00B01D14"/>
    <w:rsid w:val="00B01FF0"/>
    <w:rsid w:val="00B02FBD"/>
    <w:rsid w:val="00B033E5"/>
    <w:rsid w:val="00B038D9"/>
    <w:rsid w:val="00B039D4"/>
    <w:rsid w:val="00B03A63"/>
    <w:rsid w:val="00B04653"/>
    <w:rsid w:val="00B04CC8"/>
    <w:rsid w:val="00B04DCF"/>
    <w:rsid w:val="00B05C4A"/>
    <w:rsid w:val="00B06CD3"/>
    <w:rsid w:val="00B07D37"/>
    <w:rsid w:val="00B102FA"/>
    <w:rsid w:val="00B11C9B"/>
    <w:rsid w:val="00B129A4"/>
    <w:rsid w:val="00B13118"/>
    <w:rsid w:val="00B13725"/>
    <w:rsid w:val="00B13C29"/>
    <w:rsid w:val="00B14248"/>
    <w:rsid w:val="00B145F1"/>
    <w:rsid w:val="00B159BA"/>
    <w:rsid w:val="00B15EE7"/>
    <w:rsid w:val="00B16452"/>
    <w:rsid w:val="00B17D6E"/>
    <w:rsid w:val="00B201A4"/>
    <w:rsid w:val="00B201D1"/>
    <w:rsid w:val="00B2024D"/>
    <w:rsid w:val="00B204AC"/>
    <w:rsid w:val="00B213A6"/>
    <w:rsid w:val="00B213CD"/>
    <w:rsid w:val="00B21577"/>
    <w:rsid w:val="00B2173F"/>
    <w:rsid w:val="00B21C29"/>
    <w:rsid w:val="00B21E43"/>
    <w:rsid w:val="00B21EE5"/>
    <w:rsid w:val="00B22EBA"/>
    <w:rsid w:val="00B234D1"/>
    <w:rsid w:val="00B235B0"/>
    <w:rsid w:val="00B23874"/>
    <w:rsid w:val="00B24C3C"/>
    <w:rsid w:val="00B24DF6"/>
    <w:rsid w:val="00B25D72"/>
    <w:rsid w:val="00B261AD"/>
    <w:rsid w:val="00B27A61"/>
    <w:rsid w:val="00B3081F"/>
    <w:rsid w:val="00B30ADA"/>
    <w:rsid w:val="00B30BB7"/>
    <w:rsid w:val="00B324E4"/>
    <w:rsid w:val="00B32F04"/>
    <w:rsid w:val="00B33AD2"/>
    <w:rsid w:val="00B33C99"/>
    <w:rsid w:val="00B34256"/>
    <w:rsid w:val="00B342AD"/>
    <w:rsid w:val="00B3438C"/>
    <w:rsid w:val="00B34600"/>
    <w:rsid w:val="00B349C3"/>
    <w:rsid w:val="00B34FE2"/>
    <w:rsid w:val="00B35166"/>
    <w:rsid w:val="00B35495"/>
    <w:rsid w:val="00B357D8"/>
    <w:rsid w:val="00B3588F"/>
    <w:rsid w:val="00B360F4"/>
    <w:rsid w:val="00B364A0"/>
    <w:rsid w:val="00B36A00"/>
    <w:rsid w:val="00B36FC0"/>
    <w:rsid w:val="00B37214"/>
    <w:rsid w:val="00B375BB"/>
    <w:rsid w:val="00B3792B"/>
    <w:rsid w:val="00B37BFC"/>
    <w:rsid w:val="00B40358"/>
    <w:rsid w:val="00B40359"/>
    <w:rsid w:val="00B41614"/>
    <w:rsid w:val="00B41BD8"/>
    <w:rsid w:val="00B41E4E"/>
    <w:rsid w:val="00B427AF"/>
    <w:rsid w:val="00B42851"/>
    <w:rsid w:val="00B42F80"/>
    <w:rsid w:val="00B435CB"/>
    <w:rsid w:val="00B45216"/>
    <w:rsid w:val="00B45B19"/>
    <w:rsid w:val="00B465EC"/>
    <w:rsid w:val="00B46AC4"/>
    <w:rsid w:val="00B505C8"/>
    <w:rsid w:val="00B50BC7"/>
    <w:rsid w:val="00B50D2E"/>
    <w:rsid w:val="00B50DB8"/>
    <w:rsid w:val="00B5154F"/>
    <w:rsid w:val="00B51DD4"/>
    <w:rsid w:val="00B51DEC"/>
    <w:rsid w:val="00B53654"/>
    <w:rsid w:val="00B53896"/>
    <w:rsid w:val="00B53905"/>
    <w:rsid w:val="00B53C9C"/>
    <w:rsid w:val="00B53DD7"/>
    <w:rsid w:val="00B54051"/>
    <w:rsid w:val="00B546DB"/>
    <w:rsid w:val="00B54958"/>
    <w:rsid w:val="00B54B5B"/>
    <w:rsid w:val="00B54CDB"/>
    <w:rsid w:val="00B54DEE"/>
    <w:rsid w:val="00B54F86"/>
    <w:rsid w:val="00B5562E"/>
    <w:rsid w:val="00B55862"/>
    <w:rsid w:val="00B55D65"/>
    <w:rsid w:val="00B5617D"/>
    <w:rsid w:val="00B56305"/>
    <w:rsid w:val="00B57000"/>
    <w:rsid w:val="00B6080C"/>
    <w:rsid w:val="00B60939"/>
    <w:rsid w:val="00B60AFD"/>
    <w:rsid w:val="00B61E91"/>
    <w:rsid w:val="00B62119"/>
    <w:rsid w:val="00B62715"/>
    <w:rsid w:val="00B633C9"/>
    <w:rsid w:val="00B636D5"/>
    <w:rsid w:val="00B639DE"/>
    <w:rsid w:val="00B655B9"/>
    <w:rsid w:val="00B65611"/>
    <w:rsid w:val="00B6607A"/>
    <w:rsid w:val="00B67836"/>
    <w:rsid w:val="00B67BB9"/>
    <w:rsid w:val="00B67E75"/>
    <w:rsid w:val="00B701FE"/>
    <w:rsid w:val="00B708CB"/>
    <w:rsid w:val="00B70E8E"/>
    <w:rsid w:val="00B71339"/>
    <w:rsid w:val="00B72D60"/>
    <w:rsid w:val="00B74E64"/>
    <w:rsid w:val="00B75690"/>
    <w:rsid w:val="00B7669A"/>
    <w:rsid w:val="00B76C92"/>
    <w:rsid w:val="00B775C2"/>
    <w:rsid w:val="00B778D7"/>
    <w:rsid w:val="00B800CC"/>
    <w:rsid w:val="00B8089E"/>
    <w:rsid w:val="00B80EFD"/>
    <w:rsid w:val="00B81206"/>
    <w:rsid w:val="00B818A4"/>
    <w:rsid w:val="00B81C42"/>
    <w:rsid w:val="00B81EE0"/>
    <w:rsid w:val="00B82A92"/>
    <w:rsid w:val="00B82B1C"/>
    <w:rsid w:val="00B83275"/>
    <w:rsid w:val="00B83739"/>
    <w:rsid w:val="00B83828"/>
    <w:rsid w:val="00B84117"/>
    <w:rsid w:val="00B84F56"/>
    <w:rsid w:val="00B858F0"/>
    <w:rsid w:val="00B85AA2"/>
    <w:rsid w:val="00B85AD4"/>
    <w:rsid w:val="00B8649C"/>
    <w:rsid w:val="00B8695D"/>
    <w:rsid w:val="00B86B7D"/>
    <w:rsid w:val="00B86D96"/>
    <w:rsid w:val="00B8754F"/>
    <w:rsid w:val="00B87ACD"/>
    <w:rsid w:val="00B87F0A"/>
    <w:rsid w:val="00B90588"/>
    <w:rsid w:val="00B91B94"/>
    <w:rsid w:val="00B925AC"/>
    <w:rsid w:val="00B92A96"/>
    <w:rsid w:val="00B92D0B"/>
    <w:rsid w:val="00B938E6"/>
    <w:rsid w:val="00B941D0"/>
    <w:rsid w:val="00B94945"/>
    <w:rsid w:val="00B94DD6"/>
    <w:rsid w:val="00B94F00"/>
    <w:rsid w:val="00B96068"/>
    <w:rsid w:val="00B96A14"/>
    <w:rsid w:val="00BA29C1"/>
    <w:rsid w:val="00BA322D"/>
    <w:rsid w:val="00BA63FA"/>
    <w:rsid w:val="00BA6917"/>
    <w:rsid w:val="00BA6B24"/>
    <w:rsid w:val="00BA6E43"/>
    <w:rsid w:val="00BA6E5B"/>
    <w:rsid w:val="00BA6F0D"/>
    <w:rsid w:val="00BA727E"/>
    <w:rsid w:val="00BA7ADF"/>
    <w:rsid w:val="00BB0022"/>
    <w:rsid w:val="00BB00B3"/>
    <w:rsid w:val="00BB0BDD"/>
    <w:rsid w:val="00BB176C"/>
    <w:rsid w:val="00BB23B0"/>
    <w:rsid w:val="00BB26ED"/>
    <w:rsid w:val="00BB2A73"/>
    <w:rsid w:val="00BB3072"/>
    <w:rsid w:val="00BB3A45"/>
    <w:rsid w:val="00BB3FA5"/>
    <w:rsid w:val="00BB4ACC"/>
    <w:rsid w:val="00BB4B73"/>
    <w:rsid w:val="00BB4B82"/>
    <w:rsid w:val="00BB55AF"/>
    <w:rsid w:val="00BB677D"/>
    <w:rsid w:val="00BB703E"/>
    <w:rsid w:val="00BB732D"/>
    <w:rsid w:val="00BB73B3"/>
    <w:rsid w:val="00BB7405"/>
    <w:rsid w:val="00BB7D46"/>
    <w:rsid w:val="00BB7F40"/>
    <w:rsid w:val="00BC0647"/>
    <w:rsid w:val="00BC0D99"/>
    <w:rsid w:val="00BC2A9C"/>
    <w:rsid w:val="00BC3631"/>
    <w:rsid w:val="00BC523A"/>
    <w:rsid w:val="00BC591F"/>
    <w:rsid w:val="00BC5D60"/>
    <w:rsid w:val="00BC5E12"/>
    <w:rsid w:val="00BC60AB"/>
    <w:rsid w:val="00BC619F"/>
    <w:rsid w:val="00BC6D15"/>
    <w:rsid w:val="00BC70D2"/>
    <w:rsid w:val="00BC76C5"/>
    <w:rsid w:val="00BC7A99"/>
    <w:rsid w:val="00BC7D6D"/>
    <w:rsid w:val="00BC7F5B"/>
    <w:rsid w:val="00BD061E"/>
    <w:rsid w:val="00BD0748"/>
    <w:rsid w:val="00BD0C67"/>
    <w:rsid w:val="00BD1E4F"/>
    <w:rsid w:val="00BD2108"/>
    <w:rsid w:val="00BD22B1"/>
    <w:rsid w:val="00BD314F"/>
    <w:rsid w:val="00BD361B"/>
    <w:rsid w:val="00BD3629"/>
    <w:rsid w:val="00BD3837"/>
    <w:rsid w:val="00BD3F2C"/>
    <w:rsid w:val="00BD3F40"/>
    <w:rsid w:val="00BD45FF"/>
    <w:rsid w:val="00BD49B4"/>
    <w:rsid w:val="00BD4DB3"/>
    <w:rsid w:val="00BD50B9"/>
    <w:rsid w:val="00BD5B06"/>
    <w:rsid w:val="00BD5F42"/>
    <w:rsid w:val="00BD68A3"/>
    <w:rsid w:val="00BD6938"/>
    <w:rsid w:val="00BD6CF3"/>
    <w:rsid w:val="00BD7066"/>
    <w:rsid w:val="00BD7193"/>
    <w:rsid w:val="00BD782E"/>
    <w:rsid w:val="00BD7E41"/>
    <w:rsid w:val="00BD7F72"/>
    <w:rsid w:val="00BE03A1"/>
    <w:rsid w:val="00BE042A"/>
    <w:rsid w:val="00BE0ECA"/>
    <w:rsid w:val="00BE1BEE"/>
    <w:rsid w:val="00BE1DC0"/>
    <w:rsid w:val="00BE2180"/>
    <w:rsid w:val="00BE21F2"/>
    <w:rsid w:val="00BE36CC"/>
    <w:rsid w:val="00BE3AA9"/>
    <w:rsid w:val="00BE3BE8"/>
    <w:rsid w:val="00BE4275"/>
    <w:rsid w:val="00BE4E4B"/>
    <w:rsid w:val="00BE521C"/>
    <w:rsid w:val="00BE556B"/>
    <w:rsid w:val="00BE6CBD"/>
    <w:rsid w:val="00BE7A5E"/>
    <w:rsid w:val="00BE7B7B"/>
    <w:rsid w:val="00BE7D35"/>
    <w:rsid w:val="00BF06AE"/>
    <w:rsid w:val="00BF0F95"/>
    <w:rsid w:val="00BF1436"/>
    <w:rsid w:val="00BF17CF"/>
    <w:rsid w:val="00BF22D5"/>
    <w:rsid w:val="00BF2433"/>
    <w:rsid w:val="00BF2A07"/>
    <w:rsid w:val="00BF2E6E"/>
    <w:rsid w:val="00BF3155"/>
    <w:rsid w:val="00BF4B6E"/>
    <w:rsid w:val="00BF61C9"/>
    <w:rsid w:val="00BF68FC"/>
    <w:rsid w:val="00BF6C94"/>
    <w:rsid w:val="00BF729A"/>
    <w:rsid w:val="00BF73BD"/>
    <w:rsid w:val="00BF7E02"/>
    <w:rsid w:val="00C001F5"/>
    <w:rsid w:val="00C00424"/>
    <w:rsid w:val="00C00635"/>
    <w:rsid w:val="00C00BB0"/>
    <w:rsid w:val="00C024B9"/>
    <w:rsid w:val="00C036C5"/>
    <w:rsid w:val="00C045E2"/>
    <w:rsid w:val="00C04C7B"/>
    <w:rsid w:val="00C056AF"/>
    <w:rsid w:val="00C05B1C"/>
    <w:rsid w:val="00C05D2B"/>
    <w:rsid w:val="00C076D3"/>
    <w:rsid w:val="00C1179F"/>
    <w:rsid w:val="00C127B9"/>
    <w:rsid w:val="00C128FA"/>
    <w:rsid w:val="00C12C14"/>
    <w:rsid w:val="00C12E22"/>
    <w:rsid w:val="00C14292"/>
    <w:rsid w:val="00C1583B"/>
    <w:rsid w:val="00C15A4B"/>
    <w:rsid w:val="00C15F04"/>
    <w:rsid w:val="00C16184"/>
    <w:rsid w:val="00C1765B"/>
    <w:rsid w:val="00C177A5"/>
    <w:rsid w:val="00C179B3"/>
    <w:rsid w:val="00C17AB3"/>
    <w:rsid w:val="00C17DDB"/>
    <w:rsid w:val="00C17E3F"/>
    <w:rsid w:val="00C200AA"/>
    <w:rsid w:val="00C22348"/>
    <w:rsid w:val="00C2257E"/>
    <w:rsid w:val="00C225D2"/>
    <w:rsid w:val="00C237ED"/>
    <w:rsid w:val="00C23F9D"/>
    <w:rsid w:val="00C240EC"/>
    <w:rsid w:val="00C2436F"/>
    <w:rsid w:val="00C24632"/>
    <w:rsid w:val="00C248B0"/>
    <w:rsid w:val="00C24A50"/>
    <w:rsid w:val="00C25418"/>
    <w:rsid w:val="00C25D9C"/>
    <w:rsid w:val="00C2657B"/>
    <w:rsid w:val="00C2778B"/>
    <w:rsid w:val="00C27848"/>
    <w:rsid w:val="00C27D12"/>
    <w:rsid w:val="00C30F93"/>
    <w:rsid w:val="00C31599"/>
    <w:rsid w:val="00C31649"/>
    <w:rsid w:val="00C323E0"/>
    <w:rsid w:val="00C325C8"/>
    <w:rsid w:val="00C326E8"/>
    <w:rsid w:val="00C332D6"/>
    <w:rsid w:val="00C3434C"/>
    <w:rsid w:val="00C3448F"/>
    <w:rsid w:val="00C344CE"/>
    <w:rsid w:val="00C353D6"/>
    <w:rsid w:val="00C35715"/>
    <w:rsid w:val="00C35847"/>
    <w:rsid w:val="00C3740F"/>
    <w:rsid w:val="00C3775E"/>
    <w:rsid w:val="00C37B82"/>
    <w:rsid w:val="00C37CC1"/>
    <w:rsid w:val="00C37EA8"/>
    <w:rsid w:val="00C40024"/>
    <w:rsid w:val="00C40385"/>
    <w:rsid w:val="00C41025"/>
    <w:rsid w:val="00C41768"/>
    <w:rsid w:val="00C41F01"/>
    <w:rsid w:val="00C42362"/>
    <w:rsid w:val="00C4379B"/>
    <w:rsid w:val="00C440B3"/>
    <w:rsid w:val="00C445DF"/>
    <w:rsid w:val="00C4522E"/>
    <w:rsid w:val="00C4561B"/>
    <w:rsid w:val="00C475AA"/>
    <w:rsid w:val="00C47639"/>
    <w:rsid w:val="00C47BF7"/>
    <w:rsid w:val="00C47C73"/>
    <w:rsid w:val="00C501AE"/>
    <w:rsid w:val="00C506C9"/>
    <w:rsid w:val="00C51166"/>
    <w:rsid w:val="00C527C7"/>
    <w:rsid w:val="00C532C6"/>
    <w:rsid w:val="00C53C98"/>
    <w:rsid w:val="00C53CB4"/>
    <w:rsid w:val="00C53CFB"/>
    <w:rsid w:val="00C54FEC"/>
    <w:rsid w:val="00C56FCF"/>
    <w:rsid w:val="00C572F6"/>
    <w:rsid w:val="00C574C1"/>
    <w:rsid w:val="00C574D6"/>
    <w:rsid w:val="00C57B6C"/>
    <w:rsid w:val="00C57CD8"/>
    <w:rsid w:val="00C57D74"/>
    <w:rsid w:val="00C60351"/>
    <w:rsid w:val="00C616B4"/>
    <w:rsid w:val="00C61A59"/>
    <w:rsid w:val="00C6238D"/>
    <w:rsid w:val="00C62541"/>
    <w:rsid w:val="00C628A6"/>
    <w:rsid w:val="00C62D71"/>
    <w:rsid w:val="00C64344"/>
    <w:rsid w:val="00C65108"/>
    <w:rsid w:val="00C653B9"/>
    <w:rsid w:val="00C65489"/>
    <w:rsid w:val="00C65576"/>
    <w:rsid w:val="00C66165"/>
    <w:rsid w:val="00C66917"/>
    <w:rsid w:val="00C679A6"/>
    <w:rsid w:val="00C7060A"/>
    <w:rsid w:val="00C7089B"/>
    <w:rsid w:val="00C70B58"/>
    <w:rsid w:val="00C70BA9"/>
    <w:rsid w:val="00C7151A"/>
    <w:rsid w:val="00C7169D"/>
    <w:rsid w:val="00C717E3"/>
    <w:rsid w:val="00C71C87"/>
    <w:rsid w:val="00C71F60"/>
    <w:rsid w:val="00C72241"/>
    <w:rsid w:val="00C74E8A"/>
    <w:rsid w:val="00C750C8"/>
    <w:rsid w:val="00C7560F"/>
    <w:rsid w:val="00C77579"/>
    <w:rsid w:val="00C80625"/>
    <w:rsid w:val="00C80A0E"/>
    <w:rsid w:val="00C81F02"/>
    <w:rsid w:val="00C8213F"/>
    <w:rsid w:val="00C82709"/>
    <w:rsid w:val="00C8303F"/>
    <w:rsid w:val="00C835B2"/>
    <w:rsid w:val="00C84A7E"/>
    <w:rsid w:val="00C85154"/>
    <w:rsid w:val="00C8576B"/>
    <w:rsid w:val="00C85A70"/>
    <w:rsid w:val="00C86A67"/>
    <w:rsid w:val="00C86F59"/>
    <w:rsid w:val="00C87789"/>
    <w:rsid w:val="00C878A0"/>
    <w:rsid w:val="00C8797A"/>
    <w:rsid w:val="00C90059"/>
    <w:rsid w:val="00C900B8"/>
    <w:rsid w:val="00C90176"/>
    <w:rsid w:val="00C90197"/>
    <w:rsid w:val="00C90379"/>
    <w:rsid w:val="00C90C71"/>
    <w:rsid w:val="00C90F65"/>
    <w:rsid w:val="00C91816"/>
    <w:rsid w:val="00C91FD1"/>
    <w:rsid w:val="00C92291"/>
    <w:rsid w:val="00C92B8D"/>
    <w:rsid w:val="00C931CF"/>
    <w:rsid w:val="00C93697"/>
    <w:rsid w:val="00C938CF"/>
    <w:rsid w:val="00C94053"/>
    <w:rsid w:val="00C94545"/>
    <w:rsid w:val="00C9624D"/>
    <w:rsid w:val="00C969DA"/>
    <w:rsid w:val="00C97118"/>
    <w:rsid w:val="00C975E5"/>
    <w:rsid w:val="00CA0703"/>
    <w:rsid w:val="00CA1723"/>
    <w:rsid w:val="00CA1AD9"/>
    <w:rsid w:val="00CA20C9"/>
    <w:rsid w:val="00CA269E"/>
    <w:rsid w:val="00CA2801"/>
    <w:rsid w:val="00CA2C77"/>
    <w:rsid w:val="00CA2D41"/>
    <w:rsid w:val="00CA2E7E"/>
    <w:rsid w:val="00CA2EFE"/>
    <w:rsid w:val="00CA2FC0"/>
    <w:rsid w:val="00CA33CD"/>
    <w:rsid w:val="00CA444F"/>
    <w:rsid w:val="00CA4F76"/>
    <w:rsid w:val="00CA50E8"/>
    <w:rsid w:val="00CA5245"/>
    <w:rsid w:val="00CA5E5C"/>
    <w:rsid w:val="00CA6BDD"/>
    <w:rsid w:val="00CA71F4"/>
    <w:rsid w:val="00CA73D4"/>
    <w:rsid w:val="00CA7B09"/>
    <w:rsid w:val="00CB067A"/>
    <w:rsid w:val="00CB0AD4"/>
    <w:rsid w:val="00CB12A5"/>
    <w:rsid w:val="00CB1C27"/>
    <w:rsid w:val="00CB1CAC"/>
    <w:rsid w:val="00CB1FF5"/>
    <w:rsid w:val="00CB2F2A"/>
    <w:rsid w:val="00CB3F6E"/>
    <w:rsid w:val="00CB4A27"/>
    <w:rsid w:val="00CB5B1A"/>
    <w:rsid w:val="00CB6B22"/>
    <w:rsid w:val="00CB72C6"/>
    <w:rsid w:val="00CB7F5F"/>
    <w:rsid w:val="00CC0F83"/>
    <w:rsid w:val="00CC1B39"/>
    <w:rsid w:val="00CC1BFA"/>
    <w:rsid w:val="00CC21E6"/>
    <w:rsid w:val="00CC28FD"/>
    <w:rsid w:val="00CC2E9F"/>
    <w:rsid w:val="00CC35EA"/>
    <w:rsid w:val="00CC3848"/>
    <w:rsid w:val="00CC38F3"/>
    <w:rsid w:val="00CC4AEB"/>
    <w:rsid w:val="00CC4D73"/>
    <w:rsid w:val="00CC58D4"/>
    <w:rsid w:val="00CC5B2C"/>
    <w:rsid w:val="00CC5BBC"/>
    <w:rsid w:val="00CC6A8B"/>
    <w:rsid w:val="00CC6B3A"/>
    <w:rsid w:val="00CC6D5E"/>
    <w:rsid w:val="00CD0200"/>
    <w:rsid w:val="00CD0D8A"/>
    <w:rsid w:val="00CD0E60"/>
    <w:rsid w:val="00CD0EF5"/>
    <w:rsid w:val="00CD14FE"/>
    <w:rsid w:val="00CD154A"/>
    <w:rsid w:val="00CD2E0A"/>
    <w:rsid w:val="00CD357F"/>
    <w:rsid w:val="00CD3F77"/>
    <w:rsid w:val="00CD3FDD"/>
    <w:rsid w:val="00CD58A7"/>
    <w:rsid w:val="00CD609D"/>
    <w:rsid w:val="00CD6303"/>
    <w:rsid w:val="00CD6885"/>
    <w:rsid w:val="00CD6ADC"/>
    <w:rsid w:val="00CD7193"/>
    <w:rsid w:val="00CD7373"/>
    <w:rsid w:val="00CE03EC"/>
    <w:rsid w:val="00CE04B6"/>
    <w:rsid w:val="00CE05E7"/>
    <w:rsid w:val="00CE12F4"/>
    <w:rsid w:val="00CE24B2"/>
    <w:rsid w:val="00CE38C8"/>
    <w:rsid w:val="00CE41EB"/>
    <w:rsid w:val="00CE46DE"/>
    <w:rsid w:val="00CE5083"/>
    <w:rsid w:val="00CE524F"/>
    <w:rsid w:val="00CE57E9"/>
    <w:rsid w:val="00CE58CC"/>
    <w:rsid w:val="00CE6274"/>
    <w:rsid w:val="00CE6DA3"/>
    <w:rsid w:val="00CE77B6"/>
    <w:rsid w:val="00CF1037"/>
    <w:rsid w:val="00CF1247"/>
    <w:rsid w:val="00CF1731"/>
    <w:rsid w:val="00CF1877"/>
    <w:rsid w:val="00CF1BE6"/>
    <w:rsid w:val="00CF2994"/>
    <w:rsid w:val="00CF29DA"/>
    <w:rsid w:val="00CF2ABD"/>
    <w:rsid w:val="00CF2B8D"/>
    <w:rsid w:val="00CF2E2B"/>
    <w:rsid w:val="00CF3A1B"/>
    <w:rsid w:val="00CF3FB7"/>
    <w:rsid w:val="00CF456B"/>
    <w:rsid w:val="00CF4D33"/>
    <w:rsid w:val="00CF591A"/>
    <w:rsid w:val="00CF5A22"/>
    <w:rsid w:val="00CF6630"/>
    <w:rsid w:val="00CF6BB4"/>
    <w:rsid w:val="00D011A1"/>
    <w:rsid w:val="00D0262E"/>
    <w:rsid w:val="00D02959"/>
    <w:rsid w:val="00D03484"/>
    <w:rsid w:val="00D0354A"/>
    <w:rsid w:val="00D03679"/>
    <w:rsid w:val="00D03B7D"/>
    <w:rsid w:val="00D03F70"/>
    <w:rsid w:val="00D03F7D"/>
    <w:rsid w:val="00D05E3D"/>
    <w:rsid w:val="00D06011"/>
    <w:rsid w:val="00D06139"/>
    <w:rsid w:val="00D0620F"/>
    <w:rsid w:val="00D06512"/>
    <w:rsid w:val="00D07092"/>
    <w:rsid w:val="00D07CA7"/>
    <w:rsid w:val="00D07D3F"/>
    <w:rsid w:val="00D10707"/>
    <w:rsid w:val="00D110BD"/>
    <w:rsid w:val="00D111D4"/>
    <w:rsid w:val="00D11E98"/>
    <w:rsid w:val="00D132CE"/>
    <w:rsid w:val="00D13675"/>
    <w:rsid w:val="00D141E1"/>
    <w:rsid w:val="00D143CF"/>
    <w:rsid w:val="00D14AC0"/>
    <w:rsid w:val="00D15314"/>
    <w:rsid w:val="00D15B48"/>
    <w:rsid w:val="00D15CCA"/>
    <w:rsid w:val="00D1672F"/>
    <w:rsid w:val="00D17436"/>
    <w:rsid w:val="00D17C63"/>
    <w:rsid w:val="00D17D6C"/>
    <w:rsid w:val="00D17E94"/>
    <w:rsid w:val="00D2155B"/>
    <w:rsid w:val="00D226D9"/>
    <w:rsid w:val="00D22DBB"/>
    <w:rsid w:val="00D2315E"/>
    <w:rsid w:val="00D23D11"/>
    <w:rsid w:val="00D244B6"/>
    <w:rsid w:val="00D24B8C"/>
    <w:rsid w:val="00D2599E"/>
    <w:rsid w:val="00D266D2"/>
    <w:rsid w:val="00D2754D"/>
    <w:rsid w:val="00D27B27"/>
    <w:rsid w:val="00D309FB"/>
    <w:rsid w:val="00D30D5B"/>
    <w:rsid w:val="00D31C9D"/>
    <w:rsid w:val="00D32811"/>
    <w:rsid w:val="00D33BE9"/>
    <w:rsid w:val="00D33F93"/>
    <w:rsid w:val="00D34291"/>
    <w:rsid w:val="00D34DC3"/>
    <w:rsid w:val="00D357FF"/>
    <w:rsid w:val="00D364FA"/>
    <w:rsid w:val="00D37CB4"/>
    <w:rsid w:val="00D420D4"/>
    <w:rsid w:val="00D424C7"/>
    <w:rsid w:val="00D4385A"/>
    <w:rsid w:val="00D43B2A"/>
    <w:rsid w:val="00D43CF1"/>
    <w:rsid w:val="00D43D83"/>
    <w:rsid w:val="00D43E73"/>
    <w:rsid w:val="00D43E87"/>
    <w:rsid w:val="00D444CF"/>
    <w:rsid w:val="00D4516D"/>
    <w:rsid w:val="00D455BA"/>
    <w:rsid w:val="00D4661E"/>
    <w:rsid w:val="00D46C15"/>
    <w:rsid w:val="00D47575"/>
    <w:rsid w:val="00D47974"/>
    <w:rsid w:val="00D51412"/>
    <w:rsid w:val="00D5243B"/>
    <w:rsid w:val="00D533EC"/>
    <w:rsid w:val="00D53B2B"/>
    <w:rsid w:val="00D54448"/>
    <w:rsid w:val="00D550F2"/>
    <w:rsid w:val="00D55AA0"/>
    <w:rsid w:val="00D564F1"/>
    <w:rsid w:val="00D56A95"/>
    <w:rsid w:val="00D60416"/>
    <w:rsid w:val="00D606F4"/>
    <w:rsid w:val="00D6076E"/>
    <w:rsid w:val="00D6123D"/>
    <w:rsid w:val="00D61411"/>
    <w:rsid w:val="00D617CA"/>
    <w:rsid w:val="00D61EAA"/>
    <w:rsid w:val="00D61FB6"/>
    <w:rsid w:val="00D62121"/>
    <w:rsid w:val="00D6229A"/>
    <w:rsid w:val="00D626C2"/>
    <w:rsid w:val="00D63328"/>
    <w:rsid w:val="00D64446"/>
    <w:rsid w:val="00D646C3"/>
    <w:rsid w:val="00D6486C"/>
    <w:rsid w:val="00D64E91"/>
    <w:rsid w:val="00D670F3"/>
    <w:rsid w:val="00D704E9"/>
    <w:rsid w:val="00D70F16"/>
    <w:rsid w:val="00D718ED"/>
    <w:rsid w:val="00D72617"/>
    <w:rsid w:val="00D72F57"/>
    <w:rsid w:val="00D73A47"/>
    <w:rsid w:val="00D74DC2"/>
    <w:rsid w:val="00D752A7"/>
    <w:rsid w:val="00D75796"/>
    <w:rsid w:val="00D758DC"/>
    <w:rsid w:val="00D76A44"/>
    <w:rsid w:val="00D77B47"/>
    <w:rsid w:val="00D810F2"/>
    <w:rsid w:val="00D81475"/>
    <w:rsid w:val="00D815EF"/>
    <w:rsid w:val="00D81949"/>
    <w:rsid w:val="00D819DC"/>
    <w:rsid w:val="00D81F26"/>
    <w:rsid w:val="00D822E2"/>
    <w:rsid w:val="00D825A0"/>
    <w:rsid w:val="00D826ED"/>
    <w:rsid w:val="00D82866"/>
    <w:rsid w:val="00D835E0"/>
    <w:rsid w:val="00D83A32"/>
    <w:rsid w:val="00D8433E"/>
    <w:rsid w:val="00D843F2"/>
    <w:rsid w:val="00D849AE"/>
    <w:rsid w:val="00D85849"/>
    <w:rsid w:val="00D86190"/>
    <w:rsid w:val="00D86231"/>
    <w:rsid w:val="00D8780E"/>
    <w:rsid w:val="00D879E6"/>
    <w:rsid w:val="00D906CB"/>
    <w:rsid w:val="00D912AB"/>
    <w:rsid w:val="00D91923"/>
    <w:rsid w:val="00D92198"/>
    <w:rsid w:val="00D92218"/>
    <w:rsid w:val="00D92D9D"/>
    <w:rsid w:val="00D93753"/>
    <w:rsid w:val="00D952D1"/>
    <w:rsid w:val="00D9615D"/>
    <w:rsid w:val="00D96915"/>
    <w:rsid w:val="00D977B4"/>
    <w:rsid w:val="00D977BE"/>
    <w:rsid w:val="00DA112E"/>
    <w:rsid w:val="00DA117B"/>
    <w:rsid w:val="00DA1475"/>
    <w:rsid w:val="00DA2688"/>
    <w:rsid w:val="00DA2998"/>
    <w:rsid w:val="00DA3167"/>
    <w:rsid w:val="00DA3763"/>
    <w:rsid w:val="00DA4161"/>
    <w:rsid w:val="00DA4615"/>
    <w:rsid w:val="00DA473E"/>
    <w:rsid w:val="00DA4B97"/>
    <w:rsid w:val="00DA4DC3"/>
    <w:rsid w:val="00DA56E6"/>
    <w:rsid w:val="00DA5825"/>
    <w:rsid w:val="00DA632B"/>
    <w:rsid w:val="00DA664F"/>
    <w:rsid w:val="00DA67B1"/>
    <w:rsid w:val="00DA766A"/>
    <w:rsid w:val="00DA77A5"/>
    <w:rsid w:val="00DA79EC"/>
    <w:rsid w:val="00DA7B13"/>
    <w:rsid w:val="00DB06BA"/>
    <w:rsid w:val="00DB0E36"/>
    <w:rsid w:val="00DB0E78"/>
    <w:rsid w:val="00DB1501"/>
    <w:rsid w:val="00DB1A53"/>
    <w:rsid w:val="00DB1AB4"/>
    <w:rsid w:val="00DB2723"/>
    <w:rsid w:val="00DB3144"/>
    <w:rsid w:val="00DB35F2"/>
    <w:rsid w:val="00DB3DBF"/>
    <w:rsid w:val="00DB484F"/>
    <w:rsid w:val="00DB5B93"/>
    <w:rsid w:val="00DB678E"/>
    <w:rsid w:val="00DB6AEA"/>
    <w:rsid w:val="00DB7743"/>
    <w:rsid w:val="00DB7C7C"/>
    <w:rsid w:val="00DC04F6"/>
    <w:rsid w:val="00DC0690"/>
    <w:rsid w:val="00DC09D3"/>
    <w:rsid w:val="00DC1D65"/>
    <w:rsid w:val="00DC3716"/>
    <w:rsid w:val="00DC3780"/>
    <w:rsid w:val="00DC3C57"/>
    <w:rsid w:val="00DC3E54"/>
    <w:rsid w:val="00DC4073"/>
    <w:rsid w:val="00DC5501"/>
    <w:rsid w:val="00DC5DE4"/>
    <w:rsid w:val="00DC7154"/>
    <w:rsid w:val="00DC75FA"/>
    <w:rsid w:val="00DC7E8A"/>
    <w:rsid w:val="00DD0C04"/>
    <w:rsid w:val="00DD0F78"/>
    <w:rsid w:val="00DD174A"/>
    <w:rsid w:val="00DD1DDC"/>
    <w:rsid w:val="00DD26A1"/>
    <w:rsid w:val="00DD273C"/>
    <w:rsid w:val="00DD2C3F"/>
    <w:rsid w:val="00DD3600"/>
    <w:rsid w:val="00DD3F28"/>
    <w:rsid w:val="00DD3F3F"/>
    <w:rsid w:val="00DD4446"/>
    <w:rsid w:val="00DD4537"/>
    <w:rsid w:val="00DD459D"/>
    <w:rsid w:val="00DD4E15"/>
    <w:rsid w:val="00DD50B7"/>
    <w:rsid w:val="00DD5C7A"/>
    <w:rsid w:val="00DD64B3"/>
    <w:rsid w:val="00DD69D3"/>
    <w:rsid w:val="00DD6F4D"/>
    <w:rsid w:val="00DD75CA"/>
    <w:rsid w:val="00DE0A9A"/>
    <w:rsid w:val="00DE1383"/>
    <w:rsid w:val="00DE2304"/>
    <w:rsid w:val="00DE234D"/>
    <w:rsid w:val="00DE2584"/>
    <w:rsid w:val="00DE296F"/>
    <w:rsid w:val="00DE3138"/>
    <w:rsid w:val="00DE37F8"/>
    <w:rsid w:val="00DE3EAF"/>
    <w:rsid w:val="00DE4273"/>
    <w:rsid w:val="00DE48EC"/>
    <w:rsid w:val="00DE4FCB"/>
    <w:rsid w:val="00DE5D07"/>
    <w:rsid w:val="00DE6EF1"/>
    <w:rsid w:val="00DE701C"/>
    <w:rsid w:val="00DE72A7"/>
    <w:rsid w:val="00DE7832"/>
    <w:rsid w:val="00DE7E64"/>
    <w:rsid w:val="00DF0715"/>
    <w:rsid w:val="00DF09C5"/>
    <w:rsid w:val="00DF09F4"/>
    <w:rsid w:val="00DF0F54"/>
    <w:rsid w:val="00DF18FC"/>
    <w:rsid w:val="00DF27B5"/>
    <w:rsid w:val="00DF2EE0"/>
    <w:rsid w:val="00DF3603"/>
    <w:rsid w:val="00DF4CEB"/>
    <w:rsid w:val="00DF5691"/>
    <w:rsid w:val="00DF5D2B"/>
    <w:rsid w:val="00DF61F4"/>
    <w:rsid w:val="00DF6341"/>
    <w:rsid w:val="00DF6368"/>
    <w:rsid w:val="00DF6F4F"/>
    <w:rsid w:val="00DF747F"/>
    <w:rsid w:val="00DF7D99"/>
    <w:rsid w:val="00E009F9"/>
    <w:rsid w:val="00E00E8E"/>
    <w:rsid w:val="00E014FB"/>
    <w:rsid w:val="00E02534"/>
    <w:rsid w:val="00E02BA7"/>
    <w:rsid w:val="00E03175"/>
    <w:rsid w:val="00E03C14"/>
    <w:rsid w:val="00E053DD"/>
    <w:rsid w:val="00E05630"/>
    <w:rsid w:val="00E0589D"/>
    <w:rsid w:val="00E0590D"/>
    <w:rsid w:val="00E05964"/>
    <w:rsid w:val="00E066F8"/>
    <w:rsid w:val="00E06DBB"/>
    <w:rsid w:val="00E07437"/>
    <w:rsid w:val="00E0762A"/>
    <w:rsid w:val="00E0789E"/>
    <w:rsid w:val="00E07DF6"/>
    <w:rsid w:val="00E10030"/>
    <w:rsid w:val="00E10149"/>
    <w:rsid w:val="00E103EA"/>
    <w:rsid w:val="00E10AEE"/>
    <w:rsid w:val="00E10C8D"/>
    <w:rsid w:val="00E11340"/>
    <w:rsid w:val="00E11D4B"/>
    <w:rsid w:val="00E11E64"/>
    <w:rsid w:val="00E122A1"/>
    <w:rsid w:val="00E1240D"/>
    <w:rsid w:val="00E136E4"/>
    <w:rsid w:val="00E15945"/>
    <w:rsid w:val="00E16372"/>
    <w:rsid w:val="00E16AD8"/>
    <w:rsid w:val="00E16FDC"/>
    <w:rsid w:val="00E17FFA"/>
    <w:rsid w:val="00E2011C"/>
    <w:rsid w:val="00E20AC4"/>
    <w:rsid w:val="00E20E4D"/>
    <w:rsid w:val="00E20ED6"/>
    <w:rsid w:val="00E20F3F"/>
    <w:rsid w:val="00E212FB"/>
    <w:rsid w:val="00E21358"/>
    <w:rsid w:val="00E2249B"/>
    <w:rsid w:val="00E22A0D"/>
    <w:rsid w:val="00E23661"/>
    <w:rsid w:val="00E244F6"/>
    <w:rsid w:val="00E258DB"/>
    <w:rsid w:val="00E25F8B"/>
    <w:rsid w:val="00E2771E"/>
    <w:rsid w:val="00E27BB3"/>
    <w:rsid w:val="00E27EF2"/>
    <w:rsid w:val="00E30D0A"/>
    <w:rsid w:val="00E30D97"/>
    <w:rsid w:val="00E311EF"/>
    <w:rsid w:val="00E312BA"/>
    <w:rsid w:val="00E312FB"/>
    <w:rsid w:val="00E3198B"/>
    <w:rsid w:val="00E32180"/>
    <w:rsid w:val="00E34948"/>
    <w:rsid w:val="00E351B6"/>
    <w:rsid w:val="00E352A5"/>
    <w:rsid w:val="00E35BD6"/>
    <w:rsid w:val="00E35D05"/>
    <w:rsid w:val="00E36014"/>
    <w:rsid w:val="00E361F3"/>
    <w:rsid w:val="00E36242"/>
    <w:rsid w:val="00E37569"/>
    <w:rsid w:val="00E401B2"/>
    <w:rsid w:val="00E40B4D"/>
    <w:rsid w:val="00E41E30"/>
    <w:rsid w:val="00E42035"/>
    <w:rsid w:val="00E4203D"/>
    <w:rsid w:val="00E42AAA"/>
    <w:rsid w:val="00E42F73"/>
    <w:rsid w:val="00E43201"/>
    <w:rsid w:val="00E4339F"/>
    <w:rsid w:val="00E43D70"/>
    <w:rsid w:val="00E43EC9"/>
    <w:rsid w:val="00E44181"/>
    <w:rsid w:val="00E44502"/>
    <w:rsid w:val="00E44AA6"/>
    <w:rsid w:val="00E45B91"/>
    <w:rsid w:val="00E466F3"/>
    <w:rsid w:val="00E4679C"/>
    <w:rsid w:val="00E46984"/>
    <w:rsid w:val="00E46F70"/>
    <w:rsid w:val="00E476E1"/>
    <w:rsid w:val="00E47B2C"/>
    <w:rsid w:val="00E47C53"/>
    <w:rsid w:val="00E50765"/>
    <w:rsid w:val="00E50C4E"/>
    <w:rsid w:val="00E510DF"/>
    <w:rsid w:val="00E51560"/>
    <w:rsid w:val="00E51581"/>
    <w:rsid w:val="00E51612"/>
    <w:rsid w:val="00E51821"/>
    <w:rsid w:val="00E51FE8"/>
    <w:rsid w:val="00E5343E"/>
    <w:rsid w:val="00E5345C"/>
    <w:rsid w:val="00E53735"/>
    <w:rsid w:val="00E53FC8"/>
    <w:rsid w:val="00E54347"/>
    <w:rsid w:val="00E55338"/>
    <w:rsid w:val="00E55424"/>
    <w:rsid w:val="00E55915"/>
    <w:rsid w:val="00E55BB5"/>
    <w:rsid w:val="00E56BED"/>
    <w:rsid w:val="00E56E70"/>
    <w:rsid w:val="00E60325"/>
    <w:rsid w:val="00E60DA7"/>
    <w:rsid w:val="00E611DF"/>
    <w:rsid w:val="00E6212F"/>
    <w:rsid w:val="00E63AE2"/>
    <w:rsid w:val="00E649B0"/>
    <w:rsid w:val="00E64E91"/>
    <w:rsid w:val="00E65651"/>
    <w:rsid w:val="00E65E79"/>
    <w:rsid w:val="00E66BA2"/>
    <w:rsid w:val="00E66BFD"/>
    <w:rsid w:val="00E66D3D"/>
    <w:rsid w:val="00E67416"/>
    <w:rsid w:val="00E718B6"/>
    <w:rsid w:val="00E723BA"/>
    <w:rsid w:val="00E72488"/>
    <w:rsid w:val="00E72B01"/>
    <w:rsid w:val="00E72BB9"/>
    <w:rsid w:val="00E72EBA"/>
    <w:rsid w:val="00E73581"/>
    <w:rsid w:val="00E7378A"/>
    <w:rsid w:val="00E7720E"/>
    <w:rsid w:val="00E778F0"/>
    <w:rsid w:val="00E77DB1"/>
    <w:rsid w:val="00E816DA"/>
    <w:rsid w:val="00E81B13"/>
    <w:rsid w:val="00E81DBB"/>
    <w:rsid w:val="00E82055"/>
    <w:rsid w:val="00E82411"/>
    <w:rsid w:val="00E82ACB"/>
    <w:rsid w:val="00E82D07"/>
    <w:rsid w:val="00E833F7"/>
    <w:rsid w:val="00E83B4D"/>
    <w:rsid w:val="00E83BDF"/>
    <w:rsid w:val="00E83DF1"/>
    <w:rsid w:val="00E84238"/>
    <w:rsid w:val="00E8441F"/>
    <w:rsid w:val="00E844BD"/>
    <w:rsid w:val="00E85348"/>
    <w:rsid w:val="00E855CA"/>
    <w:rsid w:val="00E86ED0"/>
    <w:rsid w:val="00E86FCC"/>
    <w:rsid w:val="00E875EE"/>
    <w:rsid w:val="00E87A1D"/>
    <w:rsid w:val="00E87E2A"/>
    <w:rsid w:val="00E901F0"/>
    <w:rsid w:val="00E9094A"/>
    <w:rsid w:val="00E91280"/>
    <w:rsid w:val="00E91D35"/>
    <w:rsid w:val="00E926A5"/>
    <w:rsid w:val="00E92F56"/>
    <w:rsid w:val="00E9345E"/>
    <w:rsid w:val="00E94D42"/>
    <w:rsid w:val="00E95639"/>
    <w:rsid w:val="00E962CC"/>
    <w:rsid w:val="00E96B7D"/>
    <w:rsid w:val="00E9754D"/>
    <w:rsid w:val="00E978BA"/>
    <w:rsid w:val="00EA17C3"/>
    <w:rsid w:val="00EA2730"/>
    <w:rsid w:val="00EA2CAA"/>
    <w:rsid w:val="00EA31A3"/>
    <w:rsid w:val="00EA3864"/>
    <w:rsid w:val="00EA3F27"/>
    <w:rsid w:val="00EA4A1D"/>
    <w:rsid w:val="00EA5678"/>
    <w:rsid w:val="00EA5981"/>
    <w:rsid w:val="00EA5998"/>
    <w:rsid w:val="00EA7F1C"/>
    <w:rsid w:val="00EB07B4"/>
    <w:rsid w:val="00EB0FCE"/>
    <w:rsid w:val="00EB1520"/>
    <w:rsid w:val="00EB15B6"/>
    <w:rsid w:val="00EB161A"/>
    <w:rsid w:val="00EB1BBC"/>
    <w:rsid w:val="00EB3D06"/>
    <w:rsid w:val="00EB4916"/>
    <w:rsid w:val="00EB6204"/>
    <w:rsid w:val="00EB6BFC"/>
    <w:rsid w:val="00EB6C66"/>
    <w:rsid w:val="00EC00C9"/>
    <w:rsid w:val="00EC045F"/>
    <w:rsid w:val="00EC0DD9"/>
    <w:rsid w:val="00EC1034"/>
    <w:rsid w:val="00EC1410"/>
    <w:rsid w:val="00EC14DB"/>
    <w:rsid w:val="00EC20B6"/>
    <w:rsid w:val="00EC2649"/>
    <w:rsid w:val="00EC2ADE"/>
    <w:rsid w:val="00EC31ED"/>
    <w:rsid w:val="00EC3360"/>
    <w:rsid w:val="00EC3AA9"/>
    <w:rsid w:val="00EC40CB"/>
    <w:rsid w:val="00EC526B"/>
    <w:rsid w:val="00EC5836"/>
    <w:rsid w:val="00EC6889"/>
    <w:rsid w:val="00EC688C"/>
    <w:rsid w:val="00EC6A19"/>
    <w:rsid w:val="00EC7465"/>
    <w:rsid w:val="00EC79A6"/>
    <w:rsid w:val="00EC7ECF"/>
    <w:rsid w:val="00ED052C"/>
    <w:rsid w:val="00ED07DD"/>
    <w:rsid w:val="00ED0CBB"/>
    <w:rsid w:val="00ED12E3"/>
    <w:rsid w:val="00ED188E"/>
    <w:rsid w:val="00ED2859"/>
    <w:rsid w:val="00ED2BDA"/>
    <w:rsid w:val="00ED3E59"/>
    <w:rsid w:val="00ED4B04"/>
    <w:rsid w:val="00ED57EA"/>
    <w:rsid w:val="00ED5BD4"/>
    <w:rsid w:val="00ED693C"/>
    <w:rsid w:val="00ED6A24"/>
    <w:rsid w:val="00ED6C73"/>
    <w:rsid w:val="00ED726A"/>
    <w:rsid w:val="00ED78DF"/>
    <w:rsid w:val="00EE008D"/>
    <w:rsid w:val="00EE07D3"/>
    <w:rsid w:val="00EE14A8"/>
    <w:rsid w:val="00EE14FF"/>
    <w:rsid w:val="00EE1996"/>
    <w:rsid w:val="00EE1C01"/>
    <w:rsid w:val="00EE1C30"/>
    <w:rsid w:val="00EE22AF"/>
    <w:rsid w:val="00EE25F1"/>
    <w:rsid w:val="00EE3557"/>
    <w:rsid w:val="00EE3AC7"/>
    <w:rsid w:val="00EE4176"/>
    <w:rsid w:val="00EE4218"/>
    <w:rsid w:val="00EE4247"/>
    <w:rsid w:val="00EE5735"/>
    <w:rsid w:val="00EE574C"/>
    <w:rsid w:val="00EE5AA6"/>
    <w:rsid w:val="00EE5E42"/>
    <w:rsid w:val="00EE6062"/>
    <w:rsid w:val="00EE6B52"/>
    <w:rsid w:val="00EE6F95"/>
    <w:rsid w:val="00EE7434"/>
    <w:rsid w:val="00EE7DB2"/>
    <w:rsid w:val="00EF0171"/>
    <w:rsid w:val="00EF08CA"/>
    <w:rsid w:val="00EF116A"/>
    <w:rsid w:val="00EF19C9"/>
    <w:rsid w:val="00EF1B25"/>
    <w:rsid w:val="00EF1D60"/>
    <w:rsid w:val="00EF1DA0"/>
    <w:rsid w:val="00EF2DE3"/>
    <w:rsid w:val="00EF30F0"/>
    <w:rsid w:val="00EF39C0"/>
    <w:rsid w:val="00EF423B"/>
    <w:rsid w:val="00EF4747"/>
    <w:rsid w:val="00EF4BF8"/>
    <w:rsid w:val="00EF635F"/>
    <w:rsid w:val="00EF71CE"/>
    <w:rsid w:val="00EF7518"/>
    <w:rsid w:val="00EF77F9"/>
    <w:rsid w:val="00EF78F3"/>
    <w:rsid w:val="00EF7D50"/>
    <w:rsid w:val="00EF7E4E"/>
    <w:rsid w:val="00F00870"/>
    <w:rsid w:val="00F02253"/>
    <w:rsid w:val="00F02AB0"/>
    <w:rsid w:val="00F03C2E"/>
    <w:rsid w:val="00F0416D"/>
    <w:rsid w:val="00F042B2"/>
    <w:rsid w:val="00F04A66"/>
    <w:rsid w:val="00F04B4B"/>
    <w:rsid w:val="00F0516C"/>
    <w:rsid w:val="00F051D3"/>
    <w:rsid w:val="00F065EC"/>
    <w:rsid w:val="00F067A2"/>
    <w:rsid w:val="00F068D4"/>
    <w:rsid w:val="00F07034"/>
    <w:rsid w:val="00F07B9E"/>
    <w:rsid w:val="00F1007A"/>
    <w:rsid w:val="00F1116F"/>
    <w:rsid w:val="00F11C2C"/>
    <w:rsid w:val="00F11DE4"/>
    <w:rsid w:val="00F1263A"/>
    <w:rsid w:val="00F13658"/>
    <w:rsid w:val="00F139C5"/>
    <w:rsid w:val="00F1445B"/>
    <w:rsid w:val="00F15B77"/>
    <w:rsid w:val="00F161CD"/>
    <w:rsid w:val="00F17F57"/>
    <w:rsid w:val="00F202B9"/>
    <w:rsid w:val="00F20453"/>
    <w:rsid w:val="00F2069D"/>
    <w:rsid w:val="00F21236"/>
    <w:rsid w:val="00F2151D"/>
    <w:rsid w:val="00F232DB"/>
    <w:rsid w:val="00F2346B"/>
    <w:rsid w:val="00F2361B"/>
    <w:rsid w:val="00F23891"/>
    <w:rsid w:val="00F239DF"/>
    <w:rsid w:val="00F24837"/>
    <w:rsid w:val="00F24891"/>
    <w:rsid w:val="00F2575F"/>
    <w:rsid w:val="00F265EC"/>
    <w:rsid w:val="00F271E7"/>
    <w:rsid w:val="00F27565"/>
    <w:rsid w:val="00F27F14"/>
    <w:rsid w:val="00F310D4"/>
    <w:rsid w:val="00F315A7"/>
    <w:rsid w:val="00F31D5A"/>
    <w:rsid w:val="00F31F6D"/>
    <w:rsid w:val="00F321CC"/>
    <w:rsid w:val="00F32341"/>
    <w:rsid w:val="00F32CB7"/>
    <w:rsid w:val="00F32E45"/>
    <w:rsid w:val="00F330E2"/>
    <w:rsid w:val="00F33975"/>
    <w:rsid w:val="00F33DE9"/>
    <w:rsid w:val="00F342CE"/>
    <w:rsid w:val="00F34981"/>
    <w:rsid w:val="00F35624"/>
    <w:rsid w:val="00F3574C"/>
    <w:rsid w:val="00F35E6D"/>
    <w:rsid w:val="00F35EA8"/>
    <w:rsid w:val="00F3619A"/>
    <w:rsid w:val="00F373EF"/>
    <w:rsid w:val="00F3773A"/>
    <w:rsid w:val="00F37BE3"/>
    <w:rsid w:val="00F405F9"/>
    <w:rsid w:val="00F40AAA"/>
    <w:rsid w:val="00F40BA7"/>
    <w:rsid w:val="00F40F9D"/>
    <w:rsid w:val="00F41182"/>
    <w:rsid w:val="00F41ACD"/>
    <w:rsid w:val="00F423D7"/>
    <w:rsid w:val="00F427BD"/>
    <w:rsid w:val="00F44BA8"/>
    <w:rsid w:val="00F45017"/>
    <w:rsid w:val="00F46CB6"/>
    <w:rsid w:val="00F47073"/>
    <w:rsid w:val="00F4756D"/>
    <w:rsid w:val="00F47DE8"/>
    <w:rsid w:val="00F52984"/>
    <w:rsid w:val="00F532D3"/>
    <w:rsid w:val="00F5341C"/>
    <w:rsid w:val="00F542C1"/>
    <w:rsid w:val="00F54C51"/>
    <w:rsid w:val="00F54CFC"/>
    <w:rsid w:val="00F550E3"/>
    <w:rsid w:val="00F55204"/>
    <w:rsid w:val="00F55E73"/>
    <w:rsid w:val="00F55EDA"/>
    <w:rsid w:val="00F5623A"/>
    <w:rsid w:val="00F5697C"/>
    <w:rsid w:val="00F56A41"/>
    <w:rsid w:val="00F56C80"/>
    <w:rsid w:val="00F5705D"/>
    <w:rsid w:val="00F57B27"/>
    <w:rsid w:val="00F60092"/>
    <w:rsid w:val="00F603E6"/>
    <w:rsid w:val="00F60C4B"/>
    <w:rsid w:val="00F60F6C"/>
    <w:rsid w:val="00F61C18"/>
    <w:rsid w:val="00F61E6B"/>
    <w:rsid w:val="00F627FC"/>
    <w:rsid w:val="00F630F8"/>
    <w:rsid w:val="00F63E82"/>
    <w:rsid w:val="00F64C16"/>
    <w:rsid w:val="00F65F4B"/>
    <w:rsid w:val="00F67A4C"/>
    <w:rsid w:val="00F67A69"/>
    <w:rsid w:val="00F70832"/>
    <w:rsid w:val="00F708F6"/>
    <w:rsid w:val="00F70BFF"/>
    <w:rsid w:val="00F70C9D"/>
    <w:rsid w:val="00F71582"/>
    <w:rsid w:val="00F73532"/>
    <w:rsid w:val="00F73577"/>
    <w:rsid w:val="00F73E08"/>
    <w:rsid w:val="00F73E81"/>
    <w:rsid w:val="00F74CD9"/>
    <w:rsid w:val="00F756B2"/>
    <w:rsid w:val="00F768EE"/>
    <w:rsid w:val="00F77C8F"/>
    <w:rsid w:val="00F77CDD"/>
    <w:rsid w:val="00F807BE"/>
    <w:rsid w:val="00F80A7B"/>
    <w:rsid w:val="00F80E5D"/>
    <w:rsid w:val="00F814D6"/>
    <w:rsid w:val="00F81A65"/>
    <w:rsid w:val="00F81E78"/>
    <w:rsid w:val="00F822C0"/>
    <w:rsid w:val="00F824BB"/>
    <w:rsid w:val="00F83916"/>
    <w:rsid w:val="00F84C14"/>
    <w:rsid w:val="00F8500D"/>
    <w:rsid w:val="00F851CE"/>
    <w:rsid w:val="00F85206"/>
    <w:rsid w:val="00F901B3"/>
    <w:rsid w:val="00F91219"/>
    <w:rsid w:val="00F915C0"/>
    <w:rsid w:val="00F918B2"/>
    <w:rsid w:val="00F92237"/>
    <w:rsid w:val="00F92444"/>
    <w:rsid w:val="00F934B4"/>
    <w:rsid w:val="00F9393E"/>
    <w:rsid w:val="00F94192"/>
    <w:rsid w:val="00F94926"/>
    <w:rsid w:val="00F94D21"/>
    <w:rsid w:val="00F95754"/>
    <w:rsid w:val="00F96542"/>
    <w:rsid w:val="00F965B9"/>
    <w:rsid w:val="00F96E37"/>
    <w:rsid w:val="00F96FD0"/>
    <w:rsid w:val="00F97166"/>
    <w:rsid w:val="00F97A78"/>
    <w:rsid w:val="00F97AAC"/>
    <w:rsid w:val="00FA0843"/>
    <w:rsid w:val="00FA0B20"/>
    <w:rsid w:val="00FA0C9C"/>
    <w:rsid w:val="00FA24E7"/>
    <w:rsid w:val="00FA2E02"/>
    <w:rsid w:val="00FA3A31"/>
    <w:rsid w:val="00FA5487"/>
    <w:rsid w:val="00FA5EE6"/>
    <w:rsid w:val="00FA63C0"/>
    <w:rsid w:val="00FA6DE7"/>
    <w:rsid w:val="00FA7504"/>
    <w:rsid w:val="00FA7956"/>
    <w:rsid w:val="00FB0824"/>
    <w:rsid w:val="00FB0A57"/>
    <w:rsid w:val="00FB179A"/>
    <w:rsid w:val="00FB1D6D"/>
    <w:rsid w:val="00FB2FCB"/>
    <w:rsid w:val="00FB3355"/>
    <w:rsid w:val="00FB4C9C"/>
    <w:rsid w:val="00FB5275"/>
    <w:rsid w:val="00FB6F67"/>
    <w:rsid w:val="00FB73B5"/>
    <w:rsid w:val="00FB75E9"/>
    <w:rsid w:val="00FB7C55"/>
    <w:rsid w:val="00FC0113"/>
    <w:rsid w:val="00FC1074"/>
    <w:rsid w:val="00FC1884"/>
    <w:rsid w:val="00FC19FF"/>
    <w:rsid w:val="00FC1BC2"/>
    <w:rsid w:val="00FC371D"/>
    <w:rsid w:val="00FC38DD"/>
    <w:rsid w:val="00FC5F0B"/>
    <w:rsid w:val="00FC6031"/>
    <w:rsid w:val="00FC6047"/>
    <w:rsid w:val="00FC6BD0"/>
    <w:rsid w:val="00FC748B"/>
    <w:rsid w:val="00FC7CFC"/>
    <w:rsid w:val="00FD02CD"/>
    <w:rsid w:val="00FD10DD"/>
    <w:rsid w:val="00FD1EB0"/>
    <w:rsid w:val="00FD2100"/>
    <w:rsid w:val="00FD3062"/>
    <w:rsid w:val="00FD37FC"/>
    <w:rsid w:val="00FD436C"/>
    <w:rsid w:val="00FD446D"/>
    <w:rsid w:val="00FD46C5"/>
    <w:rsid w:val="00FD4A18"/>
    <w:rsid w:val="00FD4F2C"/>
    <w:rsid w:val="00FD516D"/>
    <w:rsid w:val="00FD533E"/>
    <w:rsid w:val="00FD574B"/>
    <w:rsid w:val="00FD58E4"/>
    <w:rsid w:val="00FD6034"/>
    <w:rsid w:val="00FD6394"/>
    <w:rsid w:val="00FD65D7"/>
    <w:rsid w:val="00FD668E"/>
    <w:rsid w:val="00FD681B"/>
    <w:rsid w:val="00FD7846"/>
    <w:rsid w:val="00FE00FF"/>
    <w:rsid w:val="00FE0453"/>
    <w:rsid w:val="00FE0E6C"/>
    <w:rsid w:val="00FE1127"/>
    <w:rsid w:val="00FE12BE"/>
    <w:rsid w:val="00FE1652"/>
    <w:rsid w:val="00FE1CDC"/>
    <w:rsid w:val="00FE254B"/>
    <w:rsid w:val="00FE2D0B"/>
    <w:rsid w:val="00FE2F47"/>
    <w:rsid w:val="00FE3350"/>
    <w:rsid w:val="00FE555A"/>
    <w:rsid w:val="00FE56AA"/>
    <w:rsid w:val="00FE694D"/>
    <w:rsid w:val="00FE6F2A"/>
    <w:rsid w:val="00FE70C3"/>
    <w:rsid w:val="00FE7B56"/>
    <w:rsid w:val="00FE7CED"/>
    <w:rsid w:val="00FF022E"/>
    <w:rsid w:val="00FF0956"/>
    <w:rsid w:val="00FF1564"/>
    <w:rsid w:val="00FF15F3"/>
    <w:rsid w:val="00FF1A8B"/>
    <w:rsid w:val="00FF2AD9"/>
    <w:rsid w:val="00FF359F"/>
    <w:rsid w:val="00FF3DCF"/>
    <w:rsid w:val="00FF42B7"/>
    <w:rsid w:val="00FF492B"/>
    <w:rsid w:val="00FF492C"/>
    <w:rsid w:val="00FF4A21"/>
    <w:rsid w:val="00FF4D9F"/>
    <w:rsid w:val="00FF5AA3"/>
    <w:rsid w:val="00FF5AD8"/>
    <w:rsid w:val="00FF7178"/>
    <w:rsid w:val="00FF7FE5"/>
    <w:rsid w:val="23E2DB3B"/>
    <w:rsid w:val="23E615C5"/>
    <w:rsid w:val="26687BEF"/>
    <w:rsid w:val="42894A0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4"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 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Dossier table,Section 3- footnotes,Header Table,NICE instructions,Source table_,HealthConsult,new style,PBAC table,Lash Style Table,HTAtableplain,Summary Table,Table Grid "/>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E46F70"/>
    <w:pPr>
      <w:keepLines/>
      <w:spacing w:after="120"/>
      <w:contextualSpacing/>
      <w:jc w:val="left"/>
    </w:pPr>
    <w:rPr>
      <w:rFonts w:ascii="Arial Narrow" w:hAnsi="Arial Narrow"/>
      <w:bCs/>
      <w:snapToGrid w:val="0"/>
      <w:sz w:val="18"/>
      <w:szCs w:val="18"/>
    </w:rPr>
  </w:style>
  <w:style w:type="character" w:customStyle="1" w:styleId="TableFigureFooterChar">
    <w:name w:val="Table/Figure Footer Char"/>
    <w:link w:val="TableFigureFooter"/>
    <w:rsid w:val="00E46F70"/>
    <w:rPr>
      <w:rFonts w:ascii="Arial Narrow" w:hAnsi="Arial Narrow" w:cs="Arial"/>
      <w:bCs/>
      <w:snapToGrid w:val="0"/>
      <w:sz w:val="18"/>
      <w:szCs w:val="18"/>
    </w:rPr>
  </w:style>
  <w:style w:type="table" w:customStyle="1" w:styleId="PBACtable">
    <w:name w:val="PBAC_table"/>
    <w:basedOn w:val="TableNormal"/>
    <w:uiPriority w:val="99"/>
    <w:rsid w:val="009B0958"/>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table" w:customStyle="1" w:styleId="PBAClayout">
    <w:name w:val="PBAC_layout"/>
    <w:basedOn w:val="TableNormal"/>
    <w:uiPriority w:val="99"/>
    <w:rsid w:val="00A01058"/>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character" w:styleId="UnresolvedMention">
    <w:name w:val="Unresolved Mention"/>
    <w:basedOn w:val="DefaultParagraphFont"/>
    <w:uiPriority w:val="99"/>
    <w:semiHidden/>
    <w:unhideWhenUsed/>
    <w:rsid w:val="00822F98"/>
    <w:rPr>
      <w:color w:val="605E5C"/>
      <w:shd w:val="clear" w:color="auto" w:fill="E1DFDD"/>
    </w:rPr>
  </w:style>
  <w:style w:type="paragraph" w:styleId="FootnoteText">
    <w:name w:val="footnote text"/>
    <w:basedOn w:val="Normal"/>
    <w:link w:val="FootnoteTextChar"/>
    <w:semiHidden/>
    <w:unhideWhenUsed/>
    <w:rsid w:val="00405020"/>
    <w:rPr>
      <w:sz w:val="20"/>
      <w:szCs w:val="20"/>
    </w:rPr>
  </w:style>
  <w:style w:type="character" w:customStyle="1" w:styleId="FootnoteTextChar">
    <w:name w:val="Footnote Text Char"/>
    <w:basedOn w:val="DefaultParagraphFont"/>
    <w:link w:val="FootnoteText"/>
    <w:semiHidden/>
    <w:rsid w:val="00405020"/>
    <w:rPr>
      <w:rFonts w:ascii="Calibri" w:hAnsi="Calibri" w:cs="Arial"/>
    </w:rPr>
  </w:style>
  <w:style w:type="character" w:styleId="FootnoteReference">
    <w:name w:val="footnote reference"/>
    <w:basedOn w:val="DefaultParagraphFont"/>
    <w:semiHidden/>
    <w:unhideWhenUsed/>
    <w:rsid w:val="00405020"/>
    <w:rPr>
      <w:vertAlign w:val="superscript"/>
    </w:rPr>
  </w:style>
  <w:style w:type="table" w:customStyle="1" w:styleId="TableGrid110">
    <w:name w:val="Table Grid110"/>
    <w:basedOn w:val="TableNormal"/>
    <w:next w:val="TableGrid"/>
    <w:rsid w:val="00350714"/>
    <w:pPr>
      <w:spacing w:before="36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link w:val="PBACTabletextChar"/>
    <w:qFormat/>
    <w:rsid w:val="00BD782E"/>
    <w:pPr>
      <w:keepNext/>
      <w:keepLines/>
      <w:suppressLineNumbers/>
      <w:spacing w:after="240"/>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BD782E"/>
    <w:rPr>
      <w:rFonts w:ascii="Arial Narrow" w:hAnsi="Arial Narrow" w:cs="Arial"/>
      <w:szCs w:val="24"/>
      <w:lang w:eastAsia="en-GB"/>
    </w:rPr>
  </w:style>
  <w:style w:type="paragraph" w:customStyle="1" w:styleId="Tablenotes">
    <w:name w:val="Tablenotes"/>
    <w:basedOn w:val="Normal"/>
    <w:link w:val="TablenotesChar"/>
    <w:qFormat/>
    <w:rsid w:val="0000257E"/>
    <w:pPr>
      <w:widowControl w:val="0"/>
      <w:spacing w:after="360" w:line="269" w:lineRule="auto"/>
      <w:contextualSpacing/>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00257E"/>
    <w:rPr>
      <w:rFonts w:ascii="Arial Narrow" w:hAnsi="Arial Narrow" w:cs="Arial"/>
      <w:snapToGrid w:val="0"/>
      <w:sz w:val="18"/>
      <w:lang w:eastAsia="en-US"/>
    </w:rPr>
  </w:style>
  <w:style w:type="paragraph" w:customStyle="1" w:styleId="PBACTblFignote">
    <w:name w:val="PBAC Tbl/Fig note"/>
    <w:qFormat/>
    <w:rsid w:val="00496B51"/>
    <w:pPr>
      <w:keepNext/>
      <w:keepLines/>
      <w:contextualSpacing/>
      <w:textboxTightWrap w:val="allLines"/>
    </w:pPr>
    <w:rPr>
      <w:rFonts w:ascii="Arial Narrow" w:hAnsi="Arial Narrow" w:cs="Arial"/>
      <w:sz w:val="18"/>
      <w:szCs w:val="24"/>
      <w:lang w:eastAsia="en-GB"/>
    </w:rPr>
  </w:style>
  <w:style w:type="table" w:customStyle="1" w:styleId="ASDTable2">
    <w:name w:val="ASD Table2"/>
    <w:basedOn w:val="TableNormal"/>
    <w:uiPriority w:val="39"/>
    <w:rsid w:val="00496B5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basedOn w:val="DefaultParagraphFont"/>
    <w:link w:val="TableHeading0"/>
    <w:locked/>
    <w:rsid w:val="00496B51"/>
    <w:rPr>
      <w:rFonts w:ascii="Arial Narrow" w:eastAsiaTheme="majorEastAsia" w:hAnsi="Arial Narrow" w:cs="Arial"/>
      <w:b/>
      <w:lang w:bidi="en-US"/>
    </w:rPr>
  </w:style>
  <w:style w:type="paragraph" w:customStyle="1" w:styleId="TableHeading0">
    <w:name w:val="Table Heading"/>
    <w:basedOn w:val="TableText0"/>
    <w:link w:val="TableHeadingChar"/>
    <w:qFormat/>
    <w:rsid w:val="00496B51"/>
    <w:pPr>
      <w:spacing w:before="20" w:after="20" w:line="276" w:lineRule="auto"/>
      <w:jc w:val="both"/>
    </w:pPr>
    <w:rPr>
      <w:rFonts w:cs="Arial"/>
      <w:b/>
      <w:bCs w:val="0"/>
      <w:szCs w:val="20"/>
      <w:lang w:bidi="en-US"/>
    </w:rPr>
  </w:style>
  <w:style w:type="table" w:customStyle="1" w:styleId="ELILILLYTABLE">
    <w:name w:val="ELI_LILLY TABLE"/>
    <w:basedOn w:val="TableNormal"/>
    <w:uiPriority w:val="99"/>
    <w:rsid w:val="00496B51"/>
    <w:pPr>
      <w:spacing w:before="20" w:after="20"/>
      <w:ind w:left="113" w:right="113"/>
    </w:pPr>
    <w:rPr>
      <w:rFonts w:ascii="Calibri" w:eastAsia="Calibri" w:hAnsi="Calibri"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i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2F2F2"/>
      </w:tcPr>
    </w:tblStylePr>
  </w:style>
  <w:style w:type="paragraph" w:customStyle="1" w:styleId="Tablebullet3">
    <w:name w:val="Table bullet 3"/>
    <w:basedOn w:val="Normal"/>
    <w:qFormat/>
    <w:rsid w:val="00496B51"/>
    <w:pPr>
      <w:numPr>
        <w:ilvl w:val="2"/>
      </w:numPr>
      <w:tabs>
        <w:tab w:val="num" w:pos="851"/>
        <w:tab w:val="num" w:pos="2694"/>
      </w:tabs>
      <w:spacing w:before="60" w:after="60"/>
      <w:ind w:left="851" w:hanging="851"/>
    </w:pPr>
    <w:rPr>
      <w:rFonts w:ascii="Arial" w:eastAsia="Calibri" w:hAnsi="Arial" w:cs="Times New Roman"/>
      <w:sz w:val="20"/>
      <w:lang w:val="en-GB" w:eastAsia="en-US"/>
    </w:rPr>
  </w:style>
  <w:style w:type="paragraph" w:customStyle="1" w:styleId="tablefootnote">
    <w:name w:val="table footnote"/>
    <w:basedOn w:val="Normal"/>
    <w:qFormat/>
    <w:rsid w:val="00496B51"/>
    <w:pPr>
      <w:spacing w:after="240"/>
      <w:contextualSpacing/>
    </w:pPr>
    <w:rPr>
      <w:rFonts w:ascii="Arial Narrow" w:hAnsi="Arial Narrow"/>
      <w:sz w:val="18"/>
      <w:szCs w:val="18"/>
      <w:lang w:eastAsia="zh-CN"/>
    </w:rPr>
  </w:style>
  <w:style w:type="paragraph" w:customStyle="1" w:styleId="COMTabletext">
    <w:name w:val="COM Table text"/>
    <w:link w:val="COMTabletextChar"/>
    <w:qFormat/>
    <w:rsid w:val="00496B51"/>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496B51"/>
    <w:rPr>
      <w:rFonts w:ascii="Arial Narrow" w:eastAsiaTheme="majorEastAsia" w:hAnsi="Arial Narrow" w:cstheme="majorBidi"/>
      <w:bCs/>
      <w:szCs w:val="24"/>
    </w:rPr>
  </w:style>
  <w:style w:type="paragraph" w:customStyle="1" w:styleId="COMTableheadingrow">
    <w:name w:val="COM Table heading row"/>
    <w:qFormat/>
    <w:rsid w:val="00496B51"/>
    <w:pPr>
      <w:keepNext/>
    </w:pPr>
    <w:rPr>
      <w:rFonts w:ascii="Arial Narrow" w:eastAsiaTheme="majorEastAsia" w:hAnsi="Arial Narrow"/>
      <w:b/>
      <w:szCs w:val="24"/>
      <w:lang w:val="en-US"/>
    </w:rPr>
  </w:style>
  <w:style w:type="paragraph" w:styleId="EndnoteText">
    <w:name w:val="endnote text"/>
    <w:basedOn w:val="Normal"/>
    <w:link w:val="EndnoteTextChar"/>
    <w:semiHidden/>
    <w:unhideWhenUsed/>
    <w:rsid w:val="00496B51"/>
    <w:rPr>
      <w:sz w:val="20"/>
      <w:szCs w:val="20"/>
    </w:rPr>
  </w:style>
  <w:style w:type="character" w:customStyle="1" w:styleId="EndnoteTextChar">
    <w:name w:val="Endnote Text Char"/>
    <w:basedOn w:val="DefaultParagraphFont"/>
    <w:link w:val="EndnoteText"/>
    <w:semiHidden/>
    <w:rsid w:val="00496B51"/>
    <w:rPr>
      <w:rFonts w:ascii="Calibri" w:hAnsi="Calibri" w:cs="Arial"/>
    </w:rPr>
  </w:style>
  <w:style w:type="character" w:styleId="EndnoteReference">
    <w:name w:val="endnote reference"/>
    <w:basedOn w:val="DefaultParagraphFont"/>
    <w:semiHidden/>
    <w:unhideWhenUsed/>
    <w:rsid w:val="00496B51"/>
    <w:rPr>
      <w:vertAlign w:val="superscript"/>
    </w:rPr>
  </w:style>
  <w:style w:type="paragraph" w:customStyle="1" w:styleId="COMH1-numbered">
    <w:name w:val="COM H1 - numbered"/>
    <w:next w:val="COMexecsummnumbered"/>
    <w:qFormat/>
    <w:rsid w:val="00EE5AA6"/>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EE5AA6"/>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EE5AA6"/>
    <w:rPr>
      <w:rFonts w:asciiTheme="minorHAnsi" w:eastAsiaTheme="minorHAnsi" w:hAnsiTheme="minorHAnsi" w:cstheme="minorBidi"/>
      <w:sz w:val="24"/>
      <w:szCs w:val="22"/>
    </w:rPr>
  </w:style>
  <w:style w:type="character" w:customStyle="1" w:styleId="Heading1Char">
    <w:name w:val="Heading 1 Char"/>
    <w:basedOn w:val="DefaultParagraphFont"/>
    <w:link w:val="Heading1"/>
    <w:uiPriority w:val="1"/>
    <w:rsid w:val="0079333B"/>
    <w:rPr>
      <w:rFonts w:ascii="Calibri" w:hAnsi="Calibri" w:cs="Arial"/>
      <w:b/>
      <w:caps/>
      <w:sz w:val="32"/>
      <w:szCs w:val="24"/>
    </w:rPr>
  </w:style>
  <w:style w:type="character" w:customStyle="1" w:styleId="Heading4Char">
    <w:name w:val="Heading 4 Char"/>
    <w:basedOn w:val="DefaultParagraphFont"/>
    <w:link w:val="Heading4"/>
    <w:uiPriority w:val="9"/>
    <w:rsid w:val="0079333B"/>
    <w:rPr>
      <w:rFonts w:ascii="Calibri" w:hAnsi="Calibri" w:cs="Arial"/>
      <w:b/>
      <w:bCs/>
      <w:i/>
      <w:sz w:val="26"/>
      <w:szCs w:val="2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9333B"/>
    <w:pPr>
      <w:spacing w:after="160" w:line="240" w:lineRule="exact"/>
      <w:jc w:val="left"/>
    </w:pPr>
    <w:rPr>
      <w:rFonts w:ascii="Verdana" w:eastAsia="MS Mincho" w:hAnsi="Verdana" w:cs="Verdana"/>
      <w:sz w:val="20"/>
      <w:szCs w:val="20"/>
      <w:lang w:val="en-US" w:eastAsia="en-US"/>
    </w:rPr>
  </w:style>
  <w:style w:type="character" w:customStyle="1" w:styleId="text-widget">
    <w:name w:val="text-widget"/>
    <w:basedOn w:val="DefaultParagraphFont"/>
    <w:rsid w:val="0079333B"/>
  </w:style>
  <w:style w:type="table" w:customStyle="1" w:styleId="TableGrid1">
    <w:name w:val="Table Grid1"/>
    <w:basedOn w:val="TableNormal"/>
    <w:next w:val="TableGrid"/>
    <w:uiPriority w:val="39"/>
    <w:rsid w:val="0079333B"/>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333B"/>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79333B"/>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79333B"/>
    <w:rPr>
      <w:rFonts w:ascii="Segoe UI" w:hAnsi="Segoe UI" w:cs="Segoe UI" w:hint="default"/>
      <w:sz w:val="18"/>
      <w:szCs w:val="18"/>
    </w:rPr>
  </w:style>
  <w:style w:type="character" w:customStyle="1" w:styleId="cf11">
    <w:name w:val="cf11"/>
    <w:basedOn w:val="DefaultParagraphFont"/>
    <w:rsid w:val="0079333B"/>
    <w:rPr>
      <w:rFonts w:ascii="Segoe UI" w:hAnsi="Segoe UI" w:cs="Segoe UI" w:hint="default"/>
      <w:i/>
      <w:iCs/>
      <w:sz w:val="18"/>
      <w:szCs w:val="18"/>
    </w:rPr>
  </w:style>
  <w:style w:type="character" w:customStyle="1" w:styleId="cf21">
    <w:name w:val="cf21"/>
    <w:basedOn w:val="DefaultParagraphFont"/>
    <w:rsid w:val="0079333B"/>
    <w:rPr>
      <w:rFonts w:ascii="Segoe UI" w:hAnsi="Segoe UI" w:cs="Segoe UI" w:hint="default"/>
      <w:strike/>
      <w:sz w:val="18"/>
      <w:szCs w:val="18"/>
    </w:rPr>
  </w:style>
  <w:style w:type="paragraph" w:customStyle="1" w:styleId="5-SubSubSubHead">
    <w:name w:val="5-Sub Sub Sub Head"/>
    <w:basedOn w:val="Heading4"/>
    <w:qFormat/>
    <w:rsid w:val="0079333B"/>
  </w:style>
  <w:style w:type="paragraph" w:customStyle="1" w:styleId="3-SubsectionHeading">
    <w:name w:val="3-Subsection Heading"/>
    <w:basedOn w:val="Heading2"/>
    <w:next w:val="Normal"/>
    <w:link w:val="3-SubsectionHeadingChar"/>
    <w:qFormat/>
    <w:rsid w:val="003A408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3A4081"/>
    <w:rPr>
      <w:rFonts w:asciiTheme="minorHAnsi" w:eastAsiaTheme="majorEastAsia" w:hAnsiTheme="minorHAnsi" w:cstheme="majorBidi"/>
      <w:b/>
      <w:i/>
      <w:snapToGrid/>
      <w:spacing w:val="5"/>
      <w:kern w:val="28"/>
      <w:sz w:val="28"/>
      <w:szCs w:val="36"/>
      <w:lang w:eastAsia="en-US"/>
    </w:rPr>
  </w:style>
  <w:style w:type="paragraph" w:customStyle="1" w:styleId="2Sections">
    <w:name w:val="2. Sections"/>
    <w:qFormat/>
    <w:rsid w:val="0094233D"/>
    <w:pPr>
      <w:spacing w:before="240" w:after="120"/>
      <w:ind w:left="720" w:hanging="720"/>
      <w:outlineLvl w:val="0"/>
    </w:pPr>
    <w:rPr>
      <w:rFonts w:asciiTheme="minorHAnsi" w:hAnsiTheme="minorHAnsi" w:cs="Arial"/>
      <w:b/>
      <w:snapToGrid w:val="0"/>
      <w:sz w:val="32"/>
      <w:szCs w:val="32"/>
      <w:lang w:eastAsia="en-US"/>
    </w:rPr>
  </w:style>
  <w:style w:type="paragraph" w:customStyle="1" w:styleId="COMH1numbered">
    <w:name w:val="COM H1 numbered"/>
    <w:next w:val="Normal"/>
    <w:qFormat/>
    <w:rsid w:val="00D62121"/>
    <w:pPr>
      <w:keepNext/>
      <w:snapToGrid w:val="0"/>
      <w:spacing w:before="240" w:after="120"/>
      <w:ind w:left="720" w:hanging="720"/>
      <w:outlineLvl w:val="0"/>
    </w:pPr>
    <w:rPr>
      <w:rFonts w:asciiTheme="minorHAnsi" w:hAnsiTheme="minorHAnsi" w:cs="Arial"/>
      <w:b/>
      <w:sz w:val="32"/>
      <w:szCs w:val="32"/>
    </w:rPr>
  </w:style>
  <w:style w:type="paragraph" w:customStyle="1" w:styleId="COMexecsumnumberedpara">
    <w:name w:val="COM exec sum numbered para"/>
    <w:basedOn w:val="ListParagraph"/>
    <w:qFormat/>
    <w:rsid w:val="00D62121"/>
    <w:pPr>
      <w:numPr>
        <w:numId w:val="0"/>
      </w:numPr>
      <w:tabs>
        <w:tab w:val="num" w:pos="360"/>
      </w:tabs>
      <w:snapToGrid w:val="0"/>
      <w:ind w:left="720" w:hanging="360"/>
      <w:jc w:val="both"/>
    </w:pPr>
    <w:rPr>
      <w:snapToGrid/>
    </w:rPr>
  </w:style>
  <w:style w:type="character" w:styleId="Mention">
    <w:name w:val="Mention"/>
    <w:basedOn w:val="DefaultParagraphFont"/>
    <w:uiPriority w:val="99"/>
    <w:unhideWhenUsed/>
    <w:rsid w:val="005A46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4665780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73B6D-29C0-431C-82C8-FAAC7B6D41DA}">
  <ds:schemaRefs>
    <ds:schemaRef ds:uri="http://schemas.microsoft.com/sharepoint/v3/contenttype/forms"/>
  </ds:schemaRefs>
</ds:datastoreItem>
</file>

<file path=customXml/itemProps2.xml><?xml version="1.0" encoding="utf-8"?>
<ds:datastoreItem xmlns:ds="http://schemas.openxmlformats.org/officeDocument/2006/customXml" ds:itemID="{E2B76261-9DA6-4A20-901D-D820124104D1}">
  <ds:schemaRefs>
    <ds:schemaRef ds:uri="http://schemas.openxmlformats.org/officeDocument/2006/bibliography"/>
  </ds:schemaRefs>
</ds:datastoreItem>
</file>

<file path=customXml/itemProps3.xml><?xml version="1.0" encoding="utf-8"?>
<ds:datastoreItem xmlns:ds="http://schemas.openxmlformats.org/officeDocument/2006/customXml" ds:itemID="{06A3251F-2EEB-4188-858A-977452F607F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98F2064B-AD65-4192-BE9B-9D1C5EEC3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13823</Words>
  <Characters>77548</Characters>
  <Application>Microsoft Office Word</Application>
  <DocSecurity>0</DocSecurity>
  <Lines>2501</Lines>
  <Paragraphs>1723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2026-02-19T22:31:00Z</dcterms:created>
  <dcterms:modified xsi:type="dcterms:W3CDTF">2026-03-03T19:33:00Z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738494b5,3254c,36ea4558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3d63dad7,f69e4d0,7f423151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2025-12-11T00:03:45Z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0f9d73ce-af22-4e43-8942-c11adc6f1984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GrammarlyDocumentId">
    <vt:lpwstr>1251619f-cbdd-436f-80e5-9d7e7868d778</vt:lpwstr>
  </property>
</Properties>
</file>