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4B4E9" w14:textId="56A09A7A" w:rsidR="00BF27A0" w:rsidRPr="00EF4580" w:rsidRDefault="00682F67" w:rsidP="006C5B33">
      <w:pPr>
        <w:pStyle w:val="1-MainHeading"/>
        <w:rPr>
          <w:rFonts w:eastAsia="Calibri"/>
          <w:lang w:eastAsia="en-US"/>
        </w:rPr>
      </w:pPr>
      <w:r>
        <w:t>7.01</w:t>
      </w:r>
      <w:r w:rsidR="000B7767" w:rsidRPr="00EF4580">
        <w:tab/>
      </w:r>
      <w:r w:rsidR="004A60F8">
        <w:t>OSIMERTINIB</w:t>
      </w:r>
      <w:r w:rsidR="40930EF5" w:rsidRPr="00EF4580">
        <w:t>,</w:t>
      </w:r>
      <w:r w:rsidR="000B7767" w:rsidRPr="00EF4580">
        <w:br/>
      </w:r>
      <w:r w:rsidR="00A464D1" w:rsidRPr="00041F55">
        <w:t xml:space="preserve">Tablet 40 mg, </w:t>
      </w:r>
      <w:r w:rsidR="00A464D1" w:rsidRPr="00041F55">
        <w:br/>
        <w:t>Tablet 80 mg,</w:t>
      </w:r>
      <w:r w:rsidR="00A464D1" w:rsidRPr="00041F55">
        <w:br/>
      </w:r>
      <w:proofErr w:type="spellStart"/>
      <w:r w:rsidR="00A464D1" w:rsidRPr="00041F55">
        <w:t>Tagrisso</w:t>
      </w:r>
      <w:proofErr w:type="spellEnd"/>
      <w:r w:rsidR="00A464D1" w:rsidRPr="00041F55">
        <w:t>®,</w:t>
      </w:r>
      <w:r w:rsidR="00A464D1" w:rsidRPr="00041F55">
        <w:br/>
        <w:t>AstraZeneca Pty Ltd.</w:t>
      </w:r>
    </w:p>
    <w:p w14:paraId="1DE8D195" w14:textId="40C679A1" w:rsidR="003F044F" w:rsidRPr="006C5B33" w:rsidRDefault="009C5B72" w:rsidP="006C5B33">
      <w:pPr>
        <w:pStyle w:val="2-SectionHeading"/>
        <w:rPr>
          <w:rFonts w:eastAsia="Calibri"/>
        </w:rPr>
      </w:pPr>
      <w:r w:rsidRPr="006C5B33">
        <w:t>Purpose</w:t>
      </w:r>
    </w:p>
    <w:p w14:paraId="055F1FC8" w14:textId="287BC506" w:rsidR="00F81F7A" w:rsidRPr="002C633F" w:rsidRDefault="00DB3BD8" w:rsidP="00464ACE">
      <w:pPr>
        <w:pStyle w:val="3-BodyText"/>
      </w:pPr>
      <w:r w:rsidRPr="00F81F7A">
        <w:t xml:space="preserve">The </w:t>
      </w:r>
      <w:r w:rsidRPr="002C633F">
        <w:t>early re-entry resubmission sought</w:t>
      </w:r>
      <w:r>
        <w:t xml:space="preserve"> </w:t>
      </w:r>
      <w:r w:rsidRPr="00491884">
        <w:t xml:space="preserve">a Section 85 (General Schedule), Authority Required Pharmaceutical Benefits Scheme (PBS) listing for </w:t>
      </w:r>
      <w:proofErr w:type="spellStart"/>
      <w:r w:rsidRPr="00464ACE">
        <w:t>osimertinib</w:t>
      </w:r>
      <w:proofErr w:type="spellEnd"/>
      <w:r w:rsidRPr="00491884">
        <w:t xml:space="preserve"> in combination with cisplatin or carboplatin, and pemetrexed for the first-line treatment of patients with locally advanced or metastatic non-small cell lung cancer (NSCLC) with evidence in tumour material of an activating epidermal growth factor receptor mutation (</w:t>
      </w:r>
      <w:r w:rsidRPr="008B68AD">
        <w:rPr>
          <w:i/>
          <w:iCs/>
        </w:rPr>
        <w:t>EGFRm</w:t>
      </w:r>
      <w:r w:rsidRPr="00491884">
        <w:t xml:space="preserve">) known to confer sensitivity to </w:t>
      </w:r>
      <w:r w:rsidRPr="003465A3">
        <w:t>EGFR</w:t>
      </w:r>
      <w:r w:rsidRPr="00491884">
        <w:t xml:space="preserve"> tyrosine kinase inhibitors (TKIs)</w:t>
      </w:r>
      <w:r w:rsidRPr="002C633F">
        <w:t>.</w:t>
      </w:r>
    </w:p>
    <w:p w14:paraId="625FAC35" w14:textId="6B7CC4D7" w:rsidR="00DB3BD8" w:rsidRPr="00DD27D8" w:rsidRDefault="00DB3BD8" w:rsidP="00464ACE">
      <w:pPr>
        <w:pStyle w:val="3-BodyText"/>
        <w:rPr>
          <w:snapToGrid w:val="0"/>
          <w:lang w:val="en-GB"/>
        </w:rPr>
      </w:pPr>
      <w:r w:rsidRPr="002C633F">
        <w:t xml:space="preserve">The resubmission was based on the </w:t>
      </w:r>
      <w:r w:rsidRPr="005D3D47">
        <w:t xml:space="preserve">PBAC decision to not recommend </w:t>
      </w:r>
      <w:proofErr w:type="spellStart"/>
      <w:r w:rsidRPr="005D3D47">
        <w:t>osimertinib</w:t>
      </w:r>
      <w:proofErr w:type="spellEnd"/>
      <w:r w:rsidRPr="005D3D47">
        <w:t xml:space="preserve"> for this indication from May 2025</w:t>
      </w:r>
      <w:r w:rsidR="00A74ED5">
        <w:t>.</w:t>
      </w:r>
      <w:r w:rsidR="00C0476A">
        <w:rPr>
          <w:rStyle w:val="FootnoteReference"/>
        </w:rPr>
        <w:footnoteReference w:id="2"/>
      </w:r>
      <w:r w:rsidRPr="005D3D47">
        <w:t xml:space="preserve"> </w:t>
      </w:r>
      <w:r>
        <w:t xml:space="preserve">The PBAC had considered </w:t>
      </w:r>
      <w:proofErr w:type="spellStart"/>
      <w:r>
        <w:t>osimertinib</w:t>
      </w:r>
      <w:proofErr w:type="spellEnd"/>
      <w:r>
        <w:t xml:space="preserve"> in combination with chemotherapy (O+C) was associated with a moderate improvement in progression free survival (PFS</w:t>
      </w:r>
      <w:proofErr w:type="gramStart"/>
      <w:r>
        <w:t>)</w:t>
      </w:r>
      <w:proofErr w:type="gramEnd"/>
      <w:r>
        <w:t xml:space="preserve"> but overall survival (OS) data were </w:t>
      </w:r>
      <w:proofErr w:type="gramStart"/>
      <w:r>
        <w:t>immature</w:t>
      </w:r>
      <w:proofErr w:type="gramEnd"/>
      <w:r>
        <w:t xml:space="preserve"> and it was associated with increased toxicity. </w:t>
      </w:r>
      <w:r w:rsidRPr="000F36C3">
        <w:t xml:space="preserve">The PBAC </w:t>
      </w:r>
      <w:r>
        <w:t xml:space="preserve">considered </w:t>
      </w:r>
      <w:r w:rsidRPr="000F36C3">
        <w:t>the economic</w:t>
      </w:r>
      <w:r>
        <w:t xml:space="preserve"> model was based on optimistic assumptions and overestimated the benefit of O+C. </w:t>
      </w:r>
      <w:r w:rsidRPr="00373DC8">
        <w:rPr>
          <w:bCs/>
          <w:snapToGrid w:val="0"/>
        </w:rPr>
        <w:t xml:space="preserve">The PBAC considered </w:t>
      </w:r>
      <w:r>
        <w:rPr>
          <w:bCs/>
          <w:snapToGrid w:val="0"/>
        </w:rPr>
        <w:t xml:space="preserve">the </w:t>
      </w:r>
      <w:r w:rsidRPr="00373DC8">
        <w:rPr>
          <w:bCs/>
          <w:snapToGrid w:val="0"/>
        </w:rPr>
        <w:t xml:space="preserve">uptake rate of O+C </w:t>
      </w:r>
      <w:r>
        <w:rPr>
          <w:bCs/>
          <w:snapToGrid w:val="0"/>
        </w:rPr>
        <w:t xml:space="preserve">in the submission </w:t>
      </w:r>
      <w:r w:rsidRPr="00373DC8">
        <w:rPr>
          <w:bCs/>
          <w:snapToGrid w:val="0"/>
        </w:rPr>
        <w:t>to be substantially overestimated given the safety profile of the treatment</w:t>
      </w:r>
      <w:r w:rsidRPr="000F36C3">
        <w:rPr>
          <w:bCs/>
          <w:snapToGrid w:val="0"/>
        </w:rPr>
        <w:t>.</w:t>
      </w:r>
      <w:r>
        <w:rPr>
          <w:bCs/>
          <w:snapToGrid w:val="0"/>
        </w:rPr>
        <w:t xml:space="preserve"> </w:t>
      </w:r>
      <w:r w:rsidRPr="00BB18E7">
        <w:rPr>
          <w:bCs/>
          <w:snapToGrid w:val="0"/>
        </w:rPr>
        <w:t xml:space="preserve">The PBAC considered the outstanding issues could be addressed in an early re-entry </w:t>
      </w:r>
      <w:r w:rsidR="00F317F5">
        <w:rPr>
          <w:bCs/>
          <w:snapToGrid w:val="0"/>
        </w:rPr>
        <w:t>re</w:t>
      </w:r>
      <w:r w:rsidRPr="00BB18E7">
        <w:rPr>
          <w:bCs/>
          <w:snapToGrid w:val="0"/>
        </w:rPr>
        <w:t>submission</w:t>
      </w:r>
      <w:r>
        <w:rPr>
          <w:bCs/>
          <w:snapToGrid w:val="0"/>
        </w:rPr>
        <w:t>. T</w:t>
      </w:r>
      <w:r w:rsidRPr="00194331">
        <w:t xml:space="preserve">he </w:t>
      </w:r>
      <w:r>
        <w:t xml:space="preserve">PBAC indicated the </w:t>
      </w:r>
      <w:r w:rsidRPr="00194331">
        <w:t>following changes may address these outstanding issues without requiring further re-evaluation</w:t>
      </w:r>
      <w:r w:rsidR="00492539">
        <w:t>:</w:t>
      </w:r>
      <w:r w:rsidRPr="00194331">
        <w:t xml:space="preserve"> </w:t>
      </w:r>
    </w:p>
    <w:p w14:paraId="0B5E4FCA" w14:textId="09FEC699" w:rsidR="00DB3BD8" w:rsidRDefault="00DB3BD8" w:rsidP="00C81785">
      <w:pPr>
        <w:pStyle w:val="PBACESParagraphBulletPoint"/>
        <w:spacing w:before="60" w:after="60"/>
        <w:ind w:left="1134"/>
      </w:pPr>
      <w:r>
        <w:t>Propose a single combined listing</w:t>
      </w:r>
      <w:r w:rsidR="006E191E">
        <w:t xml:space="preserve"> for </w:t>
      </w:r>
      <w:proofErr w:type="spellStart"/>
      <w:r w:rsidR="008A2D1C">
        <w:t>osimertinib</w:t>
      </w:r>
      <w:proofErr w:type="spellEnd"/>
      <w:r w:rsidR="008A2D1C">
        <w:t xml:space="preserve"> monotherapy and O+C</w:t>
      </w:r>
    </w:p>
    <w:p w14:paraId="3C27A664" w14:textId="2CD5D854" w:rsidR="00DB3BD8" w:rsidRDefault="00DB3BD8" w:rsidP="00C81785">
      <w:pPr>
        <w:pStyle w:val="PBACESParagraphBulletPoint"/>
        <w:spacing w:before="60" w:after="60"/>
        <w:ind w:left="1134"/>
      </w:pPr>
      <w:r>
        <w:t xml:space="preserve">Reduce price to give an ICER less than </w:t>
      </w:r>
      <w:r w:rsidR="00AF13BA" w:rsidRPr="00AF13BA">
        <w:t xml:space="preserve">$55,000 to &lt; $75,000 </w:t>
      </w:r>
      <w:r>
        <w:t>per QALY gained using the revised model</w:t>
      </w:r>
    </w:p>
    <w:p w14:paraId="58271209" w14:textId="77777777" w:rsidR="00DB3BD8" w:rsidRDefault="00DB3BD8" w:rsidP="00C81785">
      <w:pPr>
        <w:pStyle w:val="PBACESParagraphBulletPoint"/>
        <w:spacing w:before="60" w:after="60"/>
        <w:ind w:left="1134"/>
      </w:pPr>
      <w:r w:rsidRPr="00194331">
        <w:t xml:space="preserve">Revision of the financial estimates </w:t>
      </w:r>
    </w:p>
    <w:p w14:paraId="6DEBB696" w14:textId="77777777" w:rsidR="00DB3BD8" w:rsidRPr="00194331" w:rsidRDefault="00DB3BD8" w:rsidP="00033AB8">
      <w:pPr>
        <w:pStyle w:val="PBACESParagraphBulletPoint"/>
        <w:spacing w:before="60" w:after="60"/>
        <w:ind w:left="1134"/>
      </w:pPr>
      <w:r>
        <w:t xml:space="preserve">Propose a revised </w:t>
      </w:r>
      <w:proofErr w:type="spellStart"/>
      <w:r>
        <w:t>osimertinib</w:t>
      </w:r>
      <w:proofErr w:type="spellEnd"/>
      <w:r>
        <w:t xml:space="preserve"> risk-sharing arrangement proposal.</w:t>
      </w:r>
    </w:p>
    <w:p w14:paraId="2E1C7FEF" w14:textId="76E844A6" w:rsidR="00CD2299" w:rsidRPr="003A37DC" w:rsidRDefault="6657D135" w:rsidP="003A37DC">
      <w:pPr>
        <w:pStyle w:val="3-BodyText"/>
        <w:rPr>
          <w:rFonts w:eastAsiaTheme="minorEastAsia"/>
          <w:color w:val="1F497D" w:themeColor="text2"/>
        </w:rPr>
      </w:pPr>
      <w:r w:rsidRPr="00EF4580">
        <w:rPr>
          <w:snapToGrid w:val="0"/>
        </w:rPr>
        <w:t xml:space="preserve">This </w:t>
      </w:r>
      <w:r w:rsidR="009D55E2">
        <w:rPr>
          <w:snapToGrid w:val="0"/>
        </w:rPr>
        <w:t xml:space="preserve">resubmission addressed the </w:t>
      </w:r>
      <w:r w:rsidRPr="00EF4580">
        <w:rPr>
          <w:snapToGrid w:val="0"/>
        </w:rPr>
        <w:t>is</w:t>
      </w:r>
      <w:r w:rsidR="009D55E2">
        <w:rPr>
          <w:snapToGrid w:val="0"/>
        </w:rPr>
        <w:t>sues raised</w:t>
      </w:r>
      <w:r w:rsidRPr="00EF4580">
        <w:rPr>
          <w:snapToGrid w:val="0"/>
        </w:rPr>
        <w:t xml:space="preserve"> </w:t>
      </w:r>
      <w:r w:rsidR="009D55E2">
        <w:rPr>
          <w:snapToGrid w:val="0"/>
        </w:rPr>
        <w:t xml:space="preserve">by </w:t>
      </w:r>
      <w:r w:rsidR="009D55E2" w:rsidRPr="009D55E2">
        <w:rPr>
          <w:snapToGrid w:val="0"/>
        </w:rPr>
        <w:t>PBAC</w:t>
      </w:r>
      <w:r w:rsidR="00EE1A32">
        <w:rPr>
          <w:snapToGrid w:val="0"/>
        </w:rPr>
        <w:t xml:space="preserve"> as </w:t>
      </w:r>
      <w:r w:rsidR="00D519B9">
        <w:rPr>
          <w:snapToGrid w:val="0"/>
        </w:rPr>
        <w:t>outlined in the</w:t>
      </w:r>
      <w:r w:rsidR="009B750F">
        <w:rPr>
          <w:snapToGrid w:val="0"/>
        </w:rPr>
        <w:t xml:space="preserve"> t</w:t>
      </w:r>
      <w:r w:rsidR="009D55E2" w:rsidRPr="009D55E2">
        <w:rPr>
          <w:snapToGrid w:val="0"/>
        </w:rPr>
        <w:t>able below.</w:t>
      </w:r>
      <w:r w:rsidR="00D34011">
        <w:rPr>
          <w:snapToGrid w:val="0"/>
        </w:rPr>
        <w:t xml:space="preserve"> </w:t>
      </w:r>
    </w:p>
    <w:p w14:paraId="13DC54C9" w14:textId="7EF8F8CE" w:rsidR="009D55E2" w:rsidRPr="002C633F" w:rsidRDefault="009D55E2" w:rsidP="00D21A77">
      <w:pPr>
        <w:pStyle w:val="Caption"/>
        <w:keepLines w:val="0"/>
        <w:widowControl w:val="0"/>
      </w:pPr>
      <w:r w:rsidRPr="002C633F">
        <w:lastRenderedPageBreak/>
        <w:t xml:space="preserve">Table </w:t>
      </w:r>
      <w:r w:rsidR="004747FA">
        <w:fldChar w:fldCharType="begin"/>
      </w:r>
      <w:r w:rsidR="004747FA">
        <w:instrText xml:space="preserve"> SEQ Table \* ARABIC </w:instrText>
      </w:r>
      <w:r w:rsidR="004747FA">
        <w:fldChar w:fldCharType="separate"/>
      </w:r>
      <w:r w:rsidR="0055339A">
        <w:rPr>
          <w:noProof/>
        </w:rPr>
        <w:t>1</w:t>
      </w:r>
      <w:r w:rsidR="004747FA">
        <w:rPr>
          <w:noProof/>
        </w:rPr>
        <w:fldChar w:fldCharType="end"/>
      </w:r>
      <w:r w:rsidR="00574C43">
        <w:t>:</w:t>
      </w:r>
      <w:r w:rsidRPr="002C633F">
        <w:t xml:space="preserve"> Summary of key matters to be addressed</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of key matters to be addressed"/>
      </w:tblPr>
      <w:tblGrid>
        <w:gridCol w:w="3915"/>
        <w:gridCol w:w="3915"/>
        <w:gridCol w:w="1164"/>
      </w:tblGrid>
      <w:tr w:rsidR="002C633F" w:rsidRPr="002C633F" w14:paraId="5D2DC7BB" w14:textId="77777777" w:rsidTr="00B60F21">
        <w:trPr>
          <w:tblHeader/>
        </w:trPr>
        <w:tc>
          <w:tcPr>
            <w:tcW w:w="2176" w:type="pct"/>
            <w:vAlign w:val="center"/>
          </w:tcPr>
          <w:p w14:paraId="47875CEE" w14:textId="719157E8" w:rsidR="00D34011" w:rsidRPr="002C633F" w:rsidRDefault="00D34011" w:rsidP="00D21A77">
            <w:pPr>
              <w:pStyle w:val="In-tableHeading"/>
              <w:widowControl w:val="0"/>
            </w:pPr>
            <w:r w:rsidRPr="002C633F">
              <w:t>Matter of concern</w:t>
            </w:r>
          </w:p>
        </w:tc>
        <w:tc>
          <w:tcPr>
            <w:tcW w:w="2176" w:type="pct"/>
            <w:vAlign w:val="center"/>
          </w:tcPr>
          <w:p w14:paraId="2F0501E9" w14:textId="41F16558" w:rsidR="00D34011" w:rsidRPr="002C633F" w:rsidRDefault="00D34011" w:rsidP="00D21A77">
            <w:pPr>
              <w:pStyle w:val="In-tableHeading"/>
              <w:widowControl w:val="0"/>
            </w:pPr>
            <w:r w:rsidRPr="002C633F">
              <w:t>Response</w:t>
            </w:r>
          </w:p>
        </w:tc>
        <w:tc>
          <w:tcPr>
            <w:tcW w:w="647" w:type="pct"/>
            <w:vAlign w:val="center"/>
          </w:tcPr>
          <w:p w14:paraId="06AD57D9" w14:textId="20B07578" w:rsidR="00D34011" w:rsidRPr="002C633F" w:rsidRDefault="00D34011" w:rsidP="00D21A77">
            <w:pPr>
              <w:pStyle w:val="In-tableHeading"/>
              <w:widowControl w:val="0"/>
            </w:pPr>
            <w:r w:rsidRPr="002C633F">
              <w:t>Addressed?</w:t>
            </w:r>
          </w:p>
        </w:tc>
      </w:tr>
      <w:tr w:rsidR="00492539" w:rsidRPr="002C633F" w14:paraId="41739F84" w14:textId="77777777" w:rsidTr="00B60F21">
        <w:trPr>
          <w:cantSplit/>
        </w:trPr>
        <w:tc>
          <w:tcPr>
            <w:tcW w:w="2176" w:type="pct"/>
          </w:tcPr>
          <w:p w14:paraId="376A1D42" w14:textId="77777777" w:rsidR="00492539" w:rsidRDefault="00492539" w:rsidP="00D21A77">
            <w:pPr>
              <w:pStyle w:val="TableText"/>
              <w:widowControl w:val="0"/>
            </w:pPr>
            <w:r w:rsidRPr="009A2972">
              <w:t>Propose a single combined listing</w:t>
            </w:r>
            <w:r w:rsidR="00134FA8">
              <w:t>:</w:t>
            </w:r>
          </w:p>
          <w:p w14:paraId="2B57C2B6" w14:textId="77777777" w:rsidR="00134FA8" w:rsidRDefault="00134FA8" w:rsidP="00D21A77">
            <w:pPr>
              <w:pStyle w:val="TableText"/>
              <w:widowControl w:val="0"/>
            </w:pPr>
          </w:p>
          <w:p w14:paraId="6B3446A2" w14:textId="342B8029" w:rsidR="00134FA8" w:rsidRPr="002C633F" w:rsidRDefault="00134FA8" w:rsidP="00D21A77">
            <w:pPr>
              <w:pStyle w:val="TableText"/>
              <w:widowControl w:val="0"/>
            </w:pPr>
            <w:r>
              <w:t xml:space="preserve">7.6 </w:t>
            </w:r>
            <w:r w:rsidR="0090360E" w:rsidRPr="00F85C5D">
              <w:t xml:space="preserve">With regards to the restriction criteria, the PBAC considered it would be preferable to have a single, combined listing allowing either </w:t>
            </w:r>
            <w:proofErr w:type="spellStart"/>
            <w:r w:rsidR="0090360E" w:rsidRPr="00F85C5D">
              <w:t>osimertinib</w:t>
            </w:r>
            <w:proofErr w:type="spellEnd"/>
            <w:r w:rsidR="0090360E" w:rsidRPr="00F85C5D">
              <w:t xml:space="preserve"> monotherapy or </w:t>
            </w:r>
            <w:proofErr w:type="spellStart"/>
            <w:r w:rsidR="0090360E" w:rsidRPr="00F85C5D">
              <w:t>osimertinib</w:t>
            </w:r>
            <w:proofErr w:type="spellEnd"/>
            <w:r w:rsidR="0090360E" w:rsidRPr="00F85C5D">
              <w:t xml:space="preserve"> in combination with chemotherapy. The PBAC noted this could be</w:t>
            </w:r>
            <w:r w:rsidR="0090360E">
              <w:t xml:space="preserve"> </w:t>
            </w:r>
            <w:r w:rsidR="0090360E" w:rsidRPr="00DB3C7B">
              <w:t>achieved by removing the clinical criterion “The treatment must be the sole PBS-subsidised therapy for this condition” from the current listing</w:t>
            </w:r>
            <w:r w:rsidR="00D519B9">
              <w:t>.</w:t>
            </w:r>
            <w:r w:rsidR="0090360E" w:rsidRPr="00DB3C7B">
              <w:t xml:space="preserve"> </w:t>
            </w:r>
            <w:r w:rsidR="00BF2C06">
              <w:t>T</w:t>
            </w:r>
            <w:r w:rsidRPr="00DB3C7B">
              <w:t xml:space="preserve">he PBAC noted that this would require a weighted price for </w:t>
            </w:r>
            <w:proofErr w:type="spellStart"/>
            <w:r w:rsidRPr="00DB3C7B">
              <w:t>osimertinib</w:t>
            </w:r>
            <w:proofErr w:type="spellEnd"/>
            <w:r w:rsidRPr="00DB3C7B">
              <w:t xml:space="preserve"> in the </w:t>
            </w:r>
            <w:proofErr w:type="gramStart"/>
            <w:r w:rsidRPr="00DB3C7B">
              <w:t>first-line</w:t>
            </w:r>
            <w:proofErr w:type="gramEnd"/>
            <w:r w:rsidRPr="00DB3C7B">
              <w:t xml:space="preserve"> locally advanced/metastatic setting.</w:t>
            </w:r>
          </w:p>
        </w:tc>
        <w:tc>
          <w:tcPr>
            <w:tcW w:w="2176" w:type="pct"/>
            <w:vAlign w:val="center"/>
          </w:tcPr>
          <w:p w14:paraId="3C1AF319" w14:textId="1F1F9663" w:rsidR="00015792" w:rsidRDefault="00A75DEE" w:rsidP="00D21A77">
            <w:pPr>
              <w:keepNext/>
              <w:widowControl w:val="0"/>
              <w:rPr>
                <w:rFonts w:ascii="Arial Narrow" w:eastAsiaTheme="majorEastAsia" w:hAnsi="Arial Narrow" w:cs="Arial"/>
                <w:sz w:val="20"/>
                <w:szCs w:val="20"/>
                <w:lang w:bidi="en-US"/>
              </w:rPr>
            </w:pPr>
            <w:r>
              <w:rPr>
                <w:rFonts w:ascii="Arial Narrow" w:eastAsiaTheme="majorEastAsia" w:hAnsi="Arial Narrow" w:cs="Arial"/>
                <w:sz w:val="20"/>
                <w:szCs w:val="20"/>
                <w:lang w:bidi="en-US"/>
              </w:rPr>
              <w:t>The resubmission proposed a</w:t>
            </w:r>
            <w:r w:rsidR="00015792">
              <w:rPr>
                <w:rFonts w:ascii="Arial Narrow" w:eastAsiaTheme="majorEastAsia" w:hAnsi="Arial Narrow" w:cs="Arial"/>
                <w:sz w:val="20"/>
                <w:szCs w:val="20"/>
                <w:lang w:bidi="en-US"/>
              </w:rPr>
              <w:t xml:space="preserve"> single combined listing for continued use allowing </w:t>
            </w:r>
            <w:proofErr w:type="spellStart"/>
            <w:r w:rsidR="00015792">
              <w:rPr>
                <w:rFonts w:ascii="Arial Narrow" w:eastAsiaTheme="majorEastAsia" w:hAnsi="Arial Narrow" w:cs="Arial"/>
                <w:sz w:val="20"/>
                <w:szCs w:val="20"/>
                <w:lang w:bidi="en-US"/>
              </w:rPr>
              <w:t>osimertinib</w:t>
            </w:r>
            <w:proofErr w:type="spellEnd"/>
            <w:r w:rsidR="00015792">
              <w:rPr>
                <w:rFonts w:ascii="Arial Narrow" w:eastAsiaTheme="majorEastAsia" w:hAnsi="Arial Narrow" w:cs="Arial"/>
                <w:sz w:val="20"/>
                <w:szCs w:val="20"/>
                <w:lang w:bidi="en-US"/>
              </w:rPr>
              <w:t xml:space="preserve"> as monotherapy or in combination with pemetrexed.</w:t>
            </w:r>
          </w:p>
          <w:p w14:paraId="70ECDD12" w14:textId="77777777" w:rsidR="00015792" w:rsidRDefault="00015792" w:rsidP="00D21A77">
            <w:pPr>
              <w:keepNext/>
              <w:widowControl w:val="0"/>
              <w:rPr>
                <w:rFonts w:ascii="Arial Narrow" w:eastAsiaTheme="majorEastAsia" w:hAnsi="Arial Narrow" w:cs="Arial"/>
                <w:sz w:val="20"/>
                <w:szCs w:val="20"/>
                <w:lang w:bidi="en-US"/>
              </w:rPr>
            </w:pPr>
          </w:p>
          <w:p w14:paraId="4F86B4C1" w14:textId="1B5FDEA4" w:rsidR="007B6593" w:rsidRPr="007B6593" w:rsidRDefault="00851350" w:rsidP="00D21A77">
            <w:pPr>
              <w:pStyle w:val="TableText"/>
              <w:widowControl w:val="0"/>
            </w:pPr>
            <w:r>
              <w:rPr>
                <w:rFonts w:cs="Arial"/>
                <w:szCs w:val="20"/>
                <w:lang w:bidi="en-US"/>
              </w:rPr>
              <w:t>A</w:t>
            </w:r>
            <w:r w:rsidR="00015792">
              <w:rPr>
                <w:rFonts w:cs="Arial"/>
                <w:szCs w:val="20"/>
                <w:lang w:bidi="en-US"/>
              </w:rPr>
              <w:t xml:space="preserve"> weighted price for </w:t>
            </w:r>
            <w:proofErr w:type="spellStart"/>
            <w:r w:rsidR="00015792">
              <w:rPr>
                <w:rFonts w:cs="Arial"/>
                <w:szCs w:val="20"/>
                <w:lang w:bidi="en-US"/>
              </w:rPr>
              <w:t>osimertinib</w:t>
            </w:r>
            <w:proofErr w:type="spellEnd"/>
            <w:r w:rsidR="00015792">
              <w:rPr>
                <w:rFonts w:cs="Arial"/>
                <w:szCs w:val="20"/>
                <w:lang w:bidi="en-US"/>
              </w:rPr>
              <w:t xml:space="preserve"> in the </w:t>
            </w:r>
            <w:proofErr w:type="gramStart"/>
            <w:r w:rsidR="00015792">
              <w:rPr>
                <w:rFonts w:cs="Arial"/>
                <w:szCs w:val="20"/>
                <w:lang w:bidi="en-US"/>
              </w:rPr>
              <w:t>first-line</w:t>
            </w:r>
            <w:proofErr w:type="gramEnd"/>
            <w:r w:rsidR="00015792">
              <w:rPr>
                <w:rFonts w:cs="Arial"/>
                <w:szCs w:val="20"/>
                <w:lang w:bidi="en-US"/>
              </w:rPr>
              <w:t xml:space="preserve"> locally advanced/metastatic setting (</w:t>
            </w:r>
            <w:r w:rsidR="007B0D32">
              <w:rPr>
                <w:rFonts w:cs="Arial"/>
                <w:szCs w:val="20"/>
                <w:lang w:bidi="en-US"/>
              </w:rPr>
              <w:t>i.e.</w:t>
            </w:r>
            <w:r w:rsidR="00015792">
              <w:rPr>
                <w:rFonts w:cs="Arial"/>
                <w:szCs w:val="20"/>
                <w:lang w:bidi="en-US"/>
              </w:rPr>
              <w:t xml:space="preserve"> </w:t>
            </w:r>
            <w:r w:rsidR="008C6A94">
              <w:rPr>
                <w:rFonts w:cs="Arial"/>
                <w:szCs w:val="20"/>
                <w:lang w:bidi="en-US"/>
              </w:rPr>
              <w:t>O+C</w:t>
            </w:r>
            <w:r w:rsidR="00015792">
              <w:rPr>
                <w:rFonts w:cs="Arial"/>
                <w:szCs w:val="20"/>
                <w:lang w:bidi="en-US"/>
              </w:rPr>
              <w:t xml:space="preserve"> and </w:t>
            </w:r>
            <w:proofErr w:type="spellStart"/>
            <w:r w:rsidR="008C6A94">
              <w:rPr>
                <w:rFonts w:cs="Arial"/>
                <w:szCs w:val="20"/>
                <w:lang w:bidi="en-US"/>
              </w:rPr>
              <w:t>osimertinib</w:t>
            </w:r>
            <w:proofErr w:type="spellEnd"/>
            <w:r w:rsidR="00015792">
              <w:rPr>
                <w:rFonts w:cs="Arial"/>
                <w:szCs w:val="20"/>
                <w:lang w:bidi="en-US"/>
              </w:rPr>
              <w:t xml:space="preserve"> monotherapy) </w:t>
            </w:r>
            <w:r>
              <w:rPr>
                <w:rFonts w:cs="Arial"/>
                <w:szCs w:val="20"/>
                <w:lang w:bidi="en-US"/>
              </w:rPr>
              <w:t>was proposed</w:t>
            </w:r>
            <w:r w:rsidR="00015792">
              <w:rPr>
                <w:rFonts w:cs="Arial"/>
                <w:szCs w:val="20"/>
                <w:lang w:bidi="en-US"/>
              </w:rPr>
              <w:t>.</w:t>
            </w:r>
          </w:p>
        </w:tc>
        <w:tc>
          <w:tcPr>
            <w:tcW w:w="647" w:type="pct"/>
            <w:vAlign w:val="center"/>
          </w:tcPr>
          <w:p w14:paraId="40542A06" w14:textId="3B640CD4" w:rsidR="00492539" w:rsidRPr="002C633F" w:rsidRDefault="00492539" w:rsidP="00033AB8">
            <w:pPr>
              <w:pStyle w:val="TableText"/>
              <w:widowControl w:val="0"/>
              <w:jc w:val="center"/>
            </w:pPr>
            <w:r w:rsidRPr="002C633F">
              <w:t>Y</w:t>
            </w:r>
          </w:p>
        </w:tc>
      </w:tr>
      <w:tr w:rsidR="00492539" w:rsidRPr="002C633F" w14:paraId="6E83CDA9" w14:textId="77777777" w:rsidTr="00B60F21">
        <w:trPr>
          <w:cantSplit/>
        </w:trPr>
        <w:tc>
          <w:tcPr>
            <w:tcW w:w="2176" w:type="pct"/>
          </w:tcPr>
          <w:p w14:paraId="690FC817" w14:textId="4DA4CE15" w:rsidR="00492539" w:rsidRDefault="00492539" w:rsidP="003E2E36">
            <w:pPr>
              <w:pStyle w:val="TableText"/>
              <w:keepNext w:val="0"/>
              <w:widowControl w:val="0"/>
            </w:pPr>
            <w:r w:rsidRPr="009A2972">
              <w:t xml:space="preserve">Reduce price to give an ICER less than </w:t>
            </w:r>
            <w:r w:rsidRPr="004F5EF4">
              <w:t>$</w:t>
            </w:r>
            <w:r w:rsidR="00255D1B" w:rsidRPr="00255D1B">
              <w:rPr>
                <w:color w:val="000000"/>
                <w:spacing w:val="45"/>
                <w:shd w:val="solid" w:color="000000" w:fill="000000"/>
                <w:fitText w:val="330" w:id="-606363392"/>
                <w14:textFill>
                  <w14:solidFill>
                    <w14:srgbClr w14:val="000000">
                      <w14:alpha w14:val="100000"/>
                    </w14:srgbClr>
                  </w14:solidFill>
                </w14:textFill>
              </w:rPr>
              <w:t>|||</w:t>
            </w:r>
            <w:r w:rsidR="00255D1B" w:rsidRPr="00255D1B">
              <w:rPr>
                <w:color w:val="000000"/>
                <w:spacing w:val="15"/>
                <w:shd w:val="solid" w:color="000000" w:fill="000000"/>
                <w:fitText w:val="330" w:id="-606363392"/>
                <w14:textFill>
                  <w14:solidFill>
                    <w14:srgbClr w14:val="000000">
                      <w14:alpha w14:val="100000"/>
                    </w14:srgbClr>
                  </w14:solidFill>
                </w14:textFill>
              </w:rPr>
              <w:t>|</w:t>
            </w:r>
            <w:r w:rsidR="00490DDB" w:rsidRPr="00033AB8">
              <w:rPr>
                <w:vertAlign w:val="superscript"/>
              </w:rPr>
              <w:t>1</w:t>
            </w:r>
            <w:r w:rsidRPr="009A2972">
              <w:t xml:space="preserve"> per QALY gained using the revised model</w:t>
            </w:r>
            <w:r w:rsidR="009037E5">
              <w:t>:</w:t>
            </w:r>
          </w:p>
          <w:p w14:paraId="0EC57CBF" w14:textId="77777777" w:rsidR="009037E5" w:rsidRDefault="009037E5" w:rsidP="003E2E36">
            <w:pPr>
              <w:pStyle w:val="TableText"/>
              <w:keepNext w:val="0"/>
              <w:widowControl w:val="0"/>
            </w:pPr>
          </w:p>
          <w:p w14:paraId="5C9F432C" w14:textId="2518CDAB" w:rsidR="009037E5" w:rsidRPr="002C633F" w:rsidRDefault="009037E5" w:rsidP="003E2E36">
            <w:pPr>
              <w:pStyle w:val="TableText"/>
              <w:keepNext w:val="0"/>
              <w:widowControl w:val="0"/>
            </w:pPr>
            <w:r>
              <w:t xml:space="preserve">7.13 The PBAC considered the ESC respecified base case model (as outlined in paragraph 6.50) with the treatment duration cap for O+C removed provided a reasonable basis for assessing the cost-effectiveness of O+C compared to </w:t>
            </w:r>
            <w:proofErr w:type="spellStart"/>
            <w:r>
              <w:t>osimertinib</w:t>
            </w:r>
            <w:proofErr w:type="spellEnd"/>
            <w:r>
              <w:t xml:space="preserve">. The PBAC noted the ICER increased from </w:t>
            </w:r>
            <w:r w:rsidRPr="004F5EF4">
              <w:t>$</w:t>
            </w:r>
            <w:r w:rsidR="00255D1B" w:rsidRPr="00255D1B">
              <w:rPr>
                <w:color w:val="000000"/>
                <w:spacing w:val="45"/>
                <w:shd w:val="solid" w:color="000000" w:fill="000000"/>
                <w:fitText w:val="330" w:id="-606363391"/>
                <w14:textFill>
                  <w14:solidFill>
                    <w14:srgbClr w14:val="000000">
                      <w14:alpha w14:val="100000"/>
                    </w14:srgbClr>
                  </w14:solidFill>
                </w14:textFill>
              </w:rPr>
              <w:t>|||</w:t>
            </w:r>
            <w:r w:rsidR="00255D1B" w:rsidRPr="00255D1B">
              <w:rPr>
                <w:color w:val="000000"/>
                <w:spacing w:val="15"/>
                <w:shd w:val="solid" w:color="000000" w:fill="000000"/>
                <w:fitText w:val="330" w:id="-606363391"/>
                <w14:textFill>
                  <w14:solidFill>
                    <w14:srgbClr w14:val="000000">
                      <w14:alpha w14:val="100000"/>
                    </w14:srgbClr>
                  </w14:solidFill>
                </w14:textFill>
              </w:rPr>
              <w:t>|</w:t>
            </w:r>
            <w:r w:rsidR="00D4564A" w:rsidRPr="00033AB8">
              <w:rPr>
                <w:vertAlign w:val="superscript"/>
              </w:rPr>
              <w:t>1</w:t>
            </w:r>
            <w:r>
              <w:t xml:space="preserve"> per QALY to </w:t>
            </w:r>
            <w:r w:rsidRPr="004F5EF4">
              <w:t>$</w:t>
            </w:r>
            <w:r w:rsidR="00255D1B" w:rsidRPr="00255D1B">
              <w:rPr>
                <w:color w:val="000000"/>
                <w:spacing w:val="45"/>
                <w:shd w:val="solid" w:color="000000" w:fill="000000"/>
                <w:fitText w:val="330" w:id="-606363390"/>
                <w14:textFill>
                  <w14:solidFill>
                    <w14:srgbClr w14:val="000000">
                      <w14:alpha w14:val="100000"/>
                    </w14:srgbClr>
                  </w14:solidFill>
                </w14:textFill>
              </w:rPr>
              <w:t>|||</w:t>
            </w:r>
            <w:r w:rsidR="00255D1B" w:rsidRPr="00255D1B">
              <w:rPr>
                <w:color w:val="000000"/>
                <w:spacing w:val="15"/>
                <w:shd w:val="solid" w:color="000000" w:fill="000000"/>
                <w:fitText w:val="330" w:id="-606363390"/>
                <w14:textFill>
                  <w14:solidFill>
                    <w14:srgbClr w14:val="000000">
                      <w14:alpha w14:val="100000"/>
                    </w14:srgbClr>
                  </w14:solidFill>
                </w14:textFill>
              </w:rPr>
              <w:t>|</w:t>
            </w:r>
            <w:r w:rsidR="00C517E9" w:rsidRPr="00033AB8">
              <w:rPr>
                <w:vertAlign w:val="superscript"/>
              </w:rPr>
              <w:t>2</w:t>
            </w:r>
            <w:r>
              <w:t xml:space="preserve"> per QALY (based on an average treatment duration of </w:t>
            </w:r>
            <w:r w:rsidR="00255D1B" w:rsidRPr="00255D1B">
              <w:rPr>
                <w:color w:val="000000"/>
                <w:spacing w:val="45"/>
                <w:shd w:val="solid" w:color="000000" w:fill="000000"/>
                <w:fitText w:val="330" w:id="-606363389"/>
                <w14:textFill>
                  <w14:solidFill>
                    <w14:srgbClr w14:val="000000">
                      <w14:alpha w14:val="100000"/>
                    </w14:srgbClr>
                  </w14:solidFill>
                </w14:textFill>
              </w:rPr>
              <w:t>|||</w:t>
            </w:r>
            <w:r w:rsidR="00255D1B" w:rsidRPr="00255D1B">
              <w:rPr>
                <w:color w:val="000000"/>
                <w:spacing w:val="15"/>
                <w:shd w:val="solid" w:color="000000" w:fill="000000"/>
                <w:fitText w:val="330" w:id="-606363389"/>
                <w14:textFill>
                  <w14:solidFill>
                    <w14:srgbClr w14:val="000000">
                      <w14:alpha w14:val="100000"/>
                    </w14:srgbClr>
                  </w14:solidFill>
                </w14:textFill>
              </w:rPr>
              <w:t>|</w:t>
            </w:r>
            <w:r>
              <w:t xml:space="preserve"> months for O+C).</w:t>
            </w:r>
          </w:p>
        </w:tc>
        <w:tc>
          <w:tcPr>
            <w:tcW w:w="2176" w:type="pct"/>
            <w:vAlign w:val="center"/>
          </w:tcPr>
          <w:p w14:paraId="4476E090" w14:textId="42B758DD" w:rsidR="002A49C6" w:rsidRDefault="002A49C6" w:rsidP="003E2E36">
            <w:pPr>
              <w:pStyle w:val="TableText"/>
              <w:keepNext w:val="0"/>
              <w:widowControl w:val="0"/>
            </w:pPr>
            <w:r>
              <w:t>The base case economic model was revised for consistency with the ESC re-specified base case</w:t>
            </w:r>
            <w:r w:rsidR="000A29D0">
              <w:t xml:space="preserve"> (</w:t>
            </w:r>
            <w:r w:rsidR="00F943A4">
              <w:t>time horizon of 7.5 years</w:t>
            </w:r>
            <w:r w:rsidR="00715603">
              <w:t>, use of extrapolation functions with the lowest AIC, adjustment to AE costs)</w:t>
            </w:r>
            <w:r w:rsidR="00EA3F46">
              <w:t xml:space="preserve"> and removed the treatment </w:t>
            </w:r>
            <w:r w:rsidR="00DC5A40">
              <w:t>duration cap</w:t>
            </w:r>
            <w:r>
              <w:t xml:space="preserve">. </w:t>
            </w:r>
          </w:p>
          <w:p w14:paraId="1F91C1CA" w14:textId="77777777" w:rsidR="002A49C6" w:rsidRDefault="002A49C6" w:rsidP="003E2E36">
            <w:pPr>
              <w:pStyle w:val="TableText"/>
              <w:keepNext w:val="0"/>
              <w:widowControl w:val="0"/>
            </w:pPr>
          </w:p>
          <w:p w14:paraId="64E0DE1A" w14:textId="48295A96" w:rsidR="007B6593" w:rsidRPr="007B6593" w:rsidRDefault="002A49C6" w:rsidP="003E2E36">
            <w:pPr>
              <w:pStyle w:val="TableText"/>
              <w:keepNext w:val="0"/>
              <w:widowControl w:val="0"/>
            </w:pPr>
            <w:r>
              <w:t xml:space="preserve">The model re-specifications </w:t>
            </w:r>
            <w:r w:rsidR="000A7A41">
              <w:t xml:space="preserve">resulted in </w:t>
            </w:r>
            <w:r>
              <w:t xml:space="preserve">an ICER of </w:t>
            </w:r>
            <w:r w:rsidRPr="004F5EF4">
              <w:t>$</w:t>
            </w:r>
            <w:r w:rsidR="00255D1B" w:rsidRPr="00255D1B">
              <w:rPr>
                <w:color w:val="000000"/>
                <w:spacing w:val="45"/>
                <w:shd w:val="solid" w:color="000000" w:fill="000000"/>
                <w:fitText w:val="330" w:id="-606363388"/>
                <w14:textFill>
                  <w14:solidFill>
                    <w14:srgbClr w14:val="000000">
                      <w14:alpha w14:val="100000"/>
                    </w14:srgbClr>
                  </w14:solidFill>
                </w14:textFill>
              </w:rPr>
              <w:t>|||</w:t>
            </w:r>
            <w:r w:rsidR="00255D1B" w:rsidRPr="00255D1B">
              <w:rPr>
                <w:color w:val="000000"/>
                <w:spacing w:val="15"/>
                <w:shd w:val="solid" w:color="000000" w:fill="000000"/>
                <w:fitText w:val="330" w:id="-606363388"/>
                <w14:textFill>
                  <w14:solidFill>
                    <w14:srgbClr w14:val="000000">
                      <w14:alpha w14:val="100000"/>
                    </w14:srgbClr>
                  </w14:solidFill>
                </w14:textFill>
              </w:rPr>
              <w:t>|</w:t>
            </w:r>
            <w:r w:rsidR="00F35A1C" w:rsidRPr="00033AB8">
              <w:rPr>
                <w:vertAlign w:val="superscript"/>
              </w:rPr>
              <w:t>2</w:t>
            </w:r>
            <w:r>
              <w:t xml:space="preserve"> at the previously </w:t>
            </w:r>
            <w:r w:rsidR="000B6CCF">
              <w:t xml:space="preserve">proposed </w:t>
            </w:r>
            <w:r>
              <w:t>price (effective EMP $</w:t>
            </w:r>
            <w:r w:rsidR="00255D1B" w:rsidRPr="00255D1B">
              <w:rPr>
                <w:color w:val="000000"/>
                <w:spacing w:val="45"/>
                <w:shd w:val="solid" w:color="000000" w:fill="000000"/>
                <w:fitText w:val="330" w:id="-606363387"/>
                <w14:textFill>
                  <w14:solidFill>
                    <w14:srgbClr w14:val="000000">
                      <w14:alpha w14:val="100000"/>
                    </w14:srgbClr>
                  </w14:solidFill>
                </w14:textFill>
              </w:rPr>
              <w:t>|||</w:t>
            </w:r>
            <w:r w:rsidR="00255D1B" w:rsidRPr="00255D1B">
              <w:rPr>
                <w:color w:val="000000"/>
                <w:spacing w:val="15"/>
                <w:shd w:val="solid" w:color="000000" w:fill="000000"/>
                <w:fitText w:val="330" w:id="-606363387"/>
                <w14:textFill>
                  <w14:solidFill>
                    <w14:srgbClr w14:val="000000">
                      <w14:alpha w14:val="100000"/>
                    </w14:srgbClr>
                  </w14:solidFill>
                </w14:textFill>
              </w:rPr>
              <w:t>|</w:t>
            </w:r>
            <w:r>
              <w:t xml:space="preserve">). </w:t>
            </w:r>
            <w:r w:rsidR="007741AA">
              <w:t>An</w:t>
            </w:r>
            <w:r>
              <w:t xml:space="preserve"> ICER of </w:t>
            </w:r>
            <w:r w:rsidRPr="00CA2524">
              <w:t>$</w:t>
            </w:r>
            <w:r w:rsidR="00255D1B" w:rsidRPr="00255D1B">
              <w:rPr>
                <w:color w:val="000000"/>
                <w:spacing w:val="45"/>
                <w:shd w:val="solid" w:color="000000" w:fill="000000"/>
                <w:fitText w:val="330" w:id="-606363386"/>
                <w14:textFill>
                  <w14:solidFill>
                    <w14:srgbClr w14:val="000000">
                      <w14:alpha w14:val="100000"/>
                    </w14:srgbClr>
                  </w14:solidFill>
                </w14:textFill>
              </w:rPr>
              <w:t>|||</w:t>
            </w:r>
            <w:r w:rsidR="00255D1B" w:rsidRPr="00255D1B">
              <w:rPr>
                <w:color w:val="000000"/>
                <w:spacing w:val="15"/>
                <w:shd w:val="solid" w:color="000000" w:fill="000000"/>
                <w:fitText w:val="330" w:id="-606363386"/>
                <w14:textFill>
                  <w14:solidFill>
                    <w14:srgbClr w14:val="000000">
                      <w14:alpha w14:val="100000"/>
                    </w14:srgbClr>
                  </w14:solidFill>
                </w14:textFill>
              </w:rPr>
              <w:t>|</w:t>
            </w:r>
            <w:r w:rsidR="00D4564A" w:rsidRPr="003420C3">
              <w:rPr>
                <w:vertAlign w:val="superscript"/>
              </w:rPr>
              <w:t>1</w:t>
            </w:r>
            <w:r>
              <w:t xml:space="preserve">/QALY </w:t>
            </w:r>
            <w:r w:rsidR="007741AA">
              <w:t xml:space="preserve">is achieved with </w:t>
            </w:r>
            <w:r w:rsidR="003C373B">
              <w:t>th</w:t>
            </w:r>
            <w:r w:rsidR="00017CF0">
              <w:t>e</w:t>
            </w:r>
            <w:r>
              <w:t xml:space="preserve"> revised effective EMP of </w:t>
            </w:r>
            <w:r w:rsidRPr="00243618">
              <w:t>$</w:t>
            </w:r>
            <w:r w:rsidR="00255D1B" w:rsidRPr="00255D1B">
              <w:rPr>
                <w:color w:val="000000"/>
                <w:spacing w:val="45"/>
                <w:shd w:val="solid" w:color="000000" w:fill="000000"/>
                <w:fitText w:val="330" w:id="-606363385"/>
                <w14:textFill>
                  <w14:solidFill>
                    <w14:srgbClr w14:val="000000">
                      <w14:alpha w14:val="100000"/>
                    </w14:srgbClr>
                  </w14:solidFill>
                </w14:textFill>
              </w:rPr>
              <w:t>|||</w:t>
            </w:r>
            <w:r w:rsidR="00255D1B" w:rsidRPr="00255D1B">
              <w:rPr>
                <w:color w:val="000000"/>
                <w:spacing w:val="15"/>
                <w:shd w:val="solid" w:color="000000" w:fill="000000"/>
                <w:fitText w:val="330" w:id="-606363385"/>
                <w14:textFill>
                  <w14:solidFill>
                    <w14:srgbClr w14:val="000000">
                      <w14:alpha w14:val="100000"/>
                    </w14:srgbClr>
                  </w14:solidFill>
                </w14:textFill>
              </w:rPr>
              <w:t>|</w:t>
            </w:r>
            <w:r>
              <w:t xml:space="preserve"> in the O+C indication. </w:t>
            </w:r>
          </w:p>
        </w:tc>
        <w:tc>
          <w:tcPr>
            <w:tcW w:w="647" w:type="pct"/>
            <w:vAlign w:val="center"/>
          </w:tcPr>
          <w:p w14:paraId="7A6D4E21" w14:textId="54FF7ED7" w:rsidR="00492539" w:rsidRPr="002C633F" w:rsidRDefault="00EE66AF" w:rsidP="00033AB8">
            <w:pPr>
              <w:pStyle w:val="TableText"/>
              <w:keepNext w:val="0"/>
              <w:widowControl w:val="0"/>
              <w:jc w:val="center"/>
            </w:pPr>
            <w:r>
              <w:t>Y</w:t>
            </w:r>
          </w:p>
        </w:tc>
      </w:tr>
      <w:tr w:rsidR="00492539" w:rsidRPr="002C633F" w14:paraId="2DF1DD08" w14:textId="77777777" w:rsidTr="00B60F21">
        <w:trPr>
          <w:cantSplit/>
        </w:trPr>
        <w:tc>
          <w:tcPr>
            <w:tcW w:w="2176" w:type="pct"/>
          </w:tcPr>
          <w:p w14:paraId="334398EC" w14:textId="77777777" w:rsidR="009C3435" w:rsidRDefault="00492539" w:rsidP="003E2E36">
            <w:pPr>
              <w:pStyle w:val="TableText"/>
              <w:keepNext w:val="0"/>
              <w:widowControl w:val="0"/>
            </w:pPr>
            <w:r w:rsidRPr="009A2972">
              <w:t>Revision of the financial estimates</w:t>
            </w:r>
            <w:r w:rsidR="009C3435">
              <w:t>:</w:t>
            </w:r>
          </w:p>
          <w:p w14:paraId="1FC28602" w14:textId="77777777" w:rsidR="009C3435" w:rsidRDefault="009C3435" w:rsidP="003E2E36">
            <w:pPr>
              <w:pStyle w:val="TableText"/>
              <w:keepNext w:val="0"/>
              <w:widowControl w:val="0"/>
            </w:pPr>
          </w:p>
          <w:p w14:paraId="49207A7D" w14:textId="2DDF0994" w:rsidR="00492539" w:rsidRPr="002C633F" w:rsidRDefault="009C3435" w:rsidP="003E2E36">
            <w:pPr>
              <w:pStyle w:val="TableText"/>
              <w:keepNext w:val="0"/>
              <w:widowControl w:val="0"/>
            </w:pPr>
            <w:r w:rsidRPr="000919C6">
              <w:t>7.14</w:t>
            </w:r>
            <w:r>
              <w:t xml:space="preserve"> </w:t>
            </w:r>
            <w:r w:rsidRPr="000919C6">
              <w:t xml:space="preserve">The PBAC considered the assumed uptake of O+C of </w:t>
            </w:r>
            <w:r w:rsidR="00255D1B" w:rsidRPr="00255D1B">
              <w:rPr>
                <w:color w:val="000000"/>
                <w:spacing w:val="45"/>
                <w:shd w:val="solid" w:color="000000" w:fill="000000"/>
                <w:fitText w:val="330" w:id="-606363384"/>
                <w14:textFill>
                  <w14:solidFill>
                    <w14:srgbClr w14:val="000000">
                      <w14:alpha w14:val="100000"/>
                    </w14:srgbClr>
                  </w14:solidFill>
                </w14:textFill>
              </w:rPr>
              <w:t>|||</w:t>
            </w:r>
            <w:r w:rsidR="00255D1B" w:rsidRPr="00255D1B">
              <w:rPr>
                <w:color w:val="000000"/>
                <w:spacing w:val="15"/>
                <w:shd w:val="solid" w:color="000000" w:fill="000000"/>
                <w:fitText w:val="330" w:id="-606363384"/>
                <w14:textFill>
                  <w14:solidFill>
                    <w14:srgbClr w14:val="000000">
                      <w14:alpha w14:val="100000"/>
                    </w14:srgbClr>
                  </w14:solidFill>
                </w14:textFill>
              </w:rPr>
              <w:t>|</w:t>
            </w:r>
            <w:r w:rsidRPr="000919C6">
              <w:t xml:space="preserve">% of patients eligible for first-line </w:t>
            </w:r>
            <w:proofErr w:type="spellStart"/>
            <w:r w:rsidRPr="000919C6">
              <w:t>osimertinib</w:t>
            </w:r>
            <w:proofErr w:type="spellEnd"/>
            <w:r w:rsidRPr="000919C6">
              <w:t xml:space="preserve"> monotherapy was overestimated, noting the toxicity of the combination. The PBAC considered the financial estimates would require revision and advised it would be reasonable to consider an uptake rate of </w:t>
            </w:r>
            <w:r w:rsidRPr="004412A7">
              <w:t>30% to 40</w:t>
            </w:r>
            <w:r w:rsidRPr="000919C6">
              <w:t xml:space="preserve">%.  The PBAC considered the inclusion of some prevalent patients was appropriate; however, the uptake in this population should be less </w:t>
            </w:r>
            <w:r w:rsidRPr="004412A7">
              <w:t>than 30</w:t>
            </w:r>
            <w:r w:rsidRPr="000919C6">
              <w:t xml:space="preserve">%.  The PBAC noted the financial estimates assumed a capped treatment duration of </w:t>
            </w:r>
            <w:r w:rsidR="00255D1B" w:rsidRPr="00255D1B">
              <w:rPr>
                <w:color w:val="000000"/>
                <w:spacing w:val="45"/>
                <w:shd w:val="solid" w:color="000000" w:fill="000000"/>
                <w:fitText w:val="330" w:id="-606363383"/>
                <w14:textFill>
                  <w14:solidFill>
                    <w14:srgbClr w14:val="000000">
                      <w14:alpha w14:val="100000"/>
                    </w14:srgbClr>
                  </w14:solidFill>
                </w14:textFill>
              </w:rPr>
              <w:t>|||</w:t>
            </w:r>
            <w:r w:rsidR="00255D1B" w:rsidRPr="00255D1B">
              <w:rPr>
                <w:color w:val="000000"/>
                <w:spacing w:val="15"/>
                <w:shd w:val="solid" w:color="000000" w:fill="000000"/>
                <w:fitText w:val="330" w:id="-606363383"/>
                <w14:textFill>
                  <w14:solidFill>
                    <w14:srgbClr w14:val="000000">
                      <w14:alpha w14:val="100000"/>
                    </w14:srgbClr>
                  </w14:solidFill>
                </w14:textFill>
              </w:rPr>
              <w:t>|</w:t>
            </w:r>
            <w:r w:rsidRPr="000919C6">
              <w:t xml:space="preserve"> months per patient and considered this was not appropriate and the financials should apply a mean treatment duration of </w:t>
            </w:r>
            <w:r w:rsidR="00255D1B" w:rsidRPr="00255D1B">
              <w:rPr>
                <w:color w:val="000000"/>
                <w:spacing w:val="45"/>
                <w:shd w:val="solid" w:color="000000" w:fill="000000"/>
                <w:fitText w:val="330" w:id="-606363382"/>
                <w14:textFill>
                  <w14:solidFill>
                    <w14:srgbClr w14:val="000000">
                      <w14:alpha w14:val="100000"/>
                    </w14:srgbClr>
                  </w14:solidFill>
                </w14:textFill>
              </w:rPr>
              <w:t>|||</w:t>
            </w:r>
            <w:r w:rsidR="00255D1B" w:rsidRPr="00255D1B">
              <w:rPr>
                <w:color w:val="000000"/>
                <w:spacing w:val="15"/>
                <w:shd w:val="solid" w:color="000000" w:fill="000000"/>
                <w:fitText w:val="330" w:id="-606363382"/>
                <w14:textFill>
                  <w14:solidFill>
                    <w14:srgbClr w14:val="000000">
                      <w14:alpha w14:val="100000"/>
                    </w14:srgbClr>
                  </w14:solidFill>
                </w14:textFill>
              </w:rPr>
              <w:t>|</w:t>
            </w:r>
            <w:r w:rsidRPr="000919C6">
              <w:t xml:space="preserve"> months</w:t>
            </w:r>
            <w:r>
              <w:t>.</w:t>
            </w:r>
            <w:r w:rsidR="00492539" w:rsidRPr="009A2972">
              <w:t xml:space="preserve"> </w:t>
            </w:r>
          </w:p>
        </w:tc>
        <w:tc>
          <w:tcPr>
            <w:tcW w:w="2176" w:type="pct"/>
            <w:vAlign w:val="center"/>
          </w:tcPr>
          <w:p w14:paraId="28642A83" w14:textId="6BA1B0B6" w:rsidR="008C6A94" w:rsidRDefault="008C6A94" w:rsidP="003E2E36">
            <w:pPr>
              <w:widowControl w:val="0"/>
              <w:jc w:val="left"/>
              <w:rPr>
                <w:rFonts w:ascii="Arial Narrow" w:eastAsiaTheme="majorEastAsia" w:hAnsi="Arial Narrow" w:cs="Arial"/>
                <w:sz w:val="20"/>
                <w:szCs w:val="20"/>
                <w:lang w:bidi="en-US"/>
              </w:rPr>
            </w:pPr>
            <w:r>
              <w:rPr>
                <w:rFonts w:ascii="Arial Narrow" w:eastAsiaTheme="majorEastAsia" w:hAnsi="Arial Narrow" w:cs="Arial"/>
                <w:sz w:val="20"/>
                <w:szCs w:val="20"/>
                <w:lang w:bidi="en-US"/>
              </w:rPr>
              <w:t xml:space="preserve">A revised uptake of </w:t>
            </w:r>
            <w:r w:rsidR="00255D1B" w:rsidRPr="00255D1B">
              <w:rPr>
                <w:rFonts w:ascii="Arial Narrow" w:eastAsiaTheme="majorEastAsia" w:hAnsi="Arial Narrow" w:cs="Arial"/>
                <w:color w:val="000000"/>
                <w:spacing w:val="45"/>
                <w:sz w:val="20"/>
                <w:szCs w:val="20"/>
                <w:shd w:val="solid" w:color="000000" w:fill="000000"/>
                <w:fitText w:val="330" w:id="-606363381"/>
                <w:lang w:bidi="en-US"/>
                <w14:textFill>
                  <w14:solidFill>
                    <w14:srgbClr w14:val="000000">
                      <w14:alpha w14:val="100000"/>
                    </w14:srgbClr>
                  </w14:solidFill>
                </w14:textFill>
              </w:rPr>
              <w:t>|||</w:t>
            </w:r>
            <w:r w:rsidR="00255D1B" w:rsidRPr="00255D1B">
              <w:rPr>
                <w:rFonts w:ascii="Arial Narrow" w:eastAsiaTheme="majorEastAsia" w:hAnsi="Arial Narrow" w:cs="Arial"/>
                <w:color w:val="000000"/>
                <w:spacing w:val="15"/>
                <w:sz w:val="20"/>
                <w:szCs w:val="20"/>
                <w:shd w:val="solid" w:color="000000" w:fill="000000"/>
                <w:fitText w:val="330" w:id="-606363381"/>
                <w:lang w:bidi="en-US"/>
                <w14:textFill>
                  <w14:solidFill>
                    <w14:srgbClr w14:val="000000">
                      <w14:alpha w14:val="100000"/>
                    </w14:srgbClr>
                  </w14:solidFill>
                </w14:textFill>
              </w:rPr>
              <w:t>|</w:t>
            </w:r>
            <w:r>
              <w:rPr>
                <w:rFonts w:ascii="Arial Narrow" w:eastAsiaTheme="majorEastAsia" w:hAnsi="Arial Narrow" w:cs="Arial"/>
                <w:sz w:val="20"/>
                <w:szCs w:val="20"/>
                <w:lang w:bidi="en-US"/>
              </w:rPr>
              <w:t xml:space="preserve">% for O+C </w:t>
            </w:r>
            <w:r w:rsidR="00A7065C">
              <w:rPr>
                <w:rFonts w:ascii="Arial Narrow" w:eastAsiaTheme="majorEastAsia" w:hAnsi="Arial Narrow" w:cs="Arial"/>
                <w:sz w:val="20"/>
                <w:szCs w:val="20"/>
                <w:lang w:bidi="en-US"/>
              </w:rPr>
              <w:t>wa</w:t>
            </w:r>
            <w:r>
              <w:rPr>
                <w:rFonts w:ascii="Arial Narrow" w:eastAsiaTheme="majorEastAsia" w:hAnsi="Arial Narrow" w:cs="Arial"/>
                <w:sz w:val="20"/>
                <w:szCs w:val="20"/>
                <w:lang w:bidi="en-US"/>
              </w:rPr>
              <w:t xml:space="preserve">s used. The revised uptake assumption in prevalent patients </w:t>
            </w:r>
            <w:r w:rsidR="008F2852">
              <w:rPr>
                <w:rFonts w:ascii="Arial Narrow" w:eastAsiaTheme="majorEastAsia" w:hAnsi="Arial Narrow" w:cs="Arial"/>
                <w:sz w:val="20"/>
                <w:szCs w:val="20"/>
                <w:lang w:bidi="en-US"/>
              </w:rPr>
              <w:t>wa</w:t>
            </w:r>
            <w:r>
              <w:rPr>
                <w:rFonts w:ascii="Arial Narrow" w:eastAsiaTheme="majorEastAsia" w:hAnsi="Arial Narrow" w:cs="Arial"/>
                <w:sz w:val="20"/>
                <w:szCs w:val="20"/>
                <w:lang w:bidi="en-US"/>
              </w:rPr>
              <w:t xml:space="preserve">s </w:t>
            </w:r>
            <w:r w:rsidR="00255D1B" w:rsidRPr="00255D1B">
              <w:rPr>
                <w:rFonts w:ascii="Arial Narrow" w:eastAsiaTheme="majorEastAsia" w:hAnsi="Arial Narrow" w:cs="Arial"/>
                <w:color w:val="000000"/>
                <w:spacing w:val="45"/>
                <w:sz w:val="20"/>
                <w:szCs w:val="20"/>
                <w:shd w:val="solid" w:color="000000" w:fill="000000"/>
                <w:fitText w:val="330" w:id="-606363380"/>
                <w:lang w:bidi="en-US"/>
                <w14:textFill>
                  <w14:solidFill>
                    <w14:srgbClr w14:val="000000">
                      <w14:alpha w14:val="100000"/>
                    </w14:srgbClr>
                  </w14:solidFill>
                </w14:textFill>
              </w:rPr>
              <w:t>|||</w:t>
            </w:r>
            <w:r w:rsidR="00255D1B" w:rsidRPr="00255D1B">
              <w:rPr>
                <w:rFonts w:ascii="Arial Narrow" w:eastAsiaTheme="majorEastAsia" w:hAnsi="Arial Narrow" w:cs="Arial"/>
                <w:color w:val="000000"/>
                <w:spacing w:val="15"/>
                <w:sz w:val="20"/>
                <w:szCs w:val="20"/>
                <w:shd w:val="solid" w:color="000000" w:fill="000000"/>
                <w:fitText w:val="330" w:id="-606363380"/>
                <w:lang w:bidi="en-US"/>
                <w14:textFill>
                  <w14:solidFill>
                    <w14:srgbClr w14:val="000000">
                      <w14:alpha w14:val="100000"/>
                    </w14:srgbClr>
                  </w14:solidFill>
                </w14:textFill>
              </w:rPr>
              <w:t>|</w:t>
            </w:r>
            <w:r>
              <w:rPr>
                <w:rFonts w:ascii="Arial Narrow" w:eastAsiaTheme="majorEastAsia" w:hAnsi="Arial Narrow" w:cs="Arial"/>
                <w:sz w:val="20"/>
                <w:szCs w:val="20"/>
                <w:lang w:bidi="en-US"/>
              </w:rPr>
              <w:t>%.</w:t>
            </w:r>
          </w:p>
          <w:p w14:paraId="25BFAB13" w14:textId="77777777" w:rsidR="008C6A94" w:rsidRDefault="008C6A94" w:rsidP="003E2E36">
            <w:pPr>
              <w:widowControl w:val="0"/>
              <w:jc w:val="left"/>
              <w:rPr>
                <w:rFonts w:ascii="Arial Narrow" w:eastAsiaTheme="majorEastAsia" w:hAnsi="Arial Narrow" w:cs="Arial"/>
                <w:sz w:val="20"/>
                <w:szCs w:val="20"/>
                <w:lang w:bidi="en-US"/>
              </w:rPr>
            </w:pPr>
          </w:p>
          <w:p w14:paraId="4512B651" w14:textId="61FB4EFC" w:rsidR="008C6A94" w:rsidRDefault="008C6A94" w:rsidP="003E2E36">
            <w:pPr>
              <w:widowControl w:val="0"/>
              <w:jc w:val="left"/>
              <w:rPr>
                <w:rFonts w:ascii="Arial Narrow" w:eastAsiaTheme="majorEastAsia" w:hAnsi="Arial Narrow" w:cs="Arial"/>
                <w:sz w:val="20"/>
                <w:szCs w:val="20"/>
                <w:lang w:bidi="en-US"/>
              </w:rPr>
            </w:pPr>
            <w:r>
              <w:rPr>
                <w:rFonts w:ascii="Arial Narrow" w:eastAsiaTheme="majorEastAsia" w:hAnsi="Arial Narrow" w:cs="Arial"/>
                <w:sz w:val="20"/>
                <w:szCs w:val="20"/>
                <w:lang w:bidi="en-US"/>
              </w:rPr>
              <w:t xml:space="preserve">The capped treatment duration of </w:t>
            </w:r>
            <w:r w:rsidR="00255D1B" w:rsidRPr="00255D1B">
              <w:rPr>
                <w:rFonts w:ascii="Arial Narrow" w:eastAsiaTheme="majorEastAsia" w:hAnsi="Arial Narrow" w:cs="Arial"/>
                <w:color w:val="000000"/>
                <w:spacing w:val="45"/>
                <w:sz w:val="20"/>
                <w:szCs w:val="20"/>
                <w:shd w:val="solid" w:color="000000" w:fill="000000"/>
                <w:fitText w:val="330" w:id="-606363379"/>
                <w:lang w:bidi="en-US"/>
                <w14:textFill>
                  <w14:solidFill>
                    <w14:srgbClr w14:val="000000">
                      <w14:alpha w14:val="100000"/>
                    </w14:srgbClr>
                  </w14:solidFill>
                </w14:textFill>
              </w:rPr>
              <w:t>|||</w:t>
            </w:r>
            <w:r w:rsidR="00255D1B" w:rsidRPr="00255D1B">
              <w:rPr>
                <w:rFonts w:ascii="Arial Narrow" w:eastAsiaTheme="majorEastAsia" w:hAnsi="Arial Narrow" w:cs="Arial"/>
                <w:color w:val="000000"/>
                <w:spacing w:val="15"/>
                <w:sz w:val="20"/>
                <w:szCs w:val="20"/>
                <w:shd w:val="solid" w:color="000000" w:fill="000000"/>
                <w:fitText w:val="330" w:id="-606363379"/>
                <w:lang w:bidi="en-US"/>
                <w14:textFill>
                  <w14:solidFill>
                    <w14:srgbClr w14:val="000000">
                      <w14:alpha w14:val="100000"/>
                    </w14:srgbClr>
                  </w14:solidFill>
                </w14:textFill>
              </w:rPr>
              <w:t>|</w:t>
            </w:r>
            <w:r>
              <w:rPr>
                <w:rFonts w:ascii="Arial Narrow" w:eastAsiaTheme="majorEastAsia" w:hAnsi="Arial Narrow" w:cs="Arial"/>
                <w:sz w:val="20"/>
                <w:szCs w:val="20"/>
                <w:lang w:bidi="en-US"/>
              </w:rPr>
              <w:t xml:space="preserve"> months </w:t>
            </w:r>
            <w:r w:rsidR="008F2852">
              <w:rPr>
                <w:rFonts w:ascii="Arial Narrow" w:eastAsiaTheme="majorEastAsia" w:hAnsi="Arial Narrow" w:cs="Arial"/>
                <w:sz w:val="20"/>
                <w:szCs w:val="20"/>
                <w:lang w:bidi="en-US"/>
              </w:rPr>
              <w:t xml:space="preserve">was </w:t>
            </w:r>
            <w:r>
              <w:rPr>
                <w:rFonts w:ascii="Arial Narrow" w:eastAsiaTheme="majorEastAsia" w:hAnsi="Arial Narrow" w:cs="Arial"/>
                <w:sz w:val="20"/>
                <w:szCs w:val="20"/>
                <w:lang w:bidi="en-US"/>
              </w:rPr>
              <w:t>removed from the updated financial estimates.</w:t>
            </w:r>
          </w:p>
          <w:p w14:paraId="79E92706" w14:textId="77777777" w:rsidR="008C6A94" w:rsidRDefault="008C6A94" w:rsidP="003E2E36">
            <w:pPr>
              <w:widowControl w:val="0"/>
              <w:rPr>
                <w:rFonts w:ascii="Arial Narrow" w:eastAsiaTheme="majorEastAsia" w:hAnsi="Arial Narrow" w:cs="Arial"/>
                <w:sz w:val="20"/>
                <w:szCs w:val="20"/>
                <w:lang w:bidi="en-US"/>
              </w:rPr>
            </w:pPr>
          </w:p>
          <w:p w14:paraId="7E07F94E" w14:textId="2BD09EAB" w:rsidR="007B6593" w:rsidRPr="007B6593" w:rsidRDefault="008C6A94" w:rsidP="003E2E36">
            <w:pPr>
              <w:pStyle w:val="TableText"/>
              <w:keepNext w:val="0"/>
              <w:widowControl w:val="0"/>
            </w:pPr>
            <w:r>
              <w:rPr>
                <w:rFonts w:cs="Arial"/>
                <w:szCs w:val="20"/>
                <w:lang w:bidi="en-US"/>
              </w:rPr>
              <w:t xml:space="preserve">The updated mean treatment duration of </w:t>
            </w:r>
            <w:r w:rsidR="00255D1B" w:rsidRPr="00255D1B">
              <w:rPr>
                <w:rFonts w:cs="Arial"/>
                <w:color w:val="000000"/>
                <w:spacing w:val="45"/>
                <w:szCs w:val="20"/>
                <w:shd w:val="solid" w:color="000000" w:fill="000000"/>
                <w:fitText w:val="330" w:id="-606363378"/>
                <w:lang w:bidi="en-US"/>
                <w14:textFill>
                  <w14:solidFill>
                    <w14:srgbClr w14:val="000000">
                      <w14:alpha w14:val="100000"/>
                    </w14:srgbClr>
                  </w14:solidFill>
                </w14:textFill>
              </w:rPr>
              <w:t>|||</w:t>
            </w:r>
            <w:r w:rsidR="00255D1B" w:rsidRPr="00255D1B">
              <w:rPr>
                <w:rFonts w:cs="Arial"/>
                <w:color w:val="000000"/>
                <w:spacing w:val="15"/>
                <w:szCs w:val="20"/>
                <w:shd w:val="solid" w:color="000000" w:fill="000000"/>
                <w:fitText w:val="330" w:id="-606363378"/>
                <w:lang w:bidi="en-US"/>
                <w14:textFill>
                  <w14:solidFill>
                    <w14:srgbClr w14:val="000000">
                      <w14:alpha w14:val="100000"/>
                    </w14:srgbClr>
                  </w14:solidFill>
                </w14:textFill>
              </w:rPr>
              <w:t>|</w:t>
            </w:r>
            <w:r>
              <w:rPr>
                <w:rFonts w:cs="Arial"/>
                <w:szCs w:val="20"/>
                <w:lang w:bidi="en-US"/>
              </w:rPr>
              <w:t xml:space="preserve"> months </w:t>
            </w:r>
            <w:r w:rsidR="00805AF3">
              <w:rPr>
                <w:rFonts w:cs="Arial"/>
                <w:szCs w:val="20"/>
                <w:lang w:bidi="en-US"/>
              </w:rPr>
              <w:t>was</w:t>
            </w:r>
            <w:r>
              <w:rPr>
                <w:rFonts w:cs="Arial"/>
                <w:szCs w:val="20"/>
                <w:lang w:bidi="en-US"/>
              </w:rPr>
              <w:t xml:space="preserve"> applied in the financial estimates.</w:t>
            </w:r>
          </w:p>
        </w:tc>
        <w:tc>
          <w:tcPr>
            <w:tcW w:w="647" w:type="pct"/>
            <w:vAlign w:val="center"/>
          </w:tcPr>
          <w:p w14:paraId="5175BB10" w14:textId="0CCCA2F7" w:rsidR="00492539" w:rsidRPr="002C633F" w:rsidRDefault="009C3435" w:rsidP="00033AB8">
            <w:pPr>
              <w:pStyle w:val="TableText"/>
              <w:keepNext w:val="0"/>
              <w:widowControl w:val="0"/>
              <w:jc w:val="center"/>
            </w:pPr>
            <w:r>
              <w:t>Y</w:t>
            </w:r>
          </w:p>
        </w:tc>
      </w:tr>
      <w:tr w:rsidR="00492539" w:rsidRPr="002C633F" w14:paraId="3B47EDB5" w14:textId="77777777" w:rsidTr="00B60F21">
        <w:trPr>
          <w:cantSplit/>
        </w:trPr>
        <w:tc>
          <w:tcPr>
            <w:tcW w:w="2176" w:type="pct"/>
          </w:tcPr>
          <w:p w14:paraId="12EA9A6A" w14:textId="77777777" w:rsidR="00492539" w:rsidRDefault="00492539" w:rsidP="003E2E36">
            <w:pPr>
              <w:pStyle w:val="TableText"/>
              <w:keepNext w:val="0"/>
              <w:widowControl w:val="0"/>
            </w:pPr>
            <w:r w:rsidRPr="009A2972">
              <w:t xml:space="preserve">Propose </w:t>
            </w:r>
            <w:r>
              <w:t xml:space="preserve">a revised </w:t>
            </w:r>
            <w:proofErr w:type="spellStart"/>
            <w:r>
              <w:t>osimertinib</w:t>
            </w:r>
            <w:proofErr w:type="spellEnd"/>
            <w:r>
              <w:t xml:space="preserve"> risk-sharing arrangement proposal</w:t>
            </w:r>
            <w:r w:rsidR="008D2D4B">
              <w:t>:</w:t>
            </w:r>
          </w:p>
          <w:p w14:paraId="6E55EC28" w14:textId="77777777" w:rsidR="008D2D4B" w:rsidRDefault="008D2D4B" w:rsidP="003E2E36">
            <w:pPr>
              <w:pStyle w:val="TableText"/>
              <w:keepNext w:val="0"/>
              <w:widowControl w:val="0"/>
            </w:pPr>
          </w:p>
          <w:p w14:paraId="1FA45752" w14:textId="57DC3147" w:rsidR="008D2D4B" w:rsidRPr="002C633F" w:rsidRDefault="008D2D4B" w:rsidP="003E2E36">
            <w:pPr>
              <w:pStyle w:val="TableText"/>
              <w:keepNext w:val="0"/>
              <w:widowControl w:val="0"/>
            </w:pPr>
            <w:r>
              <w:t>7</w:t>
            </w:r>
            <w:r w:rsidRPr="005815C6">
              <w:t>.15</w:t>
            </w:r>
            <w:r>
              <w:t xml:space="preserve"> </w:t>
            </w:r>
            <w:r w:rsidRPr="005815C6">
              <w:t xml:space="preserve">The PBAC considered it would be appropriate for O+C to join the risk sharing agreement for </w:t>
            </w:r>
            <w:proofErr w:type="spellStart"/>
            <w:r w:rsidRPr="005815C6">
              <w:t>osimertinib</w:t>
            </w:r>
            <w:proofErr w:type="spellEnd"/>
            <w:r w:rsidRPr="005815C6">
              <w:t xml:space="preserve"> that currently includes the PBS listings for first-line, second-line, adjuvant use. An increase in the caps to account for additional net expenditure on </w:t>
            </w:r>
            <w:proofErr w:type="spellStart"/>
            <w:r w:rsidRPr="005815C6">
              <w:t>osimertinib</w:t>
            </w:r>
            <w:proofErr w:type="spellEnd"/>
            <w:r w:rsidRPr="005815C6">
              <w:t xml:space="preserve"> associated with the extended listing would be reasonable</w:t>
            </w:r>
          </w:p>
        </w:tc>
        <w:tc>
          <w:tcPr>
            <w:tcW w:w="2176" w:type="pct"/>
            <w:vAlign w:val="center"/>
          </w:tcPr>
          <w:p w14:paraId="7EB6A7C5" w14:textId="1DA1AD39" w:rsidR="00492539" w:rsidRPr="002C633F" w:rsidRDefault="00F515C1" w:rsidP="003E2E36">
            <w:pPr>
              <w:pStyle w:val="TableText"/>
              <w:keepNext w:val="0"/>
              <w:widowControl w:val="0"/>
            </w:pPr>
            <w:r>
              <w:t>A revised Risk Sharing A</w:t>
            </w:r>
            <w:r w:rsidR="054F59BC">
              <w:t>rrang</w:t>
            </w:r>
            <w:r>
              <w:t xml:space="preserve">ement for </w:t>
            </w:r>
            <w:proofErr w:type="spellStart"/>
            <w:r>
              <w:t>osimertinib</w:t>
            </w:r>
            <w:proofErr w:type="spellEnd"/>
            <w:r>
              <w:t xml:space="preserve"> indications </w:t>
            </w:r>
            <w:r w:rsidR="00572AEA">
              <w:t>wa</w:t>
            </w:r>
            <w:r>
              <w:t>s proposed.</w:t>
            </w:r>
          </w:p>
        </w:tc>
        <w:tc>
          <w:tcPr>
            <w:tcW w:w="647" w:type="pct"/>
            <w:vAlign w:val="center"/>
          </w:tcPr>
          <w:p w14:paraId="404F3F9B" w14:textId="06E92A59" w:rsidR="00492539" w:rsidRPr="002C633F" w:rsidRDefault="00F515C1" w:rsidP="00033AB8">
            <w:pPr>
              <w:pStyle w:val="TableText"/>
              <w:keepNext w:val="0"/>
              <w:widowControl w:val="0"/>
              <w:jc w:val="center"/>
            </w:pPr>
            <w:r>
              <w:t>Y</w:t>
            </w:r>
          </w:p>
        </w:tc>
      </w:tr>
    </w:tbl>
    <w:p w14:paraId="32B95A78" w14:textId="3FEABA9B" w:rsidR="009D55E2" w:rsidRPr="00527305" w:rsidRDefault="009D55E2" w:rsidP="00033AB8">
      <w:pPr>
        <w:pStyle w:val="TableFigureFooter"/>
        <w:rPr>
          <w:szCs w:val="18"/>
        </w:rPr>
      </w:pPr>
      <w:r w:rsidRPr="00527305">
        <w:rPr>
          <w:szCs w:val="18"/>
        </w:rPr>
        <w:lastRenderedPageBreak/>
        <w:t>Source: Table</w:t>
      </w:r>
      <w:r w:rsidR="00486163" w:rsidRPr="00527305">
        <w:rPr>
          <w:szCs w:val="18"/>
        </w:rPr>
        <w:t xml:space="preserve"> 1-1</w:t>
      </w:r>
      <w:r w:rsidRPr="00527305">
        <w:rPr>
          <w:szCs w:val="18"/>
        </w:rPr>
        <w:t>, pp</w:t>
      </w:r>
      <w:r w:rsidR="00486163" w:rsidRPr="00527305">
        <w:rPr>
          <w:szCs w:val="18"/>
        </w:rPr>
        <w:t xml:space="preserve">9-10 </w:t>
      </w:r>
      <w:r w:rsidRPr="00527305">
        <w:rPr>
          <w:szCs w:val="18"/>
        </w:rPr>
        <w:t xml:space="preserve">of the </w:t>
      </w:r>
      <w:r w:rsidR="00486163" w:rsidRPr="00527305">
        <w:rPr>
          <w:szCs w:val="18"/>
        </w:rPr>
        <w:t>re</w:t>
      </w:r>
      <w:r w:rsidRPr="00527305">
        <w:rPr>
          <w:szCs w:val="18"/>
        </w:rPr>
        <w:t>submission</w:t>
      </w:r>
    </w:p>
    <w:p w14:paraId="4847CE62" w14:textId="37557DB6" w:rsidR="008B2E88" w:rsidRPr="00033AB8" w:rsidRDefault="008B2E88" w:rsidP="00033AB8">
      <w:pPr>
        <w:pStyle w:val="TableFigureFooter"/>
        <w:rPr>
          <w:szCs w:val="18"/>
          <w:lang w:eastAsia="en-US"/>
        </w:rPr>
      </w:pPr>
      <w:r w:rsidRPr="00033AB8">
        <w:rPr>
          <w:szCs w:val="18"/>
          <w:lang w:eastAsia="en-US"/>
        </w:rPr>
        <w:t xml:space="preserve">EMP = ex-manufacturer price, ICER = incremental cost effectiveness ratio; O+C = </w:t>
      </w:r>
      <w:proofErr w:type="spellStart"/>
      <w:r w:rsidRPr="00033AB8">
        <w:rPr>
          <w:szCs w:val="18"/>
          <w:lang w:eastAsia="en-US"/>
        </w:rPr>
        <w:t>osimertinib</w:t>
      </w:r>
      <w:proofErr w:type="spellEnd"/>
      <w:r w:rsidRPr="00033AB8">
        <w:rPr>
          <w:szCs w:val="18"/>
          <w:lang w:eastAsia="en-US"/>
        </w:rPr>
        <w:t xml:space="preserve"> in combination with chemotherapy, QALY = quality adjusted life year</w:t>
      </w:r>
    </w:p>
    <w:p w14:paraId="3698F97D" w14:textId="77777777" w:rsidR="00C829A0" w:rsidRPr="00527305" w:rsidRDefault="00C829A0" w:rsidP="00527305">
      <w:pPr>
        <w:pStyle w:val="TableFigureFooter"/>
        <w:rPr>
          <w:i/>
          <w:iCs/>
          <w:szCs w:val="18"/>
        </w:rPr>
      </w:pPr>
      <w:r w:rsidRPr="00527305">
        <w:rPr>
          <w:i/>
          <w:iCs/>
          <w:szCs w:val="18"/>
        </w:rPr>
        <w:t>The redacted values correspond to the following ranges:</w:t>
      </w:r>
    </w:p>
    <w:p w14:paraId="62538EE0" w14:textId="25EBDA07" w:rsidR="00EA0AAF" w:rsidRPr="00527305" w:rsidRDefault="00C829A0" w:rsidP="00527305">
      <w:pPr>
        <w:pStyle w:val="TableFigureFooter"/>
        <w:rPr>
          <w:i/>
          <w:iCs/>
          <w:szCs w:val="18"/>
        </w:rPr>
      </w:pPr>
      <w:r w:rsidRPr="00527305">
        <w:rPr>
          <w:i/>
          <w:iCs/>
          <w:szCs w:val="18"/>
          <w:vertAlign w:val="superscript"/>
        </w:rPr>
        <w:t>1</w:t>
      </w:r>
      <w:r w:rsidRPr="00527305">
        <w:rPr>
          <w:i/>
          <w:iCs/>
          <w:szCs w:val="18"/>
        </w:rPr>
        <w:t xml:space="preserve"> </w:t>
      </w:r>
      <w:bookmarkStart w:id="0" w:name="_Hlk213246346"/>
      <w:r w:rsidR="00EA0AAF" w:rsidRPr="00527305">
        <w:rPr>
          <w:i/>
          <w:iCs/>
          <w:szCs w:val="18"/>
        </w:rPr>
        <w:t xml:space="preserve">$55,000 to &lt; $75,000 </w:t>
      </w:r>
    </w:p>
    <w:p w14:paraId="49221B37" w14:textId="77777777" w:rsidR="00833DF4" w:rsidRPr="00527305" w:rsidRDefault="00833DF4" w:rsidP="00527305">
      <w:pPr>
        <w:pStyle w:val="TableFigureFooter"/>
        <w:rPr>
          <w:i/>
          <w:iCs/>
          <w:szCs w:val="18"/>
        </w:rPr>
      </w:pPr>
      <w:r w:rsidRPr="00033AB8">
        <w:rPr>
          <w:i/>
          <w:iCs/>
          <w:szCs w:val="18"/>
          <w:vertAlign w:val="superscript"/>
        </w:rPr>
        <w:t xml:space="preserve">2 </w:t>
      </w:r>
      <w:r w:rsidRPr="00527305">
        <w:rPr>
          <w:i/>
          <w:iCs/>
          <w:szCs w:val="18"/>
        </w:rPr>
        <w:t>$115,000 to &lt; $135,000</w:t>
      </w:r>
    </w:p>
    <w:bookmarkEnd w:id="0"/>
    <w:p w14:paraId="0935F4B2" w14:textId="15DE73BB" w:rsidR="5D80A09E" w:rsidRPr="006C5B33" w:rsidRDefault="004877C2" w:rsidP="006C5B33">
      <w:pPr>
        <w:pStyle w:val="2-SectionHeading"/>
        <w:rPr>
          <w:rFonts w:eastAsiaTheme="minorEastAsia"/>
        </w:rPr>
      </w:pPr>
      <w:r w:rsidRPr="006C5B33">
        <w:t>Background</w:t>
      </w:r>
    </w:p>
    <w:p w14:paraId="4652C6CB" w14:textId="485B483B" w:rsidR="00A068F2" w:rsidRDefault="00A068F2" w:rsidP="00A068F2">
      <w:pPr>
        <w:pStyle w:val="3-BodyText"/>
      </w:pPr>
      <w:bookmarkStart w:id="1" w:name="_Ref191480840"/>
      <w:r w:rsidRPr="00491884">
        <w:t>Osimertinib plus chemotherapy (pemetrexed and platinum-based chemotherapy) (O+C) was approved</w:t>
      </w:r>
      <w:r>
        <w:t xml:space="preserve"> by the </w:t>
      </w:r>
      <w:r w:rsidRPr="00491884">
        <w:t>Therapeutic Goods Administration (TGA) on 30</w:t>
      </w:r>
      <w:r w:rsidR="007D6735">
        <w:t> </w:t>
      </w:r>
      <w:r w:rsidRPr="00491884">
        <w:t>October</w:t>
      </w:r>
      <w:r w:rsidR="007D6735">
        <w:t> </w:t>
      </w:r>
      <w:r w:rsidRPr="00491884">
        <w:t>2024 for</w:t>
      </w:r>
      <w:bookmarkEnd w:id="1"/>
      <w:r w:rsidRPr="00491884">
        <w:t xml:space="preserve"> </w:t>
      </w:r>
      <w:r w:rsidRPr="003B465D">
        <w:t>“the first-line treatment of patients with locally advanced or metastatic NSCLC whose tumours have EGFR exon 19 deletions or exon 21 L858R mutations.”</w:t>
      </w:r>
    </w:p>
    <w:p w14:paraId="256C712D" w14:textId="1FB40F8F" w:rsidR="0090775A" w:rsidRDefault="004F6160" w:rsidP="003B02DE">
      <w:pPr>
        <w:pStyle w:val="3-BodyText"/>
      </w:pPr>
      <w:r>
        <w:t xml:space="preserve">The </w:t>
      </w:r>
      <w:r w:rsidRPr="002C633F">
        <w:t>PICO from the previous submission is presented below</w:t>
      </w:r>
      <w:r w:rsidR="00A07C4C" w:rsidRPr="002C633F">
        <w:t>.</w:t>
      </w:r>
    </w:p>
    <w:p w14:paraId="302C9F3D" w14:textId="75BCC04E" w:rsidR="00B45443" w:rsidRPr="00491884" w:rsidRDefault="00B45443" w:rsidP="00B45443">
      <w:pPr>
        <w:pStyle w:val="Caption"/>
      </w:pPr>
      <w:bookmarkStart w:id="2" w:name="_Ref189728412"/>
      <w:r w:rsidRPr="00491884">
        <w:t xml:space="preserve">Table </w:t>
      </w:r>
      <w:r w:rsidR="004747FA">
        <w:fldChar w:fldCharType="begin"/>
      </w:r>
      <w:r w:rsidR="004747FA">
        <w:instrText xml:space="preserve"> SEQ Table \* ARABIC </w:instrText>
      </w:r>
      <w:r w:rsidR="004747FA">
        <w:fldChar w:fldCharType="separate"/>
      </w:r>
      <w:r w:rsidR="0055339A">
        <w:rPr>
          <w:noProof/>
        </w:rPr>
        <w:t>2</w:t>
      </w:r>
      <w:r w:rsidR="004747FA">
        <w:rPr>
          <w:noProof/>
        </w:rPr>
        <w:fldChar w:fldCharType="end"/>
      </w:r>
      <w:bookmarkEnd w:id="2"/>
      <w:r w:rsidRPr="00491884">
        <w:t xml:space="preserve">: Key components of the clinical issue addressed by the submission (as stated in the </w:t>
      </w:r>
      <w:r>
        <w:t xml:space="preserve">previous </w:t>
      </w:r>
      <w:r w:rsidRPr="00491884">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ey components of the clinical issue addressed by the submission (as stated in the previous submission)"/>
        <w:tblDescription w:val="Key components of the clinical issue addressed by the submission "/>
      </w:tblPr>
      <w:tblGrid>
        <w:gridCol w:w="1666"/>
        <w:gridCol w:w="7350"/>
      </w:tblGrid>
      <w:tr w:rsidR="00B45443" w:rsidRPr="00491884" w14:paraId="375DA9C0" w14:textId="77777777" w:rsidTr="003B02DE">
        <w:trPr>
          <w:cantSplit/>
          <w:tblHeader/>
        </w:trPr>
        <w:tc>
          <w:tcPr>
            <w:tcW w:w="924" w:type="pct"/>
          </w:tcPr>
          <w:p w14:paraId="3AE5A44D" w14:textId="77777777" w:rsidR="00B45443" w:rsidRPr="00491884" w:rsidRDefault="00B45443" w:rsidP="003B02DE">
            <w:pPr>
              <w:pStyle w:val="In-tableHeading"/>
              <w:rPr>
                <w:szCs w:val="20"/>
                <w:lang w:val="en-AU"/>
              </w:rPr>
            </w:pPr>
            <w:r w:rsidRPr="00491884">
              <w:rPr>
                <w:lang w:val="en-AU"/>
              </w:rPr>
              <w:t>Component</w:t>
            </w:r>
          </w:p>
        </w:tc>
        <w:tc>
          <w:tcPr>
            <w:tcW w:w="4076" w:type="pct"/>
          </w:tcPr>
          <w:p w14:paraId="16DD0035" w14:textId="77777777" w:rsidR="00B45443" w:rsidRPr="00491884" w:rsidRDefault="00B45443" w:rsidP="003B02DE">
            <w:pPr>
              <w:pStyle w:val="In-tableHeading"/>
              <w:rPr>
                <w:lang w:val="en-AU"/>
              </w:rPr>
            </w:pPr>
            <w:r w:rsidRPr="00491884">
              <w:rPr>
                <w:lang w:val="en-AU"/>
              </w:rPr>
              <w:t>Description</w:t>
            </w:r>
          </w:p>
        </w:tc>
      </w:tr>
      <w:tr w:rsidR="00B45443" w:rsidRPr="00491884" w14:paraId="7ACD88D6" w14:textId="77777777" w:rsidTr="003B02DE">
        <w:trPr>
          <w:cantSplit/>
        </w:trPr>
        <w:tc>
          <w:tcPr>
            <w:tcW w:w="924" w:type="pct"/>
          </w:tcPr>
          <w:p w14:paraId="1F4602F1" w14:textId="77777777" w:rsidR="00B45443" w:rsidRPr="00491884" w:rsidRDefault="00B45443" w:rsidP="003B02DE">
            <w:pPr>
              <w:pStyle w:val="TableText"/>
            </w:pPr>
            <w:r w:rsidRPr="00491884">
              <w:t>Population</w:t>
            </w:r>
          </w:p>
        </w:tc>
        <w:tc>
          <w:tcPr>
            <w:tcW w:w="4076" w:type="pct"/>
          </w:tcPr>
          <w:p w14:paraId="5BEBA95F" w14:textId="77777777" w:rsidR="00B45443" w:rsidRPr="00491884" w:rsidRDefault="00B45443" w:rsidP="003B02DE">
            <w:pPr>
              <w:pStyle w:val="TableText"/>
              <w:rPr>
                <w:szCs w:val="20"/>
              </w:rPr>
            </w:pPr>
            <w:r w:rsidRPr="00491884">
              <w:t xml:space="preserve">First-line treatment of patients with locally advanced (Stage IIIB/C) or metastatic (Stage IV) </w:t>
            </w:r>
            <w:r w:rsidRPr="008B68AD">
              <w:rPr>
                <w:i/>
                <w:iCs/>
              </w:rPr>
              <w:t>EGFRm</w:t>
            </w:r>
            <w:r w:rsidRPr="00491884">
              <w:t xml:space="preserve"> NSCLC </w:t>
            </w:r>
          </w:p>
        </w:tc>
      </w:tr>
      <w:tr w:rsidR="00B45443" w:rsidRPr="00491884" w14:paraId="796B1898" w14:textId="77777777" w:rsidTr="003B02DE">
        <w:trPr>
          <w:cantSplit/>
        </w:trPr>
        <w:tc>
          <w:tcPr>
            <w:tcW w:w="924" w:type="pct"/>
          </w:tcPr>
          <w:p w14:paraId="3A076617" w14:textId="77777777" w:rsidR="00B45443" w:rsidRPr="00491884" w:rsidRDefault="00B45443" w:rsidP="003B02DE">
            <w:pPr>
              <w:pStyle w:val="TableText"/>
            </w:pPr>
            <w:r w:rsidRPr="00491884">
              <w:t>Intervention</w:t>
            </w:r>
          </w:p>
        </w:tc>
        <w:tc>
          <w:tcPr>
            <w:tcW w:w="4076" w:type="pct"/>
          </w:tcPr>
          <w:p w14:paraId="48E44D02" w14:textId="77777777" w:rsidR="00B45443" w:rsidRPr="00491884" w:rsidRDefault="00B45443" w:rsidP="003B02DE">
            <w:pPr>
              <w:pStyle w:val="TableText"/>
            </w:pPr>
            <w:r w:rsidRPr="00491884">
              <w:rPr>
                <w:lang w:bidi="en-US"/>
              </w:rPr>
              <w:t>Osimertinib 80 mg once daily, in combination with pemetrexed (500 mg/m</w:t>
            </w:r>
            <w:r w:rsidRPr="00491884">
              <w:rPr>
                <w:vertAlign w:val="superscript"/>
                <w:lang w:bidi="en-US"/>
              </w:rPr>
              <w:t>2</w:t>
            </w:r>
            <w:r w:rsidRPr="00491884">
              <w:rPr>
                <w:lang w:bidi="en-US"/>
              </w:rPr>
              <w:t>; with vitamin supplementation) plus either cisplatin (75 mg/m</w:t>
            </w:r>
            <w:r w:rsidRPr="00491884">
              <w:rPr>
                <w:vertAlign w:val="superscript"/>
                <w:lang w:bidi="en-US"/>
              </w:rPr>
              <w:t>2</w:t>
            </w:r>
            <w:r w:rsidRPr="00491884">
              <w:rPr>
                <w:lang w:bidi="en-US"/>
              </w:rPr>
              <w:t xml:space="preserve">) or carboplatin (AUC5), with both treatments administered every three weeks for four cycles, followed by </w:t>
            </w:r>
            <w:proofErr w:type="spellStart"/>
            <w:r w:rsidRPr="00491884">
              <w:rPr>
                <w:lang w:bidi="en-US"/>
              </w:rPr>
              <w:t>osimertinib</w:t>
            </w:r>
            <w:proofErr w:type="spellEnd"/>
            <w:r w:rsidRPr="00491884">
              <w:rPr>
                <w:lang w:bidi="en-US"/>
              </w:rPr>
              <w:t xml:space="preserve"> 80 mg once daily, plus pemetrexed maintenance (500 mg/m</w:t>
            </w:r>
            <w:r w:rsidRPr="00491884">
              <w:rPr>
                <w:vertAlign w:val="superscript"/>
                <w:lang w:bidi="en-US"/>
              </w:rPr>
              <w:t>2</w:t>
            </w:r>
            <w:r w:rsidRPr="00491884">
              <w:rPr>
                <w:lang w:bidi="en-US"/>
              </w:rPr>
              <w:t xml:space="preserve">) every three weeks.  </w:t>
            </w:r>
          </w:p>
        </w:tc>
      </w:tr>
      <w:tr w:rsidR="00B45443" w:rsidRPr="00491884" w14:paraId="03BADE73" w14:textId="77777777" w:rsidTr="003B02DE">
        <w:trPr>
          <w:cantSplit/>
        </w:trPr>
        <w:tc>
          <w:tcPr>
            <w:tcW w:w="924" w:type="pct"/>
          </w:tcPr>
          <w:p w14:paraId="1C9B7B61" w14:textId="77777777" w:rsidR="00B45443" w:rsidRPr="00491884" w:rsidRDefault="00B45443" w:rsidP="003B02DE">
            <w:pPr>
              <w:pStyle w:val="TableText"/>
            </w:pPr>
            <w:r w:rsidRPr="00491884">
              <w:t>Comparator</w:t>
            </w:r>
          </w:p>
        </w:tc>
        <w:tc>
          <w:tcPr>
            <w:tcW w:w="4076" w:type="pct"/>
          </w:tcPr>
          <w:p w14:paraId="13D8EAF8" w14:textId="77777777" w:rsidR="00B45443" w:rsidRPr="00491884" w:rsidRDefault="00B45443" w:rsidP="003B02DE">
            <w:pPr>
              <w:pStyle w:val="TableText"/>
            </w:pPr>
            <w:r w:rsidRPr="00491884">
              <w:t xml:space="preserve">Osimertinib monotherapy 80 mg once daily </w:t>
            </w:r>
          </w:p>
        </w:tc>
      </w:tr>
      <w:tr w:rsidR="00B45443" w:rsidRPr="00491884" w14:paraId="56CD1B71" w14:textId="77777777" w:rsidTr="003B02DE">
        <w:trPr>
          <w:cantSplit/>
        </w:trPr>
        <w:tc>
          <w:tcPr>
            <w:tcW w:w="924" w:type="pct"/>
          </w:tcPr>
          <w:p w14:paraId="32F497A7" w14:textId="77777777" w:rsidR="00B45443" w:rsidRPr="00491884" w:rsidRDefault="00B45443" w:rsidP="003B02DE">
            <w:pPr>
              <w:pStyle w:val="TableText"/>
            </w:pPr>
            <w:r w:rsidRPr="00491884">
              <w:t>Outcomes</w:t>
            </w:r>
          </w:p>
        </w:tc>
        <w:tc>
          <w:tcPr>
            <w:tcW w:w="4076" w:type="pct"/>
          </w:tcPr>
          <w:p w14:paraId="6C6AAC25" w14:textId="77777777" w:rsidR="00B45443" w:rsidRPr="00491884" w:rsidRDefault="00B45443" w:rsidP="003B02DE">
            <w:pPr>
              <w:pStyle w:val="TableText"/>
            </w:pPr>
            <w:r w:rsidRPr="00491884">
              <w:t>Primary outcome: PFS</w:t>
            </w:r>
          </w:p>
          <w:p w14:paraId="535AF669" w14:textId="77777777" w:rsidR="00B45443" w:rsidRPr="00491884" w:rsidRDefault="00B45443" w:rsidP="003B02DE">
            <w:pPr>
              <w:pStyle w:val="TableText"/>
            </w:pPr>
            <w:r w:rsidRPr="00491884">
              <w:t xml:space="preserve">Key secondary outcomes: OS, ORR, </w:t>
            </w:r>
            <w:proofErr w:type="spellStart"/>
            <w:r w:rsidRPr="00491884">
              <w:t>DoR</w:t>
            </w:r>
            <w:proofErr w:type="spellEnd"/>
            <w:r w:rsidRPr="00491884">
              <w:t xml:space="preserve">, depth of response, DCR, post-progression outcomes, </w:t>
            </w:r>
            <w:proofErr w:type="spellStart"/>
            <w:r w:rsidRPr="00491884">
              <w:t>HRQoL</w:t>
            </w:r>
            <w:proofErr w:type="spellEnd"/>
          </w:p>
          <w:p w14:paraId="63ABF46E" w14:textId="77777777" w:rsidR="00B45443" w:rsidRPr="00491884" w:rsidRDefault="00B45443" w:rsidP="003B02DE">
            <w:pPr>
              <w:pStyle w:val="TableText"/>
              <w:rPr>
                <w:rFonts w:eastAsia="Times New Roman" w:cs="Arial"/>
                <w:snapToGrid w:val="0"/>
                <w:color w:val="0066FF"/>
                <w:szCs w:val="20"/>
              </w:rPr>
            </w:pPr>
            <w:r w:rsidRPr="00491884">
              <w:t xml:space="preserve">Safety </w:t>
            </w:r>
          </w:p>
        </w:tc>
      </w:tr>
      <w:tr w:rsidR="00B45443" w:rsidRPr="00491884" w14:paraId="6E6776BD" w14:textId="77777777" w:rsidTr="003B02DE">
        <w:trPr>
          <w:cantSplit/>
        </w:trPr>
        <w:tc>
          <w:tcPr>
            <w:tcW w:w="924" w:type="pct"/>
          </w:tcPr>
          <w:p w14:paraId="15A2A515" w14:textId="77777777" w:rsidR="00B45443" w:rsidRPr="00491884" w:rsidRDefault="00B45443" w:rsidP="003B02DE">
            <w:pPr>
              <w:pStyle w:val="TableText"/>
            </w:pPr>
            <w:r w:rsidRPr="00491884">
              <w:t>Clinical claim</w:t>
            </w:r>
          </w:p>
        </w:tc>
        <w:tc>
          <w:tcPr>
            <w:tcW w:w="4076" w:type="pct"/>
          </w:tcPr>
          <w:p w14:paraId="1BA3C0BE" w14:textId="77777777" w:rsidR="00B45443" w:rsidRPr="00491884" w:rsidRDefault="00B45443" w:rsidP="003B02DE">
            <w:pPr>
              <w:pStyle w:val="TableText"/>
            </w:pPr>
            <w:r w:rsidRPr="00491884">
              <w:t xml:space="preserve">In patients with locally advanced or metastatic </w:t>
            </w:r>
            <w:r w:rsidRPr="008B68AD">
              <w:rPr>
                <w:i/>
                <w:iCs/>
              </w:rPr>
              <w:t>EGFRm</w:t>
            </w:r>
            <w:r w:rsidRPr="00491884">
              <w:t xml:space="preserve"> NSCLC, </w:t>
            </w:r>
            <w:proofErr w:type="spellStart"/>
            <w:r w:rsidRPr="00491884">
              <w:t>osimertinib</w:t>
            </w:r>
            <w:proofErr w:type="spellEnd"/>
            <w:r w:rsidRPr="00491884">
              <w:t xml:space="preserve"> in combination with platinum plus pemetrexed chemotherapy is superior in terms of effectiveness compared with </w:t>
            </w:r>
            <w:proofErr w:type="spellStart"/>
            <w:r w:rsidRPr="00491884">
              <w:t>osimertinib</w:t>
            </w:r>
            <w:proofErr w:type="spellEnd"/>
            <w:r w:rsidRPr="00491884">
              <w:t xml:space="preserve"> monotherapy.</w:t>
            </w:r>
          </w:p>
          <w:p w14:paraId="7425EFA5" w14:textId="77777777" w:rsidR="00B45443" w:rsidRPr="00491884" w:rsidRDefault="00B45443" w:rsidP="003B02DE">
            <w:pPr>
              <w:pStyle w:val="TableText"/>
              <w:rPr>
                <w:rFonts w:eastAsia="Times New Roman" w:cs="Arial"/>
                <w:snapToGrid w:val="0"/>
                <w:color w:val="0066FF"/>
                <w:szCs w:val="20"/>
              </w:rPr>
            </w:pPr>
            <w:r w:rsidRPr="00491884">
              <w:t>In patients with locally advanced or metastatic</w:t>
            </w:r>
            <w:r w:rsidRPr="008B68AD">
              <w:rPr>
                <w:i/>
                <w:iCs/>
              </w:rPr>
              <w:t xml:space="preserve"> EGFRm</w:t>
            </w:r>
            <w:r w:rsidRPr="00491884">
              <w:t xml:space="preserve"> NSCLC, </w:t>
            </w:r>
            <w:proofErr w:type="spellStart"/>
            <w:r w:rsidRPr="00491884">
              <w:t>osimertinib</w:t>
            </w:r>
            <w:proofErr w:type="spellEnd"/>
            <w:r w:rsidRPr="00491884">
              <w:t xml:space="preserve"> in combination with platinum plus pemetrexed chemotherapy is associated with inferior but manageable safety compared with </w:t>
            </w:r>
            <w:proofErr w:type="spellStart"/>
            <w:r w:rsidRPr="00491884">
              <w:t>osimertinib</w:t>
            </w:r>
            <w:proofErr w:type="spellEnd"/>
            <w:r w:rsidRPr="00491884">
              <w:t xml:space="preserve"> monotherapy.</w:t>
            </w:r>
          </w:p>
        </w:tc>
      </w:tr>
    </w:tbl>
    <w:p w14:paraId="12431CC9" w14:textId="70EEC843" w:rsidR="00B45443" w:rsidRPr="00491884" w:rsidRDefault="00B45443" w:rsidP="00574C43">
      <w:pPr>
        <w:pStyle w:val="TableFigureFooter"/>
        <w:jc w:val="left"/>
      </w:pPr>
      <w:r w:rsidRPr="00491884">
        <w:t xml:space="preserve">Source: </w:t>
      </w:r>
      <w:r w:rsidR="00EC1994">
        <w:t xml:space="preserve">Table 1, </w:t>
      </w:r>
      <w:proofErr w:type="spellStart"/>
      <w:r w:rsidR="00EC1994">
        <w:t>osimertinib</w:t>
      </w:r>
      <w:proofErr w:type="spellEnd"/>
      <w:r w:rsidR="00EC1994">
        <w:t xml:space="preserve"> </w:t>
      </w:r>
      <w:r w:rsidR="007B1A07">
        <w:t>Public Summary Document</w:t>
      </w:r>
      <w:r w:rsidR="00EC1994">
        <w:t>, May 2025 PBAC meeting</w:t>
      </w:r>
      <w:r w:rsidRPr="00491884">
        <w:br/>
        <w:t xml:space="preserve">DCR = disease control rate; </w:t>
      </w:r>
      <w:proofErr w:type="spellStart"/>
      <w:r w:rsidRPr="00491884">
        <w:t>DoR</w:t>
      </w:r>
      <w:proofErr w:type="spellEnd"/>
      <w:r w:rsidRPr="00491884">
        <w:t xml:space="preserve"> = duration of response; </w:t>
      </w:r>
      <w:r w:rsidRPr="008B68AD">
        <w:rPr>
          <w:i/>
          <w:iCs/>
        </w:rPr>
        <w:t>EGFRm</w:t>
      </w:r>
      <w:r w:rsidRPr="00491884">
        <w:t xml:space="preserve"> = epidermal growth factor receptor-mutated; </w:t>
      </w:r>
      <w:proofErr w:type="spellStart"/>
      <w:r w:rsidRPr="00491884">
        <w:t>HRQoL</w:t>
      </w:r>
      <w:proofErr w:type="spellEnd"/>
      <w:r w:rsidRPr="00491884">
        <w:t xml:space="preserve"> = health related quality of life; NSCLC = non-small cell lung cancer; ORR = objective response rate; OS = overall survival; PFS = progression-free survival; SoC = standard of care; TKI = tyrosine kinase inhibitor.</w:t>
      </w:r>
    </w:p>
    <w:p w14:paraId="587432E9" w14:textId="688E7E7A" w:rsidR="00C068A6" w:rsidRPr="006C5B33" w:rsidRDefault="004B2E01" w:rsidP="006C5B33">
      <w:pPr>
        <w:pStyle w:val="2-SectionHeading"/>
      </w:pPr>
      <w:r w:rsidRPr="006C5B33">
        <w:t>Requested listing</w:t>
      </w:r>
      <w:r w:rsidR="007C08E0" w:rsidRPr="006C5B33">
        <w:t xml:space="preserve"> </w:t>
      </w:r>
    </w:p>
    <w:p w14:paraId="1009D70C" w14:textId="22BE5252" w:rsidR="004F6160" w:rsidRPr="004F6160" w:rsidRDefault="007E7B09" w:rsidP="006C5B33">
      <w:pPr>
        <w:pStyle w:val="3-BodyText"/>
      </w:pPr>
      <w:bookmarkStart w:id="3" w:name="_Ref209684435"/>
      <w:r>
        <w:rPr>
          <w:rFonts w:cstheme="minorHAnsi"/>
          <w:iCs/>
        </w:rPr>
        <w:t xml:space="preserve">The criteria proposed </w:t>
      </w:r>
      <w:r w:rsidR="00BF7B8D">
        <w:rPr>
          <w:rFonts w:cstheme="minorHAnsi"/>
          <w:iCs/>
        </w:rPr>
        <w:t xml:space="preserve">in the resubmission </w:t>
      </w:r>
      <w:r>
        <w:rPr>
          <w:rFonts w:cstheme="minorHAnsi"/>
          <w:iCs/>
        </w:rPr>
        <w:t xml:space="preserve">for the first line </w:t>
      </w:r>
      <w:r w:rsidR="00BF7B8D">
        <w:rPr>
          <w:rFonts w:cstheme="minorHAnsi"/>
          <w:iCs/>
        </w:rPr>
        <w:t xml:space="preserve">treatment setting are presented below. </w:t>
      </w:r>
      <w:r w:rsidR="008D6F3B" w:rsidRPr="00F91542">
        <w:rPr>
          <w:rFonts w:cstheme="minorHAnsi"/>
          <w:iCs/>
        </w:rPr>
        <w:t>Suggestions and additions proposed by the Secretariat are added in italics and suggested deletions are crossed out with strikethrough</w:t>
      </w:r>
      <w:r w:rsidR="008D6F3B">
        <w:rPr>
          <w:rFonts w:cstheme="minorHAnsi"/>
          <w:iCs/>
        </w:rPr>
        <w:t>.</w:t>
      </w:r>
      <w:bookmarkEnd w:id="3"/>
    </w:p>
    <w:tbl>
      <w:tblPr>
        <w:tblStyle w:val="TableGrid"/>
        <w:tblW w:w="5000" w:type="pct"/>
        <w:tblLayout w:type="fixed"/>
        <w:tblLook w:val="04A0" w:firstRow="1" w:lastRow="0" w:firstColumn="1" w:lastColumn="0" w:noHBand="0" w:noVBand="1"/>
        <w:tblCaption w:val="Requested listing"/>
      </w:tblPr>
      <w:tblGrid>
        <w:gridCol w:w="2405"/>
        <w:gridCol w:w="2552"/>
        <w:gridCol w:w="992"/>
        <w:gridCol w:w="849"/>
        <w:gridCol w:w="994"/>
        <w:gridCol w:w="1224"/>
      </w:tblGrid>
      <w:tr w:rsidR="005967DD" w:rsidRPr="000D2688" w14:paraId="3E451A9C" w14:textId="77777777" w:rsidTr="003B02DE">
        <w:tc>
          <w:tcPr>
            <w:tcW w:w="1334" w:type="pct"/>
          </w:tcPr>
          <w:p w14:paraId="2FB56113" w14:textId="77777777" w:rsidR="005967DD" w:rsidRPr="009D0329" w:rsidRDefault="005967DD" w:rsidP="003B02DE">
            <w:pPr>
              <w:pStyle w:val="TableText"/>
              <w:rPr>
                <w:b/>
                <w:bCs w:val="0"/>
              </w:rPr>
            </w:pPr>
            <w:r w:rsidRPr="009D0329">
              <w:rPr>
                <w:b/>
              </w:rPr>
              <w:lastRenderedPageBreak/>
              <w:t>MEDICINAL PRODUCT</w:t>
            </w:r>
          </w:p>
          <w:p w14:paraId="5C59D032" w14:textId="77777777" w:rsidR="005967DD" w:rsidRPr="000D2688" w:rsidRDefault="005967DD" w:rsidP="003B02DE">
            <w:pPr>
              <w:pStyle w:val="TableText"/>
            </w:pPr>
            <w:r>
              <w:t>Medicinal Product Pack</w:t>
            </w:r>
          </w:p>
        </w:tc>
        <w:tc>
          <w:tcPr>
            <w:tcW w:w="1415" w:type="pct"/>
          </w:tcPr>
          <w:p w14:paraId="7C94F423" w14:textId="77777777" w:rsidR="005967DD" w:rsidRPr="006945B2" w:rsidRDefault="005967DD" w:rsidP="003B02DE">
            <w:pPr>
              <w:pStyle w:val="TableText"/>
              <w:rPr>
                <w:b/>
                <w:bCs w:val="0"/>
              </w:rPr>
            </w:pPr>
            <w:r w:rsidRPr="006945B2">
              <w:rPr>
                <w:b/>
              </w:rPr>
              <w:t>Dispensed Price Max Qty</w:t>
            </w:r>
            <w:r>
              <w:rPr>
                <w:b/>
              </w:rPr>
              <w:t xml:space="preserve"> (DPMQ)</w:t>
            </w:r>
          </w:p>
        </w:tc>
        <w:tc>
          <w:tcPr>
            <w:tcW w:w="550" w:type="pct"/>
          </w:tcPr>
          <w:p w14:paraId="7966EB15" w14:textId="77777777" w:rsidR="005967DD" w:rsidRPr="000D2688" w:rsidRDefault="005967DD" w:rsidP="003B02DE">
            <w:pPr>
              <w:pStyle w:val="TableText"/>
            </w:pPr>
            <w:r>
              <w:t>Max qty packs</w:t>
            </w:r>
          </w:p>
        </w:tc>
        <w:tc>
          <w:tcPr>
            <w:tcW w:w="471" w:type="pct"/>
          </w:tcPr>
          <w:p w14:paraId="7C5574F1" w14:textId="77777777" w:rsidR="005967DD" w:rsidRPr="000D2688" w:rsidRDefault="005967DD" w:rsidP="003B02DE">
            <w:pPr>
              <w:pStyle w:val="TableText"/>
            </w:pPr>
            <w:r>
              <w:t>Max qty units</w:t>
            </w:r>
          </w:p>
        </w:tc>
        <w:tc>
          <w:tcPr>
            <w:tcW w:w="551" w:type="pct"/>
          </w:tcPr>
          <w:p w14:paraId="75744C8A" w14:textId="77777777" w:rsidR="005967DD" w:rsidRPr="000D2688" w:rsidRDefault="005967DD" w:rsidP="003B02DE">
            <w:pPr>
              <w:pStyle w:val="TableText"/>
            </w:pPr>
            <w:r>
              <w:t>No. of repeats</w:t>
            </w:r>
          </w:p>
        </w:tc>
        <w:tc>
          <w:tcPr>
            <w:tcW w:w="679" w:type="pct"/>
          </w:tcPr>
          <w:p w14:paraId="09A9483E" w14:textId="77777777" w:rsidR="005967DD" w:rsidRPr="000D2688" w:rsidRDefault="005967DD" w:rsidP="003B02DE">
            <w:pPr>
              <w:pStyle w:val="TableText"/>
            </w:pPr>
            <w:r>
              <w:t>Available brands</w:t>
            </w:r>
          </w:p>
        </w:tc>
      </w:tr>
      <w:tr w:rsidR="005967DD" w:rsidRPr="000D2688" w14:paraId="76D57C0F" w14:textId="77777777" w:rsidTr="003B02DE">
        <w:tc>
          <w:tcPr>
            <w:tcW w:w="1334" w:type="pct"/>
          </w:tcPr>
          <w:p w14:paraId="7C1AB353" w14:textId="77777777" w:rsidR="005967DD" w:rsidRPr="000D2688" w:rsidRDefault="005967DD" w:rsidP="003B02DE">
            <w:pPr>
              <w:pStyle w:val="TableText"/>
            </w:pPr>
            <w:r>
              <w:t>Osimertinib 80 mg tablet, 30</w:t>
            </w:r>
          </w:p>
        </w:tc>
        <w:tc>
          <w:tcPr>
            <w:tcW w:w="1415" w:type="pct"/>
          </w:tcPr>
          <w:p w14:paraId="275E837F" w14:textId="77777777" w:rsidR="005967DD" w:rsidRDefault="005967DD" w:rsidP="003B02DE">
            <w:pPr>
              <w:pStyle w:val="TableText"/>
            </w:pPr>
            <w:r w:rsidRPr="00117A9B">
              <w:t>Published: $7,582.10</w:t>
            </w:r>
          </w:p>
          <w:p w14:paraId="6FE75ADA" w14:textId="3BA2839B" w:rsidR="005967DD" w:rsidRPr="000D2688" w:rsidRDefault="005967DD" w:rsidP="003B02DE">
            <w:pPr>
              <w:pStyle w:val="TableText"/>
            </w:pPr>
            <w:r>
              <w:t>Effective: $</w:t>
            </w:r>
            <w:r w:rsidR="00255D1B" w:rsidRPr="00255D1B">
              <w:rPr>
                <w:color w:val="000000"/>
                <w:spacing w:val="53"/>
                <w:shd w:val="solid" w:color="000000" w:fill="000000"/>
                <w:fitText w:val="330" w:id="-606363377"/>
                <w14:textFill>
                  <w14:solidFill>
                    <w14:srgbClr w14:val="000000">
                      <w14:alpha w14:val="100000"/>
                    </w14:srgbClr>
                  </w14:solidFill>
                </w14:textFill>
              </w:rPr>
              <w:t>|||</w:t>
            </w:r>
            <w:r w:rsidR="00255D1B" w:rsidRPr="00255D1B">
              <w:rPr>
                <w:color w:val="000000"/>
                <w:spacing w:val="1"/>
                <w:shd w:val="solid" w:color="000000" w:fill="000000"/>
                <w:fitText w:val="330" w:id="-606363377"/>
                <w14:textFill>
                  <w14:solidFill>
                    <w14:srgbClr w14:val="000000">
                      <w14:alpha w14:val="100000"/>
                    </w14:srgbClr>
                  </w14:solidFill>
                </w14:textFill>
              </w:rPr>
              <w:t>|</w:t>
            </w:r>
            <w:r>
              <w:t xml:space="preserve"> (SPA)</w:t>
            </w:r>
          </w:p>
        </w:tc>
        <w:tc>
          <w:tcPr>
            <w:tcW w:w="550" w:type="pct"/>
          </w:tcPr>
          <w:p w14:paraId="1995547C" w14:textId="77777777" w:rsidR="005967DD" w:rsidRPr="000D2688" w:rsidRDefault="005967DD" w:rsidP="003B02DE">
            <w:pPr>
              <w:pStyle w:val="TableText"/>
            </w:pPr>
            <w:r>
              <w:t>1</w:t>
            </w:r>
          </w:p>
        </w:tc>
        <w:tc>
          <w:tcPr>
            <w:tcW w:w="471" w:type="pct"/>
          </w:tcPr>
          <w:p w14:paraId="10D6D31F" w14:textId="77777777" w:rsidR="005967DD" w:rsidRPr="000D2688" w:rsidRDefault="005967DD" w:rsidP="003B02DE">
            <w:pPr>
              <w:pStyle w:val="TableText"/>
            </w:pPr>
            <w:r>
              <w:t>30</w:t>
            </w:r>
          </w:p>
        </w:tc>
        <w:tc>
          <w:tcPr>
            <w:tcW w:w="551" w:type="pct"/>
          </w:tcPr>
          <w:p w14:paraId="1C6DF6F9" w14:textId="77777777" w:rsidR="005967DD" w:rsidRPr="000D2688" w:rsidRDefault="005967DD" w:rsidP="003B02DE">
            <w:pPr>
              <w:pStyle w:val="TableText"/>
            </w:pPr>
            <w:r>
              <w:t>2</w:t>
            </w:r>
          </w:p>
        </w:tc>
        <w:tc>
          <w:tcPr>
            <w:tcW w:w="679" w:type="pct"/>
          </w:tcPr>
          <w:p w14:paraId="41A87677" w14:textId="77777777" w:rsidR="005967DD" w:rsidRPr="000D2688" w:rsidRDefault="005967DD" w:rsidP="003B02DE">
            <w:pPr>
              <w:pStyle w:val="TableText"/>
            </w:pPr>
            <w:r>
              <w:t>TAGRISSO</w:t>
            </w:r>
          </w:p>
        </w:tc>
      </w:tr>
      <w:tr w:rsidR="0010648B" w:rsidRPr="000D2688" w14:paraId="3828A976" w14:textId="77777777" w:rsidTr="0010648B">
        <w:tc>
          <w:tcPr>
            <w:tcW w:w="5000" w:type="pct"/>
            <w:gridSpan w:val="6"/>
          </w:tcPr>
          <w:p w14:paraId="62CB9BE6" w14:textId="77777777" w:rsidR="0010648B" w:rsidRDefault="0010648B" w:rsidP="003B02DE">
            <w:pPr>
              <w:pStyle w:val="TableText"/>
            </w:pPr>
          </w:p>
        </w:tc>
      </w:tr>
      <w:tr w:rsidR="005967DD" w:rsidRPr="000D2688" w14:paraId="2FBCCEDF" w14:textId="77777777" w:rsidTr="003B02DE">
        <w:tc>
          <w:tcPr>
            <w:tcW w:w="1334" w:type="pct"/>
          </w:tcPr>
          <w:p w14:paraId="77053A91" w14:textId="77777777" w:rsidR="005967DD" w:rsidRPr="000D2688" w:rsidRDefault="005967DD" w:rsidP="003B02DE">
            <w:pPr>
              <w:pStyle w:val="TableText"/>
            </w:pPr>
            <w:r w:rsidRPr="000D2688">
              <w:t>Category / Program</w:t>
            </w:r>
          </w:p>
        </w:tc>
        <w:tc>
          <w:tcPr>
            <w:tcW w:w="3666" w:type="pct"/>
            <w:gridSpan w:val="5"/>
          </w:tcPr>
          <w:p w14:paraId="1EA4B4E7" w14:textId="77777777" w:rsidR="005967DD" w:rsidRPr="000D2688" w:rsidRDefault="005967DD" w:rsidP="003B02DE">
            <w:pPr>
              <w:pStyle w:val="TableText"/>
            </w:pPr>
            <w:r>
              <w:t>GENERAL</w:t>
            </w:r>
            <w:r w:rsidRPr="000D2688">
              <w:t xml:space="preserve"> – General Schedule</w:t>
            </w:r>
            <w:r>
              <w:t xml:space="preserve"> (Code GE)</w:t>
            </w:r>
          </w:p>
        </w:tc>
      </w:tr>
      <w:tr w:rsidR="005967DD" w:rsidRPr="000D2688" w14:paraId="522D3396" w14:textId="77777777" w:rsidTr="003B02DE">
        <w:tc>
          <w:tcPr>
            <w:tcW w:w="1334" w:type="pct"/>
          </w:tcPr>
          <w:p w14:paraId="79590964" w14:textId="77777777" w:rsidR="005967DD" w:rsidRPr="000D2688" w:rsidRDefault="005967DD" w:rsidP="003B02DE">
            <w:pPr>
              <w:pStyle w:val="TableText"/>
            </w:pPr>
            <w:r w:rsidRPr="000D2688">
              <w:t>Prescriber type</w:t>
            </w:r>
          </w:p>
        </w:tc>
        <w:tc>
          <w:tcPr>
            <w:tcW w:w="3666" w:type="pct"/>
            <w:gridSpan w:val="5"/>
          </w:tcPr>
          <w:p w14:paraId="67CA2CFF" w14:textId="77777777" w:rsidR="005967DD" w:rsidRPr="000D2688" w:rsidRDefault="005967DD" w:rsidP="003B02DE">
            <w:pPr>
              <w:pStyle w:val="TableText"/>
            </w:pPr>
            <w:r w:rsidRPr="000D2688">
              <w:t xml:space="preserve">Medical Practitioners </w:t>
            </w:r>
          </w:p>
        </w:tc>
      </w:tr>
      <w:tr w:rsidR="005967DD" w:rsidRPr="000D2688" w14:paraId="5CF753D3" w14:textId="77777777" w:rsidTr="003B02DE">
        <w:tc>
          <w:tcPr>
            <w:tcW w:w="1334" w:type="pct"/>
          </w:tcPr>
          <w:p w14:paraId="2B20F27C" w14:textId="77777777" w:rsidR="005967DD" w:rsidRPr="000D2688" w:rsidRDefault="005967DD" w:rsidP="003B02DE">
            <w:pPr>
              <w:pStyle w:val="TableText"/>
            </w:pPr>
            <w:r w:rsidRPr="000D2688">
              <w:t>Restriction</w:t>
            </w:r>
            <w:r>
              <w:t xml:space="preserve"> type</w:t>
            </w:r>
          </w:p>
        </w:tc>
        <w:tc>
          <w:tcPr>
            <w:tcW w:w="3666" w:type="pct"/>
            <w:gridSpan w:val="5"/>
          </w:tcPr>
          <w:p w14:paraId="2A035597" w14:textId="77777777" w:rsidR="005967DD" w:rsidRPr="000D2688" w:rsidRDefault="005967DD" w:rsidP="003B02DE">
            <w:pPr>
              <w:pStyle w:val="TableText"/>
            </w:pPr>
            <w:r w:rsidRPr="000D2688">
              <w:t xml:space="preserve">Authority Required </w:t>
            </w:r>
            <w:r>
              <w:t>(</w:t>
            </w:r>
            <w:r w:rsidRPr="000D2688">
              <w:t>I</w:t>
            </w:r>
            <w:r>
              <w:t>mmediate assessment)</w:t>
            </w:r>
          </w:p>
        </w:tc>
      </w:tr>
      <w:tr w:rsidR="005967DD" w:rsidRPr="000D2688" w14:paraId="3A788C27" w14:textId="77777777" w:rsidTr="003B02DE">
        <w:tc>
          <w:tcPr>
            <w:tcW w:w="1334" w:type="pct"/>
          </w:tcPr>
          <w:p w14:paraId="1757BAEB" w14:textId="77777777" w:rsidR="005967DD" w:rsidRPr="000D2688" w:rsidRDefault="005967DD" w:rsidP="003B02DE">
            <w:pPr>
              <w:pStyle w:val="TableText"/>
            </w:pPr>
            <w:r>
              <w:t>Administrative advice</w:t>
            </w:r>
          </w:p>
        </w:tc>
        <w:tc>
          <w:tcPr>
            <w:tcW w:w="3666" w:type="pct"/>
            <w:gridSpan w:val="5"/>
          </w:tcPr>
          <w:p w14:paraId="1BAA871D" w14:textId="77777777" w:rsidR="005967DD" w:rsidRPr="00FC2388" w:rsidRDefault="005967DD" w:rsidP="003B02DE">
            <w:pPr>
              <w:pStyle w:val="TableText"/>
            </w:pPr>
            <w:r w:rsidRPr="00FC2388">
              <w:t>No increase in the maximum quantity o</w:t>
            </w:r>
            <w:r>
              <w:t>f</w:t>
            </w:r>
            <w:r w:rsidRPr="00FC2388">
              <w:t xml:space="preserve"> number of units may be authorised</w:t>
            </w:r>
          </w:p>
          <w:p w14:paraId="780E30C8" w14:textId="77777777" w:rsidR="005967DD" w:rsidRPr="00FC2388" w:rsidRDefault="005967DD" w:rsidP="003B02DE">
            <w:pPr>
              <w:pStyle w:val="TableText"/>
            </w:pPr>
            <w:r w:rsidRPr="00FC2388">
              <w:t>No increase in the maximum number of repeats may be authorised</w:t>
            </w:r>
          </w:p>
          <w:p w14:paraId="53727346" w14:textId="77777777" w:rsidR="005967DD" w:rsidRDefault="005967DD" w:rsidP="003B02DE">
            <w:pPr>
              <w:pStyle w:val="TableText"/>
            </w:pPr>
            <w:r w:rsidRPr="00FC2388">
              <w:t xml:space="preserve">Special </w:t>
            </w:r>
            <w:r>
              <w:t>P</w:t>
            </w:r>
            <w:r w:rsidRPr="00FC2388">
              <w:t>ricing Arrangements apply</w:t>
            </w:r>
          </w:p>
          <w:p w14:paraId="68BD1FC4" w14:textId="77777777" w:rsidR="005967DD" w:rsidRPr="000D2688" w:rsidRDefault="005967DD" w:rsidP="003B02DE">
            <w:pPr>
              <w:pStyle w:val="TableText"/>
            </w:pPr>
            <w:r w:rsidRPr="00F760D3">
              <w:t>Applications for authorisation under this restriction may be made in real time using the Online PBS Authorities system (see www.servicesaustralia.gov.au/HPOS) or by telephone by contacting Services Australia on 1800 888 333.</w:t>
            </w:r>
          </w:p>
        </w:tc>
      </w:tr>
      <w:tr w:rsidR="005967DD" w:rsidRPr="000D2688" w14:paraId="21989B69" w14:textId="77777777" w:rsidTr="003B02DE">
        <w:tc>
          <w:tcPr>
            <w:tcW w:w="1334" w:type="pct"/>
          </w:tcPr>
          <w:p w14:paraId="3DA587DD" w14:textId="77777777" w:rsidR="005967DD" w:rsidRPr="000D2688" w:rsidRDefault="005967DD" w:rsidP="003B02DE">
            <w:pPr>
              <w:pStyle w:val="TableText"/>
            </w:pPr>
            <w:r>
              <w:t>Indicat</w:t>
            </w:r>
            <w:r w:rsidRPr="000D2688">
              <w:t>ion</w:t>
            </w:r>
          </w:p>
        </w:tc>
        <w:tc>
          <w:tcPr>
            <w:tcW w:w="3666" w:type="pct"/>
            <w:gridSpan w:val="5"/>
          </w:tcPr>
          <w:p w14:paraId="1259FF02" w14:textId="77777777" w:rsidR="005967DD" w:rsidRPr="000D2688" w:rsidRDefault="005967DD" w:rsidP="003B02DE">
            <w:pPr>
              <w:pStyle w:val="TableText"/>
            </w:pPr>
            <w:r w:rsidRPr="000D2688">
              <w:t>Stage III</w:t>
            </w:r>
            <w:r>
              <w:t>B/IIIC (locally advanced</w:t>
            </w:r>
            <w:r w:rsidRPr="000D2688">
              <w:t>) or Stage IV</w:t>
            </w:r>
            <w:r>
              <w:t xml:space="preserve"> (metastatic</w:t>
            </w:r>
            <w:r w:rsidRPr="000D2688">
              <w:t>) non-small cell lung cancer</w:t>
            </w:r>
            <w:r>
              <w:t xml:space="preserve"> (NSCLC)</w:t>
            </w:r>
          </w:p>
        </w:tc>
      </w:tr>
      <w:tr w:rsidR="005967DD" w:rsidRPr="000D2688" w14:paraId="5A84769A" w14:textId="77777777" w:rsidTr="003B02DE">
        <w:tc>
          <w:tcPr>
            <w:tcW w:w="1334" w:type="pct"/>
          </w:tcPr>
          <w:p w14:paraId="768EE102" w14:textId="77777777" w:rsidR="005967DD" w:rsidRPr="000D2688" w:rsidRDefault="005967DD" w:rsidP="003B02DE">
            <w:pPr>
              <w:pStyle w:val="TableText"/>
            </w:pPr>
            <w:r w:rsidRPr="000D2688">
              <w:t>Treatment phase</w:t>
            </w:r>
          </w:p>
        </w:tc>
        <w:tc>
          <w:tcPr>
            <w:tcW w:w="3666" w:type="pct"/>
            <w:gridSpan w:val="5"/>
          </w:tcPr>
          <w:p w14:paraId="625B1012" w14:textId="77777777" w:rsidR="005967DD" w:rsidRPr="000D2688" w:rsidRDefault="005967DD" w:rsidP="003B02DE">
            <w:pPr>
              <w:pStyle w:val="TableText"/>
            </w:pPr>
            <w:r w:rsidRPr="001A7ABF">
              <w:t>Initial treatment as first-line epidermal growth factor receptor tyrosine kinase inhibitor therapy</w:t>
            </w:r>
          </w:p>
        </w:tc>
      </w:tr>
      <w:tr w:rsidR="005967DD" w:rsidRPr="00595622" w14:paraId="696BD1A4" w14:textId="77777777" w:rsidTr="003B02DE">
        <w:tc>
          <w:tcPr>
            <w:tcW w:w="1334" w:type="pct"/>
          </w:tcPr>
          <w:p w14:paraId="26C6D9A6" w14:textId="77777777" w:rsidR="005967DD" w:rsidRPr="00CB664D" w:rsidRDefault="005967DD" w:rsidP="003B02DE">
            <w:pPr>
              <w:pStyle w:val="TableText"/>
              <w:rPr>
                <w:highlight w:val="yellow"/>
              </w:rPr>
            </w:pPr>
            <w:r w:rsidRPr="00854F7E">
              <w:t>Clinical criteria</w:t>
            </w:r>
          </w:p>
        </w:tc>
        <w:tc>
          <w:tcPr>
            <w:tcW w:w="3666" w:type="pct"/>
            <w:gridSpan w:val="5"/>
          </w:tcPr>
          <w:p w14:paraId="359877C4" w14:textId="2156A961" w:rsidR="005967DD" w:rsidRPr="00AF652F" w:rsidRDefault="005967DD" w:rsidP="003B02DE">
            <w:pPr>
              <w:pStyle w:val="TableText"/>
            </w:pPr>
            <w:r>
              <w:t xml:space="preserve">Patient must have a WHO performance status </w:t>
            </w:r>
            <w:r w:rsidRPr="00481957">
              <w:t>of</w:t>
            </w:r>
            <w:r w:rsidR="00481957">
              <w:t xml:space="preserve"> </w:t>
            </w:r>
            <w:r w:rsidR="00481957" w:rsidRPr="00481957">
              <w:rPr>
                <w:i/>
                <w:iCs/>
              </w:rPr>
              <w:t>2</w:t>
            </w:r>
            <w:r w:rsidR="00481957">
              <w:rPr>
                <w:i/>
                <w:iCs/>
              </w:rPr>
              <w:t xml:space="preserve"> </w:t>
            </w:r>
            <w:r w:rsidR="00481957" w:rsidRPr="00481957">
              <w:rPr>
                <w:i/>
                <w:iCs/>
              </w:rPr>
              <w:t>or</w:t>
            </w:r>
            <w:r w:rsidR="00481957">
              <w:rPr>
                <w:i/>
                <w:iCs/>
              </w:rPr>
              <w:t xml:space="preserve"> </w:t>
            </w:r>
            <w:r w:rsidR="00481957" w:rsidRPr="00481957">
              <w:rPr>
                <w:i/>
                <w:iCs/>
              </w:rPr>
              <w:t>less</w:t>
            </w:r>
            <w:r w:rsidRPr="00481957">
              <w:rPr>
                <w:i/>
                <w:iCs/>
              </w:rPr>
              <w:t xml:space="preserve"> </w:t>
            </w:r>
            <w:r w:rsidRPr="00481957">
              <w:rPr>
                <w:strike/>
              </w:rPr>
              <w:t>0 or 1</w:t>
            </w:r>
            <w:r>
              <w:t>,</w:t>
            </w:r>
          </w:p>
          <w:p w14:paraId="35377877" w14:textId="77777777" w:rsidR="005967DD" w:rsidRPr="00291E43" w:rsidRDefault="005967DD" w:rsidP="003B02DE">
            <w:pPr>
              <w:pStyle w:val="TableText"/>
              <w:rPr>
                <w:strike/>
              </w:rPr>
            </w:pPr>
            <w:r w:rsidRPr="00291E43">
              <w:rPr>
                <w:strike/>
              </w:rPr>
              <w:t>AND</w:t>
            </w:r>
          </w:p>
          <w:p w14:paraId="2C15340A" w14:textId="77777777" w:rsidR="005967DD" w:rsidRPr="00291E43" w:rsidRDefault="005967DD" w:rsidP="003B02DE">
            <w:pPr>
              <w:pStyle w:val="TableText"/>
              <w:rPr>
                <w:strike/>
              </w:rPr>
            </w:pPr>
            <w:r w:rsidRPr="00291E43">
              <w:rPr>
                <w:strike/>
              </w:rPr>
              <w:t>The treatment must be in combination with platinum-based chemotherapy (PBC) plus pemetrexed for a maximum of four cycles (12 weeks), unless intolerance of a severity necessitating treatment withdrawal had occurred to any of these agents. The details of intolerance must be documented in the patient's medical record.</w:t>
            </w:r>
          </w:p>
          <w:p w14:paraId="447A300F" w14:textId="77777777" w:rsidR="005967DD" w:rsidRPr="00AF652F" w:rsidRDefault="005967DD" w:rsidP="003B02DE">
            <w:pPr>
              <w:pStyle w:val="TableText"/>
            </w:pPr>
            <w:r w:rsidRPr="00AF652F">
              <w:t>AND</w:t>
            </w:r>
          </w:p>
          <w:p w14:paraId="1E9293C8" w14:textId="77777777" w:rsidR="005967DD" w:rsidRPr="00AF652F" w:rsidRDefault="005967DD" w:rsidP="003B02DE">
            <w:pPr>
              <w:pStyle w:val="TableText"/>
            </w:pPr>
            <w:r w:rsidRPr="00923E9A">
              <w:t>Patient must not have previously received PBS-subsidised treatment with this drug</w:t>
            </w:r>
            <w:r w:rsidRPr="00291E43">
              <w:rPr>
                <w:strike/>
              </w:rPr>
              <w:t>, platinum-based chemotherapy and pemetrexed for this condition.</w:t>
            </w:r>
          </w:p>
          <w:p w14:paraId="783C1B72" w14:textId="77777777" w:rsidR="005967DD" w:rsidRPr="00AF652F" w:rsidRDefault="005967DD" w:rsidP="003B02DE">
            <w:pPr>
              <w:pStyle w:val="TableText"/>
              <w:rPr>
                <w:strike/>
              </w:rPr>
            </w:pPr>
            <w:r>
              <w:t xml:space="preserve">AND </w:t>
            </w:r>
          </w:p>
          <w:p w14:paraId="34F5E2AB" w14:textId="77777777" w:rsidR="005967DD" w:rsidRDefault="005967DD" w:rsidP="003B02DE">
            <w:pPr>
              <w:pStyle w:val="TableText"/>
            </w:pPr>
            <w:r w:rsidRPr="00AF652F">
              <w:t>Patient must not have</w:t>
            </w:r>
            <w:r w:rsidRPr="003A6981">
              <w:t xml:space="preserve"> received previous PBS-subsidised treatment with another epidermal growth factor receptor (EGFR) tyrosine kinase inhibitor (TKI); </w:t>
            </w:r>
            <w:r>
              <w:t>or</w:t>
            </w:r>
          </w:p>
          <w:p w14:paraId="58059682" w14:textId="77777777" w:rsidR="005967DD" w:rsidRPr="00595622" w:rsidRDefault="005967DD" w:rsidP="003B02DE">
            <w:pPr>
              <w:pStyle w:val="TableText"/>
              <w:rPr>
                <w:highlight w:val="yellow"/>
              </w:rPr>
            </w:pPr>
            <w:r w:rsidRPr="00AF652F">
              <w:t>Patient must have developed intolerance to another epidermal growth factor receptor (EGFR) tyrosine kinase inhibitor (TKI) of a severity necessitating permanent treatment withdrawal.</w:t>
            </w:r>
          </w:p>
        </w:tc>
      </w:tr>
      <w:tr w:rsidR="005967DD" w:rsidRPr="0010028B" w14:paraId="2686AF15" w14:textId="77777777" w:rsidTr="003B02DE">
        <w:trPr>
          <w:trHeight w:val="677"/>
        </w:trPr>
        <w:tc>
          <w:tcPr>
            <w:tcW w:w="1334" w:type="pct"/>
          </w:tcPr>
          <w:p w14:paraId="6856674D" w14:textId="77777777" w:rsidR="005967DD" w:rsidRPr="0075419C" w:rsidRDefault="005967DD" w:rsidP="003B02DE">
            <w:pPr>
              <w:pStyle w:val="TableText"/>
            </w:pPr>
            <w:r w:rsidRPr="0075419C">
              <w:t>Population criteria</w:t>
            </w:r>
          </w:p>
        </w:tc>
        <w:tc>
          <w:tcPr>
            <w:tcW w:w="3666" w:type="pct"/>
            <w:gridSpan w:val="5"/>
          </w:tcPr>
          <w:p w14:paraId="06356E20" w14:textId="77777777" w:rsidR="00574C43" w:rsidRDefault="005967DD" w:rsidP="003B02DE">
            <w:pPr>
              <w:pStyle w:val="TableText"/>
            </w:pPr>
            <w:r w:rsidRPr="0075419C">
              <w:t>Patient must have evidence in tumour material of an activating epidermal growth factor receptor (EGFR) gene mutation known to confer sensitivity to treatment with EGFR tyrosine kinase inhibitors</w:t>
            </w:r>
            <w:r w:rsidR="00574C43">
              <w:t xml:space="preserve"> </w:t>
            </w:r>
          </w:p>
          <w:p w14:paraId="7C14D790" w14:textId="2A691CCE" w:rsidR="005967DD" w:rsidRPr="00574C43" w:rsidRDefault="00574C43" w:rsidP="003B02DE">
            <w:pPr>
              <w:pStyle w:val="TableText"/>
              <w:rPr>
                <w:i/>
                <w:iCs/>
              </w:rPr>
            </w:pPr>
            <w:r w:rsidRPr="00574C43">
              <w:rPr>
                <w:i/>
                <w:iCs/>
              </w:rPr>
              <w:t>AND</w:t>
            </w:r>
          </w:p>
          <w:p w14:paraId="55C5F64C" w14:textId="62667589" w:rsidR="00574C43" w:rsidRPr="00574C43" w:rsidRDefault="00574C43" w:rsidP="003B02DE">
            <w:pPr>
              <w:pStyle w:val="TableText"/>
              <w:rPr>
                <w:i/>
                <w:iCs/>
              </w:rPr>
            </w:pPr>
            <w:r w:rsidRPr="00574C43">
              <w:rPr>
                <w:i/>
                <w:iCs/>
                <w:szCs w:val="20"/>
              </w:rPr>
              <w:t>Patient must not have evidence in tumour material of an activating epidermal growth factor receptor (EGFR) exon 20 insertion mutation.</w:t>
            </w:r>
          </w:p>
        </w:tc>
      </w:tr>
      <w:tr w:rsidR="005967DD" w:rsidRPr="00FC2388" w14:paraId="242331F9" w14:textId="77777777" w:rsidTr="003B02DE">
        <w:trPr>
          <w:trHeight w:val="677"/>
        </w:trPr>
        <w:tc>
          <w:tcPr>
            <w:tcW w:w="1334" w:type="pct"/>
          </w:tcPr>
          <w:p w14:paraId="17F77A92" w14:textId="77777777" w:rsidR="005967DD" w:rsidRPr="00FC2388" w:rsidRDefault="005967DD" w:rsidP="003B02DE">
            <w:pPr>
              <w:pStyle w:val="TableText"/>
            </w:pPr>
            <w:r>
              <w:t>Prescribing instructions</w:t>
            </w:r>
          </w:p>
        </w:tc>
        <w:tc>
          <w:tcPr>
            <w:tcW w:w="3666" w:type="pct"/>
            <w:gridSpan w:val="5"/>
          </w:tcPr>
          <w:p w14:paraId="0C25E086" w14:textId="77777777" w:rsidR="005967DD" w:rsidRPr="00FC2388" w:rsidRDefault="005967DD" w:rsidP="003B02DE">
            <w:pPr>
              <w:pStyle w:val="TableText"/>
            </w:pPr>
            <w:r w:rsidRPr="00D67C54">
              <w:t>PBS-subsidised treatment with this drug is restricted to one line of therapy at any disease staging for NSCLC (i.e. if therapy has been prescribed for early disease, subsidy under locally advanced or metastatic disease is no longer available).</w:t>
            </w:r>
          </w:p>
        </w:tc>
      </w:tr>
    </w:tbl>
    <w:p w14:paraId="3018030E" w14:textId="77777777" w:rsidR="00FD7ACB" w:rsidRDefault="00FD7ACB" w:rsidP="00135AB1"/>
    <w:p w14:paraId="3F18339B" w14:textId="77777777" w:rsidR="005967DD" w:rsidRDefault="005967DD" w:rsidP="00135AB1"/>
    <w:tbl>
      <w:tblPr>
        <w:tblStyle w:val="TableGrid"/>
        <w:tblW w:w="5000" w:type="pct"/>
        <w:tblLayout w:type="fixed"/>
        <w:tblLook w:val="04A0" w:firstRow="1" w:lastRow="0" w:firstColumn="1" w:lastColumn="0" w:noHBand="0" w:noVBand="1"/>
      </w:tblPr>
      <w:tblGrid>
        <w:gridCol w:w="2405"/>
        <w:gridCol w:w="2552"/>
        <w:gridCol w:w="992"/>
        <w:gridCol w:w="849"/>
        <w:gridCol w:w="994"/>
        <w:gridCol w:w="1224"/>
      </w:tblGrid>
      <w:tr w:rsidR="00C11263" w:rsidRPr="000D2688" w14:paraId="72934E06" w14:textId="77777777" w:rsidTr="003B02DE">
        <w:tc>
          <w:tcPr>
            <w:tcW w:w="1334" w:type="pct"/>
          </w:tcPr>
          <w:p w14:paraId="08E78D47" w14:textId="77777777" w:rsidR="00C11263" w:rsidRPr="009D0329" w:rsidRDefault="00C11263" w:rsidP="003B02DE">
            <w:pPr>
              <w:pStyle w:val="TableText"/>
              <w:rPr>
                <w:b/>
                <w:bCs w:val="0"/>
              </w:rPr>
            </w:pPr>
            <w:r w:rsidRPr="009D0329">
              <w:rPr>
                <w:b/>
              </w:rPr>
              <w:lastRenderedPageBreak/>
              <w:t>MEDICINAL PRODUCT</w:t>
            </w:r>
          </w:p>
          <w:p w14:paraId="36239F41" w14:textId="77777777" w:rsidR="00C11263" w:rsidRPr="000D2688" w:rsidRDefault="00C11263" w:rsidP="003B02DE">
            <w:pPr>
              <w:pStyle w:val="TableText"/>
            </w:pPr>
            <w:r>
              <w:t>Medicinal Product Pack</w:t>
            </w:r>
          </w:p>
        </w:tc>
        <w:tc>
          <w:tcPr>
            <w:tcW w:w="1415" w:type="pct"/>
          </w:tcPr>
          <w:p w14:paraId="0FA15EE0" w14:textId="77777777" w:rsidR="00C11263" w:rsidRPr="006945B2" w:rsidRDefault="00C11263" w:rsidP="003B02DE">
            <w:pPr>
              <w:pStyle w:val="TableText"/>
              <w:rPr>
                <w:b/>
                <w:bCs w:val="0"/>
              </w:rPr>
            </w:pPr>
            <w:r w:rsidRPr="006945B2">
              <w:rPr>
                <w:b/>
              </w:rPr>
              <w:t>Dispensed Price Max Qty</w:t>
            </w:r>
            <w:r>
              <w:rPr>
                <w:b/>
              </w:rPr>
              <w:t xml:space="preserve"> (DPMQ)</w:t>
            </w:r>
          </w:p>
        </w:tc>
        <w:tc>
          <w:tcPr>
            <w:tcW w:w="550" w:type="pct"/>
          </w:tcPr>
          <w:p w14:paraId="3CC17E2F" w14:textId="77777777" w:rsidR="00C11263" w:rsidRPr="000D2688" w:rsidRDefault="00C11263" w:rsidP="003B02DE">
            <w:pPr>
              <w:pStyle w:val="TableText"/>
            </w:pPr>
            <w:r>
              <w:t>Max qty packs</w:t>
            </w:r>
          </w:p>
        </w:tc>
        <w:tc>
          <w:tcPr>
            <w:tcW w:w="471" w:type="pct"/>
          </w:tcPr>
          <w:p w14:paraId="66129D80" w14:textId="77777777" w:rsidR="00C11263" w:rsidRPr="000D2688" w:rsidRDefault="00C11263" w:rsidP="003B02DE">
            <w:pPr>
              <w:pStyle w:val="TableText"/>
            </w:pPr>
            <w:r>
              <w:t>Max qty units</w:t>
            </w:r>
          </w:p>
        </w:tc>
        <w:tc>
          <w:tcPr>
            <w:tcW w:w="551" w:type="pct"/>
          </w:tcPr>
          <w:p w14:paraId="73311BD4" w14:textId="77777777" w:rsidR="00C11263" w:rsidRPr="000D2688" w:rsidRDefault="00C11263" w:rsidP="003B02DE">
            <w:pPr>
              <w:pStyle w:val="TableText"/>
            </w:pPr>
            <w:r>
              <w:t>No. of repeats</w:t>
            </w:r>
          </w:p>
        </w:tc>
        <w:tc>
          <w:tcPr>
            <w:tcW w:w="679" w:type="pct"/>
          </w:tcPr>
          <w:p w14:paraId="3E05762C" w14:textId="77777777" w:rsidR="00C11263" w:rsidRPr="000D2688" w:rsidRDefault="00C11263" w:rsidP="003B02DE">
            <w:pPr>
              <w:pStyle w:val="TableText"/>
            </w:pPr>
            <w:r>
              <w:t>Available brands</w:t>
            </w:r>
          </w:p>
        </w:tc>
      </w:tr>
      <w:tr w:rsidR="00C11263" w:rsidRPr="000D2688" w14:paraId="42D8F549" w14:textId="77777777" w:rsidTr="003B02DE">
        <w:tc>
          <w:tcPr>
            <w:tcW w:w="1334" w:type="pct"/>
          </w:tcPr>
          <w:p w14:paraId="1825266E" w14:textId="77777777" w:rsidR="00C11263" w:rsidRPr="000D2688" w:rsidRDefault="00C11263" w:rsidP="003B02DE">
            <w:pPr>
              <w:pStyle w:val="TableText"/>
            </w:pPr>
            <w:r>
              <w:t>Osimertinib 80 mg tablet, 30</w:t>
            </w:r>
          </w:p>
        </w:tc>
        <w:tc>
          <w:tcPr>
            <w:tcW w:w="1415" w:type="pct"/>
          </w:tcPr>
          <w:p w14:paraId="64401350" w14:textId="77777777" w:rsidR="00C11263" w:rsidRDefault="00C11263" w:rsidP="003B02DE">
            <w:pPr>
              <w:pStyle w:val="TableText"/>
            </w:pPr>
            <w:r w:rsidRPr="00117A9B">
              <w:t>Published: $7,582.10</w:t>
            </w:r>
          </w:p>
          <w:p w14:paraId="0931DD9A" w14:textId="2938D88C" w:rsidR="00C11263" w:rsidRPr="000D2688" w:rsidRDefault="00C11263" w:rsidP="003B02DE">
            <w:pPr>
              <w:pStyle w:val="TableText"/>
            </w:pPr>
            <w:r>
              <w:t>Effective: $</w:t>
            </w:r>
            <w:r w:rsidR="00255D1B" w:rsidRPr="00255D1B">
              <w:rPr>
                <w:color w:val="000000"/>
                <w:spacing w:val="53"/>
                <w:shd w:val="solid" w:color="000000" w:fill="000000"/>
                <w:fitText w:val="330" w:id="-606363376"/>
                <w14:textFill>
                  <w14:solidFill>
                    <w14:srgbClr w14:val="000000">
                      <w14:alpha w14:val="100000"/>
                    </w14:srgbClr>
                  </w14:solidFill>
                </w14:textFill>
              </w:rPr>
              <w:t>|||</w:t>
            </w:r>
            <w:r w:rsidR="00255D1B" w:rsidRPr="00255D1B">
              <w:rPr>
                <w:color w:val="000000"/>
                <w:spacing w:val="1"/>
                <w:shd w:val="solid" w:color="000000" w:fill="000000"/>
                <w:fitText w:val="330" w:id="-606363376"/>
                <w14:textFill>
                  <w14:solidFill>
                    <w14:srgbClr w14:val="000000">
                      <w14:alpha w14:val="100000"/>
                    </w14:srgbClr>
                  </w14:solidFill>
                </w14:textFill>
              </w:rPr>
              <w:t>|</w:t>
            </w:r>
            <w:r>
              <w:t xml:space="preserve"> (SPA)</w:t>
            </w:r>
          </w:p>
        </w:tc>
        <w:tc>
          <w:tcPr>
            <w:tcW w:w="550" w:type="pct"/>
          </w:tcPr>
          <w:p w14:paraId="590F01E2" w14:textId="77777777" w:rsidR="00C11263" w:rsidRPr="000D2688" w:rsidRDefault="00C11263" w:rsidP="003B02DE">
            <w:pPr>
              <w:pStyle w:val="TableText"/>
            </w:pPr>
            <w:r>
              <w:t>1</w:t>
            </w:r>
          </w:p>
        </w:tc>
        <w:tc>
          <w:tcPr>
            <w:tcW w:w="471" w:type="pct"/>
          </w:tcPr>
          <w:p w14:paraId="2FC829FF" w14:textId="77777777" w:rsidR="00C11263" w:rsidRPr="000D2688" w:rsidRDefault="00C11263" w:rsidP="003B02DE">
            <w:pPr>
              <w:pStyle w:val="TableText"/>
            </w:pPr>
            <w:r>
              <w:t>30</w:t>
            </w:r>
          </w:p>
        </w:tc>
        <w:tc>
          <w:tcPr>
            <w:tcW w:w="551" w:type="pct"/>
          </w:tcPr>
          <w:p w14:paraId="2CFFEEE2" w14:textId="77777777" w:rsidR="00C11263" w:rsidRPr="000D2688" w:rsidRDefault="00C11263" w:rsidP="003B02DE">
            <w:pPr>
              <w:pStyle w:val="TableText"/>
            </w:pPr>
            <w:r>
              <w:t>5</w:t>
            </w:r>
          </w:p>
        </w:tc>
        <w:tc>
          <w:tcPr>
            <w:tcW w:w="679" w:type="pct"/>
          </w:tcPr>
          <w:p w14:paraId="717C265F" w14:textId="77777777" w:rsidR="00C11263" w:rsidRPr="000D2688" w:rsidRDefault="00C11263" w:rsidP="003B02DE">
            <w:pPr>
              <w:pStyle w:val="TableText"/>
            </w:pPr>
            <w:r>
              <w:t>TAGRISSO</w:t>
            </w:r>
          </w:p>
        </w:tc>
      </w:tr>
      <w:tr w:rsidR="00C11263" w14:paraId="72A88768" w14:textId="77777777" w:rsidTr="003B02DE">
        <w:tc>
          <w:tcPr>
            <w:tcW w:w="1334" w:type="pct"/>
            <w:vAlign w:val="center"/>
          </w:tcPr>
          <w:p w14:paraId="1846C538" w14:textId="77777777" w:rsidR="00C11263" w:rsidRDefault="00C11263" w:rsidP="003B02DE">
            <w:pPr>
              <w:pStyle w:val="TableText"/>
            </w:pPr>
            <w:r>
              <w:t>Osimertinib 40 mg tablet, 30</w:t>
            </w:r>
          </w:p>
        </w:tc>
        <w:tc>
          <w:tcPr>
            <w:tcW w:w="1415" w:type="pct"/>
          </w:tcPr>
          <w:p w14:paraId="6E08A4B2" w14:textId="77777777" w:rsidR="00C11263" w:rsidRDefault="00C11263" w:rsidP="003B02DE">
            <w:pPr>
              <w:pStyle w:val="TableText"/>
            </w:pPr>
            <w:r w:rsidRPr="00117A9B">
              <w:t>Published: $7,582.10</w:t>
            </w:r>
          </w:p>
          <w:p w14:paraId="5CA33913" w14:textId="5B215704" w:rsidR="00C11263" w:rsidRPr="00117A9B" w:rsidRDefault="00C11263" w:rsidP="003B02DE">
            <w:pPr>
              <w:pStyle w:val="TableText"/>
            </w:pPr>
            <w:r>
              <w:t>Effective: $</w:t>
            </w:r>
            <w:r w:rsidR="00255D1B" w:rsidRPr="00255D1B">
              <w:rPr>
                <w:color w:val="000000"/>
                <w:spacing w:val="53"/>
                <w:shd w:val="solid" w:color="000000" w:fill="000000"/>
                <w:fitText w:val="330" w:id="-606363392"/>
                <w14:textFill>
                  <w14:solidFill>
                    <w14:srgbClr w14:val="000000">
                      <w14:alpha w14:val="100000"/>
                    </w14:srgbClr>
                  </w14:solidFill>
                </w14:textFill>
              </w:rPr>
              <w:t>|||</w:t>
            </w:r>
            <w:r w:rsidR="00255D1B" w:rsidRPr="00255D1B">
              <w:rPr>
                <w:color w:val="000000"/>
                <w:spacing w:val="1"/>
                <w:shd w:val="solid" w:color="000000" w:fill="000000"/>
                <w:fitText w:val="330" w:id="-606363392"/>
                <w14:textFill>
                  <w14:solidFill>
                    <w14:srgbClr w14:val="000000">
                      <w14:alpha w14:val="100000"/>
                    </w14:srgbClr>
                  </w14:solidFill>
                </w14:textFill>
              </w:rPr>
              <w:t>|</w:t>
            </w:r>
            <w:r>
              <w:t xml:space="preserve"> (SPA)</w:t>
            </w:r>
          </w:p>
        </w:tc>
        <w:tc>
          <w:tcPr>
            <w:tcW w:w="550" w:type="pct"/>
          </w:tcPr>
          <w:p w14:paraId="7CD163D7" w14:textId="77777777" w:rsidR="00C11263" w:rsidRDefault="00C11263" w:rsidP="003B02DE">
            <w:pPr>
              <w:pStyle w:val="TableText"/>
            </w:pPr>
            <w:r>
              <w:t>1</w:t>
            </w:r>
          </w:p>
        </w:tc>
        <w:tc>
          <w:tcPr>
            <w:tcW w:w="471" w:type="pct"/>
          </w:tcPr>
          <w:p w14:paraId="07F03C6D" w14:textId="77777777" w:rsidR="00C11263" w:rsidRDefault="00C11263" w:rsidP="003B02DE">
            <w:pPr>
              <w:pStyle w:val="TableText"/>
            </w:pPr>
            <w:r>
              <w:t>30</w:t>
            </w:r>
          </w:p>
        </w:tc>
        <w:tc>
          <w:tcPr>
            <w:tcW w:w="551" w:type="pct"/>
          </w:tcPr>
          <w:p w14:paraId="264AC4E4" w14:textId="77777777" w:rsidR="00C11263" w:rsidRDefault="00C11263" w:rsidP="003B02DE">
            <w:pPr>
              <w:pStyle w:val="TableText"/>
            </w:pPr>
            <w:r>
              <w:t>5</w:t>
            </w:r>
          </w:p>
        </w:tc>
        <w:tc>
          <w:tcPr>
            <w:tcW w:w="679" w:type="pct"/>
          </w:tcPr>
          <w:p w14:paraId="1D702783" w14:textId="77777777" w:rsidR="00C11263" w:rsidRDefault="00C11263" w:rsidP="003B02DE">
            <w:pPr>
              <w:pStyle w:val="TableText"/>
            </w:pPr>
            <w:r>
              <w:t>TAGRISSO</w:t>
            </w:r>
          </w:p>
        </w:tc>
      </w:tr>
      <w:tr w:rsidR="0010648B" w:rsidRPr="000D2688" w14:paraId="7713199F" w14:textId="77777777" w:rsidTr="0010648B">
        <w:tc>
          <w:tcPr>
            <w:tcW w:w="5000" w:type="pct"/>
            <w:gridSpan w:val="6"/>
          </w:tcPr>
          <w:p w14:paraId="0E5BE955" w14:textId="77777777" w:rsidR="0010648B" w:rsidRDefault="0010648B" w:rsidP="003B02DE">
            <w:pPr>
              <w:pStyle w:val="TableText"/>
            </w:pPr>
          </w:p>
        </w:tc>
      </w:tr>
      <w:tr w:rsidR="00C11263" w:rsidRPr="000D2688" w14:paraId="54BEB7CD" w14:textId="77777777" w:rsidTr="003B02DE">
        <w:tc>
          <w:tcPr>
            <w:tcW w:w="1334" w:type="pct"/>
          </w:tcPr>
          <w:p w14:paraId="465F912C" w14:textId="77777777" w:rsidR="00C11263" w:rsidRPr="000D2688" w:rsidRDefault="00C11263" w:rsidP="003B02DE">
            <w:pPr>
              <w:pStyle w:val="TableText"/>
            </w:pPr>
            <w:r w:rsidRPr="000D2688">
              <w:t>Category / Program</w:t>
            </w:r>
          </w:p>
        </w:tc>
        <w:tc>
          <w:tcPr>
            <w:tcW w:w="3666" w:type="pct"/>
            <w:gridSpan w:val="5"/>
          </w:tcPr>
          <w:p w14:paraId="5B513081" w14:textId="77777777" w:rsidR="00C11263" w:rsidRPr="000D2688" w:rsidRDefault="00C11263" w:rsidP="003B02DE">
            <w:pPr>
              <w:pStyle w:val="TableText"/>
            </w:pPr>
            <w:r>
              <w:t>GENERAL</w:t>
            </w:r>
            <w:r w:rsidRPr="000D2688">
              <w:t xml:space="preserve"> – General Schedule</w:t>
            </w:r>
            <w:r>
              <w:t xml:space="preserve"> (Code GE)</w:t>
            </w:r>
          </w:p>
        </w:tc>
      </w:tr>
      <w:tr w:rsidR="00C11263" w:rsidRPr="000D2688" w14:paraId="791BE90A" w14:textId="77777777" w:rsidTr="003B02DE">
        <w:tc>
          <w:tcPr>
            <w:tcW w:w="1334" w:type="pct"/>
          </w:tcPr>
          <w:p w14:paraId="339E25BD" w14:textId="77777777" w:rsidR="00C11263" w:rsidRPr="000D2688" w:rsidRDefault="00C11263" w:rsidP="003B02DE">
            <w:pPr>
              <w:pStyle w:val="TableText"/>
            </w:pPr>
            <w:r w:rsidRPr="000D2688">
              <w:t>Prescriber type</w:t>
            </w:r>
          </w:p>
        </w:tc>
        <w:tc>
          <w:tcPr>
            <w:tcW w:w="3666" w:type="pct"/>
            <w:gridSpan w:val="5"/>
          </w:tcPr>
          <w:p w14:paraId="551A9D93" w14:textId="77777777" w:rsidR="00C11263" w:rsidRPr="000D2688" w:rsidRDefault="00C11263" w:rsidP="003B02DE">
            <w:pPr>
              <w:pStyle w:val="TableText"/>
            </w:pPr>
            <w:r w:rsidRPr="000D2688">
              <w:t xml:space="preserve">Medical Practitioners </w:t>
            </w:r>
          </w:p>
        </w:tc>
      </w:tr>
      <w:tr w:rsidR="00C11263" w:rsidRPr="000D2688" w14:paraId="4713FB4F" w14:textId="77777777" w:rsidTr="003B02DE">
        <w:tc>
          <w:tcPr>
            <w:tcW w:w="1334" w:type="pct"/>
          </w:tcPr>
          <w:p w14:paraId="3EC82044" w14:textId="77777777" w:rsidR="00C11263" w:rsidRPr="000D2688" w:rsidRDefault="00C11263" w:rsidP="003B02DE">
            <w:pPr>
              <w:pStyle w:val="TableText"/>
            </w:pPr>
            <w:r w:rsidRPr="000D2688">
              <w:t>Restriction</w:t>
            </w:r>
            <w:r>
              <w:t xml:space="preserve"> type</w:t>
            </w:r>
          </w:p>
        </w:tc>
        <w:tc>
          <w:tcPr>
            <w:tcW w:w="3666" w:type="pct"/>
            <w:gridSpan w:val="5"/>
          </w:tcPr>
          <w:p w14:paraId="1E8A9F75" w14:textId="77777777" w:rsidR="00C11263" w:rsidRPr="000D2688" w:rsidRDefault="00C11263" w:rsidP="003B02DE">
            <w:pPr>
              <w:pStyle w:val="TableText"/>
            </w:pPr>
            <w:r w:rsidRPr="000D2688">
              <w:t xml:space="preserve">Authority Required </w:t>
            </w:r>
            <w:r>
              <w:t>(</w:t>
            </w:r>
            <w:r w:rsidRPr="000D2688">
              <w:t>I</w:t>
            </w:r>
            <w:r>
              <w:t>mmediate assessment)</w:t>
            </w:r>
          </w:p>
        </w:tc>
      </w:tr>
      <w:tr w:rsidR="00C11263" w:rsidRPr="000D2688" w14:paraId="37A78115" w14:textId="77777777" w:rsidTr="003B02DE">
        <w:tc>
          <w:tcPr>
            <w:tcW w:w="1334" w:type="pct"/>
          </w:tcPr>
          <w:p w14:paraId="649CDB31" w14:textId="77777777" w:rsidR="00C11263" w:rsidRPr="000D2688" w:rsidRDefault="00C11263" w:rsidP="003B02DE">
            <w:pPr>
              <w:pStyle w:val="TableText"/>
            </w:pPr>
            <w:r>
              <w:t>Administrative advice</w:t>
            </w:r>
          </w:p>
        </w:tc>
        <w:tc>
          <w:tcPr>
            <w:tcW w:w="3666" w:type="pct"/>
            <w:gridSpan w:val="5"/>
          </w:tcPr>
          <w:p w14:paraId="7091CA4E" w14:textId="77777777" w:rsidR="00C11263" w:rsidRPr="00FC2388" w:rsidRDefault="00C11263" w:rsidP="003B02DE">
            <w:pPr>
              <w:pStyle w:val="TableText"/>
            </w:pPr>
            <w:r w:rsidRPr="00FC2388">
              <w:t>No increase in the maximum quantity o</w:t>
            </w:r>
            <w:r>
              <w:t>f</w:t>
            </w:r>
            <w:r w:rsidRPr="00FC2388">
              <w:t xml:space="preserve"> number of units may be authorised</w:t>
            </w:r>
          </w:p>
          <w:p w14:paraId="240AF492" w14:textId="77777777" w:rsidR="00C11263" w:rsidRPr="00FC2388" w:rsidRDefault="00C11263" w:rsidP="003B02DE">
            <w:pPr>
              <w:pStyle w:val="TableText"/>
            </w:pPr>
            <w:r w:rsidRPr="00FC2388">
              <w:t>No increase in the maximum number of repeats may be authorised</w:t>
            </w:r>
          </w:p>
          <w:p w14:paraId="53553D9C" w14:textId="77777777" w:rsidR="00C11263" w:rsidRDefault="00C11263" w:rsidP="003B02DE">
            <w:pPr>
              <w:pStyle w:val="TableText"/>
            </w:pPr>
            <w:r w:rsidRPr="00FC2388">
              <w:t xml:space="preserve">Special </w:t>
            </w:r>
            <w:r>
              <w:t>P</w:t>
            </w:r>
            <w:r w:rsidRPr="00FC2388">
              <w:t>ricing Arrangements apply</w:t>
            </w:r>
          </w:p>
          <w:p w14:paraId="082968D6" w14:textId="77777777" w:rsidR="00C11263" w:rsidRPr="000D2688" w:rsidRDefault="00C11263" w:rsidP="003B02DE">
            <w:pPr>
              <w:pStyle w:val="TableText"/>
            </w:pPr>
            <w:r w:rsidRPr="00F760D3">
              <w:t>Applications for authorisation under this restriction may be made in real time using the Online PBS Authorities system (see www.servicesaustralia.gov.au/HPOS) or by telephone by contacting Services Australia on 1800 888 333.</w:t>
            </w:r>
          </w:p>
        </w:tc>
      </w:tr>
      <w:tr w:rsidR="00C11263" w:rsidRPr="000D2688" w14:paraId="41A3FCD9" w14:textId="77777777" w:rsidTr="003B02DE">
        <w:tc>
          <w:tcPr>
            <w:tcW w:w="1334" w:type="pct"/>
          </w:tcPr>
          <w:p w14:paraId="300FC3F8" w14:textId="77777777" w:rsidR="00C11263" w:rsidRPr="000D2688" w:rsidRDefault="00C11263" w:rsidP="003B02DE">
            <w:pPr>
              <w:pStyle w:val="TableText"/>
            </w:pPr>
            <w:r>
              <w:t>Indicat</w:t>
            </w:r>
            <w:r w:rsidRPr="000D2688">
              <w:t>ion</w:t>
            </w:r>
          </w:p>
        </w:tc>
        <w:tc>
          <w:tcPr>
            <w:tcW w:w="3666" w:type="pct"/>
            <w:gridSpan w:val="5"/>
          </w:tcPr>
          <w:p w14:paraId="67DDC38E" w14:textId="77777777" w:rsidR="00C11263" w:rsidRPr="000D2688" w:rsidRDefault="00C11263" w:rsidP="003B02DE">
            <w:pPr>
              <w:pStyle w:val="TableText"/>
            </w:pPr>
            <w:r w:rsidRPr="000D2688">
              <w:t>Stage III</w:t>
            </w:r>
            <w:r>
              <w:t>B/IIIC (locally advanced</w:t>
            </w:r>
            <w:r w:rsidRPr="000D2688">
              <w:t>) or Stage IV</w:t>
            </w:r>
            <w:r>
              <w:t xml:space="preserve"> (metastatic</w:t>
            </w:r>
            <w:r w:rsidRPr="000D2688">
              <w:t>) non-small cell lung cancer</w:t>
            </w:r>
            <w:r>
              <w:t xml:space="preserve"> (NSCLC)</w:t>
            </w:r>
          </w:p>
        </w:tc>
      </w:tr>
      <w:tr w:rsidR="00C11263" w:rsidRPr="000D2688" w14:paraId="58E3B9B1" w14:textId="77777777" w:rsidTr="003B02DE">
        <w:tc>
          <w:tcPr>
            <w:tcW w:w="1334" w:type="pct"/>
          </w:tcPr>
          <w:p w14:paraId="4B27D7A4" w14:textId="77777777" w:rsidR="00C11263" w:rsidRPr="000D2688" w:rsidRDefault="00C11263" w:rsidP="003B02DE">
            <w:pPr>
              <w:pStyle w:val="TableText"/>
            </w:pPr>
            <w:r w:rsidRPr="000D2688">
              <w:t>Treatment phase</w:t>
            </w:r>
          </w:p>
        </w:tc>
        <w:tc>
          <w:tcPr>
            <w:tcW w:w="3666" w:type="pct"/>
            <w:gridSpan w:val="5"/>
          </w:tcPr>
          <w:p w14:paraId="52887B01" w14:textId="77777777" w:rsidR="00C11263" w:rsidRPr="000D2688" w:rsidRDefault="00C11263" w:rsidP="003B02DE">
            <w:pPr>
              <w:pStyle w:val="TableText"/>
            </w:pPr>
            <w:r w:rsidRPr="0076041E">
              <w:t>Continuing treatment of first-line EGFR tyrosine kinase inhibitor therapy</w:t>
            </w:r>
          </w:p>
        </w:tc>
      </w:tr>
      <w:tr w:rsidR="00C11263" w:rsidRPr="00595622" w14:paraId="624129E7" w14:textId="77777777" w:rsidTr="003B02DE">
        <w:tc>
          <w:tcPr>
            <w:tcW w:w="1334" w:type="pct"/>
          </w:tcPr>
          <w:p w14:paraId="33579D75" w14:textId="77777777" w:rsidR="00C11263" w:rsidRPr="00CB664D" w:rsidRDefault="00C11263" w:rsidP="003B02DE">
            <w:pPr>
              <w:pStyle w:val="TableText"/>
              <w:rPr>
                <w:highlight w:val="yellow"/>
              </w:rPr>
            </w:pPr>
            <w:r w:rsidRPr="00854F7E">
              <w:t>Clinical criteria</w:t>
            </w:r>
          </w:p>
        </w:tc>
        <w:tc>
          <w:tcPr>
            <w:tcW w:w="3666" w:type="pct"/>
            <w:gridSpan w:val="5"/>
          </w:tcPr>
          <w:p w14:paraId="43406965" w14:textId="77777777" w:rsidR="00C11263" w:rsidRPr="00EA7145" w:rsidRDefault="00C11263" w:rsidP="003B02DE">
            <w:pPr>
              <w:pStyle w:val="TableText"/>
              <w:rPr>
                <w:strike/>
              </w:rPr>
            </w:pPr>
            <w:r w:rsidRPr="00EA7145">
              <w:rPr>
                <w:strike/>
              </w:rPr>
              <w:t xml:space="preserve">The treatment must be as monotherapy, or </w:t>
            </w:r>
          </w:p>
          <w:p w14:paraId="19182401" w14:textId="77777777" w:rsidR="00C11263" w:rsidRPr="00EA7145" w:rsidRDefault="00C11263" w:rsidP="003B02DE">
            <w:pPr>
              <w:pStyle w:val="TableText"/>
              <w:rPr>
                <w:strike/>
              </w:rPr>
            </w:pPr>
            <w:r w:rsidRPr="00EA7145">
              <w:rPr>
                <w:strike/>
              </w:rPr>
              <w:t>Treatment must be in combination with pemetrexed unless intolerance of a severity necessitating treatment withdrawal had occurred. The details of intolerance must be documented in the patient's medical record.</w:t>
            </w:r>
          </w:p>
          <w:p w14:paraId="4E2A0BCF" w14:textId="77777777" w:rsidR="00C11263" w:rsidRPr="00EA7145" w:rsidRDefault="00C11263" w:rsidP="003B02DE">
            <w:pPr>
              <w:pStyle w:val="TableText"/>
              <w:rPr>
                <w:strike/>
              </w:rPr>
            </w:pPr>
            <w:r w:rsidRPr="00EA7145">
              <w:t>Patient must have previously received PBS-subsidised treatment with this drug</w:t>
            </w:r>
            <w:r w:rsidRPr="00EA7145">
              <w:rPr>
                <w:strike/>
              </w:rPr>
              <w:t xml:space="preserve"> as monotherapy, or </w:t>
            </w:r>
          </w:p>
          <w:p w14:paraId="3E13EF0C" w14:textId="77777777" w:rsidR="00C11263" w:rsidRPr="00EA7145" w:rsidRDefault="00C11263" w:rsidP="003B02DE">
            <w:pPr>
              <w:pStyle w:val="TableText"/>
              <w:rPr>
                <w:strike/>
              </w:rPr>
            </w:pPr>
            <w:r w:rsidRPr="00EA7145">
              <w:rPr>
                <w:strike/>
              </w:rPr>
              <w:t>Patient must have previously received PBS-subsidised treatment with this drug in combination with platinum-based chemotherapy and pemetrexed for this condition.</w:t>
            </w:r>
          </w:p>
          <w:p w14:paraId="1DC679F3" w14:textId="77777777" w:rsidR="00C11263" w:rsidRPr="00595622" w:rsidRDefault="00C11263" w:rsidP="003B02DE">
            <w:pPr>
              <w:pStyle w:val="TableText"/>
              <w:rPr>
                <w:highlight w:val="yellow"/>
              </w:rPr>
            </w:pPr>
            <w:r w:rsidRPr="00700486">
              <w:t>Patient must not have developed disease progression while receiving treatment with this drug for this condition.</w:t>
            </w:r>
          </w:p>
        </w:tc>
      </w:tr>
      <w:tr w:rsidR="00C11263" w:rsidRPr="00FC2388" w14:paraId="1449302D" w14:textId="77777777" w:rsidTr="003B02DE">
        <w:trPr>
          <w:trHeight w:val="677"/>
        </w:trPr>
        <w:tc>
          <w:tcPr>
            <w:tcW w:w="1334" w:type="pct"/>
          </w:tcPr>
          <w:p w14:paraId="78F17FD2" w14:textId="77777777" w:rsidR="00C11263" w:rsidRPr="00FC2388" w:rsidRDefault="00C11263" w:rsidP="003B02DE">
            <w:pPr>
              <w:pStyle w:val="TableText"/>
            </w:pPr>
            <w:r>
              <w:t>Prescribing instructions</w:t>
            </w:r>
          </w:p>
        </w:tc>
        <w:tc>
          <w:tcPr>
            <w:tcW w:w="3666" w:type="pct"/>
            <w:gridSpan w:val="5"/>
          </w:tcPr>
          <w:p w14:paraId="63C1939F" w14:textId="77777777" w:rsidR="00C11263" w:rsidRPr="00FC2388" w:rsidRDefault="00C11263" w:rsidP="003B02DE">
            <w:pPr>
              <w:pStyle w:val="TableText"/>
            </w:pPr>
            <w:r w:rsidRPr="00D67C54">
              <w:t>PBS-subsidised treatment with this drug is restricted to one line of therapy at any disease staging for NSCLC (i.e. if therapy has been prescribed for early disease, subsidy under locally advanced or metastatic disease is no longer available).</w:t>
            </w:r>
          </w:p>
        </w:tc>
      </w:tr>
    </w:tbl>
    <w:p w14:paraId="051AF84E" w14:textId="0A5A6932" w:rsidR="00615D85" w:rsidRDefault="009560FF" w:rsidP="00A02DC5">
      <w:pPr>
        <w:pStyle w:val="3-BodyText"/>
        <w:spacing w:before="120"/>
      </w:pPr>
      <w:bookmarkStart w:id="4" w:name="_Ref209684252"/>
      <w:r>
        <w:rPr>
          <w:szCs w:val="20"/>
        </w:rPr>
        <w:t xml:space="preserve">Noting </w:t>
      </w:r>
      <w:r w:rsidR="00615D85">
        <w:rPr>
          <w:szCs w:val="20"/>
        </w:rPr>
        <w:t xml:space="preserve">the </w:t>
      </w:r>
      <w:r w:rsidR="00923A06">
        <w:rPr>
          <w:szCs w:val="20"/>
        </w:rPr>
        <w:t>PBAC</w:t>
      </w:r>
      <w:r w:rsidR="00615D85">
        <w:rPr>
          <w:szCs w:val="20"/>
        </w:rPr>
        <w:t xml:space="preserve"> preference </w:t>
      </w:r>
      <w:r>
        <w:rPr>
          <w:szCs w:val="20"/>
        </w:rPr>
        <w:t xml:space="preserve">for </w:t>
      </w:r>
      <w:r w:rsidR="00615D85">
        <w:rPr>
          <w:szCs w:val="20"/>
        </w:rPr>
        <w:t>a</w:t>
      </w:r>
      <w:r w:rsidR="00BA5F1D">
        <w:rPr>
          <w:szCs w:val="20"/>
        </w:rPr>
        <w:t xml:space="preserve"> </w:t>
      </w:r>
      <w:r w:rsidR="00BA5F1D" w:rsidRPr="00532EBB">
        <w:rPr>
          <w:lang w:eastAsia="en-US"/>
        </w:rPr>
        <w:t xml:space="preserve">combined </w:t>
      </w:r>
      <w:r w:rsidR="00BA5F1D">
        <w:rPr>
          <w:szCs w:val="20"/>
        </w:rPr>
        <w:t xml:space="preserve">single </w:t>
      </w:r>
      <w:r w:rsidR="00BA5F1D" w:rsidRPr="00532EBB">
        <w:rPr>
          <w:lang w:eastAsia="en-US"/>
        </w:rPr>
        <w:t>restriction</w:t>
      </w:r>
      <w:r w:rsidR="00615D85">
        <w:rPr>
          <w:szCs w:val="20"/>
        </w:rPr>
        <w:t xml:space="preserve"> </w:t>
      </w:r>
      <w:r w:rsidR="00BA5F1D" w:rsidRPr="00532EBB">
        <w:rPr>
          <w:lang w:eastAsia="en-US"/>
        </w:rPr>
        <w:t xml:space="preserve">for </w:t>
      </w:r>
      <w:proofErr w:type="spellStart"/>
      <w:r w:rsidR="00BA5F1D" w:rsidRPr="00532EBB">
        <w:rPr>
          <w:lang w:eastAsia="en-US"/>
        </w:rPr>
        <w:t>osimertinib</w:t>
      </w:r>
      <w:proofErr w:type="spellEnd"/>
      <w:r w:rsidR="00BA5F1D" w:rsidRPr="00532EBB">
        <w:rPr>
          <w:lang w:eastAsia="en-US"/>
        </w:rPr>
        <w:t xml:space="preserve"> covering all the </w:t>
      </w:r>
      <w:r w:rsidR="00BA5F1D" w:rsidRPr="001A787E">
        <w:rPr>
          <w:i/>
          <w:iCs/>
          <w:lang w:eastAsia="en-US"/>
        </w:rPr>
        <w:t>EGFR</w:t>
      </w:r>
      <w:r w:rsidR="00BA5F1D" w:rsidRPr="00532EBB">
        <w:rPr>
          <w:lang w:eastAsia="en-US"/>
        </w:rPr>
        <w:t xml:space="preserve"> positive NSCLC patient populations</w:t>
      </w:r>
      <w:r w:rsidR="00BA5F1D">
        <w:rPr>
          <w:szCs w:val="20"/>
        </w:rPr>
        <w:t xml:space="preserve"> </w:t>
      </w:r>
      <w:r>
        <w:rPr>
          <w:szCs w:val="20"/>
        </w:rPr>
        <w:t xml:space="preserve">at the July 2025 meeting </w:t>
      </w:r>
      <w:r w:rsidR="007E7B09">
        <w:rPr>
          <w:szCs w:val="20"/>
        </w:rPr>
        <w:t xml:space="preserve">(see paragraph </w:t>
      </w:r>
      <w:r w:rsidR="007E7B09">
        <w:rPr>
          <w:szCs w:val="20"/>
        </w:rPr>
        <w:fldChar w:fldCharType="begin"/>
      </w:r>
      <w:r w:rsidR="007E7B09">
        <w:rPr>
          <w:szCs w:val="20"/>
        </w:rPr>
        <w:instrText xml:space="preserve"> REF _Ref209683166 \r \h </w:instrText>
      </w:r>
      <w:r w:rsidR="007E7B09">
        <w:rPr>
          <w:szCs w:val="20"/>
        </w:rPr>
      </w:r>
      <w:r w:rsidR="007E7B09">
        <w:rPr>
          <w:szCs w:val="20"/>
        </w:rPr>
        <w:fldChar w:fldCharType="separate"/>
      </w:r>
      <w:r w:rsidR="0055339A">
        <w:rPr>
          <w:szCs w:val="20"/>
        </w:rPr>
        <w:t>4.14</w:t>
      </w:r>
      <w:r w:rsidR="007E7B09">
        <w:rPr>
          <w:szCs w:val="20"/>
        </w:rPr>
        <w:fldChar w:fldCharType="end"/>
      </w:r>
      <w:r w:rsidR="007E7B09">
        <w:rPr>
          <w:szCs w:val="20"/>
        </w:rPr>
        <w:t>), the Secretariat proposed the following criteria:</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Secretariat proposed the following criteria"/>
      </w:tblPr>
      <w:tblGrid>
        <w:gridCol w:w="3939"/>
        <w:gridCol w:w="811"/>
        <w:gridCol w:w="812"/>
        <w:gridCol w:w="811"/>
        <w:gridCol w:w="812"/>
        <w:gridCol w:w="1831"/>
      </w:tblGrid>
      <w:tr w:rsidR="008F30AC" w:rsidRPr="00471D80" w14:paraId="4EF33AD2" w14:textId="77777777" w:rsidTr="00FE2AF9">
        <w:trPr>
          <w:cantSplit/>
          <w:trHeight w:val="20"/>
        </w:trPr>
        <w:tc>
          <w:tcPr>
            <w:tcW w:w="3939" w:type="dxa"/>
            <w:vAlign w:val="center"/>
          </w:tcPr>
          <w:p w14:paraId="532BED0C" w14:textId="77777777" w:rsidR="008F30AC" w:rsidRPr="00471D80" w:rsidRDefault="008F30AC" w:rsidP="00FE2AF9">
            <w:pPr>
              <w:keepNext/>
              <w:keepLines/>
              <w:rPr>
                <w:rFonts w:ascii="Arial Narrow" w:hAnsi="Arial Narrow"/>
                <w:b/>
                <w:bCs/>
                <w:sz w:val="20"/>
                <w:szCs w:val="20"/>
              </w:rPr>
            </w:pPr>
            <w:r w:rsidRPr="00471D80">
              <w:rPr>
                <w:rFonts w:ascii="Arial Narrow" w:hAnsi="Arial Narrow"/>
                <w:b/>
                <w:bCs/>
                <w:sz w:val="20"/>
                <w:szCs w:val="20"/>
              </w:rPr>
              <w:t>MEDICINAL PRODUCT</w:t>
            </w:r>
          </w:p>
          <w:p w14:paraId="5731BC0D" w14:textId="77777777" w:rsidR="008F30AC" w:rsidRPr="00471D80" w:rsidRDefault="008F30AC" w:rsidP="00FE2AF9">
            <w:pPr>
              <w:keepNext/>
              <w:keepLines/>
              <w:rPr>
                <w:rFonts w:ascii="Arial Narrow" w:hAnsi="Arial Narrow"/>
                <w:b/>
                <w:sz w:val="20"/>
                <w:szCs w:val="20"/>
              </w:rPr>
            </w:pPr>
            <w:r w:rsidRPr="00471D80">
              <w:rPr>
                <w:rFonts w:ascii="Arial Narrow" w:hAnsi="Arial Narrow"/>
                <w:b/>
                <w:bCs/>
                <w:sz w:val="20"/>
                <w:szCs w:val="20"/>
              </w:rPr>
              <w:t>medicinal product pack</w:t>
            </w:r>
          </w:p>
        </w:tc>
        <w:tc>
          <w:tcPr>
            <w:tcW w:w="811" w:type="dxa"/>
            <w:vAlign w:val="center"/>
          </w:tcPr>
          <w:p w14:paraId="2A081EA2" w14:textId="77777777" w:rsidR="008F30AC" w:rsidRPr="00471D80" w:rsidRDefault="008F30AC" w:rsidP="00FE2AF9">
            <w:pPr>
              <w:keepNext/>
              <w:keepLines/>
              <w:jc w:val="center"/>
              <w:rPr>
                <w:rFonts w:ascii="Arial Narrow" w:hAnsi="Arial Narrow"/>
                <w:b/>
                <w:sz w:val="20"/>
                <w:szCs w:val="20"/>
              </w:rPr>
            </w:pPr>
            <w:r w:rsidRPr="00471D80">
              <w:rPr>
                <w:rFonts w:ascii="Arial Narrow" w:hAnsi="Arial Narrow"/>
                <w:b/>
                <w:sz w:val="20"/>
                <w:szCs w:val="20"/>
              </w:rPr>
              <w:t>PBS item code</w:t>
            </w:r>
          </w:p>
        </w:tc>
        <w:tc>
          <w:tcPr>
            <w:tcW w:w="812" w:type="dxa"/>
            <w:vAlign w:val="center"/>
          </w:tcPr>
          <w:p w14:paraId="148BF383" w14:textId="77777777" w:rsidR="008F30AC" w:rsidRPr="00471D80" w:rsidRDefault="008F30AC" w:rsidP="00FE2AF9">
            <w:pPr>
              <w:keepNext/>
              <w:keepLines/>
              <w:jc w:val="center"/>
              <w:rPr>
                <w:rFonts w:ascii="Arial Narrow" w:hAnsi="Arial Narrow"/>
                <w:b/>
                <w:sz w:val="20"/>
                <w:szCs w:val="20"/>
              </w:rPr>
            </w:pPr>
            <w:r w:rsidRPr="00471D80">
              <w:rPr>
                <w:rFonts w:ascii="Arial Narrow" w:hAnsi="Arial Narrow"/>
                <w:b/>
                <w:sz w:val="20"/>
                <w:szCs w:val="20"/>
              </w:rPr>
              <w:t>Max. qty packs</w:t>
            </w:r>
          </w:p>
        </w:tc>
        <w:tc>
          <w:tcPr>
            <w:tcW w:w="811" w:type="dxa"/>
            <w:vAlign w:val="center"/>
          </w:tcPr>
          <w:p w14:paraId="5809A714" w14:textId="77777777" w:rsidR="008F30AC" w:rsidRPr="00471D80" w:rsidRDefault="008F30AC" w:rsidP="00FE2AF9">
            <w:pPr>
              <w:keepNext/>
              <w:keepLines/>
              <w:jc w:val="center"/>
              <w:rPr>
                <w:rFonts w:ascii="Arial Narrow" w:hAnsi="Arial Narrow"/>
                <w:b/>
                <w:sz w:val="20"/>
                <w:szCs w:val="20"/>
              </w:rPr>
            </w:pPr>
            <w:r w:rsidRPr="00471D80">
              <w:rPr>
                <w:rFonts w:ascii="Arial Narrow" w:hAnsi="Arial Narrow"/>
                <w:b/>
                <w:sz w:val="20"/>
                <w:szCs w:val="20"/>
              </w:rPr>
              <w:t>Max. qty units</w:t>
            </w:r>
          </w:p>
        </w:tc>
        <w:tc>
          <w:tcPr>
            <w:tcW w:w="812" w:type="dxa"/>
            <w:vAlign w:val="center"/>
          </w:tcPr>
          <w:p w14:paraId="055B96D7" w14:textId="77777777" w:rsidR="008F30AC" w:rsidRPr="00471D80" w:rsidRDefault="008F30AC" w:rsidP="00FE2AF9">
            <w:pPr>
              <w:keepNext/>
              <w:keepLines/>
              <w:jc w:val="center"/>
              <w:rPr>
                <w:rFonts w:ascii="Arial Narrow" w:hAnsi="Arial Narrow"/>
                <w:b/>
                <w:sz w:val="20"/>
                <w:szCs w:val="20"/>
              </w:rPr>
            </w:pPr>
            <w:proofErr w:type="gramStart"/>
            <w:r w:rsidRPr="00471D80">
              <w:rPr>
                <w:rFonts w:ascii="Arial Narrow" w:hAnsi="Arial Narrow"/>
                <w:b/>
                <w:sz w:val="20"/>
                <w:szCs w:val="20"/>
              </w:rPr>
              <w:t>№.of</w:t>
            </w:r>
            <w:proofErr w:type="gramEnd"/>
          </w:p>
          <w:p w14:paraId="25B67127" w14:textId="77777777" w:rsidR="008F30AC" w:rsidRPr="00471D80" w:rsidRDefault="008F30AC" w:rsidP="00FE2AF9">
            <w:pPr>
              <w:keepNext/>
              <w:keepLines/>
              <w:jc w:val="center"/>
              <w:rPr>
                <w:rFonts w:ascii="Arial Narrow" w:hAnsi="Arial Narrow"/>
                <w:b/>
                <w:sz w:val="20"/>
                <w:szCs w:val="20"/>
              </w:rPr>
            </w:pPr>
            <w:proofErr w:type="spellStart"/>
            <w:r w:rsidRPr="00471D80">
              <w:rPr>
                <w:rFonts w:ascii="Arial Narrow" w:hAnsi="Arial Narrow"/>
                <w:b/>
                <w:sz w:val="20"/>
                <w:szCs w:val="20"/>
              </w:rPr>
              <w:t>Rpts</w:t>
            </w:r>
            <w:proofErr w:type="spellEnd"/>
          </w:p>
        </w:tc>
        <w:tc>
          <w:tcPr>
            <w:tcW w:w="1831" w:type="dxa"/>
            <w:vAlign w:val="center"/>
          </w:tcPr>
          <w:p w14:paraId="631F9DBD" w14:textId="77777777" w:rsidR="008F30AC" w:rsidRPr="00471D80" w:rsidRDefault="008F30AC" w:rsidP="00FE2AF9">
            <w:pPr>
              <w:keepNext/>
              <w:keepLines/>
              <w:rPr>
                <w:rFonts w:ascii="Arial Narrow" w:hAnsi="Arial Narrow"/>
                <w:b/>
                <w:sz w:val="20"/>
                <w:szCs w:val="20"/>
                <w:lang w:val="fr-FR"/>
              </w:rPr>
            </w:pPr>
            <w:r w:rsidRPr="00471D80">
              <w:rPr>
                <w:rFonts w:ascii="Arial Narrow" w:hAnsi="Arial Narrow"/>
                <w:b/>
                <w:sz w:val="20"/>
                <w:szCs w:val="20"/>
              </w:rPr>
              <w:t>Available brands</w:t>
            </w:r>
          </w:p>
        </w:tc>
      </w:tr>
      <w:tr w:rsidR="008F30AC" w:rsidRPr="00471D80" w14:paraId="61506C9C" w14:textId="77777777" w:rsidTr="00FE2AF9">
        <w:trPr>
          <w:cantSplit/>
          <w:trHeight w:val="20"/>
        </w:trPr>
        <w:tc>
          <w:tcPr>
            <w:tcW w:w="9016" w:type="dxa"/>
            <w:gridSpan w:val="6"/>
            <w:vAlign w:val="center"/>
          </w:tcPr>
          <w:p w14:paraId="642457FD" w14:textId="77777777" w:rsidR="008F30AC" w:rsidRPr="00471D80" w:rsidRDefault="008F30AC" w:rsidP="00FE2AF9">
            <w:pPr>
              <w:keepNext/>
              <w:keepLines/>
              <w:rPr>
                <w:rFonts w:ascii="Arial Narrow" w:hAnsi="Arial Narrow"/>
                <w:sz w:val="20"/>
                <w:szCs w:val="20"/>
              </w:rPr>
            </w:pPr>
            <w:r w:rsidRPr="00471D80">
              <w:rPr>
                <w:rFonts w:ascii="Arial Narrow" w:hAnsi="Arial Narrow"/>
                <w:sz w:val="20"/>
                <w:szCs w:val="20"/>
              </w:rPr>
              <w:t>OSIMERTINIB</w:t>
            </w:r>
          </w:p>
        </w:tc>
      </w:tr>
      <w:tr w:rsidR="008F30AC" w:rsidRPr="00471D80" w14:paraId="02D6B5F7" w14:textId="77777777" w:rsidTr="00FE2AF9">
        <w:trPr>
          <w:cantSplit/>
          <w:trHeight w:val="20"/>
        </w:trPr>
        <w:tc>
          <w:tcPr>
            <w:tcW w:w="3939" w:type="dxa"/>
            <w:vAlign w:val="center"/>
          </w:tcPr>
          <w:p w14:paraId="6563857F" w14:textId="77777777" w:rsidR="008F30AC" w:rsidRPr="00471D80" w:rsidRDefault="008F30AC" w:rsidP="00FE2AF9">
            <w:pPr>
              <w:keepNext/>
              <w:keepLines/>
              <w:rPr>
                <w:rFonts w:ascii="Arial Narrow" w:hAnsi="Arial Narrow"/>
                <w:sz w:val="20"/>
                <w:szCs w:val="20"/>
              </w:rPr>
            </w:pPr>
            <w:proofErr w:type="spellStart"/>
            <w:r w:rsidRPr="00471D80">
              <w:rPr>
                <w:rFonts w:ascii="Arial Narrow" w:hAnsi="Arial Narrow"/>
                <w:sz w:val="20"/>
                <w:szCs w:val="20"/>
              </w:rPr>
              <w:t>osimertinib</w:t>
            </w:r>
            <w:proofErr w:type="spellEnd"/>
            <w:r w:rsidRPr="00471D80">
              <w:rPr>
                <w:rFonts w:ascii="Arial Narrow" w:hAnsi="Arial Narrow"/>
                <w:sz w:val="20"/>
                <w:szCs w:val="20"/>
              </w:rPr>
              <w:t xml:space="preserve"> </w:t>
            </w:r>
            <w:r w:rsidRPr="008B5C46">
              <w:rPr>
                <w:rFonts w:ascii="Arial Narrow" w:hAnsi="Arial Narrow"/>
                <w:sz w:val="20"/>
                <w:szCs w:val="20"/>
              </w:rPr>
              <w:t>4</w:t>
            </w:r>
            <w:r w:rsidRPr="00471D80">
              <w:rPr>
                <w:rFonts w:ascii="Arial Narrow" w:hAnsi="Arial Narrow"/>
                <w:sz w:val="20"/>
                <w:szCs w:val="20"/>
              </w:rPr>
              <w:t xml:space="preserve">0 mg tablet, 30 </w:t>
            </w:r>
          </w:p>
        </w:tc>
        <w:tc>
          <w:tcPr>
            <w:tcW w:w="811" w:type="dxa"/>
            <w:vAlign w:val="center"/>
          </w:tcPr>
          <w:p w14:paraId="36053766" w14:textId="77777777" w:rsidR="008F30AC" w:rsidRPr="00471D80" w:rsidRDefault="008F30AC" w:rsidP="00FE2AF9">
            <w:pPr>
              <w:keepNext/>
              <w:keepLines/>
              <w:jc w:val="center"/>
              <w:rPr>
                <w:rFonts w:ascii="Arial Narrow" w:hAnsi="Arial Narrow"/>
                <w:sz w:val="20"/>
                <w:szCs w:val="20"/>
              </w:rPr>
            </w:pPr>
            <w:r>
              <w:rPr>
                <w:rFonts w:ascii="Arial Narrow" w:hAnsi="Arial Narrow"/>
                <w:sz w:val="20"/>
                <w:szCs w:val="20"/>
              </w:rPr>
              <w:t>NEW</w:t>
            </w:r>
          </w:p>
        </w:tc>
        <w:tc>
          <w:tcPr>
            <w:tcW w:w="812" w:type="dxa"/>
            <w:vAlign w:val="center"/>
          </w:tcPr>
          <w:p w14:paraId="012B0ADE" w14:textId="77777777" w:rsidR="008F30AC" w:rsidRPr="00471D80" w:rsidRDefault="008F30AC" w:rsidP="00FE2AF9">
            <w:pPr>
              <w:keepNext/>
              <w:keepLines/>
              <w:jc w:val="center"/>
              <w:rPr>
                <w:rFonts w:ascii="Arial Narrow" w:hAnsi="Arial Narrow"/>
                <w:sz w:val="20"/>
                <w:szCs w:val="20"/>
              </w:rPr>
            </w:pPr>
            <w:r w:rsidRPr="00471D80">
              <w:rPr>
                <w:rFonts w:ascii="Arial Narrow" w:hAnsi="Arial Narrow"/>
                <w:sz w:val="20"/>
                <w:szCs w:val="20"/>
              </w:rPr>
              <w:t>1</w:t>
            </w:r>
          </w:p>
        </w:tc>
        <w:tc>
          <w:tcPr>
            <w:tcW w:w="811" w:type="dxa"/>
            <w:vAlign w:val="center"/>
          </w:tcPr>
          <w:p w14:paraId="6B4C8CB6" w14:textId="77777777" w:rsidR="008F30AC" w:rsidRPr="00471D80" w:rsidRDefault="008F30AC" w:rsidP="00FE2AF9">
            <w:pPr>
              <w:keepNext/>
              <w:keepLines/>
              <w:jc w:val="center"/>
              <w:rPr>
                <w:rFonts w:ascii="Arial Narrow" w:hAnsi="Arial Narrow"/>
                <w:sz w:val="20"/>
                <w:szCs w:val="20"/>
              </w:rPr>
            </w:pPr>
            <w:r w:rsidRPr="00471D80">
              <w:rPr>
                <w:rFonts w:ascii="Arial Narrow" w:hAnsi="Arial Narrow"/>
                <w:sz w:val="20"/>
                <w:szCs w:val="20"/>
              </w:rPr>
              <w:t>30</w:t>
            </w:r>
          </w:p>
        </w:tc>
        <w:tc>
          <w:tcPr>
            <w:tcW w:w="812" w:type="dxa"/>
            <w:vAlign w:val="center"/>
          </w:tcPr>
          <w:p w14:paraId="72BF0672" w14:textId="77777777" w:rsidR="008F30AC" w:rsidRPr="00471D80" w:rsidRDefault="008F30AC" w:rsidP="00FE2AF9">
            <w:pPr>
              <w:keepNext/>
              <w:keepLines/>
              <w:jc w:val="center"/>
              <w:rPr>
                <w:rFonts w:ascii="Arial Narrow" w:hAnsi="Arial Narrow"/>
                <w:sz w:val="20"/>
                <w:szCs w:val="20"/>
              </w:rPr>
            </w:pPr>
            <w:r w:rsidRPr="00471D80">
              <w:rPr>
                <w:rFonts w:ascii="Arial Narrow" w:hAnsi="Arial Narrow"/>
                <w:sz w:val="20"/>
                <w:szCs w:val="20"/>
              </w:rPr>
              <w:t>5</w:t>
            </w:r>
          </w:p>
        </w:tc>
        <w:tc>
          <w:tcPr>
            <w:tcW w:w="1831" w:type="dxa"/>
            <w:vMerge w:val="restart"/>
            <w:vAlign w:val="center"/>
          </w:tcPr>
          <w:p w14:paraId="25673130" w14:textId="77777777" w:rsidR="008F30AC" w:rsidRPr="00471D80" w:rsidRDefault="008F30AC" w:rsidP="00FE2AF9">
            <w:pPr>
              <w:keepNext/>
              <w:keepLines/>
              <w:jc w:val="center"/>
              <w:rPr>
                <w:rFonts w:ascii="Arial Narrow" w:hAnsi="Arial Narrow"/>
                <w:sz w:val="20"/>
                <w:szCs w:val="20"/>
              </w:rPr>
            </w:pPr>
            <w:proofErr w:type="spellStart"/>
            <w:r w:rsidRPr="00471D80">
              <w:rPr>
                <w:rFonts w:ascii="Arial Narrow" w:hAnsi="Arial Narrow"/>
                <w:sz w:val="20"/>
                <w:szCs w:val="20"/>
              </w:rPr>
              <w:t>Tagrisso</w:t>
            </w:r>
            <w:proofErr w:type="spellEnd"/>
          </w:p>
        </w:tc>
      </w:tr>
      <w:tr w:rsidR="008F30AC" w:rsidRPr="00471D80" w14:paraId="0129332B" w14:textId="77777777" w:rsidTr="00FE2AF9">
        <w:trPr>
          <w:cantSplit/>
          <w:trHeight w:val="20"/>
        </w:trPr>
        <w:tc>
          <w:tcPr>
            <w:tcW w:w="3939" w:type="dxa"/>
            <w:vAlign w:val="center"/>
          </w:tcPr>
          <w:p w14:paraId="020F68B3" w14:textId="77777777" w:rsidR="008F30AC" w:rsidRPr="00471D80" w:rsidRDefault="008F30AC" w:rsidP="00FE2AF9">
            <w:pPr>
              <w:keepNext/>
              <w:keepLines/>
              <w:rPr>
                <w:rFonts w:ascii="Arial Narrow" w:hAnsi="Arial Narrow"/>
                <w:sz w:val="20"/>
                <w:szCs w:val="20"/>
              </w:rPr>
            </w:pPr>
            <w:proofErr w:type="spellStart"/>
            <w:r w:rsidRPr="00471D80">
              <w:rPr>
                <w:rFonts w:ascii="Arial Narrow" w:hAnsi="Arial Narrow"/>
                <w:sz w:val="20"/>
                <w:szCs w:val="20"/>
              </w:rPr>
              <w:t>osimertinib</w:t>
            </w:r>
            <w:proofErr w:type="spellEnd"/>
            <w:r w:rsidRPr="00471D80">
              <w:rPr>
                <w:rFonts w:ascii="Arial Narrow" w:hAnsi="Arial Narrow"/>
                <w:sz w:val="20"/>
                <w:szCs w:val="20"/>
              </w:rPr>
              <w:t xml:space="preserve"> 80 mg tablet, 30</w:t>
            </w:r>
          </w:p>
        </w:tc>
        <w:tc>
          <w:tcPr>
            <w:tcW w:w="811" w:type="dxa"/>
            <w:vAlign w:val="center"/>
          </w:tcPr>
          <w:p w14:paraId="243055B3" w14:textId="77777777" w:rsidR="008F30AC" w:rsidRPr="00471D80" w:rsidRDefault="008F30AC" w:rsidP="00FE2AF9">
            <w:pPr>
              <w:keepNext/>
              <w:keepLines/>
              <w:jc w:val="center"/>
              <w:rPr>
                <w:rFonts w:ascii="Arial Narrow" w:hAnsi="Arial Narrow"/>
                <w:sz w:val="20"/>
                <w:szCs w:val="20"/>
              </w:rPr>
            </w:pPr>
            <w:r>
              <w:rPr>
                <w:rFonts w:ascii="Arial Narrow" w:hAnsi="Arial Narrow"/>
                <w:sz w:val="20"/>
                <w:szCs w:val="20"/>
              </w:rPr>
              <w:t>NEW</w:t>
            </w:r>
          </w:p>
        </w:tc>
        <w:tc>
          <w:tcPr>
            <w:tcW w:w="812" w:type="dxa"/>
            <w:vAlign w:val="center"/>
          </w:tcPr>
          <w:p w14:paraId="6D54871E" w14:textId="77777777" w:rsidR="008F30AC" w:rsidRPr="00471D80" w:rsidRDefault="008F30AC" w:rsidP="00FE2AF9">
            <w:pPr>
              <w:keepNext/>
              <w:keepLines/>
              <w:jc w:val="center"/>
              <w:rPr>
                <w:rFonts w:ascii="Arial Narrow" w:hAnsi="Arial Narrow"/>
                <w:sz w:val="20"/>
                <w:szCs w:val="20"/>
              </w:rPr>
            </w:pPr>
            <w:r w:rsidRPr="00471D80">
              <w:rPr>
                <w:rFonts w:ascii="Arial Narrow" w:hAnsi="Arial Narrow"/>
                <w:sz w:val="20"/>
                <w:szCs w:val="20"/>
              </w:rPr>
              <w:t>1</w:t>
            </w:r>
          </w:p>
        </w:tc>
        <w:tc>
          <w:tcPr>
            <w:tcW w:w="811" w:type="dxa"/>
            <w:vAlign w:val="center"/>
          </w:tcPr>
          <w:p w14:paraId="5ED06CF4" w14:textId="77777777" w:rsidR="008F30AC" w:rsidRPr="00471D80" w:rsidRDefault="008F30AC" w:rsidP="00FE2AF9">
            <w:pPr>
              <w:keepNext/>
              <w:keepLines/>
              <w:jc w:val="center"/>
              <w:rPr>
                <w:rFonts w:ascii="Arial Narrow" w:hAnsi="Arial Narrow"/>
                <w:sz w:val="20"/>
                <w:szCs w:val="20"/>
              </w:rPr>
            </w:pPr>
            <w:r w:rsidRPr="00471D80">
              <w:rPr>
                <w:rFonts w:ascii="Arial Narrow" w:hAnsi="Arial Narrow"/>
                <w:sz w:val="20"/>
                <w:szCs w:val="20"/>
              </w:rPr>
              <w:t>30</w:t>
            </w:r>
          </w:p>
        </w:tc>
        <w:tc>
          <w:tcPr>
            <w:tcW w:w="812" w:type="dxa"/>
            <w:vAlign w:val="center"/>
          </w:tcPr>
          <w:p w14:paraId="7CF0AB92" w14:textId="77777777" w:rsidR="008F30AC" w:rsidRPr="00471D80" w:rsidRDefault="008F30AC" w:rsidP="00FE2AF9">
            <w:pPr>
              <w:keepNext/>
              <w:keepLines/>
              <w:jc w:val="center"/>
              <w:rPr>
                <w:rFonts w:ascii="Arial Narrow" w:hAnsi="Arial Narrow"/>
                <w:sz w:val="20"/>
                <w:szCs w:val="20"/>
              </w:rPr>
            </w:pPr>
            <w:r w:rsidRPr="00471D80">
              <w:rPr>
                <w:rFonts w:ascii="Arial Narrow" w:hAnsi="Arial Narrow"/>
                <w:sz w:val="20"/>
                <w:szCs w:val="20"/>
              </w:rPr>
              <w:t>5</w:t>
            </w:r>
          </w:p>
        </w:tc>
        <w:tc>
          <w:tcPr>
            <w:tcW w:w="1831" w:type="dxa"/>
            <w:vMerge/>
            <w:vAlign w:val="center"/>
          </w:tcPr>
          <w:p w14:paraId="37F30590" w14:textId="77777777" w:rsidR="008F30AC" w:rsidRPr="00471D80" w:rsidRDefault="008F30AC" w:rsidP="00FE2AF9">
            <w:pPr>
              <w:keepNext/>
              <w:keepLines/>
              <w:jc w:val="center"/>
              <w:rPr>
                <w:rFonts w:ascii="Arial Narrow" w:hAnsi="Arial Narrow"/>
                <w:sz w:val="20"/>
                <w:szCs w:val="20"/>
              </w:rPr>
            </w:pPr>
          </w:p>
        </w:tc>
      </w:tr>
    </w:tbl>
    <w:p w14:paraId="249CA189" w14:textId="77777777" w:rsidR="008F30AC" w:rsidRDefault="008F30AC" w:rsidP="008F30A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Caption w:val="Secretariat proposed the following criteria"/>
      </w:tblPr>
      <w:tblGrid>
        <w:gridCol w:w="9016"/>
      </w:tblGrid>
      <w:tr w:rsidR="008F30AC" w:rsidRPr="00471D80" w14:paraId="66C4DA6B" w14:textId="77777777" w:rsidTr="00FE2AF9">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27EDBEFE" w14:textId="77777777" w:rsidR="008F30AC" w:rsidRPr="00471D80" w:rsidRDefault="008F30AC" w:rsidP="00FE2AF9">
            <w:pPr>
              <w:keepLines/>
              <w:rPr>
                <w:rFonts w:ascii="Arial Narrow" w:hAnsi="Arial Narrow"/>
                <w:sz w:val="20"/>
                <w:szCs w:val="20"/>
              </w:rPr>
            </w:pPr>
            <w:r w:rsidRPr="00471D80">
              <w:rPr>
                <w:rFonts w:ascii="Arial Narrow" w:hAnsi="Arial Narrow"/>
                <w:b/>
                <w:sz w:val="20"/>
                <w:szCs w:val="20"/>
              </w:rPr>
              <w:t>Category / Program:</w:t>
            </w:r>
            <w:r w:rsidRPr="00471D80">
              <w:rPr>
                <w:rFonts w:ascii="Arial Narrow" w:hAnsi="Arial Narrow"/>
                <w:sz w:val="20"/>
                <w:szCs w:val="20"/>
              </w:rPr>
              <w:t xml:space="preserve"> </w:t>
            </w:r>
            <w:r w:rsidRPr="00471D80">
              <w:rPr>
                <w:rFonts w:ascii="Arial Narrow" w:hAnsi="Arial Narrow"/>
                <w:sz w:val="20"/>
                <w:szCs w:val="20"/>
              </w:rPr>
              <w:fldChar w:fldCharType="begin">
                <w:ffData>
                  <w:name w:val=""/>
                  <w:enabled/>
                  <w:calcOnExit w:val="0"/>
                  <w:checkBox>
                    <w:sizeAuto/>
                    <w:default w:val="1"/>
                  </w:checkBox>
                </w:ffData>
              </w:fldChar>
            </w:r>
            <w:r w:rsidRPr="00471D80">
              <w:rPr>
                <w:rFonts w:ascii="Arial Narrow" w:hAnsi="Arial Narrow"/>
                <w:sz w:val="20"/>
                <w:szCs w:val="20"/>
              </w:rPr>
              <w:instrText xml:space="preserve"> FORMCHECKBOX </w:instrText>
            </w:r>
            <w:r w:rsidRPr="00471D80">
              <w:rPr>
                <w:rFonts w:ascii="Arial Narrow" w:hAnsi="Arial Narrow"/>
                <w:sz w:val="20"/>
                <w:szCs w:val="20"/>
              </w:rPr>
            </w:r>
            <w:r w:rsidRPr="00471D80">
              <w:rPr>
                <w:rFonts w:ascii="Arial Narrow" w:hAnsi="Arial Narrow"/>
                <w:sz w:val="20"/>
                <w:szCs w:val="20"/>
              </w:rPr>
              <w:fldChar w:fldCharType="separate"/>
            </w:r>
            <w:r w:rsidRPr="00471D80">
              <w:rPr>
                <w:rFonts w:ascii="Arial Narrow" w:hAnsi="Arial Narrow"/>
                <w:sz w:val="20"/>
                <w:szCs w:val="20"/>
              </w:rPr>
              <w:fldChar w:fldCharType="end"/>
            </w:r>
            <w:r w:rsidRPr="00471D80">
              <w:rPr>
                <w:rFonts w:ascii="Arial Narrow" w:hAnsi="Arial Narrow"/>
                <w:sz w:val="20"/>
                <w:szCs w:val="20"/>
              </w:rPr>
              <w:t xml:space="preserve"> </w:t>
            </w:r>
            <w:r w:rsidRPr="00471D80">
              <w:rPr>
                <w:rFonts w:ascii="Arial Narrow" w:eastAsia="Calibri" w:hAnsi="Arial Narrow"/>
                <w:sz w:val="20"/>
                <w:szCs w:val="20"/>
              </w:rPr>
              <w:t>GENERAL - General Schedule (Code GE)</w:t>
            </w:r>
          </w:p>
        </w:tc>
      </w:tr>
      <w:tr w:rsidR="008F30AC" w:rsidRPr="00471D80" w14:paraId="6DBCBD55" w14:textId="77777777" w:rsidTr="00FE2AF9">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28FC2FA6" w14:textId="77777777" w:rsidR="008F30AC" w:rsidRPr="00471D80" w:rsidRDefault="008F30AC" w:rsidP="00FE2AF9">
            <w:pPr>
              <w:keepLines/>
              <w:rPr>
                <w:rFonts w:ascii="Arial Narrow" w:hAnsi="Arial Narrow"/>
                <w:b/>
                <w:sz w:val="20"/>
                <w:szCs w:val="20"/>
              </w:rPr>
            </w:pPr>
            <w:r w:rsidRPr="00471D80">
              <w:rPr>
                <w:rFonts w:ascii="Arial Narrow" w:hAnsi="Arial Narrow"/>
                <w:b/>
                <w:sz w:val="20"/>
                <w:szCs w:val="20"/>
              </w:rPr>
              <w:t xml:space="preserve">Prescriber type: </w:t>
            </w:r>
            <w:r w:rsidRPr="00471D80">
              <w:rPr>
                <w:rFonts w:ascii="Arial Narrow" w:hAnsi="Arial Narrow"/>
                <w:sz w:val="20"/>
                <w:szCs w:val="20"/>
              </w:rPr>
              <w:fldChar w:fldCharType="begin">
                <w:ffData>
                  <w:name w:val=""/>
                  <w:enabled/>
                  <w:calcOnExit w:val="0"/>
                  <w:checkBox>
                    <w:sizeAuto/>
                    <w:default w:val="1"/>
                  </w:checkBox>
                </w:ffData>
              </w:fldChar>
            </w:r>
            <w:r w:rsidRPr="00471D80">
              <w:rPr>
                <w:rFonts w:ascii="Arial Narrow" w:hAnsi="Arial Narrow"/>
                <w:sz w:val="20"/>
                <w:szCs w:val="20"/>
              </w:rPr>
              <w:instrText xml:space="preserve"> FORMCHECKBOX </w:instrText>
            </w:r>
            <w:r w:rsidRPr="00471D80">
              <w:rPr>
                <w:rFonts w:ascii="Arial Narrow" w:hAnsi="Arial Narrow"/>
                <w:sz w:val="20"/>
                <w:szCs w:val="20"/>
              </w:rPr>
            </w:r>
            <w:r w:rsidRPr="00471D80">
              <w:rPr>
                <w:rFonts w:ascii="Arial Narrow" w:hAnsi="Arial Narrow"/>
                <w:sz w:val="20"/>
                <w:szCs w:val="20"/>
              </w:rPr>
              <w:fldChar w:fldCharType="separate"/>
            </w:r>
            <w:r w:rsidRPr="00471D80">
              <w:rPr>
                <w:rFonts w:ascii="Arial Narrow" w:hAnsi="Arial Narrow"/>
                <w:sz w:val="20"/>
                <w:szCs w:val="20"/>
              </w:rPr>
              <w:fldChar w:fldCharType="end"/>
            </w:r>
            <w:r w:rsidRPr="00471D80">
              <w:rPr>
                <w:rFonts w:ascii="Arial Narrow" w:hAnsi="Arial Narrow"/>
                <w:sz w:val="20"/>
                <w:szCs w:val="20"/>
              </w:rPr>
              <w:t xml:space="preserve"> Medical Practitioners </w:t>
            </w:r>
          </w:p>
        </w:tc>
      </w:tr>
      <w:tr w:rsidR="008F30AC" w:rsidRPr="00471D80" w14:paraId="4617A912" w14:textId="77777777" w:rsidTr="00FE2AF9">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7CB85166" w14:textId="77777777" w:rsidR="008F30AC" w:rsidRPr="00471D80" w:rsidRDefault="008F30AC" w:rsidP="00FE2AF9">
            <w:pPr>
              <w:keepLines/>
              <w:rPr>
                <w:rFonts w:ascii="Arial Narrow" w:eastAsia="Calibri" w:hAnsi="Arial Narrow"/>
                <w:sz w:val="20"/>
                <w:szCs w:val="20"/>
              </w:rPr>
            </w:pPr>
            <w:r w:rsidRPr="00471D80">
              <w:rPr>
                <w:rFonts w:ascii="Arial Narrow" w:hAnsi="Arial Narrow"/>
                <w:b/>
                <w:sz w:val="20"/>
                <w:szCs w:val="20"/>
              </w:rPr>
              <w:t>Benefit type:</w:t>
            </w:r>
            <w:r w:rsidRPr="00471D80">
              <w:rPr>
                <w:rFonts w:ascii="Arial Narrow" w:hAnsi="Arial Narrow"/>
                <w:sz w:val="20"/>
                <w:szCs w:val="20"/>
              </w:rPr>
              <w:fldChar w:fldCharType="begin">
                <w:ffData>
                  <w:name w:val=""/>
                  <w:enabled/>
                  <w:calcOnExit w:val="0"/>
                  <w:checkBox>
                    <w:sizeAuto/>
                    <w:default w:val="1"/>
                  </w:checkBox>
                </w:ffData>
              </w:fldChar>
            </w:r>
            <w:r w:rsidRPr="00471D80">
              <w:rPr>
                <w:rFonts w:ascii="Arial Narrow" w:hAnsi="Arial Narrow"/>
                <w:sz w:val="20"/>
                <w:szCs w:val="20"/>
              </w:rPr>
              <w:instrText xml:space="preserve"> FORMCHECKBOX </w:instrText>
            </w:r>
            <w:r w:rsidRPr="00471D80">
              <w:rPr>
                <w:rFonts w:ascii="Arial Narrow" w:hAnsi="Arial Narrow"/>
                <w:sz w:val="20"/>
                <w:szCs w:val="20"/>
              </w:rPr>
            </w:r>
            <w:r w:rsidRPr="00471D80">
              <w:rPr>
                <w:rFonts w:ascii="Arial Narrow" w:hAnsi="Arial Narrow"/>
                <w:sz w:val="20"/>
                <w:szCs w:val="20"/>
              </w:rPr>
              <w:fldChar w:fldCharType="separate"/>
            </w:r>
            <w:r w:rsidRPr="00471D80">
              <w:rPr>
                <w:rFonts w:ascii="Arial Narrow" w:hAnsi="Arial Narrow"/>
                <w:sz w:val="20"/>
                <w:szCs w:val="20"/>
              </w:rPr>
              <w:fldChar w:fldCharType="end"/>
            </w:r>
            <w:r w:rsidRPr="00471D80">
              <w:rPr>
                <w:rFonts w:ascii="Arial Narrow" w:hAnsi="Arial Narrow"/>
                <w:sz w:val="20"/>
                <w:szCs w:val="20"/>
              </w:rPr>
              <w:t xml:space="preserve"> </w:t>
            </w:r>
            <w:r w:rsidRPr="00471D80">
              <w:rPr>
                <w:rFonts w:ascii="Arial Narrow" w:eastAsia="Calibri" w:hAnsi="Arial Narrow"/>
                <w:sz w:val="20"/>
                <w:szCs w:val="20"/>
              </w:rPr>
              <w:t>Authority Required (</w:t>
            </w:r>
            <w:r>
              <w:rPr>
                <w:rFonts w:ascii="Arial Narrow" w:eastAsia="Calibri" w:hAnsi="Arial Narrow"/>
                <w:sz w:val="20"/>
                <w:szCs w:val="20"/>
              </w:rPr>
              <w:t>T</w:t>
            </w:r>
            <w:r w:rsidRPr="00471D80">
              <w:rPr>
                <w:rFonts w:ascii="Arial Narrow" w:eastAsia="Calibri" w:hAnsi="Arial Narrow"/>
                <w:sz w:val="20"/>
                <w:szCs w:val="20"/>
              </w:rPr>
              <w:t>elephone/</w:t>
            </w:r>
            <w:r>
              <w:rPr>
                <w:rFonts w:ascii="Arial Narrow" w:eastAsia="Calibri" w:hAnsi="Arial Narrow"/>
                <w:sz w:val="20"/>
                <w:szCs w:val="20"/>
              </w:rPr>
              <w:t>Online PBS Authorities System</w:t>
            </w:r>
            <w:r w:rsidRPr="00471D80">
              <w:rPr>
                <w:rFonts w:ascii="Arial Narrow" w:eastAsia="Calibri" w:hAnsi="Arial Narrow"/>
                <w:sz w:val="20"/>
                <w:szCs w:val="20"/>
              </w:rPr>
              <w:t xml:space="preserve">) </w:t>
            </w:r>
          </w:p>
        </w:tc>
      </w:tr>
      <w:tr w:rsidR="008F30AC" w:rsidRPr="00471D80" w14:paraId="54D973CF" w14:textId="77777777" w:rsidTr="00FE2AF9">
        <w:trPr>
          <w:trHeight w:val="186"/>
        </w:trPr>
        <w:tc>
          <w:tcPr>
            <w:tcW w:w="5000" w:type="pct"/>
            <w:tcBorders>
              <w:top w:val="single" w:sz="4" w:space="0" w:color="auto"/>
              <w:left w:val="single" w:sz="4" w:space="0" w:color="auto"/>
              <w:bottom w:val="single" w:sz="4" w:space="0" w:color="auto"/>
              <w:right w:val="single" w:sz="4" w:space="0" w:color="auto"/>
            </w:tcBorders>
            <w:vAlign w:val="center"/>
          </w:tcPr>
          <w:p w14:paraId="14BDEA7D" w14:textId="77777777" w:rsidR="008F30AC" w:rsidRPr="00471D80" w:rsidRDefault="008F30AC" w:rsidP="00FE2AF9">
            <w:pPr>
              <w:rPr>
                <w:rFonts w:ascii="Arial Narrow" w:hAnsi="Arial Narrow"/>
                <w:b/>
                <w:sz w:val="20"/>
                <w:szCs w:val="20"/>
              </w:rPr>
            </w:pPr>
            <w:r w:rsidRPr="00471D80">
              <w:rPr>
                <w:rFonts w:ascii="Arial Narrow" w:hAnsi="Arial Narrow"/>
                <w:b/>
                <w:sz w:val="20"/>
                <w:szCs w:val="20"/>
              </w:rPr>
              <w:t xml:space="preserve">Prescribing rule level: </w:t>
            </w:r>
          </w:p>
        </w:tc>
      </w:tr>
      <w:tr w:rsidR="008F30AC" w:rsidRPr="00471D80" w14:paraId="0E56FFF2" w14:textId="77777777" w:rsidTr="00FE2AF9">
        <w:trPr>
          <w:trHeight w:val="186"/>
        </w:trPr>
        <w:tc>
          <w:tcPr>
            <w:tcW w:w="5000" w:type="pct"/>
            <w:tcBorders>
              <w:top w:val="single" w:sz="4" w:space="0" w:color="auto"/>
              <w:left w:val="single" w:sz="4" w:space="0" w:color="auto"/>
              <w:bottom w:val="single" w:sz="4" w:space="0" w:color="auto"/>
              <w:right w:val="single" w:sz="4" w:space="0" w:color="auto"/>
            </w:tcBorders>
            <w:vAlign w:val="center"/>
          </w:tcPr>
          <w:p w14:paraId="353CA118" w14:textId="77777777" w:rsidR="008F30AC" w:rsidRPr="00471D80" w:rsidRDefault="008F30AC" w:rsidP="00FE2AF9">
            <w:pPr>
              <w:rPr>
                <w:rFonts w:ascii="Arial Narrow" w:hAnsi="Arial Narrow"/>
                <w:b/>
                <w:sz w:val="20"/>
                <w:szCs w:val="20"/>
              </w:rPr>
            </w:pPr>
            <w:r w:rsidRPr="00471D80">
              <w:rPr>
                <w:rFonts w:ascii="Arial Narrow" w:hAnsi="Arial Narrow"/>
                <w:b/>
                <w:sz w:val="20"/>
                <w:szCs w:val="20"/>
              </w:rPr>
              <w:t>Administrative advice:</w:t>
            </w:r>
          </w:p>
          <w:p w14:paraId="71FCE7D6" w14:textId="77777777" w:rsidR="008F30AC" w:rsidRPr="00471D80" w:rsidRDefault="008F30AC" w:rsidP="00FE2AF9">
            <w:pPr>
              <w:rPr>
                <w:rFonts w:ascii="Arial Narrow" w:hAnsi="Arial Narrow"/>
                <w:bCs/>
                <w:sz w:val="20"/>
                <w:szCs w:val="20"/>
              </w:rPr>
            </w:pPr>
            <w:r w:rsidRPr="00471D80">
              <w:rPr>
                <w:rFonts w:ascii="Arial Narrow" w:hAnsi="Arial Narrow"/>
                <w:bCs/>
                <w:sz w:val="20"/>
                <w:szCs w:val="20"/>
              </w:rPr>
              <w:t>No increase in the maximum quantity or number of units may be authorised.</w:t>
            </w:r>
          </w:p>
        </w:tc>
      </w:tr>
      <w:tr w:rsidR="008F30AC" w:rsidRPr="00471D80" w14:paraId="59262E54" w14:textId="77777777" w:rsidTr="00FE2AF9">
        <w:trPr>
          <w:trHeight w:val="186"/>
        </w:trPr>
        <w:tc>
          <w:tcPr>
            <w:tcW w:w="5000" w:type="pct"/>
            <w:tcBorders>
              <w:top w:val="single" w:sz="4" w:space="0" w:color="auto"/>
              <w:left w:val="single" w:sz="4" w:space="0" w:color="auto"/>
              <w:bottom w:val="single" w:sz="4" w:space="0" w:color="auto"/>
              <w:right w:val="single" w:sz="4" w:space="0" w:color="auto"/>
            </w:tcBorders>
            <w:vAlign w:val="center"/>
          </w:tcPr>
          <w:p w14:paraId="3AA59C7D" w14:textId="77777777" w:rsidR="008F30AC" w:rsidRPr="00471D80" w:rsidRDefault="008F30AC" w:rsidP="00FE2AF9">
            <w:pPr>
              <w:rPr>
                <w:rFonts w:ascii="Arial Narrow" w:hAnsi="Arial Narrow"/>
                <w:b/>
                <w:sz w:val="20"/>
                <w:szCs w:val="20"/>
              </w:rPr>
            </w:pPr>
            <w:r w:rsidRPr="00471D80">
              <w:rPr>
                <w:rFonts w:ascii="Arial Narrow" w:hAnsi="Arial Narrow"/>
                <w:b/>
                <w:sz w:val="20"/>
                <w:szCs w:val="20"/>
              </w:rPr>
              <w:t>Administrative advice:</w:t>
            </w:r>
          </w:p>
          <w:p w14:paraId="7E713C60" w14:textId="77777777" w:rsidR="008F30AC" w:rsidRPr="00471D80" w:rsidRDefault="008F30AC" w:rsidP="00FE2AF9">
            <w:pPr>
              <w:rPr>
                <w:rFonts w:ascii="Arial Narrow" w:hAnsi="Arial Narrow"/>
                <w:bCs/>
                <w:sz w:val="20"/>
                <w:szCs w:val="20"/>
              </w:rPr>
            </w:pPr>
            <w:r w:rsidRPr="00471D80">
              <w:rPr>
                <w:rFonts w:ascii="Arial Narrow" w:hAnsi="Arial Narrow"/>
                <w:bCs/>
                <w:sz w:val="20"/>
                <w:szCs w:val="20"/>
              </w:rPr>
              <w:t>No increase in the maximum number of repeats may be authorised.</w:t>
            </w:r>
          </w:p>
        </w:tc>
      </w:tr>
      <w:tr w:rsidR="008F30AC" w:rsidRPr="00471D80" w14:paraId="737B0EDA" w14:textId="77777777" w:rsidTr="00FE2AF9">
        <w:trPr>
          <w:trHeight w:val="186"/>
        </w:trPr>
        <w:tc>
          <w:tcPr>
            <w:tcW w:w="5000" w:type="pct"/>
            <w:tcBorders>
              <w:top w:val="single" w:sz="4" w:space="0" w:color="auto"/>
              <w:left w:val="single" w:sz="4" w:space="0" w:color="auto"/>
              <w:bottom w:val="single" w:sz="4" w:space="0" w:color="auto"/>
              <w:right w:val="single" w:sz="4" w:space="0" w:color="auto"/>
            </w:tcBorders>
            <w:vAlign w:val="center"/>
          </w:tcPr>
          <w:p w14:paraId="28CC254F" w14:textId="77777777" w:rsidR="008F30AC" w:rsidRPr="00471D80" w:rsidRDefault="008F30AC" w:rsidP="00FE2AF9">
            <w:pPr>
              <w:rPr>
                <w:rFonts w:ascii="Arial Narrow" w:hAnsi="Arial Narrow"/>
                <w:b/>
                <w:sz w:val="20"/>
                <w:szCs w:val="20"/>
              </w:rPr>
            </w:pPr>
            <w:r w:rsidRPr="00471D80">
              <w:rPr>
                <w:rFonts w:ascii="Arial Narrow" w:hAnsi="Arial Narrow"/>
                <w:b/>
                <w:sz w:val="20"/>
                <w:szCs w:val="20"/>
              </w:rPr>
              <w:lastRenderedPageBreak/>
              <w:t>Administrative advice:</w:t>
            </w:r>
          </w:p>
          <w:p w14:paraId="3AC0048B" w14:textId="77777777" w:rsidR="008F30AC" w:rsidRPr="00471D80" w:rsidRDefault="008F30AC" w:rsidP="00FE2AF9">
            <w:pPr>
              <w:rPr>
                <w:rFonts w:ascii="Arial Narrow" w:hAnsi="Arial Narrow"/>
                <w:bCs/>
                <w:sz w:val="20"/>
                <w:szCs w:val="20"/>
              </w:rPr>
            </w:pPr>
            <w:r w:rsidRPr="00471D80">
              <w:rPr>
                <w:rFonts w:ascii="Arial Narrow" w:hAnsi="Arial Narrow"/>
                <w:bCs/>
                <w:sz w:val="20"/>
                <w:szCs w:val="20"/>
              </w:rPr>
              <w:t>Special Pricing Arrangements apply.</w:t>
            </w:r>
          </w:p>
        </w:tc>
      </w:tr>
      <w:tr w:rsidR="008F30AC" w:rsidRPr="00471D80" w14:paraId="45CE624D" w14:textId="77777777" w:rsidTr="00FE2AF9">
        <w:trPr>
          <w:trHeight w:val="186"/>
        </w:trPr>
        <w:tc>
          <w:tcPr>
            <w:tcW w:w="5000" w:type="pct"/>
            <w:tcBorders>
              <w:top w:val="single" w:sz="4" w:space="0" w:color="auto"/>
              <w:left w:val="single" w:sz="4" w:space="0" w:color="auto"/>
              <w:bottom w:val="single" w:sz="4" w:space="0" w:color="auto"/>
              <w:right w:val="single" w:sz="4" w:space="0" w:color="auto"/>
            </w:tcBorders>
            <w:vAlign w:val="center"/>
          </w:tcPr>
          <w:p w14:paraId="52F5B08A" w14:textId="77777777" w:rsidR="008F30AC" w:rsidRPr="00471D80" w:rsidRDefault="008F30AC" w:rsidP="00FE2AF9">
            <w:pPr>
              <w:rPr>
                <w:rFonts w:ascii="Arial Narrow" w:hAnsi="Arial Narrow"/>
                <w:b/>
                <w:sz w:val="20"/>
                <w:szCs w:val="20"/>
              </w:rPr>
            </w:pPr>
            <w:r w:rsidRPr="00471D80">
              <w:rPr>
                <w:rFonts w:ascii="Arial Narrow" w:hAnsi="Arial Narrow"/>
                <w:b/>
                <w:sz w:val="20"/>
                <w:szCs w:val="20"/>
              </w:rPr>
              <w:t>Administrative advice:</w:t>
            </w:r>
          </w:p>
          <w:p w14:paraId="368274FA" w14:textId="77777777" w:rsidR="008F30AC" w:rsidRPr="00471D80" w:rsidRDefault="008F30AC" w:rsidP="00FE2AF9">
            <w:pPr>
              <w:rPr>
                <w:rFonts w:ascii="Arial Narrow" w:hAnsi="Arial Narrow"/>
                <w:b/>
                <w:sz w:val="20"/>
                <w:szCs w:val="20"/>
              </w:rPr>
            </w:pPr>
            <w:r w:rsidRPr="00471D80">
              <w:rPr>
                <w:rFonts w:ascii="Arial Narrow" w:hAnsi="Arial Narrow"/>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8F30AC" w:rsidRPr="00471D80" w14:paraId="5EC2935A" w14:textId="77777777" w:rsidTr="00FE2AF9">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9E08C1" w14:textId="77777777" w:rsidR="008F30AC" w:rsidRPr="00471D80" w:rsidRDefault="008F30AC" w:rsidP="00FE2AF9">
            <w:pPr>
              <w:keepLines/>
              <w:rPr>
                <w:rFonts w:ascii="Arial Narrow" w:hAnsi="Arial Narrow"/>
                <w:b/>
                <w:bCs/>
                <w:color w:val="333333"/>
                <w:sz w:val="20"/>
                <w:szCs w:val="20"/>
              </w:rPr>
            </w:pPr>
            <w:r w:rsidRPr="00471D80">
              <w:rPr>
                <w:rFonts w:ascii="Arial Narrow" w:hAnsi="Arial Narrow"/>
                <w:b/>
                <w:sz w:val="20"/>
                <w:szCs w:val="20"/>
              </w:rPr>
              <w:t>Restriction Summary [new1] / Treatment of Concept: [new1A]</w:t>
            </w:r>
          </w:p>
        </w:tc>
      </w:tr>
      <w:tr w:rsidR="008F30AC" w:rsidRPr="00471D80" w14:paraId="18836E45" w14:textId="77777777" w:rsidTr="00FE2AF9">
        <w:trPr>
          <w:cantSplit/>
          <w:trHeight w:val="78"/>
        </w:trPr>
        <w:tc>
          <w:tcPr>
            <w:tcW w:w="5000" w:type="pct"/>
            <w:vAlign w:val="center"/>
            <w:hideMark/>
          </w:tcPr>
          <w:p w14:paraId="699BC939" w14:textId="77777777" w:rsidR="008F30AC" w:rsidRPr="00471D80" w:rsidRDefault="008F30AC" w:rsidP="00FE2AF9">
            <w:pPr>
              <w:keepLines/>
              <w:rPr>
                <w:rFonts w:ascii="Arial Narrow" w:hAnsi="Arial Narrow"/>
                <w:sz w:val="20"/>
                <w:szCs w:val="20"/>
              </w:rPr>
            </w:pPr>
            <w:r w:rsidRPr="00471D80">
              <w:rPr>
                <w:rFonts w:ascii="Arial Narrow" w:hAnsi="Arial Narrow"/>
                <w:b/>
                <w:bCs/>
                <w:sz w:val="20"/>
                <w:szCs w:val="20"/>
              </w:rPr>
              <w:t>Indication:</w:t>
            </w:r>
            <w:r w:rsidRPr="00471D80">
              <w:rPr>
                <w:rFonts w:ascii="Arial Narrow" w:hAnsi="Arial Narrow"/>
                <w:sz w:val="20"/>
                <w:szCs w:val="20"/>
              </w:rPr>
              <w:t xml:space="preserve"> </w:t>
            </w:r>
            <w:r>
              <w:rPr>
                <w:rFonts w:ascii="Arial Narrow" w:hAnsi="Arial Narrow"/>
                <w:sz w:val="20"/>
                <w:szCs w:val="20"/>
              </w:rPr>
              <w:t xml:space="preserve">Non-small cell lung cancer (NSCLC) </w:t>
            </w:r>
            <w:r w:rsidRPr="00471D80">
              <w:rPr>
                <w:rFonts w:ascii="Arial Narrow" w:hAnsi="Arial Narrow"/>
                <w:sz w:val="20"/>
                <w:szCs w:val="20"/>
              </w:rPr>
              <w:t xml:space="preserve"> </w:t>
            </w:r>
          </w:p>
        </w:tc>
      </w:tr>
      <w:tr w:rsidR="008F30AC" w:rsidRPr="00FA707A" w14:paraId="38B6D6E9" w14:textId="77777777" w:rsidTr="00FE2AF9">
        <w:trPr>
          <w:cantSplit/>
          <w:trHeight w:val="20"/>
        </w:trPr>
        <w:tc>
          <w:tcPr>
            <w:tcW w:w="5000" w:type="pct"/>
            <w:vAlign w:val="center"/>
          </w:tcPr>
          <w:p w14:paraId="052A0963" w14:textId="77777777" w:rsidR="008F30AC" w:rsidRPr="00FA707A" w:rsidRDefault="008F30AC" w:rsidP="00FE2AF9">
            <w:pPr>
              <w:rPr>
                <w:rFonts w:ascii="Arial Narrow" w:hAnsi="Arial Narrow"/>
                <w:b/>
                <w:bCs/>
                <w:sz w:val="20"/>
                <w:szCs w:val="20"/>
              </w:rPr>
            </w:pPr>
            <w:r>
              <w:rPr>
                <w:rFonts w:ascii="Arial Narrow" w:hAnsi="Arial Narrow"/>
                <w:b/>
                <w:bCs/>
                <w:sz w:val="20"/>
                <w:szCs w:val="20"/>
              </w:rPr>
              <w:t xml:space="preserve">Clinical criteria: </w:t>
            </w:r>
          </w:p>
        </w:tc>
      </w:tr>
      <w:tr w:rsidR="008F30AC" w:rsidRPr="00FA707A" w14:paraId="3C29CE3E" w14:textId="77777777" w:rsidTr="00FE2AF9">
        <w:trPr>
          <w:cantSplit/>
          <w:trHeight w:val="20"/>
        </w:trPr>
        <w:tc>
          <w:tcPr>
            <w:tcW w:w="5000" w:type="pct"/>
            <w:vAlign w:val="center"/>
          </w:tcPr>
          <w:p w14:paraId="595F681C" w14:textId="77777777" w:rsidR="008F30AC" w:rsidRPr="00FA707A" w:rsidRDefault="008F30AC" w:rsidP="00FE2AF9">
            <w:pPr>
              <w:rPr>
                <w:rFonts w:ascii="Arial Narrow" w:hAnsi="Arial Narrow"/>
                <w:sz w:val="20"/>
                <w:szCs w:val="20"/>
              </w:rPr>
            </w:pPr>
            <w:r>
              <w:rPr>
                <w:rFonts w:ascii="Arial Narrow" w:hAnsi="Arial Narrow"/>
                <w:sz w:val="20"/>
                <w:szCs w:val="20"/>
              </w:rPr>
              <w:t>Patient must be each of: (</w:t>
            </w:r>
            <w:proofErr w:type="spellStart"/>
            <w:r>
              <w:rPr>
                <w:rFonts w:ascii="Arial Narrow" w:hAnsi="Arial Narrow"/>
                <w:sz w:val="20"/>
                <w:szCs w:val="20"/>
              </w:rPr>
              <w:t>i</w:t>
            </w:r>
            <w:proofErr w:type="spellEnd"/>
            <w:r>
              <w:rPr>
                <w:rFonts w:ascii="Arial Narrow" w:hAnsi="Arial Narrow"/>
                <w:sz w:val="20"/>
                <w:szCs w:val="20"/>
              </w:rPr>
              <w:t>) initiating treatment with this drug; (ii) have not previously received PBS-subsidised treatment with this drug for this condition; or</w:t>
            </w:r>
          </w:p>
        </w:tc>
      </w:tr>
      <w:tr w:rsidR="008F30AC" w:rsidRPr="00566B72" w14:paraId="064160A7" w14:textId="77777777" w:rsidTr="00FE2AF9">
        <w:trPr>
          <w:cantSplit/>
          <w:trHeight w:val="20"/>
        </w:trPr>
        <w:tc>
          <w:tcPr>
            <w:tcW w:w="5000" w:type="pct"/>
            <w:vAlign w:val="center"/>
          </w:tcPr>
          <w:p w14:paraId="2AD9F2B9" w14:textId="77777777" w:rsidR="008F30AC" w:rsidRPr="00566B72" w:rsidRDefault="008F30AC" w:rsidP="00FE2AF9">
            <w:pPr>
              <w:rPr>
                <w:rFonts w:ascii="Arial Narrow" w:hAnsi="Arial Narrow"/>
                <w:sz w:val="20"/>
                <w:szCs w:val="20"/>
              </w:rPr>
            </w:pPr>
            <w:r w:rsidRPr="00566B72">
              <w:rPr>
                <w:rFonts w:ascii="Arial Narrow" w:hAnsi="Arial Narrow"/>
                <w:sz w:val="20"/>
                <w:szCs w:val="20"/>
              </w:rPr>
              <w:t>Patient must be continuing treatment with this drug</w:t>
            </w:r>
            <w:r>
              <w:rPr>
                <w:rFonts w:ascii="Arial Narrow" w:hAnsi="Arial Narrow"/>
                <w:sz w:val="20"/>
                <w:szCs w:val="20"/>
              </w:rPr>
              <w:t xml:space="preserve"> for this condition</w:t>
            </w:r>
            <w:r w:rsidRPr="00566B72">
              <w:rPr>
                <w:rFonts w:ascii="Arial Narrow" w:hAnsi="Arial Narrow"/>
                <w:sz w:val="20"/>
                <w:szCs w:val="20"/>
              </w:rPr>
              <w:t>, with an absence of further disease progression while being treated with this drug.</w:t>
            </w:r>
          </w:p>
        </w:tc>
      </w:tr>
      <w:tr w:rsidR="008F30AC" w:rsidRPr="00471D80" w14:paraId="5E46D2BC" w14:textId="77777777" w:rsidTr="00FE2AF9">
        <w:trPr>
          <w:cantSplit/>
          <w:trHeight w:val="20"/>
        </w:trPr>
        <w:tc>
          <w:tcPr>
            <w:tcW w:w="5000" w:type="pct"/>
            <w:vAlign w:val="center"/>
          </w:tcPr>
          <w:p w14:paraId="1525980C" w14:textId="77777777" w:rsidR="008F30AC" w:rsidRPr="00471D80" w:rsidRDefault="008F30AC" w:rsidP="00FE2AF9">
            <w:pPr>
              <w:rPr>
                <w:rFonts w:ascii="Arial Narrow" w:hAnsi="Arial Narrow"/>
                <w:b/>
                <w:bCs/>
                <w:sz w:val="20"/>
                <w:szCs w:val="20"/>
              </w:rPr>
            </w:pPr>
            <w:r w:rsidRPr="00471D80">
              <w:rPr>
                <w:rFonts w:ascii="Arial Narrow" w:hAnsi="Arial Narrow"/>
                <w:b/>
                <w:bCs/>
                <w:sz w:val="20"/>
              </w:rPr>
              <w:t>AND</w:t>
            </w:r>
          </w:p>
        </w:tc>
      </w:tr>
      <w:tr w:rsidR="008F30AC" w:rsidRPr="00471D80" w14:paraId="0C7C60A6" w14:textId="77777777" w:rsidTr="00FE2AF9">
        <w:trPr>
          <w:cantSplit/>
          <w:trHeight w:val="20"/>
        </w:trPr>
        <w:tc>
          <w:tcPr>
            <w:tcW w:w="5000" w:type="pct"/>
            <w:vAlign w:val="center"/>
          </w:tcPr>
          <w:p w14:paraId="5E0F4FFC" w14:textId="77777777" w:rsidR="008F30AC" w:rsidRPr="00471D80" w:rsidRDefault="008F30AC" w:rsidP="00FE2AF9">
            <w:pPr>
              <w:rPr>
                <w:rFonts w:ascii="Arial Narrow" w:hAnsi="Arial Narrow"/>
                <w:b/>
                <w:bCs/>
                <w:sz w:val="20"/>
                <w:szCs w:val="20"/>
              </w:rPr>
            </w:pPr>
            <w:r w:rsidRPr="00471D80">
              <w:rPr>
                <w:rFonts w:ascii="Arial Narrow" w:hAnsi="Arial Narrow"/>
                <w:b/>
                <w:bCs/>
                <w:color w:val="333333"/>
                <w:sz w:val="20"/>
                <w:szCs w:val="20"/>
              </w:rPr>
              <w:t>Clinical criteria:</w:t>
            </w:r>
          </w:p>
        </w:tc>
      </w:tr>
      <w:tr w:rsidR="008F30AC" w:rsidRPr="00471D80" w14:paraId="4D5583E1" w14:textId="77777777" w:rsidTr="00FE2AF9">
        <w:trPr>
          <w:cantSplit/>
          <w:trHeight w:val="20"/>
        </w:trPr>
        <w:tc>
          <w:tcPr>
            <w:tcW w:w="5000" w:type="pct"/>
            <w:vAlign w:val="center"/>
          </w:tcPr>
          <w:p w14:paraId="1A947B93" w14:textId="77777777" w:rsidR="008F30AC" w:rsidRPr="00471D80" w:rsidRDefault="008F30AC" w:rsidP="00FE2AF9">
            <w:pPr>
              <w:rPr>
                <w:rFonts w:ascii="Arial Narrow" w:hAnsi="Arial Narrow"/>
                <w:b/>
                <w:bCs/>
                <w:sz w:val="20"/>
                <w:szCs w:val="20"/>
              </w:rPr>
            </w:pPr>
            <w:r w:rsidRPr="00C722AD">
              <w:rPr>
                <w:rFonts w:ascii="Arial Narrow" w:hAnsi="Arial Narrow" w:cs="Arial Narrow"/>
                <w:iCs/>
                <w:sz w:val="20"/>
                <w:szCs w:val="20"/>
              </w:rPr>
              <w:t>Patient must have/have had a WHO performance status score of no greater than 2 at treatment initiation with this drug for this condition.</w:t>
            </w:r>
          </w:p>
        </w:tc>
      </w:tr>
      <w:tr w:rsidR="008F30AC" w:rsidRPr="00471D80" w14:paraId="7A605397" w14:textId="77777777" w:rsidTr="00FE2AF9">
        <w:trPr>
          <w:cantSplit/>
          <w:trHeight w:val="20"/>
        </w:trPr>
        <w:tc>
          <w:tcPr>
            <w:tcW w:w="5000" w:type="pct"/>
            <w:vAlign w:val="center"/>
          </w:tcPr>
          <w:p w14:paraId="64B12188" w14:textId="77777777" w:rsidR="008F30AC" w:rsidRPr="00471D80" w:rsidRDefault="008F30AC" w:rsidP="00FE2AF9">
            <w:pPr>
              <w:rPr>
                <w:rFonts w:ascii="Arial Narrow" w:hAnsi="Arial Narrow"/>
                <w:b/>
                <w:bCs/>
                <w:sz w:val="20"/>
                <w:szCs w:val="20"/>
              </w:rPr>
            </w:pPr>
            <w:r w:rsidRPr="00471D80">
              <w:rPr>
                <w:rFonts w:ascii="Arial Narrow" w:hAnsi="Arial Narrow"/>
                <w:b/>
                <w:bCs/>
                <w:sz w:val="20"/>
              </w:rPr>
              <w:t>AND</w:t>
            </w:r>
          </w:p>
        </w:tc>
      </w:tr>
      <w:tr w:rsidR="008F30AC" w:rsidRPr="00471D80" w14:paraId="614D3381" w14:textId="77777777" w:rsidTr="00FE2AF9">
        <w:trPr>
          <w:cantSplit/>
          <w:trHeight w:val="20"/>
        </w:trPr>
        <w:tc>
          <w:tcPr>
            <w:tcW w:w="5000" w:type="pct"/>
            <w:vAlign w:val="center"/>
          </w:tcPr>
          <w:p w14:paraId="5C73CB5A" w14:textId="77777777" w:rsidR="008F30AC" w:rsidRPr="00471D80" w:rsidRDefault="008F30AC" w:rsidP="00FE2AF9">
            <w:pPr>
              <w:rPr>
                <w:rFonts w:ascii="Arial Narrow" w:hAnsi="Arial Narrow"/>
                <w:b/>
                <w:bCs/>
                <w:sz w:val="20"/>
                <w:szCs w:val="20"/>
              </w:rPr>
            </w:pPr>
            <w:r w:rsidRPr="00471D80">
              <w:rPr>
                <w:rFonts w:ascii="Arial Narrow" w:hAnsi="Arial Narrow"/>
                <w:b/>
                <w:bCs/>
                <w:color w:val="333333"/>
                <w:sz w:val="20"/>
                <w:szCs w:val="20"/>
              </w:rPr>
              <w:t>Clinical criteria:</w:t>
            </w:r>
          </w:p>
        </w:tc>
      </w:tr>
      <w:tr w:rsidR="008F30AC" w:rsidRPr="00471D80" w14:paraId="307D0EB5" w14:textId="77777777" w:rsidTr="00FE2AF9">
        <w:trPr>
          <w:cantSplit/>
          <w:trHeight w:val="20"/>
        </w:trPr>
        <w:tc>
          <w:tcPr>
            <w:tcW w:w="5000" w:type="pct"/>
            <w:vAlign w:val="center"/>
          </w:tcPr>
          <w:p w14:paraId="69BDC6B5" w14:textId="77777777" w:rsidR="008F30AC" w:rsidRPr="00081EEE" w:rsidRDefault="008F30AC" w:rsidP="00FE2AF9">
            <w:pPr>
              <w:rPr>
                <w:rFonts w:ascii="Arial Narrow" w:eastAsiaTheme="majorEastAsia" w:hAnsi="Arial Narrow" w:cstheme="majorBidi"/>
                <w:sz w:val="20"/>
                <w:szCs w:val="20"/>
              </w:rPr>
            </w:pPr>
            <w:r w:rsidRPr="00081EEE">
              <w:rPr>
                <w:rFonts w:ascii="Arial Narrow" w:eastAsiaTheme="majorEastAsia" w:hAnsi="Arial Narrow" w:cstheme="majorBidi"/>
                <w:sz w:val="20"/>
                <w:szCs w:val="20"/>
              </w:rPr>
              <w:t>Patient must have evidence of an activating epidermal growth factor receptor (EGFR) gene mutation known to confer sensitivity to treatment with EGFR tyrosine kinase inhibitors in tumour material</w:t>
            </w:r>
          </w:p>
        </w:tc>
      </w:tr>
      <w:tr w:rsidR="008F30AC" w14:paraId="3CDD8625" w14:textId="77777777" w:rsidTr="00FE2AF9">
        <w:trPr>
          <w:cantSplit/>
          <w:trHeight w:val="20"/>
        </w:trPr>
        <w:tc>
          <w:tcPr>
            <w:tcW w:w="5000" w:type="pct"/>
            <w:vAlign w:val="center"/>
          </w:tcPr>
          <w:p w14:paraId="48AA0062" w14:textId="77777777" w:rsidR="008F30AC" w:rsidRDefault="008F30AC" w:rsidP="00FE2AF9">
            <w:pPr>
              <w:pStyle w:val="TableText"/>
              <w:rPr>
                <w:b/>
              </w:rPr>
            </w:pPr>
            <w:r w:rsidRPr="66E11A3C">
              <w:rPr>
                <w:b/>
              </w:rPr>
              <w:t>AND</w:t>
            </w:r>
          </w:p>
        </w:tc>
      </w:tr>
      <w:tr w:rsidR="008F30AC" w14:paraId="7A72B067" w14:textId="77777777" w:rsidTr="00FE2AF9">
        <w:trPr>
          <w:cantSplit/>
          <w:trHeight w:val="20"/>
        </w:trPr>
        <w:tc>
          <w:tcPr>
            <w:tcW w:w="5000" w:type="pct"/>
            <w:vAlign w:val="center"/>
          </w:tcPr>
          <w:p w14:paraId="19700B6A" w14:textId="77777777" w:rsidR="008F30AC" w:rsidRDefault="008F30AC" w:rsidP="00FE2AF9">
            <w:pPr>
              <w:rPr>
                <w:rFonts w:ascii="Arial Narrow" w:eastAsiaTheme="majorEastAsia" w:hAnsi="Arial Narrow"/>
                <w:b/>
                <w:sz w:val="20"/>
                <w:szCs w:val="20"/>
              </w:rPr>
            </w:pPr>
            <w:r w:rsidRPr="00081EEE">
              <w:rPr>
                <w:rFonts w:ascii="Arial Narrow" w:eastAsiaTheme="majorEastAsia" w:hAnsi="Arial Narrow" w:cstheme="majorBidi"/>
                <w:b/>
                <w:bCs/>
                <w:sz w:val="20"/>
                <w:szCs w:val="20"/>
              </w:rPr>
              <w:t>Clinical criteria:</w:t>
            </w:r>
          </w:p>
        </w:tc>
      </w:tr>
      <w:tr w:rsidR="008F30AC" w14:paraId="4E78F6B7" w14:textId="77777777" w:rsidTr="00FE2AF9">
        <w:trPr>
          <w:cantSplit/>
          <w:trHeight w:val="20"/>
        </w:trPr>
        <w:tc>
          <w:tcPr>
            <w:tcW w:w="5000" w:type="pct"/>
            <w:vAlign w:val="center"/>
          </w:tcPr>
          <w:p w14:paraId="1CE669E3" w14:textId="77777777" w:rsidR="008F30AC" w:rsidRPr="00081EEE" w:rsidRDefault="008F30AC" w:rsidP="00FE2AF9">
            <w:pPr>
              <w:rPr>
                <w:rFonts w:ascii="Arial Narrow" w:eastAsiaTheme="majorEastAsia" w:hAnsi="Arial Narrow" w:cstheme="majorBidi"/>
                <w:sz w:val="20"/>
                <w:szCs w:val="20"/>
              </w:rPr>
            </w:pPr>
            <w:r w:rsidRPr="00081EEE">
              <w:rPr>
                <w:rFonts w:ascii="Arial Narrow" w:eastAsiaTheme="majorEastAsia" w:hAnsi="Arial Narrow" w:cstheme="majorBidi"/>
                <w:sz w:val="20"/>
                <w:szCs w:val="20"/>
              </w:rPr>
              <w:t>Patient must not have evidence in tumour material of an activating epidermal growth factor receptor (EGFR) exon 20 insertion mutation</w:t>
            </w:r>
          </w:p>
        </w:tc>
      </w:tr>
      <w:tr w:rsidR="008F30AC" w14:paraId="69453D7B" w14:textId="77777777" w:rsidTr="00FE2AF9">
        <w:trPr>
          <w:cantSplit/>
          <w:trHeight w:val="20"/>
        </w:trPr>
        <w:tc>
          <w:tcPr>
            <w:tcW w:w="5000" w:type="pct"/>
            <w:vAlign w:val="center"/>
          </w:tcPr>
          <w:p w14:paraId="119DAEBD" w14:textId="77777777" w:rsidR="008F30AC" w:rsidRPr="0061176C" w:rsidRDefault="008F30AC" w:rsidP="00FE2AF9">
            <w:pPr>
              <w:pStyle w:val="TableText"/>
              <w:rPr>
                <w:b/>
              </w:rPr>
            </w:pPr>
            <w:r w:rsidRPr="0061176C">
              <w:rPr>
                <w:b/>
              </w:rPr>
              <w:t>AND</w:t>
            </w:r>
          </w:p>
        </w:tc>
      </w:tr>
      <w:tr w:rsidR="008F30AC" w14:paraId="68A70D62" w14:textId="77777777" w:rsidTr="00FE2AF9">
        <w:trPr>
          <w:cantSplit/>
          <w:trHeight w:val="20"/>
        </w:trPr>
        <w:tc>
          <w:tcPr>
            <w:tcW w:w="5000" w:type="pct"/>
            <w:vAlign w:val="center"/>
          </w:tcPr>
          <w:p w14:paraId="20549A10" w14:textId="77777777" w:rsidR="008F30AC" w:rsidRDefault="008F30AC" w:rsidP="00FE2AF9">
            <w:pPr>
              <w:rPr>
                <w:rFonts w:ascii="Arial Narrow" w:hAnsi="Arial Narrow"/>
                <w:b/>
                <w:bCs/>
                <w:sz w:val="20"/>
                <w:szCs w:val="20"/>
              </w:rPr>
            </w:pPr>
            <w:r w:rsidRPr="405E336F">
              <w:rPr>
                <w:rFonts w:ascii="Arial Narrow" w:hAnsi="Arial Narrow"/>
                <w:b/>
                <w:bCs/>
                <w:color w:val="333333"/>
                <w:sz w:val="20"/>
                <w:szCs w:val="20"/>
              </w:rPr>
              <w:t>Clinical criteria:</w:t>
            </w:r>
          </w:p>
        </w:tc>
      </w:tr>
      <w:tr w:rsidR="008F30AC" w:rsidRPr="00471D80" w14:paraId="423BA0EA" w14:textId="77777777" w:rsidTr="00FE2AF9">
        <w:trPr>
          <w:cantSplit/>
          <w:trHeight w:val="20"/>
        </w:trPr>
        <w:tc>
          <w:tcPr>
            <w:tcW w:w="5000" w:type="pct"/>
            <w:vAlign w:val="center"/>
          </w:tcPr>
          <w:p w14:paraId="6BB963EE" w14:textId="77777777" w:rsidR="008F30AC" w:rsidRPr="00471D80" w:rsidRDefault="008F30AC" w:rsidP="00FE2AF9">
            <w:pPr>
              <w:rPr>
                <w:rFonts w:eastAsiaTheme="majorEastAsia"/>
                <w:lang w:bidi="en-US"/>
              </w:rPr>
            </w:pPr>
            <w:r w:rsidRPr="00081EEE">
              <w:rPr>
                <w:rFonts w:ascii="Arial Narrow" w:eastAsiaTheme="majorEastAsia" w:hAnsi="Arial Narrow" w:cstheme="majorBidi"/>
                <w:sz w:val="20"/>
                <w:szCs w:val="20"/>
              </w:rPr>
              <w:t xml:space="preserve">Patient must not have received previous PBS-subsidised treatment with another epidermal growth factor receptor (EGFR) tyrosine kinase inhibitor (TKI); </w:t>
            </w:r>
          </w:p>
        </w:tc>
      </w:tr>
      <w:tr w:rsidR="008F30AC" w14:paraId="7E19BA50" w14:textId="77777777" w:rsidTr="00FE2AF9">
        <w:trPr>
          <w:cantSplit/>
          <w:trHeight w:val="20"/>
        </w:trPr>
        <w:tc>
          <w:tcPr>
            <w:tcW w:w="5000" w:type="pct"/>
            <w:vAlign w:val="center"/>
          </w:tcPr>
          <w:p w14:paraId="049909CD" w14:textId="77777777" w:rsidR="008F30AC" w:rsidRPr="00081EEE" w:rsidRDefault="008F30AC" w:rsidP="00FE2AF9">
            <w:pPr>
              <w:rPr>
                <w:rFonts w:ascii="Arial Narrow" w:eastAsiaTheme="majorEastAsia" w:hAnsi="Arial Narrow" w:cstheme="majorBidi"/>
                <w:b/>
                <w:bCs/>
                <w:sz w:val="20"/>
                <w:szCs w:val="20"/>
              </w:rPr>
            </w:pPr>
            <w:r w:rsidRPr="00081EEE">
              <w:rPr>
                <w:rFonts w:ascii="Arial Narrow" w:eastAsiaTheme="majorEastAsia" w:hAnsi="Arial Narrow" w:cstheme="majorBidi"/>
                <w:b/>
                <w:bCs/>
                <w:sz w:val="20"/>
                <w:szCs w:val="20"/>
              </w:rPr>
              <w:t>OR</w:t>
            </w:r>
          </w:p>
        </w:tc>
      </w:tr>
      <w:tr w:rsidR="008F30AC" w14:paraId="6C529712" w14:textId="77777777" w:rsidTr="00FE2AF9">
        <w:trPr>
          <w:cantSplit/>
          <w:trHeight w:val="20"/>
        </w:trPr>
        <w:tc>
          <w:tcPr>
            <w:tcW w:w="5000" w:type="pct"/>
            <w:vAlign w:val="center"/>
          </w:tcPr>
          <w:p w14:paraId="3C0D7BC9" w14:textId="77777777" w:rsidR="008F30AC" w:rsidRDefault="008F30AC" w:rsidP="00FE2AF9">
            <w:pPr>
              <w:rPr>
                <w:rFonts w:ascii="Arial Narrow" w:hAnsi="Arial Narrow"/>
                <w:b/>
                <w:sz w:val="20"/>
                <w:szCs w:val="20"/>
                <w:lang w:bidi="en-US"/>
              </w:rPr>
            </w:pPr>
            <w:r w:rsidRPr="7603E9BB">
              <w:rPr>
                <w:rFonts w:ascii="Arial Narrow" w:eastAsiaTheme="majorEastAsia" w:hAnsi="Arial Narrow" w:cstheme="majorBidi"/>
                <w:sz w:val="20"/>
                <w:szCs w:val="20"/>
              </w:rPr>
              <w:t>Patient must have developed intolerance to another epidermal growth factor receptor (EGFR) tyrosine kinase inhibitor (TKI) of a severity necessitating permanent treatment withdrawal.</w:t>
            </w:r>
          </w:p>
        </w:tc>
      </w:tr>
      <w:tr w:rsidR="008F30AC" w:rsidRPr="00471D80" w14:paraId="4E81F538" w14:textId="77777777" w:rsidTr="00FE2AF9">
        <w:trPr>
          <w:cantSplit/>
          <w:trHeight w:val="20"/>
        </w:trPr>
        <w:tc>
          <w:tcPr>
            <w:tcW w:w="5000" w:type="pct"/>
            <w:vAlign w:val="center"/>
          </w:tcPr>
          <w:p w14:paraId="377A9190" w14:textId="77777777" w:rsidR="008F30AC" w:rsidRPr="00471D80" w:rsidRDefault="008F30AC" w:rsidP="00FE2AF9">
            <w:pPr>
              <w:rPr>
                <w:rFonts w:ascii="Arial Narrow" w:hAnsi="Arial Narrow"/>
                <w:b/>
                <w:bCs/>
                <w:sz w:val="20"/>
                <w:szCs w:val="20"/>
                <w:lang w:bidi="en-US"/>
              </w:rPr>
            </w:pPr>
            <w:r w:rsidRPr="00471D80">
              <w:rPr>
                <w:rFonts w:ascii="Arial Narrow" w:hAnsi="Arial Narrow"/>
                <w:b/>
                <w:bCs/>
                <w:sz w:val="20"/>
                <w:szCs w:val="20"/>
                <w:lang w:bidi="en-US"/>
              </w:rPr>
              <w:t>Prescribing Instruction:</w:t>
            </w:r>
          </w:p>
          <w:p w14:paraId="742F1D3F" w14:textId="3A8E71BE" w:rsidR="008F30AC" w:rsidRPr="00471D80" w:rsidRDefault="008F30AC" w:rsidP="00FE2AF9">
            <w:pPr>
              <w:rPr>
                <w:rFonts w:ascii="Arial Narrow" w:hAnsi="Arial Narrow"/>
                <w:sz w:val="20"/>
                <w:szCs w:val="20"/>
                <w:lang w:bidi="en-US"/>
              </w:rPr>
            </w:pPr>
            <w:r w:rsidRPr="00471D80">
              <w:rPr>
                <w:rFonts w:ascii="Arial Narrow" w:hAnsi="Arial Narrow"/>
                <w:sz w:val="20"/>
                <w:szCs w:val="20"/>
                <w:lang w:bidi="en-US"/>
              </w:rPr>
              <w:t xml:space="preserve">PBS-subsidised treatment with this drug is restricted to </w:t>
            </w:r>
            <w:r w:rsidRPr="00705C37">
              <w:rPr>
                <w:rFonts w:ascii="Arial Narrow" w:eastAsiaTheme="majorEastAsia" w:hAnsi="Arial Narrow"/>
                <w:sz w:val="20"/>
                <w:szCs w:val="20"/>
                <w:lang w:bidi="en-US"/>
              </w:rPr>
              <w:t>once per lifetime</w:t>
            </w:r>
            <w:r w:rsidRPr="00C722AD">
              <w:rPr>
                <w:rFonts w:ascii="Arial Narrow" w:eastAsiaTheme="majorEastAsia" w:hAnsi="Arial Narrow"/>
                <w:i/>
                <w:iCs/>
                <w:sz w:val="20"/>
                <w:szCs w:val="20"/>
                <w:lang w:bidi="en-US"/>
              </w:rPr>
              <w:t xml:space="preserve"> </w:t>
            </w:r>
            <w:r w:rsidRPr="00471D80">
              <w:rPr>
                <w:rFonts w:ascii="Arial Narrow" w:hAnsi="Arial Narrow"/>
                <w:sz w:val="20"/>
                <w:szCs w:val="20"/>
                <w:lang w:bidi="en-US"/>
              </w:rPr>
              <w:t>at any disease staging for NSCLC (i.e. if therapy has been prescribed for early disease, subsidy under locally advanced or metastatic disease is no longer available).</w:t>
            </w:r>
            <w:r>
              <w:rPr>
                <w:rFonts w:ascii="Arial Narrow" w:hAnsi="Arial Narrow"/>
                <w:sz w:val="20"/>
                <w:szCs w:val="20"/>
                <w:lang w:bidi="en-US"/>
              </w:rPr>
              <w:t xml:space="preserve"> </w:t>
            </w:r>
          </w:p>
        </w:tc>
      </w:tr>
      <w:tr w:rsidR="008F30AC" w:rsidRPr="00471D80" w14:paraId="5232ADF8" w14:textId="77777777" w:rsidTr="00FE2AF9">
        <w:trPr>
          <w:cantSplit/>
          <w:trHeight w:val="20"/>
        </w:trPr>
        <w:tc>
          <w:tcPr>
            <w:tcW w:w="5000" w:type="pct"/>
            <w:vAlign w:val="center"/>
          </w:tcPr>
          <w:p w14:paraId="6AA93E95" w14:textId="77777777" w:rsidR="008F30AC" w:rsidRPr="00471D80" w:rsidRDefault="008F30AC" w:rsidP="00FE2AF9">
            <w:pPr>
              <w:rPr>
                <w:rFonts w:ascii="Arial Narrow" w:hAnsi="Arial Narrow"/>
                <w:b/>
                <w:bCs/>
                <w:sz w:val="20"/>
                <w:szCs w:val="20"/>
                <w:lang w:bidi="en-US"/>
              </w:rPr>
            </w:pPr>
            <w:r w:rsidRPr="00471D80">
              <w:rPr>
                <w:rFonts w:ascii="Arial Narrow" w:hAnsi="Arial Narrow"/>
                <w:b/>
                <w:bCs/>
                <w:sz w:val="20"/>
                <w:szCs w:val="20"/>
                <w:lang w:bidi="en-US"/>
              </w:rPr>
              <w:t>Prescribing Instruction:</w:t>
            </w:r>
          </w:p>
          <w:p w14:paraId="79D2C0C7" w14:textId="77777777" w:rsidR="008F30AC" w:rsidRDefault="008F30AC" w:rsidP="00FE2AF9">
            <w:pPr>
              <w:rPr>
                <w:rFonts w:ascii="Arial Narrow" w:hAnsi="Arial Narrow"/>
                <w:sz w:val="20"/>
                <w:szCs w:val="20"/>
                <w:lang w:bidi="en-US"/>
              </w:rPr>
            </w:pPr>
            <w:r w:rsidRPr="4EBD9F6C">
              <w:rPr>
                <w:rFonts w:ascii="Arial Narrow" w:hAnsi="Arial Narrow"/>
                <w:sz w:val="20"/>
                <w:szCs w:val="20"/>
                <w:lang w:bidi="en-US"/>
              </w:rPr>
              <w:t xml:space="preserve">Prescribers must refer to this drug's approved Therapeutic Goods Administration (TGA) Product Information (PI) for the relevant dosing regimens, treatment duration and mutation type for the specific stage of NSCLC. </w:t>
            </w:r>
          </w:p>
          <w:p w14:paraId="253A8CA7" w14:textId="08CF52AF" w:rsidR="008F30AC" w:rsidRPr="00471D80" w:rsidRDefault="008F30AC" w:rsidP="00FE2AF9">
            <w:pPr>
              <w:rPr>
                <w:rFonts w:ascii="Arial Narrow" w:hAnsi="Arial Narrow"/>
                <w:b/>
                <w:bCs/>
                <w:sz w:val="20"/>
                <w:szCs w:val="20"/>
                <w:lang w:bidi="en-US"/>
              </w:rPr>
            </w:pPr>
            <w:r w:rsidRPr="00CF6053">
              <w:rPr>
                <w:rFonts w:ascii="Arial Narrow" w:hAnsi="Arial Narrow"/>
                <w:sz w:val="20"/>
                <w:szCs w:val="20"/>
                <w:lang w:bidi="en-US"/>
              </w:rPr>
              <w:t xml:space="preserve">For </w:t>
            </w:r>
            <w:r w:rsidRPr="00CF6053">
              <w:rPr>
                <w:rFonts w:ascii="Arial Narrow" w:hAnsi="Arial Narrow"/>
                <w:sz w:val="20"/>
                <w:szCs w:val="20"/>
              </w:rPr>
              <w:t xml:space="preserve">patients receiving treatment with this drug as adjuvant therapy, treatment must cease upon disease progression, or after the completion of three years from the first administered dose, whatever comes first. </w:t>
            </w:r>
          </w:p>
        </w:tc>
      </w:tr>
    </w:tbl>
    <w:p w14:paraId="75B1FCC8" w14:textId="1385A176" w:rsidR="008F30AC" w:rsidRDefault="008F30AC" w:rsidP="00A02DC5">
      <w:pPr>
        <w:pStyle w:val="3-BodyText"/>
        <w:spacing w:before="120"/>
        <w:rPr>
          <w:lang w:bidi="en-US"/>
        </w:rPr>
      </w:pPr>
      <w:r>
        <w:rPr>
          <w:lang w:bidi="en-US"/>
        </w:rPr>
        <w:t xml:space="preserve">The Secretariat proposed draft restriction </w:t>
      </w:r>
      <w:r w:rsidR="00BE7A6A">
        <w:rPr>
          <w:lang w:bidi="en-US"/>
        </w:rPr>
        <w:t xml:space="preserve">for the single listing </w:t>
      </w:r>
      <w:r>
        <w:rPr>
          <w:lang w:bidi="en-US"/>
        </w:rPr>
        <w:t>includes the following prescriber instruction: ‘</w:t>
      </w:r>
      <w:r w:rsidRPr="4EBD9F6C">
        <w:rPr>
          <w:lang w:bidi="en-US"/>
        </w:rPr>
        <w:t>Prescribers must refer to this drug's approved Therapeutic Goods Administration (TGA) Product Information (PI) for the relevant dosing regimens, treatment duration and mutation type for the specific stage of NSCLC</w:t>
      </w:r>
      <w:r>
        <w:rPr>
          <w:lang w:bidi="en-US"/>
        </w:rPr>
        <w:t>’</w:t>
      </w:r>
      <w:r w:rsidRPr="4EBD9F6C">
        <w:rPr>
          <w:lang w:bidi="en-US"/>
        </w:rPr>
        <w:t>.</w:t>
      </w:r>
      <w:r>
        <w:rPr>
          <w:lang w:bidi="en-US"/>
        </w:rPr>
        <w:t xml:space="preserve"> </w:t>
      </w:r>
      <w:r w:rsidRPr="00E008B2">
        <w:rPr>
          <w:lang w:bidi="en-US"/>
        </w:rPr>
        <w:t>However, this may limit the use of O+C to patients with EGFR exon 19 deletions or exon 21 L858R mutations</w:t>
      </w:r>
      <w:r w:rsidRPr="007C5281">
        <w:rPr>
          <w:i/>
          <w:iCs/>
          <w:lang w:bidi="en-US"/>
        </w:rPr>
        <w:t>.</w:t>
      </w:r>
      <w:r w:rsidRPr="007C5281">
        <w:rPr>
          <w:lang w:bidi="en-US"/>
        </w:rPr>
        <w:t xml:space="preserve"> </w:t>
      </w:r>
      <w:r>
        <w:rPr>
          <w:lang w:bidi="en-US"/>
        </w:rPr>
        <w:t xml:space="preserve">The PBAC has previously noted </w:t>
      </w:r>
      <w:r w:rsidRPr="00E215DC">
        <w:rPr>
          <w:lang w:bidi="en-US"/>
        </w:rPr>
        <w:t xml:space="preserve">it </w:t>
      </w:r>
      <w:r>
        <w:rPr>
          <w:lang w:bidi="en-US"/>
        </w:rPr>
        <w:t xml:space="preserve">would be </w:t>
      </w:r>
      <w:r w:rsidRPr="00E215DC">
        <w:rPr>
          <w:lang w:bidi="en-US"/>
        </w:rPr>
        <w:t xml:space="preserve">appropriate to remain silent on the EGFR mutation type, as use outside the appropriate mutation </w:t>
      </w:r>
      <w:r w:rsidRPr="00E215DC">
        <w:rPr>
          <w:lang w:bidi="en-US"/>
        </w:rPr>
        <w:lastRenderedPageBreak/>
        <w:t>would be unlikely</w:t>
      </w:r>
      <w:r>
        <w:rPr>
          <w:lang w:bidi="en-US"/>
        </w:rPr>
        <w:t xml:space="preserve"> (paragraph 7.5, </w:t>
      </w:r>
      <w:proofErr w:type="spellStart"/>
      <w:r>
        <w:rPr>
          <w:lang w:bidi="en-US"/>
        </w:rPr>
        <w:t>osimertinib</w:t>
      </w:r>
      <w:proofErr w:type="spellEnd"/>
      <w:r>
        <w:rPr>
          <w:lang w:bidi="en-US"/>
        </w:rPr>
        <w:t xml:space="preserve"> </w:t>
      </w:r>
      <w:r w:rsidR="00CA262D">
        <w:rPr>
          <w:lang w:bidi="en-US"/>
        </w:rPr>
        <w:t>Public Summary Document (PSD)</w:t>
      </w:r>
      <w:r>
        <w:rPr>
          <w:lang w:bidi="en-US"/>
        </w:rPr>
        <w:t>, May 2025 PBAC meeting).</w:t>
      </w:r>
    </w:p>
    <w:p w14:paraId="26B89B6A" w14:textId="05920404" w:rsidR="008F30AC" w:rsidRPr="001852C8" w:rsidRDefault="008F30AC" w:rsidP="009422C2">
      <w:pPr>
        <w:pStyle w:val="3-BodyText"/>
        <w:rPr>
          <w:lang w:bidi="en-US"/>
        </w:rPr>
      </w:pPr>
      <w:r>
        <w:rPr>
          <w:lang w:bidi="en-US"/>
        </w:rPr>
        <w:t>The draft restriction include</w:t>
      </w:r>
      <w:r w:rsidR="00EF78DA">
        <w:rPr>
          <w:lang w:bidi="en-US"/>
        </w:rPr>
        <w:t>d</w:t>
      </w:r>
      <w:r>
        <w:rPr>
          <w:lang w:bidi="en-US"/>
        </w:rPr>
        <w:t xml:space="preserve"> the clinical criteria ‘Patient must not have received previous PBS-subsidised treatment with another epidermal growth factor receptor (EGFR) tyrosine kinase inhibitor (TKI) OR Patient must have developed intolerance to another epidermal growth factor receptor (EGFR) tyrosine kinase inhibitor (TKI) of a severity necessitating permanent treatment withdrawal’ to allow switching between EGFR TKIs for reasons of intolerance (as per the current listing in the first line setting). </w:t>
      </w:r>
      <w:r w:rsidRPr="00AD32D3">
        <w:rPr>
          <w:lang w:bidi="en-US"/>
        </w:rPr>
        <w:t xml:space="preserve">However, this will impact patients using </w:t>
      </w:r>
      <w:proofErr w:type="spellStart"/>
      <w:r w:rsidRPr="00AD32D3">
        <w:rPr>
          <w:lang w:bidi="en-US"/>
        </w:rPr>
        <w:t>osimertinib</w:t>
      </w:r>
      <w:proofErr w:type="spellEnd"/>
      <w:r w:rsidRPr="00AD32D3">
        <w:rPr>
          <w:lang w:bidi="en-US"/>
        </w:rPr>
        <w:t xml:space="preserve"> in the second line treatment setting i.e. after progression on previous</w:t>
      </w:r>
      <w:r w:rsidRPr="00AD32D3">
        <w:rPr>
          <w:rFonts w:eastAsia="Open Sans"/>
          <w:lang w:bidi="en-US"/>
        </w:rPr>
        <w:t xml:space="preserve"> EGFR tyrosine kinase inhibitor </w:t>
      </w:r>
      <w:r w:rsidRPr="00AD32D3">
        <w:rPr>
          <w:lang w:bidi="en-US"/>
        </w:rPr>
        <w:t>therapy.</w:t>
      </w:r>
    </w:p>
    <w:p w14:paraId="7AB1631E" w14:textId="3D3112F9" w:rsidR="00E56C84" w:rsidRPr="00E56C84" w:rsidRDefault="00E56C84" w:rsidP="00E56C84">
      <w:pPr>
        <w:pStyle w:val="3-BodyText"/>
        <w:rPr>
          <w:lang w:bidi="en-US"/>
        </w:rPr>
      </w:pPr>
      <w:r>
        <w:rPr>
          <w:lang w:bidi="en-US"/>
        </w:rPr>
        <w:t xml:space="preserve">The PBAC considered it was appropriate to retain </w:t>
      </w:r>
      <w:r w:rsidRPr="00E56C84">
        <w:rPr>
          <w:lang w:bidi="en-US"/>
        </w:rPr>
        <w:t xml:space="preserve">the requirement that PBS-subsidised treatment with </w:t>
      </w:r>
      <w:proofErr w:type="spellStart"/>
      <w:r w:rsidRPr="00E56C84">
        <w:rPr>
          <w:lang w:bidi="en-US"/>
        </w:rPr>
        <w:t>osimertinib</w:t>
      </w:r>
      <w:proofErr w:type="spellEnd"/>
      <w:r w:rsidRPr="00E56C84">
        <w:rPr>
          <w:lang w:bidi="en-US"/>
        </w:rPr>
        <w:t xml:space="preserve"> is restricted to once per lifetime at any disease staging for NSCLC (i.e. if therapy has been prescribed for early disease, subsidy under locally advanced or metastatic disease is no longer available).</w:t>
      </w:r>
    </w:p>
    <w:p w14:paraId="5BB79FC2" w14:textId="459599A1" w:rsidR="008F30AC" w:rsidRDefault="001852C8" w:rsidP="001852C8">
      <w:pPr>
        <w:pStyle w:val="3-BodyText"/>
      </w:pPr>
      <w:r>
        <w:t xml:space="preserve">With a </w:t>
      </w:r>
      <w:r w:rsidR="00F270E5">
        <w:t xml:space="preserve">single </w:t>
      </w:r>
      <w:r>
        <w:t>listing, t</w:t>
      </w:r>
      <w:r w:rsidR="008F30AC">
        <w:t xml:space="preserve">he </w:t>
      </w:r>
      <w:r>
        <w:t>Secretariat</w:t>
      </w:r>
      <w:r w:rsidR="008F30AC">
        <w:t xml:space="preserve"> noted the current </w:t>
      </w:r>
      <w:proofErr w:type="spellStart"/>
      <w:r w:rsidR="008F30AC">
        <w:t>osimertinib</w:t>
      </w:r>
      <w:proofErr w:type="spellEnd"/>
      <w:r w:rsidR="008F30AC">
        <w:t xml:space="preserve"> item codes </w:t>
      </w:r>
      <w:r>
        <w:t xml:space="preserve">could </w:t>
      </w:r>
      <w:r w:rsidR="008F30AC">
        <w:t xml:space="preserve">be delisted with </w:t>
      </w:r>
      <w:r w:rsidR="00712363">
        <w:t xml:space="preserve">a </w:t>
      </w:r>
      <w:r w:rsidR="008F30AC">
        <w:t>supply only period of 6 months</w:t>
      </w:r>
      <w:r>
        <w:t>.</w:t>
      </w:r>
    </w:p>
    <w:p w14:paraId="1DE16FEF" w14:textId="299B1276" w:rsidR="003100D7" w:rsidRDefault="003100D7" w:rsidP="001852C8">
      <w:pPr>
        <w:pStyle w:val="3-BodyText"/>
      </w:pPr>
      <w:r>
        <w:t xml:space="preserve">The pre-PBAC response </w:t>
      </w:r>
      <w:r w:rsidR="00AD43B3" w:rsidRPr="00AD43B3">
        <w:t>accept</w:t>
      </w:r>
      <w:r w:rsidR="00AD43B3">
        <w:t>ed</w:t>
      </w:r>
      <w:r w:rsidR="00AD43B3" w:rsidRPr="00AD43B3">
        <w:t xml:space="preserve"> the proposed </w:t>
      </w:r>
      <w:r w:rsidR="00626E04">
        <w:t xml:space="preserve">combined </w:t>
      </w:r>
      <w:r w:rsidR="009433EA">
        <w:t xml:space="preserve">single </w:t>
      </w:r>
      <w:r w:rsidR="00AD43B3">
        <w:t xml:space="preserve">listing </w:t>
      </w:r>
      <w:r w:rsidR="00AD43B3" w:rsidRPr="00AD43B3">
        <w:t xml:space="preserve">restriction, with deletion of the current </w:t>
      </w:r>
      <w:proofErr w:type="spellStart"/>
      <w:r w:rsidR="00AD43B3" w:rsidRPr="00AD43B3">
        <w:t>osimertinib</w:t>
      </w:r>
      <w:proofErr w:type="spellEnd"/>
      <w:r w:rsidR="00626E04">
        <w:t xml:space="preserve"> item codes</w:t>
      </w:r>
      <w:r w:rsidR="00AD43B3" w:rsidRPr="00AD43B3">
        <w:t>.</w:t>
      </w:r>
    </w:p>
    <w:p w14:paraId="3C09DE39" w14:textId="2F7795C6" w:rsidR="00D250A3" w:rsidRDefault="00D250A3" w:rsidP="00D250A3">
      <w:pPr>
        <w:pStyle w:val="3-BodyText"/>
        <w:numPr>
          <w:ilvl w:val="0"/>
          <w:numId w:val="0"/>
        </w:numPr>
        <w:ind w:left="720"/>
      </w:pPr>
      <w:r>
        <w:rPr>
          <w:i/>
          <w:iCs/>
        </w:rPr>
        <w:t>F</w:t>
      </w:r>
      <w:r w:rsidRPr="003B7582">
        <w:rPr>
          <w:i/>
          <w:iCs/>
        </w:rPr>
        <w:t xml:space="preserve">or more detail on PBAC’s view, see section </w:t>
      </w:r>
      <w:r>
        <w:rPr>
          <w:i/>
          <w:iCs/>
        </w:rPr>
        <w:t>5</w:t>
      </w:r>
      <w:r w:rsidRPr="003B7582">
        <w:rPr>
          <w:i/>
          <w:iCs/>
        </w:rPr>
        <w:t xml:space="preserve"> PBAC outcome.</w:t>
      </w:r>
    </w:p>
    <w:p w14:paraId="3DFF6634" w14:textId="548C557E" w:rsidR="00FD7ACB" w:rsidRDefault="00382746" w:rsidP="00FD7ACB">
      <w:pPr>
        <w:pStyle w:val="2-SectionHeading"/>
      </w:pPr>
      <w:r>
        <w:t>Consideration of the evidence</w:t>
      </w:r>
    </w:p>
    <w:p w14:paraId="5EA1D0F0" w14:textId="20A83804" w:rsidR="00D844C6" w:rsidRDefault="00E934BA" w:rsidP="00135AB1">
      <w:pPr>
        <w:pStyle w:val="4-SubsectionHeading"/>
      </w:pPr>
      <w:r>
        <w:t>Clinical evidence</w:t>
      </w:r>
    </w:p>
    <w:p w14:paraId="7F6B89E3" w14:textId="2FB94DD6" w:rsidR="009C7822" w:rsidRDefault="003B0C83" w:rsidP="009C7822">
      <w:pPr>
        <w:pStyle w:val="3-BodyText"/>
      </w:pPr>
      <w:r>
        <w:t xml:space="preserve">There was no new clinical evidence presented in the </w:t>
      </w:r>
      <w:r w:rsidR="00A16318">
        <w:t>re</w:t>
      </w:r>
      <w:r>
        <w:t xml:space="preserve">submission. </w:t>
      </w:r>
    </w:p>
    <w:p w14:paraId="5CF2618C" w14:textId="088FEDBC" w:rsidR="00790807" w:rsidRDefault="00790807" w:rsidP="009C7822">
      <w:pPr>
        <w:pStyle w:val="3-BodyText"/>
      </w:pPr>
      <w:bookmarkStart w:id="5" w:name="_Ref195108107"/>
      <w:r w:rsidRPr="000F36C3">
        <w:rPr>
          <w:snapToGrid w:val="0"/>
          <w:lang w:val="en-GB"/>
        </w:rPr>
        <w:t xml:space="preserve">The PBAC </w:t>
      </w:r>
      <w:r>
        <w:rPr>
          <w:snapToGrid w:val="0"/>
          <w:lang w:val="en-GB"/>
        </w:rPr>
        <w:t xml:space="preserve">previously </w:t>
      </w:r>
      <w:r w:rsidRPr="000F36C3">
        <w:rPr>
          <w:snapToGrid w:val="0"/>
          <w:lang w:val="en-GB"/>
        </w:rPr>
        <w:t xml:space="preserve">noted the clinical evidence for O+C was based on the FLAURA2 trial (n = 557), which was a head-to-head randomised controlled trial </w:t>
      </w:r>
      <w:r w:rsidRPr="000F36C3">
        <w:t xml:space="preserve">comparing the efficacy and safety of O+C to </w:t>
      </w:r>
      <w:proofErr w:type="spellStart"/>
      <w:r w:rsidRPr="000F36C3">
        <w:t>osimertinib</w:t>
      </w:r>
      <w:proofErr w:type="spellEnd"/>
      <w:r w:rsidRPr="000F36C3">
        <w:t xml:space="preserve"> as first-line treatment in patients with locally advanced or metastatic </w:t>
      </w:r>
      <w:r w:rsidRPr="000F36C3">
        <w:rPr>
          <w:i/>
          <w:iCs/>
        </w:rPr>
        <w:t>EGFR</w:t>
      </w:r>
      <w:r w:rsidRPr="000F36C3">
        <w:t>m NSCLC (specifically, exon 19</w:t>
      </w:r>
      <w:r>
        <w:t xml:space="preserve"> </w:t>
      </w:r>
      <w:r w:rsidRPr="000F36C3">
        <w:t>del</w:t>
      </w:r>
      <w:r>
        <w:t>etion</w:t>
      </w:r>
      <w:r w:rsidRPr="000F36C3">
        <w:t xml:space="preserve"> or exon 21 L858R substitution</w:t>
      </w:r>
      <w:r>
        <w:t xml:space="preserve"> mutations). </w:t>
      </w:r>
      <w:r w:rsidRPr="000F36C3">
        <w:t>The PBAC noted t</w:t>
      </w:r>
      <w:r w:rsidRPr="000F36C3">
        <w:rPr>
          <w:rStyle w:val="3-BodyTextChar"/>
        </w:rPr>
        <w:t xml:space="preserve">here was a statistically significant improvement </w:t>
      </w:r>
      <w:r>
        <w:rPr>
          <w:rStyle w:val="3-BodyTextChar"/>
        </w:rPr>
        <w:t xml:space="preserve">in PFS </w:t>
      </w:r>
      <w:r w:rsidRPr="000F36C3">
        <w:rPr>
          <w:rStyle w:val="3-BodyTextChar"/>
        </w:rPr>
        <w:t xml:space="preserve">for O+C compared to </w:t>
      </w:r>
      <w:proofErr w:type="spellStart"/>
      <w:r w:rsidRPr="000F36C3">
        <w:rPr>
          <w:rStyle w:val="3-BodyTextChar"/>
        </w:rPr>
        <w:t>osimertinib</w:t>
      </w:r>
      <w:proofErr w:type="spellEnd"/>
      <w:r>
        <w:rPr>
          <w:rStyle w:val="3-BodyTextChar"/>
        </w:rPr>
        <w:t xml:space="preserve"> with a </w:t>
      </w:r>
      <w:r w:rsidRPr="000F36C3">
        <w:rPr>
          <w:rStyle w:val="3-BodyTextChar"/>
        </w:rPr>
        <w:t xml:space="preserve">hazard ratio </w:t>
      </w:r>
      <w:r>
        <w:rPr>
          <w:rStyle w:val="3-BodyTextChar"/>
        </w:rPr>
        <w:t xml:space="preserve">(HR) of </w:t>
      </w:r>
      <w:r w:rsidRPr="000F36C3">
        <w:rPr>
          <w:rStyle w:val="3-BodyTextChar"/>
        </w:rPr>
        <w:t xml:space="preserve">0.62 </w:t>
      </w:r>
      <w:r>
        <w:rPr>
          <w:rStyle w:val="3-BodyTextChar"/>
        </w:rPr>
        <w:t>(</w:t>
      </w:r>
      <w:r w:rsidRPr="000F36C3">
        <w:rPr>
          <w:rStyle w:val="3-BodyTextChar"/>
        </w:rPr>
        <w:t>95% CI: 0.49, 0.79; p-value &lt; 0.0001</w:t>
      </w:r>
      <w:r>
        <w:rPr>
          <w:rStyle w:val="3-BodyTextChar"/>
        </w:rPr>
        <w:t xml:space="preserve">) and a median incremental PFS gain </w:t>
      </w:r>
      <w:r w:rsidRPr="000F36C3">
        <w:rPr>
          <w:rStyle w:val="3-BodyTextChar"/>
        </w:rPr>
        <w:t>of 8.8 months</w:t>
      </w:r>
      <w:r>
        <w:rPr>
          <w:rStyle w:val="3-BodyTextChar"/>
        </w:rPr>
        <w:t xml:space="preserve"> </w:t>
      </w:r>
      <w:r w:rsidRPr="000F36C3">
        <w:rPr>
          <w:rStyle w:val="3-BodyTextChar"/>
        </w:rPr>
        <w:t xml:space="preserve">(25.5 months median PFS in the O+C arm compared to 16.7 months median PFS in the </w:t>
      </w:r>
      <w:proofErr w:type="spellStart"/>
      <w:r w:rsidRPr="000F36C3">
        <w:rPr>
          <w:rStyle w:val="3-BodyTextChar"/>
        </w:rPr>
        <w:t>osimertinib</w:t>
      </w:r>
      <w:proofErr w:type="spellEnd"/>
      <w:r w:rsidRPr="000F36C3">
        <w:rPr>
          <w:rStyle w:val="3-BodyTextChar"/>
        </w:rPr>
        <w:t xml:space="preserve"> arm).</w:t>
      </w:r>
      <w:r>
        <w:rPr>
          <w:rStyle w:val="3-BodyTextChar"/>
        </w:rPr>
        <w:t xml:space="preserve"> </w:t>
      </w:r>
      <w:r w:rsidRPr="000F36C3">
        <w:t xml:space="preserve">The PBAC noted the OS data was immature </w:t>
      </w:r>
      <w:r>
        <w:t xml:space="preserve">with </w:t>
      </w:r>
      <w:r w:rsidRPr="000F36C3">
        <w:t>40.6%</w:t>
      </w:r>
      <w:r>
        <w:t xml:space="preserve"> </w:t>
      </w:r>
      <w:bookmarkEnd w:id="5"/>
      <w:r w:rsidR="00D52943">
        <w:t xml:space="preserve">of patients having died </w:t>
      </w:r>
      <w:r w:rsidR="007A4693">
        <w:t xml:space="preserve">(paragraph 7.8, </w:t>
      </w:r>
      <w:proofErr w:type="spellStart"/>
      <w:r w:rsidR="00D63D97">
        <w:t>osimertinib</w:t>
      </w:r>
      <w:proofErr w:type="spellEnd"/>
      <w:r w:rsidR="007A4693">
        <w:t xml:space="preserve"> </w:t>
      </w:r>
      <w:r w:rsidR="000C55DE">
        <w:t>PSD</w:t>
      </w:r>
      <w:r w:rsidR="007A4693">
        <w:t>, May 2025 PBAC meeting)</w:t>
      </w:r>
      <w:r w:rsidR="00F020D6">
        <w:t>.</w:t>
      </w:r>
    </w:p>
    <w:p w14:paraId="50C1D460" w14:textId="149FEBD0" w:rsidR="005503CB" w:rsidRDefault="005503CB" w:rsidP="009C7822">
      <w:pPr>
        <w:pStyle w:val="3-BodyText"/>
      </w:pPr>
      <w:r w:rsidRPr="000F36C3">
        <w:rPr>
          <w:snapToGrid w:val="0"/>
          <w:lang w:val="en-GB"/>
        </w:rPr>
        <w:t xml:space="preserve">The PBAC </w:t>
      </w:r>
      <w:r>
        <w:rPr>
          <w:snapToGrid w:val="0"/>
          <w:lang w:val="en-GB"/>
        </w:rPr>
        <w:t xml:space="preserve">previously </w:t>
      </w:r>
      <w:r w:rsidRPr="000F36C3">
        <w:rPr>
          <w:snapToGrid w:val="0"/>
          <w:lang w:val="en-GB"/>
        </w:rPr>
        <w:t xml:space="preserve">considered the observed toxicity with O+C was an important clinical issue and noted </w:t>
      </w:r>
      <w:r w:rsidRPr="000F36C3">
        <w:t xml:space="preserve">whilst both arms were associated with a high rate of treatment emergent adverse events (TEAEs) the O+C arm was associated with more frequent Grade ≥ 3 TEAEs (O+C 63.8% vs </w:t>
      </w:r>
      <w:proofErr w:type="spellStart"/>
      <w:r w:rsidRPr="000F36C3">
        <w:t>osimertinib</w:t>
      </w:r>
      <w:proofErr w:type="spellEnd"/>
      <w:r w:rsidRPr="000F36C3">
        <w:t xml:space="preserve"> 27.3%) and with more severe adverse </w:t>
      </w:r>
      <w:r w:rsidRPr="000F36C3">
        <w:lastRenderedPageBreak/>
        <w:t xml:space="preserve">events when compared with </w:t>
      </w:r>
      <w:proofErr w:type="spellStart"/>
      <w:r w:rsidRPr="000F36C3">
        <w:t>osimertinib</w:t>
      </w:r>
      <w:proofErr w:type="spellEnd"/>
      <w:r w:rsidRPr="000F36C3">
        <w:t xml:space="preserve"> (O+C 37.7% vs </w:t>
      </w:r>
      <w:proofErr w:type="spellStart"/>
      <w:r w:rsidRPr="000F36C3">
        <w:t>osimertinib</w:t>
      </w:r>
      <w:proofErr w:type="spellEnd"/>
      <w:r w:rsidRPr="000F36C3">
        <w:t xml:space="preserve"> 19.3%)</w:t>
      </w:r>
      <w:r w:rsidR="005F49AC">
        <w:t xml:space="preserve"> (paragraph </w:t>
      </w:r>
      <w:r w:rsidR="009C1092">
        <w:t xml:space="preserve">7.10, </w:t>
      </w:r>
      <w:proofErr w:type="spellStart"/>
      <w:r w:rsidR="009C1092">
        <w:t>osimertinib</w:t>
      </w:r>
      <w:proofErr w:type="spellEnd"/>
      <w:r w:rsidR="009C1092">
        <w:t xml:space="preserve"> </w:t>
      </w:r>
      <w:r w:rsidR="000C55DE">
        <w:t>PSD</w:t>
      </w:r>
      <w:r w:rsidR="009C1092">
        <w:t>, May 2025 PBAC meeting).</w:t>
      </w:r>
    </w:p>
    <w:p w14:paraId="30328A5C" w14:textId="56264BF9" w:rsidR="008D391A" w:rsidRDefault="008D391A" w:rsidP="008D391A">
      <w:pPr>
        <w:pStyle w:val="3-BodyText"/>
      </w:pPr>
      <w:r>
        <w:t>The PBAC previously considered that the claim that O+C had superior comparative effectiveness and inferior comparative safety was reasonable</w:t>
      </w:r>
      <w:r w:rsidR="005F49AC">
        <w:t xml:space="preserve"> (paragraph 6.38 and 6.39, </w:t>
      </w:r>
      <w:proofErr w:type="spellStart"/>
      <w:r w:rsidR="00D63D97">
        <w:t>osimertinib</w:t>
      </w:r>
      <w:proofErr w:type="spellEnd"/>
      <w:r w:rsidR="005F49AC">
        <w:t xml:space="preserve"> </w:t>
      </w:r>
      <w:r w:rsidR="000C55DE">
        <w:t>PSD</w:t>
      </w:r>
      <w:r w:rsidR="005F49AC">
        <w:t>, May 2025 PBAC meeting).</w:t>
      </w:r>
    </w:p>
    <w:p w14:paraId="297C9006" w14:textId="1A81C4E7" w:rsidR="00382746" w:rsidRDefault="00135AB1" w:rsidP="00135AB1">
      <w:pPr>
        <w:pStyle w:val="4-SubsectionHeading"/>
      </w:pPr>
      <w:r>
        <w:t>Economic analysis</w:t>
      </w:r>
    </w:p>
    <w:p w14:paraId="18893B35" w14:textId="163D7F41" w:rsidR="00D51DFF" w:rsidRDefault="00FE15E4" w:rsidP="00D51DFF">
      <w:pPr>
        <w:pStyle w:val="3-BodyText"/>
        <w:rPr>
          <w:i/>
          <w:iCs/>
          <w:lang w:eastAsia="en-US"/>
        </w:rPr>
      </w:pPr>
      <w:r>
        <w:rPr>
          <w:lang w:eastAsia="en-US"/>
        </w:rPr>
        <w:t>The resubmission accepted the parameters of the ES</w:t>
      </w:r>
      <w:r w:rsidR="00561FB3">
        <w:rPr>
          <w:lang w:eastAsia="en-US"/>
        </w:rPr>
        <w:t>C</w:t>
      </w:r>
      <w:r>
        <w:rPr>
          <w:lang w:eastAsia="en-US"/>
        </w:rPr>
        <w:t xml:space="preserve"> respecified base case</w:t>
      </w:r>
      <w:r w:rsidR="00C87208">
        <w:rPr>
          <w:lang w:eastAsia="en-US"/>
        </w:rPr>
        <w:t xml:space="preserve"> </w:t>
      </w:r>
      <w:r>
        <w:rPr>
          <w:lang w:eastAsia="en-US"/>
        </w:rPr>
        <w:t>and proposed a price reduction to achieve a</w:t>
      </w:r>
      <w:r w:rsidR="00F528C1">
        <w:rPr>
          <w:lang w:eastAsia="en-US"/>
        </w:rPr>
        <w:t>n incremental cost effectiveness ratio</w:t>
      </w:r>
      <w:r>
        <w:rPr>
          <w:lang w:eastAsia="en-US"/>
        </w:rPr>
        <w:t xml:space="preserve"> </w:t>
      </w:r>
      <w:r w:rsidR="00F528C1">
        <w:rPr>
          <w:lang w:eastAsia="en-US"/>
        </w:rPr>
        <w:t>(</w:t>
      </w:r>
      <w:r>
        <w:rPr>
          <w:lang w:eastAsia="en-US"/>
        </w:rPr>
        <w:t>ICER</w:t>
      </w:r>
      <w:r w:rsidR="00F528C1">
        <w:rPr>
          <w:lang w:eastAsia="en-US"/>
        </w:rPr>
        <w:t>)</w:t>
      </w:r>
      <w:r>
        <w:rPr>
          <w:lang w:eastAsia="en-US"/>
        </w:rPr>
        <w:t xml:space="preserve"> of </w:t>
      </w:r>
      <w:r w:rsidR="000E69C4" w:rsidRPr="000E69C4">
        <w:rPr>
          <w:lang w:eastAsia="en-US"/>
        </w:rPr>
        <w:t>$55,000 to &lt; $75,000</w:t>
      </w:r>
      <w:r w:rsidR="00854D3D">
        <w:rPr>
          <w:lang w:eastAsia="en-US"/>
        </w:rPr>
        <w:t xml:space="preserve"> </w:t>
      </w:r>
      <w:r>
        <w:rPr>
          <w:lang w:eastAsia="en-US"/>
        </w:rPr>
        <w:t xml:space="preserve">per </w:t>
      </w:r>
      <w:r w:rsidR="00F528C1">
        <w:rPr>
          <w:lang w:eastAsia="en-US"/>
        </w:rPr>
        <w:t>quality adjusted life year (</w:t>
      </w:r>
      <w:r>
        <w:rPr>
          <w:lang w:eastAsia="en-US"/>
        </w:rPr>
        <w:t>QALY</w:t>
      </w:r>
      <w:r w:rsidR="00F528C1">
        <w:rPr>
          <w:lang w:eastAsia="en-US"/>
        </w:rPr>
        <w:t>)</w:t>
      </w:r>
      <w:r w:rsidRPr="00D51DFF">
        <w:rPr>
          <w:i/>
          <w:iCs/>
          <w:lang w:eastAsia="en-US"/>
        </w:rPr>
        <w:t xml:space="preserve">. </w:t>
      </w:r>
      <w:r w:rsidR="006D3D51" w:rsidRPr="006D3D51">
        <w:rPr>
          <w:lang w:eastAsia="en-US"/>
        </w:rPr>
        <w:t>The PBAC noted this met the requirements of its previous consideration.</w:t>
      </w:r>
      <w:r w:rsidR="006D3D51">
        <w:rPr>
          <w:i/>
          <w:iCs/>
          <w:lang w:eastAsia="en-US"/>
        </w:rPr>
        <w:t xml:space="preserve"> </w:t>
      </w:r>
    </w:p>
    <w:p w14:paraId="1755021B" w14:textId="5DD3420C" w:rsidR="00D51DFF" w:rsidRPr="00D51DFF" w:rsidRDefault="00D51DFF" w:rsidP="00D51DFF">
      <w:pPr>
        <w:pStyle w:val="3-BodyText"/>
        <w:numPr>
          <w:ilvl w:val="0"/>
          <w:numId w:val="0"/>
        </w:numPr>
        <w:spacing w:after="0"/>
        <w:rPr>
          <w:rFonts w:ascii="Arial Narrow" w:eastAsia="Times New Roman" w:hAnsi="Arial Narrow" w:cs="Arial"/>
          <w:b/>
          <w:bCs/>
          <w:sz w:val="20"/>
          <w:szCs w:val="18"/>
        </w:rPr>
      </w:pPr>
      <w:r w:rsidRPr="00D51DFF">
        <w:rPr>
          <w:rFonts w:ascii="Arial Narrow" w:eastAsia="Times New Roman" w:hAnsi="Arial Narrow" w:cs="Arial"/>
          <w:b/>
          <w:bCs/>
          <w:sz w:val="20"/>
          <w:szCs w:val="18"/>
        </w:rPr>
        <w:t xml:space="preserve">Table </w:t>
      </w:r>
      <w:r w:rsidR="00110AFB">
        <w:rPr>
          <w:rFonts w:ascii="Arial Narrow" w:eastAsia="Times New Roman" w:hAnsi="Arial Narrow" w:cs="Arial"/>
          <w:b/>
          <w:bCs/>
          <w:sz w:val="20"/>
          <w:szCs w:val="18"/>
        </w:rPr>
        <w:t>3</w:t>
      </w:r>
      <w:r w:rsidRPr="00D51DFF">
        <w:rPr>
          <w:rFonts w:ascii="Arial Narrow" w:eastAsia="Times New Roman" w:hAnsi="Arial Narrow" w:cs="Arial"/>
          <w:b/>
          <w:bCs/>
          <w:sz w:val="20"/>
          <w:szCs w:val="18"/>
        </w:rPr>
        <w:fldChar w:fldCharType="begin"/>
      </w:r>
      <w:r w:rsidRPr="00D51DFF">
        <w:rPr>
          <w:rFonts w:ascii="Arial Narrow" w:eastAsia="Times New Roman" w:hAnsi="Arial Narrow" w:cs="Arial"/>
          <w:b/>
          <w:bCs/>
          <w:sz w:val="20"/>
          <w:szCs w:val="18"/>
        </w:rPr>
        <w:instrText xml:space="preserve"> SEQ Table \* ARABIC </w:instrText>
      </w:r>
      <w:r w:rsidRPr="00D51DFF">
        <w:rPr>
          <w:rFonts w:ascii="Arial Narrow" w:eastAsia="Times New Roman" w:hAnsi="Arial Narrow" w:cs="Arial"/>
          <w:b/>
          <w:bCs/>
          <w:sz w:val="20"/>
          <w:szCs w:val="18"/>
        </w:rPr>
        <w:fldChar w:fldCharType="separate"/>
      </w:r>
      <w:r w:rsidR="0055339A">
        <w:rPr>
          <w:rFonts w:ascii="Arial Narrow" w:eastAsia="Times New Roman" w:hAnsi="Arial Narrow" w:cs="Arial"/>
          <w:b/>
          <w:bCs/>
          <w:noProof/>
          <w:sz w:val="20"/>
          <w:szCs w:val="18"/>
        </w:rPr>
        <w:t>3</w:t>
      </w:r>
      <w:r w:rsidRPr="00D51DFF">
        <w:rPr>
          <w:rFonts w:ascii="Arial Narrow" w:eastAsia="Times New Roman" w:hAnsi="Arial Narrow" w:cs="Arial"/>
          <w:b/>
          <w:bCs/>
          <w:sz w:val="20"/>
          <w:szCs w:val="18"/>
        </w:rPr>
        <w:fldChar w:fldCharType="end"/>
      </w:r>
      <w:r w:rsidRPr="00D51DFF">
        <w:rPr>
          <w:rFonts w:ascii="Arial Narrow" w:eastAsia="Times New Roman" w:hAnsi="Arial Narrow" w:cs="Arial"/>
          <w:b/>
          <w:bCs/>
          <w:sz w:val="20"/>
          <w:szCs w:val="18"/>
        </w:rPr>
        <w:t xml:space="preserve">: </w:t>
      </w:r>
      <w:r w:rsidR="00574C43" w:rsidRPr="00574C43">
        <w:rPr>
          <w:rFonts w:ascii="Arial Narrow" w:eastAsia="Times New Roman" w:hAnsi="Arial Narrow" w:cs="Arial"/>
          <w:b/>
          <w:sz w:val="20"/>
          <w:szCs w:val="18"/>
        </w:rPr>
        <w:t>Results of the economic evaluation</w:t>
      </w:r>
    </w:p>
    <w:tbl>
      <w:tblPr>
        <w:tblStyle w:val="TableGrid"/>
        <w:tblW w:w="0" w:type="auto"/>
        <w:tblLook w:val="04A0" w:firstRow="1" w:lastRow="0" w:firstColumn="1" w:lastColumn="0" w:noHBand="0" w:noVBand="1"/>
        <w:tblCaption w:val="Results of the economic evaluation"/>
      </w:tblPr>
      <w:tblGrid>
        <w:gridCol w:w="3539"/>
        <w:gridCol w:w="1825"/>
        <w:gridCol w:w="1826"/>
        <w:gridCol w:w="1826"/>
      </w:tblGrid>
      <w:tr w:rsidR="00C84928" w:rsidRPr="00135AB1" w14:paraId="44016462" w14:textId="77777777" w:rsidTr="00446DAF">
        <w:tc>
          <w:tcPr>
            <w:tcW w:w="3539" w:type="dxa"/>
          </w:tcPr>
          <w:p w14:paraId="689F497F" w14:textId="373E4DFD" w:rsidR="00C84928" w:rsidRPr="009D3CBE" w:rsidRDefault="00C84928" w:rsidP="003B2317">
            <w:pPr>
              <w:pStyle w:val="3-BodyText"/>
              <w:numPr>
                <w:ilvl w:val="0"/>
                <w:numId w:val="0"/>
              </w:numPr>
              <w:spacing w:after="0"/>
              <w:rPr>
                <w:rFonts w:ascii="Arial Narrow" w:hAnsi="Arial Narrow"/>
                <w:sz w:val="20"/>
                <w:szCs w:val="18"/>
                <w:lang w:eastAsia="en-US"/>
              </w:rPr>
            </w:pPr>
          </w:p>
        </w:tc>
        <w:tc>
          <w:tcPr>
            <w:tcW w:w="1825" w:type="dxa"/>
          </w:tcPr>
          <w:p w14:paraId="41D36F11" w14:textId="3FB1FFD0" w:rsidR="00C84928" w:rsidRPr="009D3CBE" w:rsidRDefault="00C84928" w:rsidP="003B2317">
            <w:pPr>
              <w:pStyle w:val="3-BodyText"/>
              <w:numPr>
                <w:ilvl w:val="0"/>
                <w:numId w:val="0"/>
              </w:numPr>
              <w:spacing w:after="0"/>
              <w:rPr>
                <w:rFonts w:ascii="Arial Narrow" w:hAnsi="Arial Narrow"/>
                <w:sz w:val="20"/>
                <w:szCs w:val="18"/>
                <w:lang w:eastAsia="en-US"/>
              </w:rPr>
            </w:pPr>
            <w:r w:rsidRPr="009D3CBE">
              <w:rPr>
                <w:rFonts w:ascii="Arial Narrow" w:hAnsi="Arial Narrow"/>
                <w:b/>
                <w:sz w:val="20"/>
                <w:szCs w:val="20"/>
              </w:rPr>
              <w:t>Incremental cost</w:t>
            </w:r>
          </w:p>
        </w:tc>
        <w:tc>
          <w:tcPr>
            <w:tcW w:w="1826" w:type="dxa"/>
          </w:tcPr>
          <w:p w14:paraId="6758C886" w14:textId="2AAFA674" w:rsidR="00C84928" w:rsidRPr="009D3CBE" w:rsidRDefault="00C84928" w:rsidP="003B2317">
            <w:pPr>
              <w:pStyle w:val="3-BodyText"/>
              <w:numPr>
                <w:ilvl w:val="0"/>
                <w:numId w:val="0"/>
              </w:numPr>
              <w:spacing w:after="0"/>
              <w:rPr>
                <w:rFonts w:ascii="Arial Narrow" w:hAnsi="Arial Narrow"/>
                <w:sz w:val="20"/>
                <w:szCs w:val="18"/>
                <w:lang w:eastAsia="en-US"/>
              </w:rPr>
            </w:pPr>
            <w:r w:rsidRPr="009D3CBE">
              <w:rPr>
                <w:rFonts w:ascii="Arial Narrow" w:hAnsi="Arial Narrow"/>
                <w:b/>
                <w:sz w:val="20"/>
                <w:szCs w:val="20"/>
              </w:rPr>
              <w:t>Incremental QALY</w:t>
            </w:r>
          </w:p>
        </w:tc>
        <w:tc>
          <w:tcPr>
            <w:tcW w:w="1826" w:type="dxa"/>
          </w:tcPr>
          <w:p w14:paraId="5411A55B" w14:textId="2F918C74" w:rsidR="00C84928" w:rsidRPr="009D3CBE" w:rsidRDefault="00C84928" w:rsidP="003B2317">
            <w:pPr>
              <w:pStyle w:val="3-BodyText"/>
              <w:numPr>
                <w:ilvl w:val="0"/>
                <w:numId w:val="0"/>
              </w:numPr>
              <w:spacing w:after="0"/>
              <w:rPr>
                <w:rFonts w:ascii="Arial Narrow" w:hAnsi="Arial Narrow"/>
                <w:sz w:val="20"/>
                <w:szCs w:val="18"/>
                <w:lang w:eastAsia="en-US"/>
              </w:rPr>
            </w:pPr>
            <w:r w:rsidRPr="009D3CBE">
              <w:rPr>
                <w:rFonts w:ascii="Arial Narrow" w:hAnsi="Arial Narrow"/>
                <w:b/>
                <w:sz w:val="20"/>
                <w:szCs w:val="20"/>
              </w:rPr>
              <w:t>ICER</w:t>
            </w:r>
          </w:p>
        </w:tc>
      </w:tr>
      <w:tr w:rsidR="00C84928" w:rsidRPr="00135AB1" w14:paraId="4CCBED78" w14:textId="77777777" w:rsidTr="00446DAF">
        <w:tc>
          <w:tcPr>
            <w:tcW w:w="3539" w:type="dxa"/>
          </w:tcPr>
          <w:p w14:paraId="78E5362D" w14:textId="1050E656" w:rsidR="00C84928" w:rsidRPr="009D3CBE" w:rsidRDefault="009D3CBE" w:rsidP="003B2317">
            <w:pPr>
              <w:pStyle w:val="3-BodyText"/>
              <w:numPr>
                <w:ilvl w:val="0"/>
                <w:numId w:val="0"/>
              </w:numPr>
              <w:spacing w:after="0"/>
              <w:rPr>
                <w:rFonts w:ascii="Arial Narrow" w:hAnsi="Arial Narrow"/>
                <w:sz w:val="20"/>
                <w:szCs w:val="18"/>
                <w:lang w:eastAsia="en-US"/>
              </w:rPr>
            </w:pPr>
            <w:r w:rsidRPr="009D3CBE">
              <w:rPr>
                <w:rFonts w:ascii="Arial Narrow" w:hAnsi="Arial Narrow"/>
                <w:sz w:val="20"/>
                <w:szCs w:val="18"/>
                <w:lang w:eastAsia="en-US"/>
              </w:rPr>
              <w:t xml:space="preserve">ESC respecified base case </w:t>
            </w:r>
            <w:r w:rsidR="001D568C">
              <w:rPr>
                <w:rFonts w:ascii="Arial Narrow" w:hAnsi="Arial Narrow"/>
                <w:sz w:val="20"/>
                <w:szCs w:val="18"/>
                <w:lang w:eastAsia="en-US"/>
              </w:rPr>
              <w:t>with EMP $</w:t>
            </w:r>
            <w:r w:rsidR="00255D1B" w:rsidRPr="00255D1B">
              <w:rPr>
                <w:rFonts w:ascii="Arial Narrow" w:hAnsi="Arial Narrow"/>
                <w:color w:val="000000"/>
                <w:spacing w:val="9"/>
                <w:sz w:val="20"/>
                <w:szCs w:val="18"/>
                <w:shd w:val="solid" w:color="000000" w:fill="000000"/>
                <w:fitText w:val="310" w:id="-606363391"/>
                <w:lang w:eastAsia="en-US"/>
                <w14:textFill>
                  <w14:solidFill>
                    <w14:srgbClr w14:val="000000">
                      <w14:alpha w14:val="100000"/>
                    </w14:srgbClr>
                  </w14:solidFill>
                </w14:textFill>
              </w:rPr>
              <w:t>|</w:t>
            </w:r>
            <w:proofErr w:type="gramStart"/>
            <w:r w:rsidR="00255D1B" w:rsidRPr="00255D1B">
              <w:rPr>
                <w:rFonts w:ascii="Arial Narrow" w:hAnsi="Arial Narrow"/>
                <w:color w:val="000000"/>
                <w:spacing w:val="9"/>
                <w:sz w:val="20"/>
                <w:szCs w:val="18"/>
                <w:shd w:val="solid" w:color="000000" w:fill="000000"/>
                <w:fitText w:val="310" w:id="-606363391"/>
                <w:lang w:eastAsia="en-US"/>
                <w14:textFill>
                  <w14:solidFill>
                    <w14:srgbClr w14:val="000000">
                      <w14:alpha w14:val="100000"/>
                    </w14:srgbClr>
                  </w14:solidFill>
                </w14:textFill>
              </w:rPr>
              <w:t>|  |</w:t>
            </w:r>
            <w:proofErr w:type="gramEnd"/>
            <w:r w:rsidR="00255D1B" w:rsidRPr="00255D1B">
              <w:rPr>
                <w:rFonts w:ascii="Arial Narrow" w:hAnsi="Arial Narrow"/>
                <w:color w:val="000000"/>
                <w:spacing w:val="4"/>
                <w:sz w:val="20"/>
                <w:szCs w:val="18"/>
                <w:shd w:val="solid" w:color="000000" w:fill="000000"/>
                <w:fitText w:val="310" w:id="-606363391"/>
                <w:lang w:eastAsia="en-US"/>
                <w14:textFill>
                  <w14:solidFill>
                    <w14:srgbClr w14:val="000000">
                      <w14:alpha w14:val="100000"/>
                    </w14:srgbClr>
                  </w14:solidFill>
                </w14:textFill>
              </w:rPr>
              <w:t>|</w:t>
            </w:r>
            <w:r w:rsidR="00906F23">
              <w:rPr>
                <w:rFonts w:ascii="Arial Narrow" w:hAnsi="Arial Narrow"/>
                <w:sz w:val="20"/>
                <w:szCs w:val="18"/>
                <w:lang w:eastAsia="en-US"/>
              </w:rPr>
              <w:t xml:space="preserve">as presented in May 2025 </w:t>
            </w:r>
            <w:r w:rsidR="000C55DE">
              <w:rPr>
                <w:rFonts w:ascii="Arial Narrow" w:hAnsi="Arial Narrow"/>
                <w:sz w:val="20"/>
                <w:szCs w:val="18"/>
                <w:lang w:eastAsia="en-US"/>
              </w:rPr>
              <w:t>PSD</w:t>
            </w:r>
          </w:p>
        </w:tc>
        <w:tc>
          <w:tcPr>
            <w:tcW w:w="1825" w:type="dxa"/>
          </w:tcPr>
          <w:p w14:paraId="0C5C54D6" w14:textId="394DF5EF" w:rsidR="00C84928" w:rsidRPr="009D3CBE" w:rsidRDefault="00C84928" w:rsidP="003B2317">
            <w:pPr>
              <w:pStyle w:val="3-BodyText"/>
              <w:numPr>
                <w:ilvl w:val="0"/>
                <w:numId w:val="0"/>
              </w:numPr>
              <w:spacing w:after="0"/>
              <w:rPr>
                <w:rFonts w:ascii="Arial Narrow" w:hAnsi="Arial Narrow"/>
                <w:sz w:val="20"/>
                <w:szCs w:val="18"/>
                <w:lang w:eastAsia="en-US"/>
              </w:rPr>
            </w:pPr>
            <w:r w:rsidRPr="009D3CBE">
              <w:rPr>
                <w:rFonts w:ascii="Arial Narrow" w:hAnsi="Arial Narrow"/>
                <w:sz w:val="20"/>
                <w:szCs w:val="20"/>
              </w:rPr>
              <w:t>$</w:t>
            </w:r>
            <w:r w:rsidR="00255D1B" w:rsidRPr="00255D1B">
              <w:rPr>
                <w:rFonts w:ascii="Arial Narrow" w:hAnsi="Arial Narrow"/>
                <w:color w:val="000000"/>
                <w:spacing w:val="9"/>
                <w:sz w:val="20"/>
                <w:szCs w:val="20"/>
                <w:shd w:val="solid" w:color="000000" w:fill="000000"/>
                <w:fitText w:val="310" w:id="-606363390"/>
                <w14:textFill>
                  <w14:solidFill>
                    <w14:srgbClr w14:val="000000">
                      <w14:alpha w14:val="100000"/>
                    </w14:srgbClr>
                  </w14:solidFill>
                </w14:textFill>
              </w:rPr>
              <w:t>||  |</w:t>
            </w:r>
            <w:r w:rsidR="00255D1B" w:rsidRPr="00255D1B">
              <w:rPr>
                <w:rFonts w:ascii="Arial Narrow" w:hAnsi="Arial Narrow"/>
                <w:color w:val="000000"/>
                <w:spacing w:val="4"/>
                <w:sz w:val="20"/>
                <w:szCs w:val="20"/>
                <w:shd w:val="solid" w:color="000000" w:fill="000000"/>
                <w:fitText w:val="310" w:id="-606363390"/>
                <w14:textFill>
                  <w14:solidFill>
                    <w14:srgbClr w14:val="000000">
                      <w14:alpha w14:val="100000"/>
                    </w14:srgbClr>
                  </w14:solidFill>
                </w14:textFill>
              </w:rPr>
              <w:t>|</w:t>
            </w:r>
          </w:p>
        </w:tc>
        <w:tc>
          <w:tcPr>
            <w:tcW w:w="1826" w:type="dxa"/>
          </w:tcPr>
          <w:p w14:paraId="4D2F4C37" w14:textId="37AB828C" w:rsidR="00C84928" w:rsidRPr="009D3CBE" w:rsidRDefault="00C84928" w:rsidP="003B2317">
            <w:pPr>
              <w:pStyle w:val="3-BodyText"/>
              <w:numPr>
                <w:ilvl w:val="0"/>
                <w:numId w:val="0"/>
              </w:numPr>
              <w:spacing w:after="0"/>
              <w:rPr>
                <w:rFonts w:ascii="Arial Narrow" w:hAnsi="Arial Narrow"/>
                <w:sz w:val="20"/>
                <w:szCs w:val="18"/>
                <w:lang w:eastAsia="en-US"/>
              </w:rPr>
            </w:pPr>
            <w:r w:rsidRPr="009D3CBE">
              <w:rPr>
                <w:rFonts w:ascii="Arial Narrow" w:hAnsi="Arial Narrow"/>
                <w:sz w:val="20"/>
                <w:szCs w:val="20"/>
              </w:rPr>
              <w:t>0.330</w:t>
            </w:r>
          </w:p>
        </w:tc>
        <w:tc>
          <w:tcPr>
            <w:tcW w:w="1826" w:type="dxa"/>
          </w:tcPr>
          <w:p w14:paraId="2A8BB5D8" w14:textId="0C532B0F" w:rsidR="00C84928" w:rsidRPr="009D3CBE" w:rsidRDefault="00C84928" w:rsidP="003B2317">
            <w:pPr>
              <w:pStyle w:val="3-BodyText"/>
              <w:numPr>
                <w:ilvl w:val="0"/>
                <w:numId w:val="0"/>
              </w:numPr>
              <w:spacing w:after="0"/>
              <w:rPr>
                <w:rFonts w:ascii="Arial Narrow" w:hAnsi="Arial Narrow"/>
                <w:sz w:val="20"/>
                <w:szCs w:val="18"/>
                <w:lang w:eastAsia="en-US"/>
              </w:rPr>
            </w:pPr>
            <w:r w:rsidRPr="009D3CBE">
              <w:rPr>
                <w:rFonts w:ascii="Arial Narrow" w:hAnsi="Arial Narrow"/>
                <w:sz w:val="20"/>
                <w:szCs w:val="20"/>
              </w:rPr>
              <w:t>$</w:t>
            </w:r>
            <w:r w:rsidR="00255D1B" w:rsidRPr="00255D1B">
              <w:rPr>
                <w:rFonts w:ascii="Arial Narrow" w:hAnsi="Arial Narrow"/>
                <w:color w:val="000000"/>
                <w:spacing w:val="9"/>
                <w:sz w:val="20"/>
                <w:szCs w:val="20"/>
                <w:shd w:val="solid" w:color="000000" w:fill="000000"/>
                <w:fitText w:val="310" w:id="-606363389"/>
                <w14:textFill>
                  <w14:solidFill>
                    <w14:srgbClr w14:val="000000">
                      <w14:alpha w14:val="100000"/>
                    </w14:srgbClr>
                  </w14:solidFill>
                </w14:textFill>
              </w:rPr>
              <w:t>|</w:t>
            </w:r>
            <w:proofErr w:type="gramStart"/>
            <w:r w:rsidR="00255D1B" w:rsidRPr="00255D1B">
              <w:rPr>
                <w:rFonts w:ascii="Arial Narrow" w:hAnsi="Arial Narrow"/>
                <w:color w:val="000000"/>
                <w:spacing w:val="9"/>
                <w:sz w:val="20"/>
                <w:szCs w:val="20"/>
                <w:shd w:val="solid" w:color="000000" w:fill="000000"/>
                <w:fitText w:val="310" w:id="-606363389"/>
                <w14:textFill>
                  <w14:solidFill>
                    <w14:srgbClr w14:val="000000">
                      <w14:alpha w14:val="100000"/>
                    </w14:srgbClr>
                  </w14:solidFill>
                </w14:textFill>
              </w:rPr>
              <w:t>|  |</w:t>
            </w:r>
            <w:proofErr w:type="gramEnd"/>
            <w:r w:rsidR="00255D1B" w:rsidRPr="00255D1B">
              <w:rPr>
                <w:rFonts w:ascii="Arial Narrow" w:hAnsi="Arial Narrow"/>
                <w:color w:val="000000"/>
                <w:spacing w:val="9"/>
                <w:sz w:val="20"/>
                <w:szCs w:val="20"/>
                <w:shd w:val="solid" w:color="000000" w:fill="000000"/>
                <w:fitText w:val="310" w:id="-606363389"/>
                <w14:textFill>
                  <w14:solidFill>
                    <w14:srgbClr w14:val="000000">
                      <w14:alpha w14:val="100000"/>
                    </w14:srgbClr>
                  </w14:solidFill>
                </w14:textFill>
              </w:rPr>
              <w:t>|</w:t>
            </w:r>
            <w:r w:rsidR="00854D3D" w:rsidRPr="00033AB8">
              <w:rPr>
                <w:rFonts w:ascii="Arial Narrow" w:hAnsi="Arial Narrow"/>
                <w:sz w:val="20"/>
                <w:szCs w:val="20"/>
                <w:vertAlign w:val="superscript"/>
              </w:rPr>
              <w:t>1</w:t>
            </w:r>
          </w:p>
        </w:tc>
      </w:tr>
      <w:tr w:rsidR="009D3CBE" w:rsidRPr="00135AB1" w14:paraId="1A54C4A3" w14:textId="77777777" w:rsidTr="00446DAF">
        <w:tc>
          <w:tcPr>
            <w:tcW w:w="3539" w:type="dxa"/>
          </w:tcPr>
          <w:p w14:paraId="4D125255" w14:textId="7CCBB91E" w:rsidR="009D3CBE" w:rsidRPr="009D3CBE" w:rsidRDefault="001D568C" w:rsidP="003B2317">
            <w:pPr>
              <w:pStyle w:val="3-BodyText"/>
              <w:numPr>
                <w:ilvl w:val="0"/>
                <w:numId w:val="0"/>
              </w:numPr>
              <w:spacing w:after="0"/>
              <w:rPr>
                <w:rFonts w:ascii="Arial Narrow" w:hAnsi="Arial Narrow"/>
                <w:sz w:val="20"/>
                <w:szCs w:val="18"/>
                <w:lang w:eastAsia="en-US"/>
              </w:rPr>
            </w:pPr>
            <w:r>
              <w:rPr>
                <w:rFonts w:ascii="Arial Narrow" w:hAnsi="Arial Narrow"/>
                <w:sz w:val="20"/>
                <w:szCs w:val="18"/>
                <w:lang w:eastAsia="en-US"/>
              </w:rPr>
              <w:t>E</w:t>
            </w:r>
            <w:r w:rsidR="008E0814">
              <w:rPr>
                <w:rFonts w:ascii="Arial Narrow" w:hAnsi="Arial Narrow"/>
                <w:sz w:val="20"/>
                <w:szCs w:val="18"/>
                <w:lang w:eastAsia="en-US"/>
              </w:rPr>
              <w:t>SC respecified base case with EMP $</w:t>
            </w:r>
            <w:r w:rsidR="00255D1B" w:rsidRPr="00255D1B">
              <w:rPr>
                <w:rFonts w:ascii="Arial Narrow" w:hAnsi="Arial Narrow"/>
                <w:color w:val="000000"/>
                <w:spacing w:val="9"/>
                <w:sz w:val="20"/>
                <w:szCs w:val="18"/>
                <w:shd w:val="solid" w:color="000000" w:fill="000000"/>
                <w:fitText w:val="310" w:id="-606363388"/>
                <w:lang w:eastAsia="en-US"/>
                <w14:textFill>
                  <w14:solidFill>
                    <w14:srgbClr w14:val="000000">
                      <w14:alpha w14:val="100000"/>
                    </w14:srgbClr>
                  </w14:solidFill>
                </w14:textFill>
              </w:rPr>
              <w:t>|</w:t>
            </w:r>
            <w:proofErr w:type="gramStart"/>
            <w:r w:rsidR="00255D1B" w:rsidRPr="00255D1B">
              <w:rPr>
                <w:rFonts w:ascii="Arial Narrow" w:hAnsi="Arial Narrow"/>
                <w:color w:val="000000"/>
                <w:spacing w:val="9"/>
                <w:sz w:val="20"/>
                <w:szCs w:val="18"/>
                <w:shd w:val="solid" w:color="000000" w:fill="000000"/>
                <w:fitText w:val="310" w:id="-606363388"/>
                <w:lang w:eastAsia="en-US"/>
                <w14:textFill>
                  <w14:solidFill>
                    <w14:srgbClr w14:val="000000">
                      <w14:alpha w14:val="100000"/>
                    </w14:srgbClr>
                  </w14:solidFill>
                </w14:textFill>
              </w:rPr>
              <w:t>|  |</w:t>
            </w:r>
            <w:proofErr w:type="gramEnd"/>
            <w:r w:rsidR="00255D1B" w:rsidRPr="00255D1B">
              <w:rPr>
                <w:rFonts w:ascii="Arial Narrow" w:hAnsi="Arial Narrow"/>
                <w:color w:val="000000"/>
                <w:spacing w:val="4"/>
                <w:sz w:val="20"/>
                <w:szCs w:val="18"/>
                <w:shd w:val="solid" w:color="000000" w:fill="000000"/>
                <w:fitText w:val="310" w:id="-606363388"/>
                <w:lang w:eastAsia="en-US"/>
                <w14:textFill>
                  <w14:solidFill>
                    <w14:srgbClr w14:val="000000">
                      <w14:alpha w14:val="100000"/>
                    </w14:srgbClr>
                  </w14:solidFill>
                </w14:textFill>
              </w:rPr>
              <w:t>|</w:t>
            </w:r>
          </w:p>
        </w:tc>
        <w:tc>
          <w:tcPr>
            <w:tcW w:w="1825" w:type="dxa"/>
          </w:tcPr>
          <w:p w14:paraId="52ED6896" w14:textId="2395D177" w:rsidR="009D3CBE" w:rsidRPr="009D3CBE" w:rsidRDefault="008F7268" w:rsidP="003B2317">
            <w:pPr>
              <w:pStyle w:val="3-BodyText"/>
              <w:numPr>
                <w:ilvl w:val="0"/>
                <w:numId w:val="0"/>
              </w:numPr>
              <w:spacing w:after="0"/>
              <w:rPr>
                <w:rFonts w:ascii="Arial Narrow" w:hAnsi="Arial Narrow"/>
                <w:sz w:val="20"/>
                <w:szCs w:val="20"/>
              </w:rPr>
            </w:pPr>
            <w:r>
              <w:rPr>
                <w:rFonts w:ascii="Arial Narrow" w:hAnsi="Arial Narrow"/>
                <w:sz w:val="20"/>
                <w:szCs w:val="20"/>
              </w:rPr>
              <w:t>$</w:t>
            </w:r>
            <w:r w:rsidR="00255D1B" w:rsidRPr="00255D1B">
              <w:rPr>
                <w:rFonts w:ascii="Arial Narrow" w:hAnsi="Arial Narrow"/>
                <w:color w:val="000000"/>
                <w:spacing w:val="9"/>
                <w:sz w:val="20"/>
                <w:szCs w:val="20"/>
                <w:shd w:val="solid" w:color="000000" w:fill="000000"/>
                <w:fitText w:val="310" w:id="-606363387"/>
                <w14:textFill>
                  <w14:solidFill>
                    <w14:srgbClr w14:val="000000">
                      <w14:alpha w14:val="100000"/>
                    </w14:srgbClr>
                  </w14:solidFill>
                </w14:textFill>
              </w:rPr>
              <w:t>||  |</w:t>
            </w:r>
            <w:r w:rsidR="00255D1B" w:rsidRPr="00255D1B">
              <w:rPr>
                <w:rFonts w:ascii="Arial Narrow" w:hAnsi="Arial Narrow"/>
                <w:color w:val="000000"/>
                <w:spacing w:val="4"/>
                <w:sz w:val="20"/>
                <w:szCs w:val="20"/>
                <w:shd w:val="solid" w:color="000000" w:fill="000000"/>
                <w:fitText w:val="310" w:id="-606363387"/>
                <w14:textFill>
                  <w14:solidFill>
                    <w14:srgbClr w14:val="000000">
                      <w14:alpha w14:val="100000"/>
                    </w14:srgbClr>
                  </w14:solidFill>
                </w14:textFill>
              </w:rPr>
              <w:t>|</w:t>
            </w:r>
          </w:p>
        </w:tc>
        <w:tc>
          <w:tcPr>
            <w:tcW w:w="1826" w:type="dxa"/>
          </w:tcPr>
          <w:p w14:paraId="78D216EF" w14:textId="7B4E22DD" w:rsidR="009D3CBE" w:rsidRPr="009D3CBE" w:rsidRDefault="008F7268" w:rsidP="003B2317">
            <w:pPr>
              <w:pStyle w:val="3-BodyText"/>
              <w:numPr>
                <w:ilvl w:val="0"/>
                <w:numId w:val="0"/>
              </w:numPr>
              <w:spacing w:after="0"/>
              <w:rPr>
                <w:rFonts w:ascii="Arial Narrow" w:hAnsi="Arial Narrow"/>
                <w:sz w:val="20"/>
                <w:szCs w:val="20"/>
              </w:rPr>
            </w:pPr>
            <w:r>
              <w:rPr>
                <w:rFonts w:ascii="Arial Narrow" w:hAnsi="Arial Narrow"/>
                <w:sz w:val="20"/>
                <w:szCs w:val="20"/>
              </w:rPr>
              <w:t>0.330</w:t>
            </w:r>
          </w:p>
        </w:tc>
        <w:tc>
          <w:tcPr>
            <w:tcW w:w="1826" w:type="dxa"/>
          </w:tcPr>
          <w:p w14:paraId="2EC6C3DD" w14:textId="509457E0" w:rsidR="009D3CBE" w:rsidRPr="009D3CBE" w:rsidRDefault="001D568C" w:rsidP="003B2317">
            <w:pPr>
              <w:pStyle w:val="3-BodyText"/>
              <w:numPr>
                <w:ilvl w:val="0"/>
                <w:numId w:val="0"/>
              </w:numPr>
              <w:spacing w:after="0"/>
              <w:rPr>
                <w:rFonts w:ascii="Arial Narrow" w:hAnsi="Arial Narrow"/>
                <w:sz w:val="20"/>
                <w:szCs w:val="20"/>
              </w:rPr>
            </w:pPr>
            <w:r>
              <w:rPr>
                <w:rFonts w:ascii="Arial Narrow" w:hAnsi="Arial Narrow"/>
                <w:sz w:val="20"/>
                <w:szCs w:val="20"/>
              </w:rPr>
              <w:t>$</w:t>
            </w:r>
            <w:r w:rsidR="00255D1B" w:rsidRPr="00255D1B">
              <w:rPr>
                <w:rFonts w:ascii="Arial Narrow" w:hAnsi="Arial Narrow"/>
                <w:color w:val="000000"/>
                <w:spacing w:val="9"/>
                <w:sz w:val="20"/>
                <w:szCs w:val="20"/>
                <w:shd w:val="solid" w:color="000000" w:fill="000000"/>
                <w:fitText w:val="310" w:id="-606363386"/>
                <w14:textFill>
                  <w14:solidFill>
                    <w14:srgbClr w14:val="000000">
                      <w14:alpha w14:val="100000"/>
                    </w14:srgbClr>
                  </w14:solidFill>
                </w14:textFill>
              </w:rPr>
              <w:t>|</w:t>
            </w:r>
            <w:proofErr w:type="gramStart"/>
            <w:r w:rsidR="00255D1B" w:rsidRPr="00255D1B">
              <w:rPr>
                <w:rFonts w:ascii="Arial Narrow" w:hAnsi="Arial Narrow"/>
                <w:color w:val="000000"/>
                <w:spacing w:val="9"/>
                <w:sz w:val="20"/>
                <w:szCs w:val="20"/>
                <w:shd w:val="solid" w:color="000000" w:fill="000000"/>
                <w:fitText w:val="310" w:id="-606363386"/>
                <w14:textFill>
                  <w14:solidFill>
                    <w14:srgbClr w14:val="000000">
                      <w14:alpha w14:val="100000"/>
                    </w14:srgbClr>
                  </w14:solidFill>
                </w14:textFill>
              </w:rPr>
              <w:t>|  |</w:t>
            </w:r>
            <w:proofErr w:type="gramEnd"/>
            <w:r w:rsidR="00255D1B" w:rsidRPr="00255D1B">
              <w:rPr>
                <w:rFonts w:ascii="Arial Narrow" w:hAnsi="Arial Narrow"/>
                <w:color w:val="000000"/>
                <w:spacing w:val="9"/>
                <w:sz w:val="20"/>
                <w:szCs w:val="20"/>
                <w:shd w:val="solid" w:color="000000" w:fill="000000"/>
                <w:fitText w:val="310" w:id="-606363386"/>
                <w14:textFill>
                  <w14:solidFill>
                    <w14:srgbClr w14:val="000000">
                      <w14:alpha w14:val="100000"/>
                    </w14:srgbClr>
                  </w14:solidFill>
                </w14:textFill>
              </w:rPr>
              <w:t>|</w:t>
            </w:r>
            <w:r w:rsidR="00854D3D" w:rsidRPr="00033AB8">
              <w:rPr>
                <w:rFonts w:ascii="Arial Narrow" w:hAnsi="Arial Narrow"/>
                <w:sz w:val="20"/>
                <w:szCs w:val="20"/>
                <w:vertAlign w:val="superscript"/>
              </w:rPr>
              <w:t>2</w:t>
            </w:r>
          </w:p>
        </w:tc>
      </w:tr>
    </w:tbl>
    <w:p w14:paraId="049E89DD" w14:textId="65148782" w:rsidR="00854741" w:rsidRPr="00033AB8" w:rsidRDefault="00854741" w:rsidP="00697C40">
      <w:pPr>
        <w:pStyle w:val="3-BodyText"/>
        <w:numPr>
          <w:ilvl w:val="0"/>
          <w:numId w:val="0"/>
        </w:numPr>
        <w:spacing w:after="0"/>
        <w:rPr>
          <w:rFonts w:ascii="Arial Narrow" w:hAnsi="Arial Narrow"/>
          <w:sz w:val="18"/>
          <w:szCs w:val="16"/>
          <w:lang w:eastAsia="en-US"/>
        </w:rPr>
      </w:pPr>
      <w:r w:rsidRPr="00033AB8">
        <w:rPr>
          <w:rFonts w:ascii="Arial Narrow" w:hAnsi="Arial Narrow"/>
          <w:sz w:val="18"/>
          <w:szCs w:val="16"/>
          <w:lang w:eastAsia="en-US"/>
        </w:rPr>
        <w:t xml:space="preserve">Source: </w:t>
      </w:r>
      <w:r w:rsidR="005121D5" w:rsidRPr="00033AB8">
        <w:rPr>
          <w:rFonts w:ascii="Arial Narrow" w:hAnsi="Arial Narrow"/>
          <w:sz w:val="18"/>
          <w:szCs w:val="16"/>
          <w:lang w:eastAsia="en-US"/>
        </w:rPr>
        <w:t xml:space="preserve">Table </w:t>
      </w:r>
      <w:r w:rsidR="00183CAC" w:rsidRPr="00033AB8">
        <w:rPr>
          <w:rFonts w:ascii="Arial Narrow" w:hAnsi="Arial Narrow"/>
          <w:sz w:val="18"/>
          <w:szCs w:val="16"/>
          <w:lang w:eastAsia="en-US"/>
        </w:rPr>
        <w:t xml:space="preserve">12, </w:t>
      </w:r>
      <w:proofErr w:type="spellStart"/>
      <w:r w:rsidR="00183CAC" w:rsidRPr="00033AB8">
        <w:rPr>
          <w:rFonts w:ascii="Arial Narrow" w:hAnsi="Arial Narrow"/>
          <w:sz w:val="18"/>
          <w:szCs w:val="16"/>
          <w:lang w:eastAsia="en-US"/>
        </w:rPr>
        <w:t>osimerti</w:t>
      </w:r>
      <w:r w:rsidR="00697C40" w:rsidRPr="00033AB8">
        <w:rPr>
          <w:rFonts w:ascii="Arial Narrow" w:hAnsi="Arial Narrow"/>
          <w:sz w:val="18"/>
          <w:szCs w:val="16"/>
          <w:lang w:eastAsia="en-US"/>
        </w:rPr>
        <w:t>n</w:t>
      </w:r>
      <w:r w:rsidR="00183CAC" w:rsidRPr="00033AB8">
        <w:rPr>
          <w:rFonts w:ascii="Arial Narrow" w:hAnsi="Arial Narrow"/>
          <w:sz w:val="18"/>
          <w:szCs w:val="16"/>
          <w:lang w:eastAsia="en-US"/>
        </w:rPr>
        <w:t>ib</w:t>
      </w:r>
      <w:proofErr w:type="spellEnd"/>
      <w:r w:rsidR="00183CAC" w:rsidRPr="00033AB8">
        <w:rPr>
          <w:rFonts w:ascii="Arial Narrow" w:hAnsi="Arial Narrow"/>
          <w:sz w:val="18"/>
          <w:szCs w:val="16"/>
          <w:lang w:eastAsia="en-US"/>
        </w:rPr>
        <w:t xml:space="preserve"> </w:t>
      </w:r>
      <w:r w:rsidR="000C55DE" w:rsidRPr="00033AB8">
        <w:rPr>
          <w:rFonts w:ascii="Arial Narrow" w:hAnsi="Arial Narrow"/>
          <w:sz w:val="18"/>
          <w:szCs w:val="16"/>
          <w:lang w:eastAsia="en-US"/>
        </w:rPr>
        <w:t>PSD</w:t>
      </w:r>
      <w:r w:rsidR="00183CAC" w:rsidRPr="00033AB8">
        <w:rPr>
          <w:rFonts w:ascii="Arial Narrow" w:hAnsi="Arial Narrow"/>
          <w:sz w:val="18"/>
          <w:szCs w:val="16"/>
          <w:lang w:eastAsia="en-US"/>
        </w:rPr>
        <w:t xml:space="preserve">, May 2025 PBAC meeting; </w:t>
      </w:r>
      <w:r w:rsidR="00697C40" w:rsidRPr="00033AB8">
        <w:rPr>
          <w:rFonts w:ascii="Arial Narrow" w:hAnsi="Arial Narrow"/>
          <w:sz w:val="18"/>
          <w:szCs w:val="16"/>
          <w:lang w:eastAsia="en-US"/>
        </w:rPr>
        <w:t xml:space="preserve">Economic Evaluation Excel model.xlsx provided with resubmission </w:t>
      </w:r>
    </w:p>
    <w:p w14:paraId="64D92EA2" w14:textId="006A42CE" w:rsidR="00135AB1" w:rsidRPr="00033AB8" w:rsidRDefault="005D4894" w:rsidP="00697C40">
      <w:pPr>
        <w:pStyle w:val="3-BodyText"/>
        <w:numPr>
          <w:ilvl w:val="0"/>
          <w:numId w:val="0"/>
        </w:numPr>
        <w:spacing w:after="0"/>
        <w:rPr>
          <w:rFonts w:ascii="Arial Narrow" w:hAnsi="Arial Narrow"/>
          <w:sz w:val="18"/>
          <w:szCs w:val="16"/>
          <w:lang w:eastAsia="en-US"/>
        </w:rPr>
      </w:pPr>
      <w:r w:rsidRPr="00033AB8">
        <w:rPr>
          <w:rFonts w:ascii="Arial Narrow" w:hAnsi="Arial Narrow"/>
          <w:sz w:val="18"/>
          <w:szCs w:val="16"/>
          <w:lang w:eastAsia="en-US"/>
        </w:rPr>
        <w:t xml:space="preserve">EMP = ex-manufacturer price; </w:t>
      </w:r>
      <w:r w:rsidR="004A793F" w:rsidRPr="00033AB8">
        <w:rPr>
          <w:rFonts w:ascii="Arial Narrow" w:hAnsi="Arial Narrow"/>
          <w:sz w:val="18"/>
          <w:szCs w:val="16"/>
          <w:lang w:eastAsia="en-US"/>
        </w:rPr>
        <w:t xml:space="preserve">ESC = economics subcommittee; </w:t>
      </w:r>
      <w:r w:rsidRPr="00033AB8">
        <w:rPr>
          <w:rFonts w:ascii="Arial Narrow" w:hAnsi="Arial Narrow"/>
          <w:sz w:val="18"/>
          <w:szCs w:val="16"/>
          <w:lang w:eastAsia="en-US"/>
        </w:rPr>
        <w:t xml:space="preserve">ICER = incremental cost </w:t>
      </w:r>
      <w:r w:rsidR="00854741" w:rsidRPr="00033AB8">
        <w:rPr>
          <w:rFonts w:ascii="Arial Narrow" w:hAnsi="Arial Narrow"/>
          <w:sz w:val="18"/>
          <w:szCs w:val="16"/>
          <w:lang w:eastAsia="en-US"/>
        </w:rPr>
        <w:t xml:space="preserve">effectiveness ratio; </w:t>
      </w:r>
      <w:r w:rsidRPr="00033AB8">
        <w:rPr>
          <w:rFonts w:ascii="Arial Narrow" w:hAnsi="Arial Narrow"/>
          <w:sz w:val="18"/>
          <w:szCs w:val="16"/>
          <w:lang w:eastAsia="en-US"/>
        </w:rPr>
        <w:t>QALY = quality adjusted life year</w:t>
      </w:r>
    </w:p>
    <w:p w14:paraId="4E8A8CCC" w14:textId="77777777" w:rsidR="00250648" w:rsidRDefault="00250648" w:rsidP="00250648">
      <w:pPr>
        <w:rPr>
          <w:rFonts w:ascii="Arial Narrow" w:hAnsi="Arial Narrow" w:cs="Arial"/>
          <w:i/>
          <w:sz w:val="18"/>
          <w:szCs w:val="18"/>
        </w:rPr>
      </w:pPr>
      <w:r w:rsidRPr="00250648">
        <w:rPr>
          <w:rFonts w:ascii="Arial Narrow" w:hAnsi="Arial Narrow" w:cs="Arial"/>
          <w:i/>
          <w:sz w:val="18"/>
          <w:szCs w:val="18"/>
        </w:rPr>
        <w:t xml:space="preserve">The redacted values correspond to the following ranges: </w:t>
      </w:r>
    </w:p>
    <w:p w14:paraId="2817F673" w14:textId="5F9F757E" w:rsidR="000E69C4" w:rsidRPr="00250648" w:rsidRDefault="000E69C4" w:rsidP="00250648">
      <w:pPr>
        <w:rPr>
          <w:rFonts w:ascii="Arial Narrow" w:hAnsi="Arial Narrow" w:cs="Arial"/>
          <w:i/>
          <w:sz w:val="18"/>
          <w:szCs w:val="18"/>
        </w:rPr>
      </w:pPr>
      <w:r>
        <w:rPr>
          <w:rFonts w:ascii="Arial Narrow" w:hAnsi="Arial Narrow" w:cs="Arial"/>
          <w:i/>
          <w:sz w:val="18"/>
          <w:szCs w:val="18"/>
          <w:vertAlign w:val="superscript"/>
        </w:rPr>
        <w:t>1</w:t>
      </w:r>
      <w:r w:rsidRPr="000E69C4">
        <w:rPr>
          <w:rFonts w:ascii="Arial Narrow" w:hAnsi="Arial Narrow" w:cs="Arial"/>
          <w:i/>
          <w:sz w:val="18"/>
          <w:szCs w:val="18"/>
        </w:rPr>
        <w:t xml:space="preserve"> $115,000 to &lt; $135,000</w:t>
      </w:r>
    </w:p>
    <w:p w14:paraId="48B9B37D" w14:textId="609BFDEC" w:rsidR="00250648" w:rsidRPr="00697C40" w:rsidRDefault="000E69C4" w:rsidP="00033AB8">
      <w:pPr>
        <w:rPr>
          <w:lang w:eastAsia="en-US"/>
        </w:rPr>
      </w:pPr>
      <w:r>
        <w:rPr>
          <w:rFonts w:ascii="Arial Narrow" w:hAnsi="Arial Narrow" w:cs="Arial"/>
          <w:i/>
          <w:sz w:val="18"/>
          <w:szCs w:val="18"/>
          <w:vertAlign w:val="superscript"/>
        </w:rPr>
        <w:t>2</w:t>
      </w:r>
      <w:r w:rsidR="00250648" w:rsidRPr="00250648">
        <w:rPr>
          <w:rFonts w:ascii="Arial Narrow" w:hAnsi="Arial Narrow" w:cs="Arial"/>
          <w:i/>
          <w:sz w:val="18"/>
          <w:szCs w:val="18"/>
        </w:rPr>
        <w:t xml:space="preserve"> $55,000 to &lt; $75,000</w:t>
      </w:r>
    </w:p>
    <w:p w14:paraId="4FAAC2C2" w14:textId="77777777" w:rsidR="0074284D" w:rsidRPr="00491884" w:rsidRDefault="0074284D" w:rsidP="007A307E">
      <w:pPr>
        <w:pStyle w:val="4-SubsectionHeading"/>
      </w:pPr>
      <w:bookmarkStart w:id="6" w:name="_Toc22897647"/>
      <w:bookmarkStart w:id="7" w:name="_Toc192751751"/>
      <w:r w:rsidRPr="007A307E">
        <w:t>Estimated</w:t>
      </w:r>
      <w:r w:rsidRPr="00491884">
        <w:t xml:space="preserve"> PBS usage &amp; financial implications</w:t>
      </w:r>
      <w:bookmarkEnd w:id="6"/>
      <w:bookmarkEnd w:id="7"/>
    </w:p>
    <w:p w14:paraId="6F395E7E" w14:textId="5A678794" w:rsidR="0074284D" w:rsidRDefault="00942245" w:rsidP="006D491A">
      <w:pPr>
        <w:pStyle w:val="3-BodyText"/>
        <w:rPr>
          <w:lang w:eastAsia="en-US"/>
        </w:rPr>
      </w:pPr>
      <w:r>
        <w:t>T</w:t>
      </w:r>
      <w:r w:rsidRPr="00942245">
        <w:rPr>
          <w:lang w:eastAsia="en-US"/>
        </w:rPr>
        <w:t xml:space="preserve">he key inputs for the financial estimates </w:t>
      </w:r>
      <w:r>
        <w:rPr>
          <w:lang w:eastAsia="en-US"/>
        </w:rPr>
        <w:t xml:space="preserve">in May 2025 and September 2025 </w:t>
      </w:r>
      <w:r w:rsidRPr="00942245">
        <w:rPr>
          <w:lang w:eastAsia="en-US"/>
        </w:rPr>
        <w:t xml:space="preserve">are presented in </w:t>
      </w:r>
      <w:r w:rsidR="0006310E">
        <w:rPr>
          <w:lang w:eastAsia="en-US"/>
        </w:rPr>
        <w:fldChar w:fldCharType="begin"/>
      </w:r>
      <w:r w:rsidR="0006310E">
        <w:rPr>
          <w:lang w:eastAsia="en-US"/>
        </w:rPr>
        <w:instrText xml:space="preserve"> REF _Ref206146396 \h </w:instrText>
      </w:r>
      <w:r w:rsidR="0006310E">
        <w:rPr>
          <w:lang w:eastAsia="en-US"/>
        </w:rPr>
      </w:r>
      <w:r w:rsidR="0006310E">
        <w:rPr>
          <w:lang w:eastAsia="en-US"/>
        </w:rPr>
        <w:fldChar w:fldCharType="separate"/>
      </w:r>
      <w:r w:rsidR="0055339A" w:rsidRPr="00D51DFF">
        <w:t xml:space="preserve">Table </w:t>
      </w:r>
      <w:r w:rsidR="0055339A">
        <w:rPr>
          <w:noProof/>
        </w:rPr>
        <w:t>4</w:t>
      </w:r>
      <w:r w:rsidR="0006310E">
        <w:rPr>
          <w:lang w:eastAsia="en-US"/>
        </w:rPr>
        <w:fldChar w:fldCharType="end"/>
      </w:r>
      <w:r w:rsidRPr="00942245">
        <w:rPr>
          <w:lang w:eastAsia="en-US"/>
        </w:rPr>
        <w:t xml:space="preserve">.  </w:t>
      </w:r>
    </w:p>
    <w:p w14:paraId="0C5816ED" w14:textId="6BC499EC" w:rsidR="009953AF" w:rsidRDefault="00A33F9F" w:rsidP="00B53D6F">
      <w:pPr>
        <w:pStyle w:val="Caption"/>
      </w:pPr>
      <w:bookmarkStart w:id="8" w:name="_Ref206146396"/>
      <w:r w:rsidRPr="00D51DFF">
        <w:t xml:space="preserve">Table </w:t>
      </w:r>
      <w:r w:rsidR="00A266A0">
        <w:fldChar w:fldCharType="begin"/>
      </w:r>
      <w:r w:rsidR="00A266A0">
        <w:instrText xml:space="preserve"> SEQ Table \* ARABIC </w:instrText>
      </w:r>
      <w:r w:rsidR="00A266A0">
        <w:fldChar w:fldCharType="separate"/>
      </w:r>
      <w:r w:rsidR="0055339A">
        <w:rPr>
          <w:noProof/>
        </w:rPr>
        <w:t>4</w:t>
      </w:r>
      <w:r w:rsidR="00A266A0">
        <w:rPr>
          <w:noProof/>
        </w:rPr>
        <w:fldChar w:fldCharType="end"/>
      </w:r>
      <w:bookmarkEnd w:id="8"/>
      <w:r>
        <w:t>:</w:t>
      </w:r>
      <w:r w:rsidR="009953AF">
        <w:t xml:space="preserve"> </w:t>
      </w:r>
      <w:r w:rsidR="005678A1" w:rsidRPr="00C63D6E">
        <w:t>Key inputs for financial estimates</w:t>
      </w:r>
    </w:p>
    <w:tbl>
      <w:tblPr>
        <w:tblStyle w:val="TableGrid"/>
        <w:tblW w:w="5000" w:type="pct"/>
        <w:tblLook w:val="04A0" w:firstRow="1" w:lastRow="0" w:firstColumn="1" w:lastColumn="0" w:noHBand="0" w:noVBand="1"/>
        <w:tblCaption w:val="Key inputs for financial estimates"/>
      </w:tblPr>
      <w:tblGrid>
        <w:gridCol w:w="3006"/>
        <w:gridCol w:w="3006"/>
        <w:gridCol w:w="3004"/>
      </w:tblGrid>
      <w:tr w:rsidR="0014622E" w:rsidRPr="0014622E" w14:paraId="191D0AA1" w14:textId="77777777" w:rsidTr="0014622E">
        <w:tc>
          <w:tcPr>
            <w:tcW w:w="1667" w:type="pct"/>
          </w:tcPr>
          <w:p w14:paraId="4F56D352" w14:textId="26D7614A" w:rsidR="0014622E" w:rsidRPr="00C63D6E" w:rsidRDefault="0014622E" w:rsidP="00B53D6F">
            <w:pPr>
              <w:pStyle w:val="3-BodyText"/>
              <w:keepNext/>
              <w:keepLines/>
              <w:numPr>
                <w:ilvl w:val="0"/>
                <w:numId w:val="0"/>
              </w:numPr>
              <w:spacing w:after="0"/>
              <w:rPr>
                <w:rFonts w:ascii="Arial Narrow" w:hAnsi="Arial Narrow"/>
                <w:b/>
                <w:bCs/>
                <w:sz w:val="20"/>
                <w:szCs w:val="20"/>
                <w:lang w:eastAsia="en-US"/>
              </w:rPr>
            </w:pPr>
            <w:r w:rsidRPr="00C63D6E">
              <w:rPr>
                <w:rFonts w:ascii="Arial Narrow" w:hAnsi="Arial Narrow"/>
                <w:b/>
                <w:bCs/>
                <w:sz w:val="20"/>
                <w:szCs w:val="20"/>
                <w:lang w:eastAsia="en-US"/>
              </w:rPr>
              <w:t>Parameter</w:t>
            </w:r>
          </w:p>
        </w:tc>
        <w:tc>
          <w:tcPr>
            <w:tcW w:w="1667" w:type="pct"/>
          </w:tcPr>
          <w:p w14:paraId="50F5C562" w14:textId="47AF0227" w:rsidR="0014622E" w:rsidRPr="00C63D6E" w:rsidRDefault="0014622E" w:rsidP="00B53D6F">
            <w:pPr>
              <w:pStyle w:val="3-BodyText"/>
              <w:keepNext/>
              <w:keepLines/>
              <w:numPr>
                <w:ilvl w:val="0"/>
                <w:numId w:val="0"/>
              </w:numPr>
              <w:spacing w:after="0"/>
              <w:rPr>
                <w:rFonts w:ascii="Arial Narrow" w:hAnsi="Arial Narrow"/>
                <w:b/>
                <w:bCs/>
                <w:sz w:val="20"/>
                <w:szCs w:val="20"/>
                <w:lang w:eastAsia="en-US"/>
              </w:rPr>
            </w:pPr>
            <w:r w:rsidRPr="00C63D6E">
              <w:rPr>
                <w:rFonts w:ascii="Arial Narrow" w:hAnsi="Arial Narrow"/>
                <w:b/>
                <w:bCs/>
                <w:sz w:val="20"/>
                <w:szCs w:val="20"/>
                <w:lang w:eastAsia="en-US"/>
              </w:rPr>
              <w:t>May 2025</w:t>
            </w:r>
          </w:p>
        </w:tc>
        <w:tc>
          <w:tcPr>
            <w:tcW w:w="1667" w:type="pct"/>
          </w:tcPr>
          <w:p w14:paraId="7FA21D36" w14:textId="1A089CB0" w:rsidR="0014622E" w:rsidRPr="00C63D6E" w:rsidRDefault="0014622E" w:rsidP="00B53D6F">
            <w:pPr>
              <w:pStyle w:val="3-BodyText"/>
              <w:keepNext/>
              <w:keepLines/>
              <w:numPr>
                <w:ilvl w:val="0"/>
                <w:numId w:val="0"/>
              </w:numPr>
              <w:spacing w:after="0"/>
              <w:rPr>
                <w:rFonts w:ascii="Arial Narrow" w:hAnsi="Arial Narrow"/>
                <w:b/>
                <w:bCs/>
                <w:sz w:val="20"/>
                <w:szCs w:val="20"/>
                <w:lang w:eastAsia="en-US"/>
              </w:rPr>
            </w:pPr>
            <w:r w:rsidRPr="00C63D6E">
              <w:rPr>
                <w:rFonts w:ascii="Arial Narrow" w:hAnsi="Arial Narrow"/>
                <w:b/>
                <w:bCs/>
                <w:sz w:val="20"/>
                <w:szCs w:val="20"/>
                <w:lang w:eastAsia="en-US"/>
              </w:rPr>
              <w:t>September 2025</w:t>
            </w:r>
          </w:p>
        </w:tc>
      </w:tr>
      <w:tr w:rsidR="0014622E" w:rsidRPr="00C63D6E" w14:paraId="64E510FB" w14:textId="77777777" w:rsidTr="0014622E">
        <w:tc>
          <w:tcPr>
            <w:tcW w:w="1667" w:type="pct"/>
          </w:tcPr>
          <w:p w14:paraId="25987C2D" w14:textId="0E696D9D" w:rsidR="0014622E" w:rsidRPr="00C63D6E" w:rsidRDefault="0014622E" w:rsidP="00B53D6F">
            <w:pPr>
              <w:pStyle w:val="3-BodyText"/>
              <w:keepNext/>
              <w:keepLines/>
              <w:numPr>
                <w:ilvl w:val="0"/>
                <w:numId w:val="0"/>
              </w:numPr>
              <w:spacing w:after="0"/>
              <w:rPr>
                <w:rFonts w:ascii="Arial Narrow" w:hAnsi="Arial Narrow"/>
                <w:sz w:val="20"/>
                <w:szCs w:val="20"/>
                <w:lang w:eastAsia="en-US"/>
              </w:rPr>
            </w:pPr>
            <w:r w:rsidRPr="0014622E">
              <w:rPr>
                <w:rFonts w:ascii="Arial Narrow" w:hAnsi="Arial Narrow"/>
                <w:sz w:val="20"/>
                <w:szCs w:val="20"/>
              </w:rPr>
              <w:t xml:space="preserve">Incident patients treated with </w:t>
            </w:r>
            <w:proofErr w:type="spellStart"/>
            <w:r w:rsidRPr="0014622E">
              <w:rPr>
                <w:rFonts w:ascii="Arial Narrow" w:hAnsi="Arial Narrow"/>
                <w:sz w:val="20"/>
                <w:szCs w:val="20"/>
              </w:rPr>
              <w:t>osimertinib</w:t>
            </w:r>
            <w:proofErr w:type="spellEnd"/>
            <w:r w:rsidRPr="0014622E">
              <w:rPr>
                <w:rFonts w:ascii="Arial Narrow" w:hAnsi="Arial Narrow"/>
                <w:sz w:val="20"/>
                <w:szCs w:val="20"/>
              </w:rPr>
              <w:t xml:space="preserve"> (monotherapy) in 1st line advanced/ metastatic </w:t>
            </w:r>
            <w:r w:rsidRPr="0014622E">
              <w:rPr>
                <w:rFonts w:ascii="Arial Narrow" w:hAnsi="Arial Narrow"/>
                <w:i/>
                <w:iCs/>
                <w:sz w:val="20"/>
                <w:szCs w:val="20"/>
              </w:rPr>
              <w:t>EGFRm</w:t>
            </w:r>
            <w:r w:rsidRPr="0014622E">
              <w:rPr>
                <w:rFonts w:ascii="Arial Narrow" w:hAnsi="Arial Narrow"/>
                <w:sz w:val="20"/>
                <w:szCs w:val="20"/>
              </w:rPr>
              <w:t xml:space="preserve"> NSCLC</w:t>
            </w:r>
          </w:p>
        </w:tc>
        <w:tc>
          <w:tcPr>
            <w:tcW w:w="1667" w:type="pct"/>
          </w:tcPr>
          <w:p w14:paraId="65E0987F" w14:textId="3099B15B" w:rsidR="0014622E" w:rsidRPr="0066721B" w:rsidRDefault="00255D1B" w:rsidP="00B53D6F">
            <w:pPr>
              <w:keepNext/>
              <w:keepLines/>
              <w:rPr>
                <w:rFonts w:ascii="Arial Narrow" w:hAnsi="Arial Narrow"/>
                <w:sz w:val="20"/>
                <w:szCs w:val="20"/>
                <w:lang w:eastAsia="en-US"/>
              </w:rPr>
            </w:pPr>
            <w:r w:rsidRPr="00255D1B">
              <w:rPr>
                <w:rFonts w:ascii="Arial Narrow" w:hAnsi="Arial Narrow"/>
                <w:color w:val="000000"/>
                <w:spacing w:val="9"/>
                <w:sz w:val="20"/>
                <w:szCs w:val="20"/>
                <w:shd w:val="solid" w:color="000000" w:fill="000000"/>
                <w:fitText w:val="310" w:id="-606363385"/>
                <w:lang w:eastAsia="en-US"/>
                <w14:textFill>
                  <w14:solidFill>
                    <w14:srgbClr w14:val="000000">
                      <w14:alpha w14:val="100000"/>
                    </w14:srgbClr>
                  </w14:solidFill>
                </w14:textFill>
              </w:rPr>
              <w:t>|</w:t>
            </w:r>
            <w:proofErr w:type="gramStart"/>
            <w:r w:rsidRPr="00255D1B">
              <w:rPr>
                <w:rFonts w:ascii="Arial Narrow" w:hAnsi="Arial Narrow"/>
                <w:color w:val="000000"/>
                <w:spacing w:val="9"/>
                <w:sz w:val="20"/>
                <w:szCs w:val="20"/>
                <w:shd w:val="solid" w:color="000000" w:fill="000000"/>
                <w:fitText w:val="310" w:id="-606363385"/>
                <w:lang w:eastAsia="en-US"/>
                <w14:textFill>
                  <w14:solidFill>
                    <w14:srgbClr w14:val="000000">
                      <w14:alpha w14:val="100000"/>
                    </w14:srgbClr>
                  </w14:solidFill>
                </w14:textFill>
              </w:rPr>
              <w:t>|  |</w:t>
            </w:r>
            <w:proofErr w:type="gramEnd"/>
            <w:r w:rsidRPr="00255D1B">
              <w:rPr>
                <w:rFonts w:ascii="Arial Narrow" w:hAnsi="Arial Narrow"/>
                <w:color w:val="000000"/>
                <w:spacing w:val="4"/>
                <w:sz w:val="20"/>
                <w:szCs w:val="20"/>
                <w:shd w:val="solid" w:color="000000" w:fill="000000"/>
                <w:fitText w:val="310" w:id="-606363385"/>
                <w:lang w:eastAsia="en-US"/>
                <w14:textFill>
                  <w14:solidFill>
                    <w14:srgbClr w14:val="000000">
                      <w14:alpha w14:val="100000"/>
                    </w14:srgbClr>
                  </w14:solidFill>
                </w14:textFill>
              </w:rPr>
              <w:t>|</w:t>
            </w:r>
            <w:r w:rsidR="003B3014" w:rsidRPr="00033AB8">
              <w:rPr>
                <w:rFonts w:ascii="Arial Narrow" w:hAnsi="Arial Narrow"/>
                <w:sz w:val="20"/>
                <w:szCs w:val="20"/>
                <w:vertAlign w:val="superscript"/>
                <w:lang w:eastAsia="en-US"/>
              </w:rPr>
              <w:t>1</w:t>
            </w:r>
            <w:r w:rsidR="0014622E" w:rsidRPr="0066721B">
              <w:rPr>
                <w:rFonts w:ascii="Arial Narrow" w:hAnsi="Arial Narrow"/>
                <w:sz w:val="20"/>
                <w:szCs w:val="20"/>
                <w:lang w:eastAsia="en-US"/>
              </w:rPr>
              <w:t xml:space="preserve"> in Yr 1 to </w:t>
            </w:r>
            <w:r w:rsidRPr="00255D1B">
              <w:rPr>
                <w:rFonts w:ascii="Arial Narrow" w:hAnsi="Arial Narrow"/>
                <w:color w:val="000000"/>
                <w:spacing w:val="9"/>
                <w:sz w:val="20"/>
                <w:szCs w:val="20"/>
                <w:shd w:val="solid" w:color="000000" w:fill="000000"/>
                <w:fitText w:val="310" w:id="-606363384"/>
                <w:lang w:eastAsia="en-US"/>
                <w14:textFill>
                  <w14:solidFill>
                    <w14:srgbClr w14:val="000000">
                      <w14:alpha w14:val="100000"/>
                    </w14:srgbClr>
                  </w14:solidFill>
                </w14:textFill>
              </w:rPr>
              <w:t>|</w:t>
            </w:r>
            <w:proofErr w:type="gramStart"/>
            <w:r w:rsidRPr="00255D1B">
              <w:rPr>
                <w:rFonts w:ascii="Arial Narrow" w:hAnsi="Arial Narrow"/>
                <w:color w:val="000000"/>
                <w:spacing w:val="9"/>
                <w:sz w:val="20"/>
                <w:szCs w:val="20"/>
                <w:shd w:val="solid" w:color="000000" w:fill="000000"/>
                <w:fitText w:val="310" w:id="-606363384"/>
                <w:lang w:eastAsia="en-US"/>
                <w14:textFill>
                  <w14:solidFill>
                    <w14:srgbClr w14:val="000000">
                      <w14:alpha w14:val="100000"/>
                    </w14:srgbClr>
                  </w14:solidFill>
                </w14:textFill>
              </w:rPr>
              <w:t>|  |</w:t>
            </w:r>
            <w:proofErr w:type="gramEnd"/>
            <w:r w:rsidRPr="00255D1B">
              <w:rPr>
                <w:rFonts w:ascii="Arial Narrow" w:hAnsi="Arial Narrow"/>
                <w:color w:val="000000"/>
                <w:spacing w:val="4"/>
                <w:sz w:val="20"/>
                <w:szCs w:val="20"/>
                <w:shd w:val="solid" w:color="000000" w:fill="000000"/>
                <w:fitText w:val="310" w:id="-606363384"/>
                <w:lang w:eastAsia="en-US"/>
                <w14:textFill>
                  <w14:solidFill>
                    <w14:srgbClr w14:val="000000">
                      <w14:alpha w14:val="100000"/>
                    </w14:srgbClr>
                  </w14:solidFill>
                </w14:textFill>
              </w:rPr>
              <w:t>|</w:t>
            </w:r>
            <w:r w:rsidR="003B3014" w:rsidRPr="003420C3">
              <w:rPr>
                <w:rFonts w:ascii="Arial Narrow" w:hAnsi="Arial Narrow"/>
                <w:sz w:val="20"/>
                <w:szCs w:val="20"/>
                <w:vertAlign w:val="superscript"/>
                <w:lang w:eastAsia="en-US"/>
              </w:rPr>
              <w:t>1</w:t>
            </w:r>
            <w:r w:rsidR="0014622E" w:rsidRPr="0066721B">
              <w:rPr>
                <w:rFonts w:ascii="Arial Narrow" w:hAnsi="Arial Narrow"/>
                <w:sz w:val="20"/>
                <w:szCs w:val="20"/>
                <w:lang w:eastAsia="en-US"/>
              </w:rPr>
              <w:t xml:space="preserve"> in Yr 6</w:t>
            </w:r>
          </w:p>
        </w:tc>
        <w:tc>
          <w:tcPr>
            <w:tcW w:w="1667" w:type="pct"/>
          </w:tcPr>
          <w:p w14:paraId="74472B48" w14:textId="00652872" w:rsidR="0014622E" w:rsidRPr="00C63D6E" w:rsidRDefault="00255D1B" w:rsidP="00B53D6F">
            <w:pPr>
              <w:pStyle w:val="3-BodyText"/>
              <w:keepNext/>
              <w:keepLines/>
              <w:numPr>
                <w:ilvl w:val="0"/>
                <w:numId w:val="0"/>
              </w:numPr>
              <w:spacing w:after="0"/>
              <w:rPr>
                <w:rFonts w:ascii="Arial Narrow" w:hAnsi="Arial Narrow"/>
                <w:sz w:val="20"/>
                <w:szCs w:val="20"/>
                <w:lang w:eastAsia="en-US"/>
              </w:rPr>
            </w:pPr>
            <w:r w:rsidRPr="00255D1B">
              <w:rPr>
                <w:rFonts w:ascii="Arial Narrow" w:hAnsi="Arial Narrow"/>
                <w:color w:val="000000"/>
                <w:spacing w:val="9"/>
                <w:sz w:val="20"/>
                <w:szCs w:val="20"/>
                <w:shd w:val="solid" w:color="000000" w:fill="000000"/>
                <w:fitText w:val="310" w:id="-606363383"/>
                <w14:textFill>
                  <w14:solidFill>
                    <w14:srgbClr w14:val="000000">
                      <w14:alpha w14:val="100000"/>
                    </w14:srgbClr>
                  </w14:solidFill>
                </w14:textFill>
              </w:rPr>
              <w:t>|</w:t>
            </w:r>
            <w:proofErr w:type="gramStart"/>
            <w:r w:rsidRPr="00255D1B">
              <w:rPr>
                <w:rFonts w:ascii="Arial Narrow" w:hAnsi="Arial Narrow"/>
                <w:color w:val="000000"/>
                <w:spacing w:val="9"/>
                <w:sz w:val="20"/>
                <w:szCs w:val="20"/>
                <w:shd w:val="solid" w:color="000000" w:fill="000000"/>
                <w:fitText w:val="310" w:id="-606363383"/>
                <w14:textFill>
                  <w14:solidFill>
                    <w14:srgbClr w14:val="000000">
                      <w14:alpha w14:val="100000"/>
                    </w14:srgbClr>
                  </w14:solidFill>
                </w14:textFill>
              </w:rPr>
              <w:t>|  |</w:t>
            </w:r>
            <w:proofErr w:type="gramEnd"/>
            <w:r w:rsidRPr="00255D1B">
              <w:rPr>
                <w:rFonts w:ascii="Arial Narrow" w:hAnsi="Arial Narrow"/>
                <w:color w:val="000000"/>
                <w:spacing w:val="4"/>
                <w:sz w:val="20"/>
                <w:szCs w:val="20"/>
                <w:shd w:val="solid" w:color="000000" w:fill="000000"/>
                <w:fitText w:val="310" w:id="-606363383"/>
                <w14:textFill>
                  <w14:solidFill>
                    <w14:srgbClr w14:val="000000">
                      <w14:alpha w14:val="100000"/>
                    </w14:srgbClr>
                  </w14:solidFill>
                </w14:textFill>
              </w:rPr>
              <w:t>|</w:t>
            </w:r>
            <w:r w:rsidR="003B3014" w:rsidRPr="003420C3">
              <w:rPr>
                <w:rFonts w:ascii="Arial Narrow" w:hAnsi="Arial Narrow"/>
                <w:sz w:val="20"/>
                <w:szCs w:val="20"/>
                <w:vertAlign w:val="superscript"/>
                <w:lang w:eastAsia="en-US"/>
              </w:rPr>
              <w:t>1</w:t>
            </w:r>
            <w:r w:rsidR="0014622E" w:rsidRPr="00C63D6E">
              <w:rPr>
                <w:rFonts w:ascii="Arial Narrow" w:hAnsi="Arial Narrow"/>
                <w:sz w:val="20"/>
                <w:szCs w:val="20"/>
              </w:rPr>
              <w:t xml:space="preserve"> in Yr</w:t>
            </w:r>
            <w:r w:rsidR="00942245">
              <w:rPr>
                <w:rFonts w:ascii="Arial Narrow" w:hAnsi="Arial Narrow"/>
                <w:sz w:val="20"/>
                <w:szCs w:val="20"/>
              </w:rPr>
              <w:t xml:space="preserve"> </w:t>
            </w:r>
            <w:r w:rsidR="0014622E" w:rsidRPr="00C63D6E">
              <w:rPr>
                <w:rFonts w:ascii="Arial Narrow" w:hAnsi="Arial Narrow"/>
                <w:sz w:val="20"/>
                <w:szCs w:val="20"/>
              </w:rPr>
              <w:t xml:space="preserve">1 to </w:t>
            </w:r>
            <w:r w:rsidRPr="00255D1B">
              <w:rPr>
                <w:rFonts w:ascii="Arial Narrow" w:hAnsi="Arial Narrow"/>
                <w:color w:val="000000"/>
                <w:spacing w:val="9"/>
                <w:sz w:val="20"/>
                <w:szCs w:val="20"/>
                <w:shd w:val="solid" w:color="000000" w:fill="000000"/>
                <w:fitText w:val="310" w:id="-606363382"/>
                <w14:textFill>
                  <w14:solidFill>
                    <w14:srgbClr w14:val="000000">
                      <w14:alpha w14:val="100000"/>
                    </w14:srgbClr>
                  </w14:solidFill>
                </w14:textFill>
              </w:rPr>
              <w:t>|</w:t>
            </w:r>
            <w:proofErr w:type="gramStart"/>
            <w:r w:rsidRPr="00255D1B">
              <w:rPr>
                <w:rFonts w:ascii="Arial Narrow" w:hAnsi="Arial Narrow"/>
                <w:color w:val="000000"/>
                <w:spacing w:val="9"/>
                <w:sz w:val="20"/>
                <w:szCs w:val="20"/>
                <w:shd w:val="solid" w:color="000000" w:fill="000000"/>
                <w:fitText w:val="310" w:id="-606363382"/>
                <w14:textFill>
                  <w14:solidFill>
                    <w14:srgbClr w14:val="000000">
                      <w14:alpha w14:val="100000"/>
                    </w14:srgbClr>
                  </w14:solidFill>
                </w14:textFill>
              </w:rPr>
              <w:t>|  |</w:t>
            </w:r>
            <w:proofErr w:type="gramEnd"/>
            <w:r w:rsidRPr="00255D1B">
              <w:rPr>
                <w:rFonts w:ascii="Arial Narrow" w:hAnsi="Arial Narrow"/>
                <w:color w:val="000000"/>
                <w:spacing w:val="4"/>
                <w:sz w:val="20"/>
                <w:szCs w:val="20"/>
                <w:shd w:val="solid" w:color="000000" w:fill="000000"/>
                <w:fitText w:val="310" w:id="-606363382"/>
                <w14:textFill>
                  <w14:solidFill>
                    <w14:srgbClr w14:val="000000">
                      <w14:alpha w14:val="100000"/>
                    </w14:srgbClr>
                  </w14:solidFill>
                </w14:textFill>
              </w:rPr>
              <w:t>|</w:t>
            </w:r>
            <w:r w:rsidR="0014622E" w:rsidRPr="00C63D6E">
              <w:rPr>
                <w:rFonts w:ascii="Arial Narrow" w:hAnsi="Arial Narrow"/>
                <w:sz w:val="20"/>
                <w:szCs w:val="20"/>
              </w:rPr>
              <w:t xml:space="preserve"> </w:t>
            </w:r>
            <w:r w:rsidR="003B3014" w:rsidRPr="003420C3">
              <w:rPr>
                <w:rFonts w:ascii="Arial Narrow" w:hAnsi="Arial Narrow"/>
                <w:sz w:val="20"/>
                <w:szCs w:val="20"/>
                <w:vertAlign w:val="superscript"/>
                <w:lang w:eastAsia="en-US"/>
              </w:rPr>
              <w:t>1</w:t>
            </w:r>
            <w:r w:rsidR="0014622E" w:rsidRPr="00C63D6E">
              <w:rPr>
                <w:rFonts w:ascii="Arial Narrow" w:hAnsi="Arial Narrow"/>
                <w:sz w:val="20"/>
                <w:szCs w:val="20"/>
              </w:rPr>
              <w:t>in Yr 6</w:t>
            </w:r>
          </w:p>
        </w:tc>
      </w:tr>
      <w:tr w:rsidR="0014622E" w:rsidRPr="00C63D6E" w14:paraId="3C439795" w14:textId="77777777" w:rsidTr="0014622E">
        <w:tc>
          <w:tcPr>
            <w:tcW w:w="1667" w:type="pct"/>
            <w:vAlign w:val="center"/>
          </w:tcPr>
          <w:p w14:paraId="32E0F8B0" w14:textId="1B283B9A" w:rsidR="0014622E" w:rsidRPr="00C63D6E" w:rsidRDefault="0014622E" w:rsidP="00B53D6F">
            <w:pPr>
              <w:pStyle w:val="3-BodyText"/>
              <w:keepNext/>
              <w:keepLines/>
              <w:numPr>
                <w:ilvl w:val="0"/>
                <w:numId w:val="0"/>
              </w:numPr>
              <w:spacing w:after="0"/>
              <w:rPr>
                <w:rFonts w:ascii="Arial Narrow" w:hAnsi="Arial Narrow"/>
                <w:sz w:val="20"/>
                <w:szCs w:val="20"/>
              </w:rPr>
            </w:pPr>
            <w:r w:rsidRPr="00C63D6E">
              <w:rPr>
                <w:rFonts w:ascii="Arial Narrow" w:hAnsi="Arial Narrow"/>
                <w:sz w:val="20"/>
                <w:szCs w:val="20"/>
              </w:rPr>
              <w:t>Uptake rate</w:t>
            </w:r>
          </w:p>
        </w:tc>
        <w:tc>
          <w:tcPr>
            <w:tcW w:w="1667" w:type="pct"/>
            <w:vAlign w:val="center"/>
          </w:tcPr>
          <w:p w14:paraId="7BB155F8" w14:textId="5723DFF5" w:rsidR="0014622E" w:rsidRPr="00C63D6E" w:rsidRDefault="00255D1B" w:rsidP="00B53D6F">
            <w:pPr>
              <w:keepNext/>
              <w:keepLines/>
              <w:rPr>
                <w:rFonts w:ascii="Arial Narrow" w:hAnsi="Arial Narrow"/>
                <w:sz w:val="20"/>
                <w:szCs w:val="20"/>
              </w:rPr>
            </w:pPr>
            <w:r w:rsidRPr="00255D1B">
              <w:rPr>
                <w:rFonts w:ascii="Arial Narrow" w:hAnsi="Arial Narrow"/>
                <w:color w:val="000000"/>
                <w:spacing w:val="9"/>
                <w:sz w:val="20"/>
                <w:szCs w:val="20"/>
                <w:shd w:val="solid" w:color="000000" w:fill="000000"/>
                <w:fitText w:val="310" w:id="-606363381"/>
                <w14:textFill>
                  <w14:solidFill>
                    <w14:srgbClr w14:val="000000">
                      <w14:alpha w14:val="100000"/>
                    </w14:srgbClr>
                  </w14:solidFill>
                </w14:textFill>
              </w:rPr>
              <w:t>||  |</w:t>
            </w:r>
            <w:r w:rsidRPr="00255D1B">
              <w:rPr>
                <w:rFonts w:ascii="Arial Narrow" w:hAnsi="Arial Narrow"/>
                <w:color w:val="000000"/>
                <w:spacing w:val="4"/>
                <w:sz w:val="20"/>
                <w:szCs w:val="20"/>
                <w:shd w:val="solid" w:color="000000" w:fill="000000"/>
                <w:fitText w:val="310" w:id="-606363381"/>
                <w14:textFill>
                  <w14:solidFill>
                    <w14:srgbClr w14:val="000000">
                      <w14:alpha w14:val="100000"/>
                    </w14:srgbClr>
                  </w14:solidFill>
                </w14:textFill>
              </w:rPr>
              <w:t>|</w:t>
            </w:r>
            <w:r w:rsidR="0014622E" w:rsidRPr="00C63D6E">
              <w:rPr>
                <w:rFonts w:ascii="Arial Narrow" w:hAnsi="Arial Narrow"/>
                <w:sz w:val="20"/>
                <w:szCs w:val="20"/>
              </w:rPr>
              <w:t>%</w:t>
            </w:r>
          </w:p>
        </w:tc>
        <w:tc>
          <w:tcPr>
            <w:tcW w:w="1667" w:type="pct"/>
          </w:tcPr>
          <w:p w14:paraId="5D3C09B9" w14:textId="42DA1E06" w:rsidR="0014622E" w:rsidRPr="00C63D6E" w:rsidRDefault="00255D1B" w:rsidP="00B53D6F">
            <w:pPr>
              <w:pStyle w:val="3-BodyText"/>
              <w:keepNext/>
              <w:keepLines/>
              <w:numPr>
                <w:ilvl w:val="0"/>
                <w:numId w:val="0"/>
              </w:numPr>
              <w:spacing w:after="0"/>
              <w:rPr>
                <w:rFonts w:ascii="Arial Narrow" w:hAnsi="Arial Narrow"/>
                <w:sz w:val="20"/>
                <w:szCs w:val="20"/>
                <w:lang w:eastAsia="en-US"/>
              </w:rPr>
            </w:pPr>
            <w:r w:rsidRPr="00255D1B">
              <w:rPr>
                <w:rFonts w:ascii="Arial Narrow" w:hAnsi="Arial Narrow"/>
                <w:color w:val="000000"/>
                <w:spacing w:val="9"/>
                <w:sz w:val="20"/>
                <w:szCs w:val="20"/>
                <w:shd w:val="solid" w:color="000000" w:fill="000000"/>
                <w:fitText w:val="310" w:id="-606363380"/>
                <w:lang w:eastAsia="en-US"/>
                <w14:textFill>
                  <w14:solidFill>
                    <w14:srgbClr w14:val="000000">
                      <w14:alpha w14:val="100000"/>
                    </w14:srgbClr>
                  </w14:solidFill>
                </w14:textFill>
              </w:rPr>
              <w:t>|</w:t>
            </w:r>
            <w:proofErr w:type="gramStart"/>
            <w:r w:rsidRPr="00255D1B">
              <w:rPr>
                <w:rFonts w:ascii="Arial Narrow" w:hAnsi="Arial Narrow"/>
                <w:color w:val="000000"/>
                <w:spacing w:val="9"/>
                <w:sz w:val="20"/>
                <w:szCs w:val="20"/>
                <w:shd w:val="solid" w:color="000000" w:fill="000000"/>
                <w:fitText w:val="310" w:id="-606363380"/>
                <w:lang w:eastAsia="en-US"/>
                <w14:textFill>
                  <w14:solidFill>
                    <w14:srgbClr w14:val="000000">
                      <w14:alpha w14:val="100000"/>
                    </w14:srgbClr>
                  </w14:solidFill>
                </w14:textFill>
              </w:rPr>
              <w:t>|  |</w:t>
            </w:r>
            <w:proofErr w:type="gramEnd"/>
            <w:r w:rsidRPr="00255D1B">
              <w:rPr>
                <w:rFonts w:ascii="Arial Narrow" w:hAnsi="Arial Narrow"/>
                <w:color w:val="000000"/>
                <w:spacing w:val="4"/>
                <w:sz w:val="20"/>
                <w:szCs w:val="20"/>
                <w:shd w:val="solid" w:color="000000" w:fill="000000"/>
                <w:fitText w:val="310" w:id="-606363380"/>
                <w:lang w:eastAsia="en-US"/>
                <w14:textFill>
                  <w14:solidFill>
                    <w14:srgbClr w14:val="000000">
                      <w14:alpha w14:val="100000"/>
                    </w14:srgbClr>
                  </w14:solidFill>
                </w14:textFill>
              </w:rPr>
              <w:t>|</w:t>
            </w:r>
            <w:r w:rsidR="0014622E">
              <w:rPr>
                <w:rFonts w:ascii="Arial Narrow" w:hAnsi="Arial Narrow"/>
                <w:sz w:val="20"/>
                <w:szCs w:val="20"/>
                <w:lang w:eastAsia="en-US"/>
              </w:rPr>
              <w:t xml:space="preserve">% for incident patients, </w:t>
            </w:r>
            <w:r w:rsidRPr="00255D1B">
              <w:rPr>
                <w:rFonts w:ascii="Arial Narrow" w:hAnsi="Arial Narrow"/>
                <w:color w:val="000000"/>
                <w:spacing w:val="9"/>
                <w:sz w:val="20"/>
                <w:szCs w:val="20"/>
                <w:shd w:val="solid" w:color="000000" w:fill="000000"/>
                <w:fitText w:val="310" w:id="-606363379"/>
                <w:lang w:eastAsia="en-US"/>
                <w14:textFill>
                  <w14:solidFill>
                    <w14:srgbClr w14:val="000000">
                      <w14:alpha w14:val="100000"/>
                    </w14:srgbClr>
                  </w14:solidFill>
                </w14:textFill>
              </w:rPr>
              <w:t>|</w:t>
            </w:r>
            <w:proofErr w:type="gramStart"/>
            <w:r w:rsidRPr="00255D1B">
              <w:rPr>
                <w:rFonts w:ascii="Arial Narrow" w:hAnsi="Arial Narrow"/>
                <w:color w:val="000000"/>
                <w:spacing w:val="9"/>
                <w:sz w:val="20"/>
                <w:szCs w:val="20"/>
                <w:shd w:val="solid" w:color="000000" w:fill="000000"/>
                <w:fitText w:val="310" w:id="-606363379"/>
                <w:lang w:eastAsia="en-US"/>
                <w14:textFill>
                  <w14:solidFill>
                    <w14:srgbClr w14:val="000000">
                      <w14:alpha w14:val="100000"/>
                    </w14:srgbClr>
                  </w14:solidFill>
                </w14:textFill>
              </w:rPr>
              <w:t>|  |</w:t>
            </w:r>
            <w:proofErr w:type="gramEnd"/>
            <w:r w:rsidRPr="00255D1B">
              <w:rPr>
                <w:rFonts w:ascii="Arial Narrow" w:hAnsi="Arial Narrow"/>
                <w:color w:val="000000"/>
                <w:spacing w:val="4"/>
                <w:sz w:val="20"/>
                <w:szCs w:val="20"/>
                <w:shd w:val="solid" w:color="000000" w:fill="000000"/>
                <w:fitText w:val="310" w:id="-606363379"/>
                <w:lang w:eastAsia="en-US"/>
                <w14:textFill>
                  <w14:solidFill>
                    <w14:srgbClr w14:val="000000">
                      <w14:alpha w14:val="100000"/>
                    </w14:srgbClr>
                  </w14:solidFill>
                </w14:textFill>
              </w:rPr>
              <w:t>|</w:t>
            </w:r>
            <w:r w:rsidR="0014622E">
              <w:rPr>
                <w:rFonts w:ascii="Arial Narrow" w:hAnsi="Arial Narrow"/>
                <w:sz w:val="20"/>
                <w:szCs w:val="20"/>
                <w:lang w:eastAsia="en-US"/>
              </w:rPr>
              <w:t>% for prevalent patients</w:t>
            </w:r>
          </w:p>
        </w:tc>
      </w:tr>
      <w:tr w:rsidR="0014622E" w:rsidRPr="00C63D6E" w14:paraId="449185AD" w14:textId="77777777" w:rsidTr="0014622E">
        <w:tc>
          <w:tcPr>
            <w:tcW w:w="1667" w:type="pct"/>
            <w:vAlign w:val="center"/>
          </w:tcPr>
          <w:p w14:paraId="09EF464B" w14:textId="374A6DA7" w:rsidR="0014622E" w:rsidRPr="00C63D6E" w:rsidRDefault="0014622E" w:rsidP="00B53D6F">
            <w:pPr>
              <w:pStyle w:val="3-BodyText"/>
              <w:keepNext/>
              <w:keepLines/>
              <w:numPr>
                <w:ilvl w:val="0"/>
                <w:numId w:val="0"/>
              </w:numPr>
              <w:spacing w:after="0"/>
              <w:rPr>
                <w:rFonts w:ascii="Arial Narrow" w:hAnsi="Arial Narrow"/>
                <w:sz w:val="20"/>
                <w:szCs w:val="20"/>
              </w:rPr>
            </w:pPr>
            <w:r w:rsidRPr="00C63D6E">
              <w:rPr>
                <w:rFonts w:ascii="Arial Narrow" w:hAnsi="Arial Narrow"/>
                <w:sz w:val="20"/>
                <w:szCs w:val="20"/>
              </w:rPr>
              <w:t>Eligible incident patients</w:t>
            </w:r>
            <w:r>
              <w:rPr>
                <w:rFonts w:ascii="Arial Narrow" w:hAnsi="Arial Narrow"/>
                <w:sz w:val="20"/>
                <w:szCs w:val="20"/>
              </w:rPr>
              <w:t xml:space="preserve"> treated with O+C</w:t>
            </w:r>
          </w:p>
        </w:tc>
        <w:tc>
          <w:tcPr>
            <w:tcW w:w="1667" w:type="pct"/>
            <w:vAlign w:val="center"/>
          </w:tcPr>
          <w:p w14:paraId="3B68501D" w14:textId="0124859E" w:rsidR="0014622E" w:rsidRPr="00C63D6E" w:rsidRDefault="00255D1B" w:rsidP="00B53D6F">
            <w:pPr>
              <w:keepNext/>
              <w:keepLines/>
              <w:rPr>
                <w:rFonts w:ascii="Arial Narrow" w:hAnsi="Arial Narrow"/>
                <w:sz w:val="20"/>
                <w:szCs w:val="20"/>
              </w:rPr>
            </w:pPr>
            <w:r w:rsidRPr="00255D1B">
              <w:rPr>
                <w:rFonts w:ascii="Arial Narrow" w:hAnsi="Arial Narrow"/>
                <w:color w:val="000000"/>
                <w:spacing w:val="9"/>
                <w:sz w:val="20"/>
                <w:szCs w:val="20"/>
                <w:shd w:val="solid" w:color="000000" w:fill="000000"/>
                <w:fitText w:val="310" w:id="-606363378"/>
                <w14:textFill>
                  <w14:solidFill>
                    <w14:srgbClr w14:val="000000">
                      <w14:alpha w14:val="100000"/>
                    </w14:srgbClr>
                  </w14:solidFill>
                </w14:textFill>
              </w:rPr>
              <w:t>|</w:t>
            </w:r>
            <w:proofErr w:type="gramStart"/>
            <w:r w:rsidRPr="00255D1B">
              <w:rPr>
                <w:rFonts w:ascii="Arial Narrow" w:hAnsi="Arial Narrow"/>
                <w:color w:val="000000"/>
                <w:spacing w:val="9"/>
                <w:sz w:val="20"/>
                <w:szCs w:val="20"/>
                <w:shd w:val="solid" w:color="000000" w:fill="000000"/>
                <w:fitText w:val="310" w:id="-606363378"/>
                <w14:textFill>
                  <w14:solidFill>
                    <w14:srgbClr w14:val="000000">
                      <w14:alpha w14:val="100000"/>
                    </w14:srgbClr>
                  </w14:solidFill>
                </w14:textFill>
              </w:rPr>
              <w:t>|  |</w:t>
            </w:r>
            <w:proofErr w:type="gramEnd"/>
            <w:r w:rsidRPr="00255D1B">
              <w:rPr>
                <w:rFonts w:ascii="Arial Narrow" w:hAnsi="Arial Narrow"/>
                <w:color w:val="000000"/>
                <w:spacing w:val="4"/>
                <w:sz w:val="20"/>
                <w:szCs w:val="20"/>
                <w:shd w:val="solid" w:color="000000" w:fill="000000"/>
                <w:fitText w:val="310" w:id="-606363378"/>
                <w14:textFill>
                  <w14:solidFill>
                    <w14:srgbClr w14:val="000000">
                      <w14:alpha w14:val="100000"/>
                    </w14:srgbClr>
                  </w14:solidFill>
                </w14:textFill>
              </w:rPr>
              <w:t>|</w:t>
            </w:r>
            <w:r w:rsidR="003B3014" w:rsidRPr="00033AB8">
              <w:rPr>
                <w:rFonts w:ascii="Arial Narrow" w:hAnsi="Arial Narrow"/>
                <w:sz w:val="20"/>
                <w:szCs w:val="20"/>
                <w:vertAlign w:val="superscript"/>
              </w:rPr>
              <w:t>2</w:t>
            </w:r>
            <w:r w:rsidR="0014622E" w:rsidRPr="00C63D6E">
              <w:rPr>
                <w:rFonts w:ascii="Arial Narrow" w:hAnsi="Arial Narrow"/>
                <w:sz w:val="20"/>
                <w:szCs w:val="20"/>
              </w:rPr>
              <w:t xml:space="preserve"> in Yr</w:t>
            </w:r>
            <w:r w:rsidR="0014622E">
              <w:rPr>
                <w:rFonts w:ascii="Arial Narrow" w:hAnsi="Arial Narrow"/>
                <w:sz w:val="20"/>
                <w:szCs w:val="20"/>
              </w:rPr>
              <w:t xml:space="preserve"> </w:t>
            </w:r>
            <w:r w:rsidR="0014622E" w:rsidRPr="00C63D6E">
              <w:rPr>
                <w:rFonts w:ascii="Arial Narrow" w:hAnsi="Arial Narrow"/>
                <w:sz w:val="20"/>
                <w:szCs w:val="20"/>
              </w:rPr>
              <w:t xml:space="preserve">1 to </w:t>
            </w:r>
            <w:r w:rsidRPr="00255D1B">
              <w:rPr>
                <w:rFonts w:ascii="Arial Narrow" w:hAnsi="Arial Narrow"/>
                <w:color w:val="000000"/>
                <w:spacing w:val="9"/>
                <w:sz w:val="20"/>
                <w:szCs w:val="20"/>
                <w:shd w:val="solid" w:color="000000" w:fill="000000"/>
                <w:fitText w:val="310" w:id="-606363377"/>
                <w14:textFill>
                  <w14:solidFill>
                    <w14:srgbClr w14:val="000000">
                      <w14:alpha w14:val="100000"/>
                    </w14:srgbClr>
                  </w14:solidFill>
                </w14:textFill>
              </w:rPr>
              <w:t>|</w:t>
            </w:r>
            <w:proofErr w:type="gramStart"/>
            <w:r w:rsidRPr="00255D1B">
              <w:rPr>
                <w:rFonts w:ascii="Arial Narrow" w:hAnsi="Arial Narrow"/>
                <w:color w:val="000000"/>
                <w:spacing w:val="9"/>
                <w:sz w:val="20"/>
                <w:szCs w:val="20"/>
                <w:shd w:val="solid" w:color="000000" w:fill="000000"/>
                <w:fitText w:val="310" w:id="-606363377"/>
                <w14:textFill>
                  <w14:solidFill>
                    <w14:srgbClr w14:val="000000">
                      <w14:alpha w14:val="100000"/>
                    </w14:srgbClr>
                  </w14:solidFill>
                </w14:textFill>
              </w:rPr>
              <w:t>|  |</w:t>
            </w:r>
            <w:proofErr w:type="gramEnd"/>
            <w:r w:rsidRPr="00255D1B">
              <w:rPr>
                <w:rFonts w:ascii="Arial Narrow" w:hAnsi="Arial Narrow"/>
                <w:color w:val="000000"/>
                <w:spacing w:val="4"/>
                <w:sz w:val="20"/>
                <w:szCs w:val="20"/>
                <w:shd w:val="solid" w:color="000000" w:fill="000000"/>
                <w:fitText w:val="310" w:id="-606363377"/>
                <w14:textFill>
                  <w14:solidFill>
                    <w14:srgbClr w14:val="000000">
                      <w14:alpha w14:val="100000"/>
                    </w14:srgbClr>
                  </w14:solidFill>
                </w14:textFill>
              </w:rPr>
              <w:t>|</w:t>
            </w:r>
            <w:r w:rsidR="003B3014" w:rsidRPr="003420C3">
              <w:rPr>
                <w:rFonts w:ascii="Arial Narrow" w:hAnsi="Arial Narrow"/>
                <w:sz w:val="20"/>
                <w:szCs w:val="20"/>
                <w:vertAlign w:val="superscript"/>
              </w:rPr>
              <w:t>2</w:t>
            </w:r>
            <w:r w:rsidR="0014622E" w:rsidRPr="00C63D6E">
              <w:rPr>
                <w:rFonts w:ascii="Arial Narrow" w:hAnsi="Arial Narrow"/>
                <w:sz w:val="20"/>
                <w:szCs w:val="20"/>
              </w:rPr>
              <w:t xml:space="preserve"> in Yr</w:t>
            </w:r>
            <w:r w:rsidR="00942245">
              <w:rPr>
                <w:rFonts w:ascii="Arial Narrow" w:hAnsi="Arial Narrow"/>
                <w:sz w:val="20"/>
                <w:szCs w:val="20"/>
              </w:rPr>
              <w:t xml:space="preserve"> </w:t>
            </w:r>
            <w:r w:rsidR="0014622E" w:rsidRPr="00C63D6E">
              <w:rPr>
                <w:rFonts w:ascii="Arial Narrow" w:hAnsi="Arial Narrow"/>
                <w:sz w:val="20"/>
                <w:szCs w:val="20"/>
              </w:rPr>
              <w:t>6</w:t>
            </w:r>
          </w:p>
        </w:tc>
        <w:tc>
          <w:tcPr>
            <w:tcW w:w="1667" w:type="pct"/>
          </w:tcPr>
          <w:p w14:paraId="2BD62A19" w14:textId="117FA9D1" w:rsidR="0014622E" w:rsidRPr="00C63D6E" w:rsidRDefault="00255D1B" w:rsidP="00B53D6F">
            <w:pPr>
              <w:pStyle w:val="3-BodyText"/>
              <w:keepNext/>
              <w:keepLines/>
              <w:numPr>
                <w:ilvl w:val="0"/>
                <w:numId w:val="0"/>
              </w:numPr>
              <w:spacing w:after="0"/>
              <w:rPr>
                <w:rFonts w:ascii="Arial Narrow" w:hAnsi="Arial Narrow"/>
                <w:sz w:val="20"/>
                <w:szCs w:val="20"/>
                <w:lang w:eastAsia="en-US"/>
              </w:rPr>
            </w:pPr>
            <w:r w:rsidRPr="00255D1B">
              <w:rPr>
                <w:rFonts w:ascii="Arial Narrow" w:hAnsi="Arial Narrow"/>
                <w:color w:val="000000"/>
                <w:spacing w:val="9"/>
                <w:sz w:val="20"/>
                <w:szCs w:val="20"/>
                <w:shd w:val="solid" w:color="000000" w:fill="000000"/>
                <w:fitText w:val="310" w:id="-606363376"/>
                <w:lang w:eastAsia="en-US"/>
                <w14:textFill>
                  <w14:solidFill>
                    <w14:srgbClr w14:val="000000">
                      <w14:alpha w14:val="100000"/>
                    </w14:srgbClr>
                  </w14:solidFill>
                </w14:textFill>
              </w:rPr>
              <w:t>|</w:t>
            </w:r>
            <w:proofErr w:type="gramStart"/>
            <w:r w:rsidRPr="00255D1B">
              <w:rPr>
                <w:rFonts w:ascii="Arial Narrow" w:hAnsi="Arial Narrow"/>
                <w:color w:val="000000"/>
                <w:spacing w:val="9"/>
                <w:sz w:val="20"/>
                <w:szCs w:val="20"/>
                <w:shd w:val="solid" w:color="000000" w:fill="000000"/>
                <w:fitText w:val="310" w:id="-606363376"/>
                <w:lang w:eastAsia="en-US"/>
                <w14:textFill>
                  <w14:solidFill>
                    <w14:srgbClr w14:val="000000">
                      <w14:alpha w14:val="100000"/>
                    </w14:srgbClr>
                  </w14:solidFill>
                </w14:textFill>
              </w:rPr>
              <w:t>|  |</w:t>
            </w:r>
            <w:proofErr w:type="gramEnd"/>
            <w:r w:rsidRPr="00255D1B">
              <w:rPr>
                <w:rFonts w:ascii="Arial Narrow" w:hAnsi="Arial Narrow"/>
                <w:color w:val="000000"/>
                <w:spacing w:val="4"/>
                <w:sz w:val="20"/>
                <w:szCs w:val="20"/>
                <w:shd w:val="solid" w:color="000000" w:fill="000000"/>
                <w:fitText w:val="310" w:id="-606363376"/>
                <w:lang w:eastAsia="en-US"/>
                <w14:textFill>
                  <w14:solidFill>
                    <w14:srgbClr w14:val="000000">
                      <w14:alpha w14:val="100000"/>
                    </w14:srgbClr>
                  </w14:solidFill>
                </w14:textFill>
              </w:rPr>
              <w:t>|</w:t>
            </w:r>
            <w:r w:rsidR="008735A2" w:rsidRPr="003420C3">
              <w:rPr>
                <w:rFonts w:ascii="Arial Narrow" w:hAnsi="Arial Narrow"/>
                <w:sz w:val="20"/>
                <w:szCs w:val="20"/>
                <w:vertAlign w:val="superscript"/>
              </w:rPr>
              <w:t>2</w:t>
            </w:r>
            <w:r w:rsidR="0014622E">
              <w:rPr>
                <w:rFonts w:ascii="Arial Narrow" w:hAnsi="Arial Narrow"/>
                <w:sz w:val="20"/>
                <w:szCs w:val="20"/>
                <w:lang w:eastAsia="en-US"/>
              </w:rPr>
              <w:t xml:space="preserve"> in Yr 1 to </w:t>
            </w:r>
            <w:r w:rsidRPr="00255D1B">
              <w:rPr>
                <w:rFonts w:ascii="Arial Narrow" w:hAnsi="Arial Narrow"/>
                <w:color w:val="000000"/>
                <w:spacing w:val="9"/>
                <w:sz w:val="20"/>
                <w:szCs w:val="20"/>
                <w:shd w:val="solid" w:color="000000" w:fill="000000"/>
                <w:fitText w:val="310" w:id="-606363392"/>
                <w:lang w:eastAsia="en-US"/>
                <w14:textFill>
                  <w14:solidFill>
                    <w14:srgbClr w14:val="000000">
                      <w14:alpha w14:val="100000"/>
                    </w14:srgbClr>
                  </w14:solidFill>
                </w14:textFill>
              </w:rPr>
              <w:t>|</w:t>
            </w:r>
            <w:proofErr w:type="gramStart"/>
            <w:r w:rsidRPr="00255D1B">
              <w:rPr>
                <w:rFonts w:ascii="Arial Narrow" w:hAnsi="Arial Narrow"/>
                <w:color w:val="000000"/>
                <w:spacing w:val="9"/>
                <w:sz w:val="20"/>
                <w:szCs w:val="20"/>
                <w:shd w:val="solid" w:color="000000" w:fill="000000"/>
                <w:fitText w:val="310" w:id="-606363392"/>
                <w:lang w:eastAsia="en-US"/>
                <w14:textFill>
                  <w14:solidFill>
                    <w14:srgbClr w14:val="000000">
                      <w14:alpha w14:val="100000"/>
                    </w14:srgbClr>
                  </w14:solidFill>
                </w14:textFill>
              </w:rPr>
              <w:t>|  |</w:t>
            </w:r>
            <w:proofErr w:type="gramEnd"/>
            <w:r w:rsidRPr="00255D1B">
              <w:rPr>
                <w:rFonts w:ascii="Arial Narrow" w:hAnsi="Arial Narrow"/>
                <w:color w:val="000000"/>
                <w:spacing w:val="4"/>
                <w:sz w:val="20"/>
                <w:szCs w:val="20"/>
                <w:shd w:val="solid" w:color="000000" w:fill="000000"/>
                <w:fitText w:val="310" w:id="-606363392"/>
                <w:lang w:eastAsia="en-US"/>
                <w14:textFill>
                  <w14:solidFill>
                    <w14:srgbClr w14:val="000000">
                      <w14:alpha w14:val="100000"/>
                    </w14:srgbClr>
                  </w14:solidFill>
                </w14:textFill>
              </w:rPr>
              <w:t>|</w:t>
            </w:r>
            <w:r w:rsidR="008735A2" w:rsidRPr="003420C3">
              <w:rPr>
                <w:rFonts w:ascii="Arial Narrow" w:hAnsi="Arial Narrow"/>
                <w:sz w:val="20"/>
                <w:szCs w:val="20"/>
                <w:vertAlign w:val="superscript"/>
              </w:rPr>
              <w:t>2</w:t>
            </w:r>
            <w:r w:rsidR="0014622E">
              <w:rPr>
                <w:rFonts w:ascii="Arial Narrow" w:hAnsi="Arial Narrow"/>
                <w:sz w:val="20"/>
                <w:szCs w:val="20"/>
                <w:lang w:eastAsia="en-US"/>
              </w:rPr>
              <w:t xml:space="preserve"> in Yr 6 </w:t>
            </w:r>
          </w:p>
        </w:tc>
      </w:tr>
      <w:tr w:rsidR="0014622E" w:rsidRPr="00C63D6E" w14:paraId="17C9A9F4" w14:textId="77777777" w:rsidTr="0014622E">
        <w:tc>
          <w:tcPr>
            <w:tcW w:w="1667" w:type="pct"/>
            <w:vAlign w:val="center"/>
          </w:tcPr>
          <w:p w14:paraId="08730C0D" w14:textId="46DABC30" w:rsidR="0014622E" w:rsidRPr="00C63D6E" w:rsidRDefault="0014622E" w:rsidP="00B53D6F">
            <w:pPr>
              <w:pStyle w:val="3-BodyText"/>
              <w:keepNext/>
              <w:keepLines/>
              <w:numPr>
                <w:ilvl w:val="0"/>
                <w:numId w:val="0"/>
              </w:numPr>
              <w:spacing w:after="0"/>
              <w:rPr>
                <w:rFonts w:ascii="Arial Narrow" w:hAnsi="Arial Narrow"/>
                <w:sz w:val="20"/>
                <w:szCs w:val="20"/>
              </w:rPr>
            </w:pPr>
            <w:r w:rsidRPr="00C63D6E">
              <w:rPr>
                <w:rFonts w:ascii="Arial Narrow" w:hAnsi="Arial Narrow"/>
                <w:sz w:val="20"/>
                <w:szCs w:val="20"/>
              </w:rPr>
              <w:t>Prevalent patients</w:t>
            </w:r>
            <w:r>
              <w:rPr>
                <w:rFonts w:ascii="Arial Narrow" w:hAnsi="Arial Narrow"/>
                <w:sz w:val="20"/>
                <w:szCs w:val="20"/>
              </w:rPr>
              <w:t xml:space="preserve"> treated with O +C </w:t>
            </w:r>
          </w:p>
        </w:tc>
        <w:tc>
          <w:tcPr>
            <w:tcW w:w="1667" w:type="pct"/>
            <w:vAlign w:val="center"/>
          </w:tcPr>
          <w:p w14:paraId="40A20665" w14:textId="58FD79FB" w:rsidR="0014622E" w:rsidRPr="00C63D6E" w:rsidRDefault="00255D1B" w:rsidP="00B53D6F">
            <w:pPr>
              <w:keepNext/>
              <w:keepLines/>
              <w:rPr>
                <w:rFonts w:ascii="Arial Narrow" w:hAnsi="Arial Narrow"/>
                <w:sz w:val="20"/>
                <w:szCs w:val="20"/>
              </w:rPr>
            </w:pPr>
            <w:r w:rsidRPr="00255D1B">
              <w:rPr>
                <w:rFonts w:ascii="Arial Narrow" w:hAnsi="Arial Narrow"/>
                <w:color w:val="000000"/>
                <w:spacing w:val="9"/>
                <w:sz w:val="20"/>
                <w:szCs w:val="20"/>
                <w:shd w:val="solid" w:color="000000" w:fill="000000"/>
                <w:fitText w:val="310" w:id="-606363391"/>
                <w14:textFill>
                  <w14:solidFill>
                    <w14:srgbClr w14:val="000000">
                      <w14:alpha w14:val="100000"/>
                    </w14:srgbClr>
                  </w14:solidFill>
                </w14:textFill>
              </w:rPr>
              <w:t>|</w:t>
            </w:r>
            <w:proofErr w:type="gramStart"/>
            <w:r w:rsidRPr="00255D1B">
              <w:rPr>
                <w:rFonts w:ascii="Arial Narrow" w:hAnsi="Arial Narrow"/>
                <w:color w:val="000000"/>
                <w:spacing w:val="9"/>
                <w:sz w:val="20"/>
                <w:szCs w:val="20"/>
                <w:shd w:val="solid" w:color="000000" w:fill="000000"/>
                <w:fitText w:val="310" w:id="-606363391"/>
                <w14:textFill>
                  <w14:solidFill>
                    <w14:srgbClr w14:val="000000">
                      <w14:alpha w14:val="100000"/>
                    </w14:srgbClr>
                  </w14:solidFill>
                </w14:textFill>
              </w:rPr>
              <w:t>|  |</w:t>
            </w:r>
            <w:proofErr w:type="gramEnd"/>
            <w:r w:rsidRPr="00255D1B">
              <w:rPr>
                <w:rFonts w:ascii="Arial Narrow" w:hAnsi="Arial Narrow"/>
                <w:color w:val="000000"/>
                <w:spacing w:val="4"/>
                <w:sz w:val="20"/>
                <w:szCs w:val="20"/>
                <w:shd w:val="solid" w:color="000000" w:fill="000000"/>
                <w:fitText w:val="310" w:id="-606363391"/>
                <w14:textFill>
                  <w14:solidFill>
                    <w14:srgbClr w14:val="000000">
                      <w14:alpha w14:val="100000"/>
                    </w14:srgbClr>
                  </w14:solidFill>
                </w14:textFill>
              </w:rPr>
              <w:t>|</w:t>
            </w:r>
            <w:r w:rsidR="003B3014" w:rsidRPr="003420C3">
              <w:rPr>
                <w:rFonts w:ascii="Arial Narrow" w:hAnsi="Arial Narrow"/>
                <w:sz w:val="20"/>
                <w:szCs w:val="20"/>
                <w:vertAlign w:val="superscript"/>
              </w:rPr>
              <w:t>2</w:t>
            </w:r>
            <w:r w:rsidR="0014622E" w:rsidRPr="00C63D6E">
              <w:rPr>
                <w:rFonts w:ascii="Arial Narrow" w:hAnsi="Arial Narrow"/>
                <w:sz w:val="20"/>
                <w:szCs w:val="20"/>
              </w:rPr>
              <w:t xml:space="preserve"> in Yr 1 </w:t>
            </w:r>
          </w:p>
        </w:tc>
        <w:tc>
          <w:tcPr>
            <w:tcW w:w="1667" w:type="pct"/>
          </w:tcPr>
          <w:p w14:paraId="22DC28F6" w14:textId="1098757B" w:rsidR="0014622E" w:rsidRPr="00C63D6E" w:rsidRDefault="00255D1B" w:rsidP="00B53D6F">
            <w:pPr>
              <w:pStyle w:val="3-BodyText"/>
              <w:keepNext/>
              <w:keepLines/>
              <w:numPr>
                <w:ilvl w:val="0"/>
                <w:numId w:val="0"/>
              </w:numPr>
              <w:spacing w:after="0"/>
              <w:rPr>
                <w:rFonts w:ascii="Arial Narrow" w:hAnsi="Arial Narrow"/>
                <w:sz w:val="20"/>
                <w:szCs w:val="20"/>
                <w:lang w:eastAsia="en-US"/>
              </w:rPr>
            </w:pPr>
            <w:r w:rsidRPr="00255D1B">
              <w:rPr>
                <w:rFonts w:ascii="Arial Narrow" w:hAnsi="Arial Narrow"/>
                <w:color w:val="000000"/>
                <w:spacing w:val="9"/>
                <w:sz w:val="20"/>
                <w:szCs w:val="20"/>
                <w:shd w:val="solid" w:color="000000" w:fill="000000"/>
                <w:fitText w:val="310" w:id="-606363390"/>
                <w:lang w:eastAsia="en-US"/>
                <w14:textFill>
                  <w14:solidFill>
                    <w14:srgbClr w14:val="000000">
                      <w14:alpha w14:val="100000"/>
                    </w14:srgbClr>
                  </w14:solidFill>
                </w14:textFill>
              </w:rPr>
              <w:t>|</w:t>
            </w:r>
            <w:proofErr w:type="gramStart"/>
            <w:r w:rsidRPr="00255D1B">
              <w:rPr>
                <w:rFonts w:ascii="Arial Narrow" w:hAnsi="Arial Narrow"/>
                <w:color w:val="000000"/>
                <w:spacing w:val="9"/>
                <w:sz w:val="20"/>
                <w:szCs w:val="20"/>
                <w:shd w:val="solid" w:color="000000" w:fill="000000"/>
                <w:fitText w:val="310" w:id="-606363390"/>
                <w:lang w:eastAsia="en-US"/>
                <w14:textFill>
                  <w14:solidFill>
                    <w14:srgbClr w14:val="000000">
                      <w14:alpha w14:val="100000"/>
                    </w14:srgbClr>
                  </w14:solidFill>
                </w14:textFill>
              </w:rPr>
              <w:t>|  |</w:t>
            </w:r>
            <w:proofErr w:type="gramEnd"/>
            <w:r w:rsidRPr="00255D1B">
              <w:rPr>
                <w:rFonts w:ascii="Arial Narrow" w:hAnsi="Arial Narrow"/>
                <w:color w:val="000000"/>
                <w:spacing w:val="4"/>
                <w:sz w:val="20"/>
                <w:szCs w:val="20"/>
                <w:shd w:val="solid" w:color="000000" w:fill="000000"/>
                <w:fitText w:val="310" w:id="-606363390"/>
                <w:lang w:eastAsia="en-US"/>
                <w14:textFill>
                  <w14:solidFill>
                    <w14:srgbClr w14:val="000000">
                      <w14:alpha w14:val="100000"/>
                    </w14:srgbClr>
                  </w14:solidFill>
                </w14:textFill>
              </w:rPr>
              <w:t>|</w:t>
            </w:r>
            <w:r w:rsidR="008735A2" w:rsidRPr="003420C3">
              <w:rPr>
                <w:rFonts w:ascii="Arial Narrow" w:hAnsi="Arial Narrow"/>
                <w:sz w:val="20"/>
                <w:szCs w:val="20"/>
                <w:vertAlign w:val="superscript"/>
              </w:rPr>
              <w:t>2</w:t>
            </w:r>
            <w:r w:rsidR="0014622E">
              <w:rPr>
                <w:rFonts w:ascii="Arial Narrow" w:hAnsi="Arial Narrow"/>
                <w:sz w:val="20"/>
                <w:szCs w:val="20"/>
                <w:lang w:eastAsia="en-US"/>
              </w:rPr>
              <w:t xml:space="preserve"> in Yr </w:t>
            </w:r>
            <w:r w:rsidR="003D0FAD">
              <w:rPr>
                <w:rFonts w:ascii="Arial Narrow" w:hAnsi="Arial Narrow"/>
                <w:sz w:val="20"/>
                <w:szCs w:val="20"/>
                <w:lang w:eastAsia="en-US"/>
              </w:rPr>
              <w:t>1</w:t>
            </w:r>
            <w:r w:rsidR="003D0FAD">
              <w:rPr>
                <w:rFonts w:ascii="Arial Narrow" w:hAnsi="Arial Narrow"/>
                <w:sz w:val="20"/>
                <w:szCs w:val="20"/>
                <w:vertAlign w:val="superscript"/>
              </w:rPr>
              <w:t>a</w:t>
            </w:r>
          </w:p>
        </w:tc>
      </w:tr>
      <w:tr w:rsidR="0014622E" w:rsidRPr="00C63D6E" w14:paraId="2A7141C6" w14:textId="77777777" w:rsidTr="0014622E">
        <w:tc>
          <w:tcPr>
            <w:tcW w:w="1667" w:type="pct"/>
            <w:vAlign w:val="center"/>
          </w:tcPr>
          <w:p w14:paraId="1CB78A82" w14:textId="25A23DE8" w:rsidR="0014622E" w:rsidRPr="00C63D6E" w:rsidRDefault="0014622E" w:rsidP="00B53D6F">
            <w:pPr>
              <w:pStyle w:val="3-BodyText"/>
              <w:keepNext/>
              <w:keepLines/>
              <w:numPr>
                <w:ilvl w:val="0"/>
                <w:numId w:val="0"/>
              </w:numPr>
              <w:spacing w:after="0"/>
              <w:rPr>
                <w:rFonts w:ascii="Arial Narrow" w:hAnsi="Arial Narrow"/>
                <w:sz w:val="20"/>
                <w:szCs w:val="20"/>
              </w:rPr>
            </w:pPr>
            <w:r w:rsidRPr="00C63D6E">
              <w:rPr>
                <w:rFonts w:ascii="Arial Narrow" w:hAnsi="Arial Narrow"/>
                <w:sz w:val="20"/>
                <w:szCs w:val="20"/>
              </w:rPr>
              <w:t>D</w:t>
            </w:r>
            <w:r w:rsidR="00942245">
              <w:rPr>
                <w:rFonts w:ascii="Arial Narrow" w:hAnsi="Arial Narrow"/>
                <w:sz w:val="20"/>
                <w:szCs w:val="20"/>
              </w:rPr>
              <w:t>uration of treatment</w:t>
            </w:r>
          </w:p>
        </w:tc>
        <w:tc>
          <w:tcPr>
            <w:tcW w:w="1667" w:type="pct"/>
            <w:vAlign w:val="center"/>
          </w:tcPr>
          <w:p w14:paraId="48495798" w14:textId="703D509D" w:rsidR="0014622E" w:rsidRPr="00C63D6E" w:rsidRDefault="00255D1B" w:rsidP="00B53D6F">
            <w:pPr>
              <w:keepNext/>
              <w:keepLines/>
              <w:rPr>
                <w:rFonts w:ascii="Arial Narrow" w:hAnsi="Arial Narrow"/>
                <w:sz w:val="20"/>
                <w:szCs w:val="20"/>
              </w:rPr>
            </w:pPr>
            <w:r w:rsidRPr="00255D1B">
              <w:rPr>
                <w:rFonts w:ascii="Arial Narrow" w:hAnsi="Arial Narrow"/>
                <w:color w:val="000000"/>
                <w:spacing w:val="9"/>
                <w:sz w:val="20"/>
                <w:szCs w:val="20"/>
                <w:shd w:val="solid" w:color="000000" w:fill="000000"/>
                <w:fitText w:val="310" w:id="-606363389"/>
                <w14:textFill>
                  <w14:solidFill>
                    <w14:srgbClr w14:val="000000">
                      <w14:alpha w14:val="100000"/>
                    </w14:srgbClr>
                  </w14:solidFill>
                </w14:textFill>
              </w:rPr>
              <w:t>|</w:t>
            </w:r>
            <w:proofErr w:type="gramStart"/>
            <w:r w:rsidRPr="00255D1B">
              <w:rPr>
                <w:rFonts w:ascii="Arial Narrow" w:hAnsi="Arial Narrow"/>
                <w:color w:val="000000"/>
                <w:spacing w:val="9"/>
                <w:sz w:val="20"/>
                <w:szCs w:val="20"/>
                <w:shd w:val="solid" w:color="000000" w:fill="000000"/>
                <w:fitText w:val="310" w:id="-606363389"/>
                <w14:textFill>
                  <w14:solidFill>
                    <w14:srgbClr w14:val="000000">
                      <w14:alpha w14:val="100000"/>
                    </w14:srgbClr>
                  </w14:solidFill>
                </w14:textFill>
              </w:rPr>
              <w:t>|  |</w:t>
            </w:r>
            <w:proofErr w:type="gramEnd"/>
            <w:r w:rsidRPr="00255D1B">
              <w:rPr>
                <w:rFonts w:ascii="Arial Narrow" w:hAnsi="Arial Narrow"/>
                <w:color w:val="000000"/>
                <w:spacing w:val="4"/>
                <w:sz w:val="20"/>
                <w:szCs w:val="20"/>
                <w:shd w:val="solid" w:color="000000" w:fill="000000"/>
                <w:fitText w:val="310" w:id="-606363389"/>
                <w14:textFill>
                  <w14:solidFill>
                    <w14:srgbClr w14:val="000000">
                      <w14:alpha w14:val="100000"/>
                    </w14:srgbClr>
                  </w14:solidFill>
                </w14:textFill>
              </w:rPr>
              <w:t>|</w:t>
            </w:r>
            <w:r w:rsidR="0014622E" w:rsidRPr="00C63D6E">
              <w:rPr>
                <w:rFonts w:ascii="Arial Narrow" w:hAnsi="Arial Narrow"/>
                <w:sz w:val="20"/>
                <w:szCs w:val="20"/>
              </w:rPr>
              <w:t xml:space="preserve"> months </w:t>
            </w:r>
            <w:r w:rsidR="0014622E">
              <w:rPr>
                <w:rFonts w:ascii="Arial Narrow" w:hAnsi="Arial Narrow"/>
                <w:sz w:val="20"/>
                <w:szCs w:val="20"/>
              </w:rPr>
              <w:t xml:space="preserve">for </w:t>
            </w:r>
            <w:r w:rsidR="0014622E" w:rsidRPr="00C63D6E">
              <w:rPr>
                <w:rFonts w:ascii="Arial Narrow" w:hAnsi="Arial Narrow"/>
                <w:sz w:val="20"/>
                <w:szCs w:val="20"/>
              </w:rPr>
              <w:t xml:space="preserve">O+C and capped duration of </w:t>
            </w:r>
            <w:r w:rsidRPr="00255D1B">
              <w:rPr>
                <w:rFonts w:ascii="Arial Narrow" w:hAnsi="Arial Narrow"/>
                <w:color w:val="000000"/>
                <w:spacing w:val="9"/>
                <w:sz w:val="20"/>
                <w:szCs w:val="20"/>
                <w:shd w:val="solid" w:color="000000" w:fill="000000"/>
                <w:fitText w:val="310" w:id="-606363388"/>
                <w14:textFill>
                  <w14:solidFill>
                    <w14:srgbClr w14:val="000000">
                      <w14:alpha w14:val="100000"/>
                    </w14:srgbClr>
                  </w14:solidFill>
                </w14:textFill>
              </w:rPr>
              <w:t>|</w:t>
            </w:r>
            <w:proofErr w:type="gramStart"/>
            <w:r w:rsidRPr="00255D1B">
              <w:rPr>
                <w:rFonts w:ascii="Arial Narrow" w:hAnsi="Arial Narrow"/>
                <w:color w:val="000000"/>
                <w:spacing w:val="9"/>
                <w:sz w:val="20"/>
                <w:szCs w:val="20"/>
                <w:shd w:val="solid" w:color="000000" w:fill="000000"/>
                <w:fitText w:val="310" w:id="-606363388"/>
                <w14:textFill>
                  <w14:solidFill>
                    <w14:srgbClr w14:val="000000">
                      <w14:alpha w14:val="100000"/>
                    </w14:srgbClr>
                  </w14:solidFill>
                </w14:textFill>
              </w:rPr>
              <w:t>|  |</w:t>
            </w:r>
            <w:proofErr w:type="gramEnd"/>
            <w:r w:rsidRPr="00255D1B">
              <w:rPr>
                <w:rFonts w:ascii="Arial Narrow" w:hAnsi="Arial Narrow"/>
                <w:color w:val="000000"/>
                <w:spacing w:val="4"/>
                <w:sz w:val="20"/>
                <w:szCs w:val="20"/>
                <w:shd w:val="solid" w:color="000000" w:fill="000000"/>
                <w:fitText w:val="310" w:id="-606363388"/>
                <w14:textFill>
                  <w14:solidFill>
                    <w14:srgbClr w14:val="000000">
                      <w14:alpha w14:val="100000"/>
                    </w14:srgbClr>
                  </w14:solidFill>
                </w14:textFill>
              </w:rPr>
              <w:t>|</w:t>
            </w:r>
            <w:r w:rsidR="0014622E" w:rsidRPr="00C63D6E">
              <w:rPr>
                <w:rFonts w:ascii="Arial Narrow" w:hAnsi="Arial Narrow"/>
                <w:sz w:val="20"/>
                <w:szCs w:val="20"/>
              </w:rPr>
              <w:t xml:space="preserve"> months </w:t>
            </w:r>
            <w:r w:rsidR="0014622E">
              <w:rPr>
                <w:rFonts w:ascii="Arial Narrow" w:hAnsi="Arial Narrow"/>
                <w:sz w:val="20"/>
                <w:szCs w:val="20"/>
              </w:rPr>
              <w:t xml:space="preserve">for </w:t>
            </w:r>
            <w:proofErr w:type="spellStart"/>
            <w:r w:rsidR="0014622E">
              <w:rPr>
                <w:rFonts w:ascii="Arial Narrow" w:hAnsi="Arial Narrow"/>
                <w:sz w:val="20"/>
                <w:szCs w:val="20"/>
              </w:rPr>
              <w:t>osimertinib</w:t>
            </w:r>
            <w:proofErr w:type="spellEnd"/>
          </w:p>
        </w:tc>
        <w:tc>
          <w:tcPr>
            <w:tcW w:w="1667" w:type="pct"/>
          </w:tcPr>
          <w:p w14:paraId="5127CCFF" w14:textId="74D48A2D" w:rsidR="0014622E" w:rsidRDefault="00255D1B" w:rsidP="00B53D6F">
            <w:pPr>
              <w:pStyle w:val="3-BodyText"/>
              <w:keepNext/>
              <w:keepLines/>
              <w:numPr>
                <w:ilvl w:val="0"/>
                <w:numId w:val="0"/>
              </w:numPr>
              <w:spacing w:after="0"/>
              <w:rPr>
                <w:rFonts w:ascii="Arial Narrow" w:hAnsi="Arial Narrow"/>
                <w:sz w:val="20"/>
                <w:szCs w:val="20"/>
              </w:rPr>
            </w:pPr>
            <w:r w:rsidRPr="00255D1B">
              <w:rPr>
                <w:rFonts w:ascii="Arial Narrow" w:hAnsi="Arial Narrow"/>
                <w:color w:val="000000"/>
                <w:spacing w:val="9"/>
                <w:sz w:val="20"/>
                <w:szCs w:val="20"/>
                <w:shd w:val="solid" w:color="000000" w:fill="000000"/>
                <w:fitText w:val="310" w:id="-606363387"/>
                <w14:textFill>
                  <w14:solidFill>
                    <w14:srgbClr w14:val="000000">
                      <w14:alpha w14:val="100000"/>
                    </w14:srgbClr>
                  </w14:solidFill>
                </w14:textFill>
              </w:rPr>
              <w:t>|</w:t>
            </w:r>
            <w:proofErr w:type="gramStart"/>
            <w:r w:rsidRPr="00255D1B">
              <w:rPr>
                <w:rFonts w:ascii="Arial Narrow" w:hAnsi="Arial Narrow"/>
                <w:color w:val="000000"/>
                <w:spacing w:val="9"/>
                <w:sz w:val="20"/>
                <w:szCs w:val="20"/>
                <w:shd w:val="solid" w:color="000000" w:fill="000000"/>
                <w:fitText w:val="310" w:id="-606363387"/>
                <w14:textFill>
                  <w14:solidFill>
                    <w14:srgbClr w14:val="000000">
                      <w14:alpha w14:val="100000"/>
                    </w14:srgbClr>
                  </w14:solidFill>
                </w14:textFill>
              </w:rPr>
              <w:t>|  |</w:t>
            </w:r>
            <w:proofErr w:type="gramEnd"/>
            <w:r w:rsidRPr="00255D1B">
              <w:rPr>
                <w:rFonts w:ascii="Arial Narrow" w:hAnsi="Arial Narrow"/>
                <w:color w:val="000000"/>
                <w:spacing w:val="4"/>
                <w:sz w:val="20"/>
                <w:szCs w:val="20"/>
                <w:shd w:val="solid" w:color="000000" w:fill="000000"/>
                <w:fitText w:val="310" w:id="-606363387"/>
                <w14:textFill>
                  <w14:solidFill>
                    <w14:srgbClr w14:val="000000">
                      <w14:alpha w14:val="100000"/>
                    </w14:srgbClr>
                  </w14:solidFill>
                </w14:textFill>
              </w:rPr>
              <w:t>|</w:t>
            </w:r>
            <w:r w:rsidR="0014622E" w:rsidRPr="00C63D6E">
              <w:rPr>
                <w:rFonts w:ascii="Arial Narrow" w:hAnsi="Arial Narrow"/>
                <w:sz w:val="20"/>
                <w:szCs w:val="20"/>
              </w:rPr>
              <w:t xml:space="preserve"> months </w:t>
            </w:r>
            <w:r w:rsidR="0014622E">
              <w:rPr>
                <w:rFonts w:ascii="Arial Narrow" w:hAnsi="Arial Narrow"/>
                <w:sz w:val="20"/>
                <w:szCs w:val="20"/>
              </w:rPr>
              <w:t xml:space="preserve">for </w:t>
            </w:r>
            <w:r w:rsidR="0014622E" w:rsidRPr="00C63D6E">
              <w:rPr>
                <w:rFonts w:ascii="Arial Narrow" w:hAnsi="Arial Narrow"/>
                <w:sz w:val="20"/>
                <w:szCs w:val="20"/>
              </w:rPr>
              <w:t xml:space="preserve">O+C and capped duration of </w:t>
            </w:r>
            <w:r w:rsidRPr="00255D1B">
              <w:rPr>
                <w:rFonts w:ascii="Arial Narrow" w:hAnsi="Arial Narrow"/>
                <w:color w:val="000000"/>
                <w:spacing w:val="9"/>
                <w:sz w:val="20"/>
                <w:szCs w:val="20"/>
                <w:shd w:val="solid" w:color="000000" w:fill="000000"/>
                <w:fitText w:val="310" w:id="-606363386"/>
                <w14:textFill>
                  <w14:solidFill>
                    <w14:srgbClr w14:val="000000">
                      <w14:alpha w14:val="100000"/>
                    </w14:srgbClr>
                  </w14:solidFill>
                </w14:textFill>
              </w:rPr>
              <w:t>|</w:t>
            </w:r>
            <w:proofErr w:type="gramStart"/>
            <w:r w:rsidRPr="00255D1B">
              <w:rPr>
                <w:rFonts w:ascii="Arial Narrow" w:hAnsi="Arial Narrow"/>
                <w:color w:val="000000"/>
                <w:spacing w:val="9"/>
                <w:sz w:val="20"/>
                <w:szCs w:val="20"/>
                <w:shd w:val="solid" w:color="000000" w:fill="000000"/>
                <w:fitText w:val="310" w:id="-606363386"/>
                <w14:textFill>
                  <w14:solidFill>
                    <w14:srgbClr w14:val="000000">
                      <w14:alpha w14:val="100000"/>
                    </w14:srgbClr>
                  </w14:solidFill>
                </w14:textFill>
              </w:rPr>
              <w:t>|  |</w:t>
            </w:r>
            <w:proofErr w:type="gramEnd"/>
            <w:r w:rsidRPr="00255D1B">
              <w:rPr>
                <w:rFonts w:ascii="Arial Narrow" w:hAnsi="Arial Narrow"/>
                <w:color w:val="000000"/>
                <w:spacing w:val="4"/>
                <w:sz w:val="20"/>
                <w:szCs w:val="20"/>
                <w:shd w:val="solid" w:color="000000" w:fill="000000"/>
                <w:fitText w:val="310" w:id="-606363386"/>
                <w14:textFill>
                  <w14:solidFill>
                    <w14:srgbClr w14:val="000000">
                      <w14:alpha w14:val="100000"/>
                    </w14:srgbClr>
                  </w14:solidFill>
                </w14:textFill>
              </w:rPr>
              <w:t>|</w:t>
            </w:r>
            <w:r w:rsidR="0014622E" w:rsidRPr="00C63D6E">
              <w:rPr>
                <w:rFonts w:ascii="Arial Narrow" w:hAnsi="Arial Narrow"/>
                <w:sz w:val="20"/>
                <w:szCs w:val="20"/>
              </w:rPr>
              <w:t xml:space="preserve"> months </w:t>
            </w:r>
            <w:r w:rsidR="0014622E">
              <w:rPr>
                <w:rFonts w:ascii="Arial Narrow" w:hAnsi="Arial Narrow"/>
                <w:sz w:val="20"/>
                <w:szCs w:val="20"/>
              </w:rPr>
              <w:t xml:space="preserve">for </w:t>
            </w:r>
            <w:proofErr w:type="spellStart"/>
            <w:r w:rsidR="0014622E">
              <w:rPr>
                <w:rFonts w:ascii="Arial Narrow" w:hAnsi="Arial Narrow"/>
                <w:sz w:val="20"/>
                <w:szCs w:val="20"/>
              </w:rPr>
              <w:t>osimertinib</w:t>
            </w:r>
            <w:proofErr w:type="spellEnd"/>
            <w:r w:rsidR="0014622E">
              <w:rPr>
                <w:rFonts w:ascii="Arial Narrow" w:hAnsi="Arial Narrow"/>
                <w:sz w:val="20"/>
                <w:szCs w:val="20"/>
              </w:rPr>
              <w:t>.</w:t>
            </w:r>
          </w:p>
          <w:p w14:paraId="35DB92E5" w14:textId="77777777" w:rsidR="0014622E" w:rsidRDefault="0014622E" w:rsidP="00B53D6F">
            <w:pPr>
              <w:pStyle w:val="3-BodyText"/>
              <w:keepNext/>
              <w:keepLines/>
              <w:numPr>
                <w:ilvl w:val="0"/>
                <w:numId w:val="0"/>
              </w:numPr>
              <w:spacing w:after="0"/>
              <w:rPr>
                <w:rFonts w:ascii="Arial Narrow" w:hAnsi="Arial Narrow"/>
                <w:sz w:val="20"/>
                <w:szCs w:val="20"/>
              </w:rPr>
            </w:pPr>
          </w:p>
          <w:p w14:paraId="40B24F2A" w14:textId="6D1E8786" w:rsidR="0014622E" w:rsidRPr="00C63D6E" w:rsidRDefault="0014622E" w:rsidP="00B53D6F">
            <w:pPr>
              <w:pStyle w:val="3-BodyText"/>
              <w:keepNext/>
              <w:keepLines/>
              <w:numPr>
                <w:ilvl w:val="0"/>
                <w:numId w:val="0"/>
              </w:numPr>
              <w:spacing w:after="0"/>
              <w:rPr>
                <w:rFonts w:ascii="Arial Narrow" w:hAnsi="Arial Narrow"/>
                <w:sz w:val="20"/>
                <w:szCs w:val="20"/>
                <w:lang w:eastAsia="en-US"/>
              </w:rPr>
            </w:pPr>
            <w:r>
              <w:rPr>
                <w:rFonts w:ascii="Arial Narrow" w:hAnsi="Arial Narrow"/>
                <w:sz w:val="20"/>
                <w:szCs w:val="20"/>
                <w:lang w:eastAsia="en-US"/>
              </w:rPr>
              <w:t xml:space="preserve">Assumed prevalent patients would have received </w:t>
            </w:r>
            <w:r w:rsidR="00255D1B" w:rsidRPr="00255D1B">
              <w:rPr>
                <w:rFonts w:ascii="Arial Narrow" w:hAnsi="Arial Narrow"/>
                <w:color w:val="000000"/>
                <w:spacing w:val="9"/>
                <w:sz w:val="20"/>
                <w:szCs w:val="20"/>
                <w:shd w:val="solid" w:color="000000" w:fill="000000"/>
                <w:fitText w:val="310" w:id="-606363385"/>
                <w:lang w:eastAsia="en-US"/>
                <w14:textFill>
                  <w14:solidFill>
                    <w14:srgbClr w14:val="000000">
                      <w14:alpha w14:val="100000"/>
                    </w14:srgbClr>
                  </w14:solidFill>
                </w14:textFill>
              </w:rPr>
              <w:t>|</w:t>
            </w:r>
            <w:proofErr w:type="gramStart"/>
            <w:r w:rsidR="00255D1B" w:rsidRPr="00255D1B">
              <w:rPr>
                <w:rFonts w:ascii="Arial Narrow" w:hAnsi="Arial Narrow"/>
                <w:color w:val="000000"/>
                <w:spacing w:val="9"/>
                <w:sz w:val="20"/>
                <w:szCs w:val="20"/>
                <w:shd w:val="solid" w:color="000000" w:fill="000000"/>
                <w:fitText w:val="310" w:id="-606363385"/>
                <w:lang w:eastAsia="en-US"/>
                <w14:textFill>
                  <w14:solidFill>
                    <w14:srgbClr w14:val="000000">
                      <w14:alpha w14:val="100000"/>
                    </w14:srgbClr>
                  </w14:solidFill>
                </w14:textFill>
              </w:rPr>
              <w:t>|  |</w:t>
            </w:r>
            <w:proofErr w:type="gramEnd"/>
            <w:r w:rsidR="00255D1B" w:rsidRPr="00255D1B">
              <w:rPr>
                <w:rFonts w:ascii="Arial Narrow" w:hAnsi="Arial Narrow"/>
                <w:color w:val="000000"/>
                <w:spacing w:val="9"/>
                <w:sz w:val="20"/>
                <w:szCs w:val="20"/>
                <w:shd w:val="solid" w:color="000000" w:fill="000000"/>
                <w:fitText w:val="310" w:id="-606363385"/>
                <w:lang w:eastAsia="en-US"/>
                <w14:textFill>
                  <w14:solidFill>
                    <w14:srgbClr w14:val="000000">
                      <w14:alpha w14:val="100000"/>
                    </w14:srgbClr>
                  </w14:solidFill>
                </w14:textFill>
              </w:rPr>
              <w:t>|</w:t>
            </w:r>
            <w:r>
              <w:rPr>
                <w:rFonts w:ascii="Arial Narrow" w:hAnsi="Arial Narrow"/>
                <w:sz w:val="20"/>
                <w:szCs w:val="20"/>
                <w:lang w:eastAsia="en-US"/>
              </w:rPr>
              <w:t xml:space="preserve"> months of therapy prior to O+C listing on PBS</w:t>
            </w:r>
          </w:p>
        </w:tc>
      </w:tr>
    </w:tbl>
    <w:p w14:paraId="3693EBC4" w14:textId="22F6CCD4" w:rsidR="0006310E" w:rsidRDefault="0006310E" w:rsidP="00033AB8">
      <w:pPr>
        <w:pStyle w:val="TableFigureFooter"/>
        <w:rPr>
          <w:lang w:eastAsia="en-US"/>
        </w:rPr>
      </w:pPr>
      <w:r>
        <w:rPr>
          <w:lang w:eastAsia="en-US"/>
        </w:rPr>
        <w:t xml:space="preserve">O+C = </w:t>
      </w:r>
      <w:proofErr w:type="spellStart"/>
      <w:r>
        <w:rPr>
          <w:lang w:eastAsia="en-US"/>
        </w:rPr>
        <w:t>osimertinib</w:t>
      </w:r>
      <w:proofErr w:type="spellEnd"/>
      <w:r>
        <w:rPr>
          <w:lang w:eastAsia="en-US"/>
        </w:rPr>
        <w:t xml:space="preserve"> in combination with chemotherapy</w:t>
      </w:r>
    </w:p>
    <w:p w14:paraId="7A89A451" w14:textId="73BE5AC5" w:rsidR="006B415D" w:rsidRDefault="003D0FAD" w:rsidP="00033AB8">
      <w:pPr>
        <w:pStyle w:val="TableFigureFooter"/>
        <w:rPr>
          <w:lang w:eastAsia="en-US"/>
        </w:rPr>
      </w:pPr>
      <w:r>
        <w:rPr>
          <w:lang w:eastAsia="en-US"/>
        </w:rPr>
        <w:t>a</w:t>
      </w:r>
      <w:r w:rsidR="006B415D">
        <w:rPr>
          <w:lang w:eastAsia="en-US"/>
        </w:rPr>
        <w:t xml:space="preserve">. </w:t>
      </w:r>
      <w:r w:rsidR="00460361">
        <w:rPr>
          <w:lang w:eastAsia="en-US"/>
        </w:rPr>
        <w:t xml:space="preserve">Financial estimates also account for </w:t>
      </w:r>
      <w:r w:rsidR="00C72EC6">
        <w:rPr>
          <w:lang w:eastAsia="en-US"/>
        </w:rPr>
        <w:t xml:space="preserve">&lt;500 </w:t>
      </w:r>
      <w:r w:rsidR="00015723">
        <w:rPr>
          <w:lang w:eastAsia="en-US"/>
        </w:rPr>
        <w:t xml:space="preserve">patients </w:t>
      </w:r>
      <w:r w:rsidR="00A43920">
        <w:rPr>
          <w:lang w:eastAsia="en-US"/>
        </w:rPr>
        <w:t xml:space="preserve">who initiated treatment with </w:t>
      </w:r>
      <w:proofErr w:type="spellStart"/>
      <w:r w:rsidR="00015723">
        <w:rPr>
          <w:lang w:eastAsia="en-US"/>
        </w:rPr>
        <w:t>osimertinib</w:t>
      </w:r>
      <w:proofErr w:type="spellEnd"/>
      <w:r w:rsidR="00015723">
        <w:rPr>
          <w:lang w:eastAsia="en-US"/>
        </w:rPr>
        <w:t xml:space="preserve"> monotherapy</w:t>
      </w:r>
      <w:r w:rsidR="003F620C">
        <w:rPr>
          <w:lang w:eastAsia="en-US"/>
        </w:rPr>
        <w:t xml:space="preserve"> in the year prior</w:t>
      </w:r>
      <w:r w:rsidR="00144813">
        <w:rPr>
          <w:lang w:eastAsia="en-US"/>
        </w:rPr>
        <w:t xml:space="preserve"> </w:t>
      </w:r>
      <w:r w:rsidR="00015723">
        <w:rPr>
          <w:lang w:eastAsia="en-US"/>
        </w:rPr>
        <w:t xml:space="preserve">receiving </w:t>
      </w:r>
      <w:proofErr w:type="gramStart"/>
      <w:r w:rsidR="00255D1B" w:rsidRPr="00482C2F">
        <w:rPr>
          <w:rFonts w:cs="Times New Roman"/>
          <w:color w:val="000000"/>
          <w:spacing w:val="48"/>
          <w:w w:val="85"/>
          <w:shd w:val="solid" w:color="000000" w:fill="000000"/>
          <w:fitText w:val="280" w:id="-606363384"/>
          <w:lang w:eastAsia="en-US"/>
          <w14:textFill>
            <w14:solidFill>
              <w14:srgbClr w14:val="000000">
                <w14:alpha w14:val="100000"/>
              </w14:srgbClr>
            </w14:solidFill>
          </w14:textFill>
        </w:rPr>
        <w:t xml:space="preserve">|  </w:t>
      </w:r>
      <w:r w:rsidR="00255D1B" w:rsidRPr="00482C2F">
        <w:rPr>
          <w:rFonts w:cs="Times New Roman"/>
          <w:color w:val="000000"/>
          <w:spacing w:val="2"/>
          <w:w w:val="85"/>
          <w:shd w:val="solid" w:color="000000" w:fill="000000"/>
          <w:fitText w:val="280" w:id="-606363384"/>
          <w:lang w:eastAsia="en-US"/>
          <w14:textFill>
            <w14:solidFill>
              <w14:srgbClr w14:val="000000">
                <w14:alpha w14:val="100000"/>
              </w14:srgbClr>
            </w14:solidFill>
          </w14:textFill>
        </w:rPr>
        <w:t>|</w:t>
      </w:r>
      <w:proofErr w:type="gramEnd"/>
      <w:r w:rsidR="00A43920">
        <w:rPr>
          <w:lang w:eastAsia="en-US"/>
        </w:rPr>
        <w:t xml:space="preserve"> months </w:t>
      </w:r>
      <w:r w:rsidR="003F620C">
        <w:rPr>
          <w:lang w:eastAsia="en-US"/>
        </w:rPr>
        <w:t xml:space="preserve">of treatment in Year 1 </w:t>
      </w:r>
      <w:r w:rsidR="009C15C0">
        <w:rPr>
          <w:lang w:eastAsia="en-US"/>
        </w:rPr>
        <w:t>at the reduced weighted price</w:t>
      </w:r>
    </w:p>
    <w:p w14:paraId="512F5FD7" w14:textId="77777777" w:rsidR="00F419E1" w:rsidRPr="00745D45" w:rsidRDefault="00F419E1" w:rsidP="00033AB8">
      <w:pPr>
        <w:pStyle w:val="TableFigureFooter"/>
        <w:rPr>
          <w:i/>
        </w:rPr>
      </w:pPr>
      <w:r w:rsidRPr="00745D45">
        <w:rPr>
          <w:i/>
        </w:rPr>
        <w:t xml:space="preserve">The redacted values correspond to the following ranges: </w:t>
      </w:r>
    </w:p>
    <w:p w14:paraId="217CA163" w14:textId="77777777" w:rsidR="00F419E1" w:rsidRPr="00745D45" w:rsidRDefault="00F419E1" w:rsidP="00033AB8">
      <w:pPr>
        <w:pStyle w:val="TableFigureFooter"/>
        <w:rPr>
          <w:i/>
        </w:rPr>
      </w:pPr>
      <w:r w:rsidRPr="00745D45">
        <w:rPr>
          <w:i/>
          <w:vertAlign w:val="superscript"/>
        </w:rPr>
        <w:t>1</w:t>
      </w:r>
      <w:r w:rsidRPr="00745D45">
        <w:rPr>
          <w:i/>
        </w:rPr>
        <w:t xml:space="preserve"> 500 to &lt; 5,000</w:t>
      </w:r>
    </w:p>
    <w:p w14:paraId="7A15C317" w14:textId="1C7C7014" w:rsidR="00745D45" w:rsidRPr="0006310E" w:rsidRDefault="00F419E1" w:rsidP="00033AB8">
      <w:pPr>
        <w:pStyle w:val="TableFigureFooter"/>
        <w:rPr>
          <w:lang w:eastAsia="en-US"/>
        </w:rPr>
      </w:pPr>
      <w:r w:rsidRPr="00745D45">
        <w:rPr>
          <w:i/>
          <w:vertAlign w:val="superscript"/>
        </w:rPr>
        <w:t>2</w:t>
      </w:r>
      <w:r w:rsidRPr="00745D45">
        <w:rPr>
          <w:i/>
        </w:rPr>
        <w:t xml:space="preserve"> &lt; 500</w:t>
      </w:r>
    </w:p>
    <w:p w14:paraId="13764D15" w14:textId="08F14741" w:rsidR="00C5710D" w:rsidRDefault="007A0B9E" w:rsidP="006D491A">
      <w:pPr>
        <w:pStyle w:val="3-BodyText"/>
        <w:rPr>
          <w:lang w:eastAsia="en-US"/>
        </w:rPr>
      </w:pPr>
      <w:r>
        <w:rPr>
          <w:lang w:eastAsia="en-US"/>
        </w:rPr>
        <w:lastRenderedPageBreak/>
        <w:t xml:space="preserve">The number of first line patients treated with </w:t>
      </w:r>
      <w:proofErr w:type="spellStart"/>
      <w:r>
        <w:rPr>
          <w:lang w:eastAsia="en-US"/>
        </w:rPr>
        <w:t>osimertinib</w:t>
      </w:r>
      <w:proofErr w:type="spellEnd"/>
      <w:r>
        <w:rPr>
          <w:lang w:eastAsia="en-US"/>
        </w:rPr>
        <w:t xml:space="preserve"> monotherapy or in combination with chemotherapy is presented in </w:t>
      </w:r>
      <w:r w:rsidRPr="007A0B9E">
        <w:rPr>
          <w:lang w:eastAsia="en-US"/>
        </w:rPr>
        <w:fldChar w:fldCharType="begin"/>
      </w:r>
      <w:r w:rsidRPr="007A0B9E">
        <w:rPr>
          <w:lang w:eastAsia="en-US"/>
        </w:rPr>
        <w:instrText xml:space="preserve"> REF _Ref206053472 \h  \* MERGEFORMAT </w:instrText>
      </w:r>
      <w:r w:rsidRPr="007A0B9E">
        <w:rPr>
          <w:lang w:eastAsia="en-US"/>
        </w:rPr>
      </w:r>
      <w:r w:rsidRPr="007A0B9E">
        <w:rPr>
          <w:lang w:eastAsia="en-US"/>
        </w:rPr>
        <w:fldChar w:fldCharType="separate"/>
      </w:r>
      <w:r w:rsidR="0055339A" w:rsidRPr="00D51DFF">
        <w:t xml:space="preserve">Table </w:t>
      </w:r>
      <w:r w:rsidR="0055339A">
        <w:rPr>
          <w:noProof/>
        </w:rPr>
        <w:t>5</w:t>
      </w:r>
      <w:r w:rsidRPr="007A0B9E">
        <w:rPr>
          <w:lang w:eastAsia="en-US"/>
        </w:rPr>
        <w:fldChar w:fldCharType="end"/>
      </w:r>
      <w:r>
        <w:rPr>
          <w:lang w:eastAsia="en-US"/>
        </w:rPr>
        <w:t xml:space="preserve">. </w:t>
      </w:r>
    </w:p>
    <w:p w14:paraId="2C554638" w14:textId="40E42698" w:rsidR="00C5710D" w:rsidRDefault="00EF35B9" w:rsidP="00EF35B9">
      <w:pPr>
        <w:pStyle w:val="Caption"/>
        <w:rPr>
          <w:lang w:eastAsia="en-US"/>
        </w:rPr>
      </w:pPr>
      <w:bookmarkStart w:id="9" w:name="_Ref206053472"/>
      <w:r w:rsidRPr="00D51DFF">
        <w:t xml:space="preserve">Table </w:t>
      </w:r>
      <w:r w:rsidR="004747FA">
        <w:fldChar w:fldCharType="begin"/>
      </w:r>
      <w:r w:rsidR="004747FA">
        <w:instrText xml:space="preserve"> SEQ Table \* ARABIC </w:instrText>
      </w:r>
      <w:r w:rsidR="004747FA">
        <w:fldChar w:fldCharType="separate"/>
      </w:r>
      <w:r w:rsidR="0055339A">
        <w:rPr>
          <w:noProof/>
        </w:rPr>
        <w:t>5</w:t>
      </w:r>
      <w:r w:rsidR="004747FA">
        <w:rPr>
          <w:noProof/>
        </w:rPr>
        <w:fldChar w:fldCharType="end"/>
      </w:r>
      <w:bookmarkEnd w:id="9"/>
      <w:r>
        <w:t xml:space="preserve">: Total first-line </w:t>
      </w:r>
      <w:proofErr w:type="spellStart"/>
      <w:r>
        <w:t>osimertinib</w:t>
      </w:r>
      <w:proofErr w:type="spellEnd"/>
      <w:r>
        <w:t xml:space="preserve"> patients</w:t>
      </w:r>
    </w:p>
    <w:tbl>
      <w:tblPr>
        <w:tblW w:w="5000" w:type="pct"/>
        <w:tblLook w:val="04A0" w:firstRow="1" w:lastRow="0" w:firstColumn="1" w:lastColumn="0" w:noHBand="0" w:noVBand="1"/>
        <w:tblCaption w:val="Total first-line osimertinib patients"/>
      </w:tblPr>
      <w:tblGrid>
        <w:gridCol w:w="3678"/>
        <w:gridCol w:w="889"/>
        <w:gridCol w:w="891"/>
        <w:gridCol w:w="889"/>
        <w:gridCol w:w="891"/>
        <w:gridCol w:w="889"/>
        <w:gridCol w:w="889"/>
      </w:tblGrid>
      <w:tr w:rsidR="007A0B9E" w:rsidRPr="00C5710D" w14:paraId="13DA8E01" w14:textId="77777777" w:rsidTr="0096324F">
        <w:trPr>
          <w:trHeight w:val="249"/>
        </w:trPr>
        <w:tc>
          <w:tcPr>
            <w:tcW w:w="2040" w:type="pct"/>
            <w:tcBorders>
              <w:top w:val="single" w:sz="4" w:space="0" w:color="auto"/>
              <w:left w:val="single" w:sz="4" w:space="0" w:color="auto"/>
              <w:bottom w:val="single" w:sz="4" w:space="0" w:color="auto"/>
              <w:right w:val="single" w:sz="4" w:space="0" w:color="auto"/>
            </w:tcBorders>
            <w:noWrap/>
            <w:vAlign w:val="center"/>
            <w:hideMark/>
          </w:tcPr>
          <w:p w14:paraId="56FB6E05" w14:textId="77777777" w:rsidR="00C5710D" w:rsidRPr="00C5710D" w:rsidRDefault="00C5710D" w:rsidP="00C5710D">
            <w:pPr>
              <w:keepNext/>
              <w:jc w:val="left"/>
              <w:rPr>
                <w:rFonts w:ascii="Arial Narrow" w:hAnsi="Arial Narrow" w:cs="Arial"/>
                <w:color w:val="000000"/>
                <w:sz w:val="20"/>
                <w:szCs w:val="20"/>
              </w:rPr>
            </w:pPr>
            <w:r w:rsidRPr="00C5710D">
              <w:rPr>
                <w:rFonts w:ascii="Arial Narrow" w:hAnsi="Arial Narrow" w:cs="Arial"/>
                <w:color w:val="000000"/>
                <w:sz w:val="20"/>
                <w:szCs w:val="20"/>
              </w:rPr>
              <w:t> </w:t>
            </w:r>
          </w:p>
        </w:tc>
        <w:tc>
          <w:tcPr>
            <w:tcW w:w="493" w:type="pct"/>
            <w:tcBorders>
              <w:top w:val="single" w:sz="4" w:space="0" w:color="auto"/>
              <w:left w:val="nil"/>
              <w:bottom w:val="single" w:sz="4" w:space="0" w:color="auto"/>
              <w:right w:val="single" w:sz="4" w:space="0" w:color="auto"/>
            </w:tcBorders>
            <w:noWrap/>
            <w:vAlign w:val="center"/>
            <w:hideMark/>
          </w:tcPr>
          <w:p w14:paraId="06B89368" w14:textId="77777777" w:rsidR="00C5710D" w:rsidRPr="00C5710D" w:rsidRDefault="00C5710D" w:rsidP="00C5710D">
            <w:pPr>
              <w:keepNext/>
              <w:jc w:val="center"/>
              <w:rPr>
                <w:rFonts w:ascii="Arial Narrow" w:hAnsi="Arial Narrow" w:cs="Arial"/>
                <w:b/>
                <w:bCs/>
                <w:color w:val="000000"/>
                <w:sz w:val="20"/>
                <w:szCs w:val="20"/>
              </w:rPr>
            </w:pPr>
            <w:r w:rsidRPr="00C5710D">
              <w:rPr>
                <w:rFonts w:ascii="Arial Narrow" w:hAnsi="Arial Narrow" w:cs="Arial"/>
                <w:b/>
                <w:bCs/>
                <w:color w:val="000000"/>
                <w:sz w:val="20"/>
                <w:szCs w:val="20"/>
              </w:rPr>
              <w:t>Year 1</w:t>
            </w:r>
          </w:p>
        </w:tc>
        <w:tc>
          <w:tcPr>
            <w:tcW w:w="494" w:type="pct"/>
            <w:tcBorders>
              <w:top w:val="single" w:sz="4" w:space="0" w:color="auto"/>
              <w:left w:val="nil"/>
              <w:bottom w:val="single" w:sz="4" w:space="0" w:color="auto"/>
              <w:right w:val="single" w:sz="4" w:space="0" w:color="auto"/>
            </w:tcBorders>
            <w:noWrap/>
            <w:vAlign w:val="center"/>
            <w:hideMark/>
          </w:tcPr>
          <w:p w14:paraId="71FBAB3C" w14:textId="77777777" w:rsidR="00C5710D" w:rsidRPr="00C5710D" w:rsidRDefault="00C5710D" w:rsidP="00C5710D">
            <w:pPr>
              <w:keepNext/>
              <w:jc w:val="center"/>
              <w:rPr>
                <w:rFonts w:ascii="Arial Narrow" w:hAnsi="Arial Narrow" w:cs="Arial"/>
                <w:b/>
                <w:bCs/>
                <w:color w:val="000000"/>
                <w:sz w:val="20"/>
                <w:szCs w:val="20"/>
              </w:rPr>
            </w:pPr>
            <w:r w:rsidRPr="00C5710D">
              <w:rPr>
                <w:rFonts w:ascii="Arial Narrow" w:hAnsi="Arial Narrow" w:cs="Arial"/>
                <w:b/>
                <w:bCs/>
                <w:color w:val="000000"/>
                <w:sz w:val="20"/>
                <w:szCs w:val="20"/>
              </w:rPr>
              <w:t>Year 2</w:t>
            </w:r>
          </w:p>
        </w:tc>
        <w:tc>
          <w:tcPr>
            <w:tcW w:w="493" w:type="pct"/>
            <w:tcBorders>
              <w:top w:val="single" w:sz="4" w:space="0" w:color="auto"/>
              <w:left w:val="nil"/>
              <w:bottom w:val="single" w:sz="4" w:space="0" w:color="auto"/>
              <w:right w:val="single" w:sz="4" w:space="0" w:color="auto"/>
            </w:tcBorders>
            <w:noWrap/>
            <w:vAlign w:val="center"/>
            <w:hideMark/>
          </w:tcPr>
          <w:p w14:paraId="5EE50E50" w14:textId="77777777" w:rsidR="00C5710D" w:rsidRPr="00C5710D" w:rsidRDefault="00C5710D" w:rsidP="00C5710D">
            <w:pPr>
              <w:keepNext/>
              <w:jc w:val="center"/>
              <w:rPr>
                <w:rFonts w:ascii="Arial Narrow" w:hAnsi="Arial Narrow" w:cs="Arial"/>
                <w:b/>
                <w:bCs/>
                <w:color w:val="000000"/>
                <w:sz w:val="20"/>
                <w:szCs w:val="20"/>
              </w:rPr>
            </w:pPr>
            <w:r w:rsidRPr="00C5710D">
              <w:rPr>
                <w:rFonts w:ascii="Arial Narrow" w:hAnsi="Arial Narrow" w:cs="Arial"/>
                <w:b/>
                <w:bCs/>
                <w:color w:val="000000"/>
                <w:sz w:val="20"/>
                <w:szCs w:val="20"/>
              </w:rPr>
              <w:t>Year 3</w:t>
            </w:r>
          </w:p>
        </w:tc>
        <w:tc>
          <w:tcPr>
            <w:tcW w:w="494" w:type="pct"/>
            <w:tcBorders>
              <w:top w:val="single" w:sz="4" w:space="0" w:color="auto"/>
              <w:left w:val="nil"/>
              <w:bottom w:val="single" w:sz="4" w:space="0" w:color="auto"/>
              <w:right w:val="single" w:sz="4" w:space="0" w:color="auto"/>
            </w:tcBorders>
            <w:noWrap/>
            <w:vAlign w:val="center"/>
            <w:hideMark/>
          </w:tcPr>
          <w:p w14:paraId="1462F419" w14:textId="77777777" w:rsidR="00C5710D" w:rsidRPr="00C5710D" w:rsidRDefault="00C5710D" w:rsidP="00C5710D">
            <w:pPr>
              <w:keepNext/>
              <w:jc w:val="center"/>
              <w:rPr>
                <w:rFonts w:ascii="Arial Narrow" w:hAnsi="Arial Narrow" w:cs="Arial"/>
                <w:b/>
                <w:bCs/>
                <w:color w:val="000000"/>
                <w:sz w:val="20"/>
                <w:szCs w:val="20"/>
              </w:rPr>
            </w:pPr>
            <w:r w:rsidRPr="00C5710D">
              <w:rPr>
                <w:rFonts w:ascii="Arial Narrow" w:hAnsi="Arial Narrow" w:cs="Arial"/>
                <w:b/>
                <w:bCs/>
                <w:color w:val="000000"/>
                <w:sz w:val="20"/>
                <w:szCs w:val="20"/>
              </w:rPr>
              <w:t>Year 4</w:t>
            </w:r>
          </w:p>
        </w:tc>
        <w:tc>
          <w:tcPr>
            <w:tcW w:w="493" w:type="pct"/>
            <w:tcBorders>
              <w:top w:val="single" w:sz="4" w:space="0" w:color="auto"/>
              <w:left w:val="nil"/>
              <w:bottom w:val="single" w:sz="4" w:space="0" w:color="auto"/>
              <w:right w:val="single" w:sz="4" w:space="0" w:color="auto"/>
            </w:tcBorders>
            <w:noWrap/>
            <w:vAlign w:val="center"/>
            <w:hideMark/>
          </w:tcPr>
          <w:p w14:paraId="333B1F2D" w14:textId="77777777" w:rsidR="00C5710D" w:rsidRPr="00C5710D" w:rsidRDefault="00C5710D" w:rsidP="00C5710D">
            <w:pPr>
              <w:keepNext/>
              <w:jc w:val="center"/>
              <w:rPr>
                <w:rFonts w:ascii="Arial Narrow" w:hAnsi="Arial Narrow" w:cs="Arial"/>
                <w:b/>
                <w:bCs/>
                <w:color w:val="000000"/>
                <w:sz w:val="20"/>
                <w:szCs w:val="20"/>
              </w:rPr>
            </w:pPr>
            <w:r w:rsidRPr="00C5710D">
              <w:rPr>
                <w:rFonts w:ascii="Arial Narrow" w:hAnsi="Arial Narrow" w:cs="Arial"/>
                <w:b/>
                <w:bCs/>
                <w:color w:val="000000"/>
                <w:sz w:val="20"/>
                <w:szCs w:val="20"/>
              </w:rPr>
              <w:t>Year 5</w:t>
            </w:r>
          </w:p>
        </w:tc>
        <w:tc>
          <w:tcPr>
            <w:tcW w:w="494" w:type="pct"/>
            <w:tcBorders>
              <w:top w:val="single" w:sz="4" w:space="0" w:color="auto"/>
              <w:left w:val="nil"/>
              <w:bottom w:val="single" w:sz="4" w:space="0" w:color="auto"/>
              <w:right w:val="single" w:sz="4" w:space="0" w:color="auto"/>
            </w:tcBorders>
            <w:noWrap/>
            <w:vAlign w:val="center"/>
            <w:hideMark/>
          </w:tcPr>
          <w:p w14:paraId="7E27CEBF" w14:textId="77777777" w:rsidR="00C5710D" w:rsidRPr="00C5710D" w:rsidRDefault="00C5710D" w:rsidP="00C5710D">
            <w:pPr>
              <w:keepNext/>
              <w:jc w:val="center"/>
              <w:rPr>
                <w:rFonts w:ascii="Arial Narrow" w:hAnsi="Arial Narrow" w:cs="Arial"/>
                <w:b/>
                <w:bCs/>
                <w:color w:val="000000"/>
                <w:sz w:val="20"/>
                <w:szCs w:val="20"/>
              </w:rPr>
            </w:pPr>
            <w:r w:rsidRPr="00C5710D">
              <w:rPr>
                <w:rFonts w:ascii="Arial Narrow" w:hAnsi="Arial Narrow" w:cs="Arial"/>
                <w:b/>
                <w:bCs/>
                <w:color w:val="000000"/>
                <w:sz w:val="20"/>
                <w:szCs w:val="20"/>
              </w:rPr>
              <w:t>Year 6</w:t>
            </w:r>
          </w:p>
        </w:tc>
      </w:tr>
      <w:tr w:rsidR="007A0B9E" w:rsidRPr="00C5710D" w14:paraId="3841EB3F" w14:textId="77777777" w:rsidTr="0096324F">
        <w:trPr>
          <w:trHeight w:val="249"/>
        </w:trPr>
        <w:tc>
          <w:tcPr>
            <w:tcW w:w="2040" w:type="pct"/>
            <w:tcBorders>
              <w:top w:val="nil"/>
              <w:left w:val="single" w:sz="4" w:space="0" w:color="auto"/>
              <w:bottom w:val="single" w:sz="4" w:space="0" w:color="auto"/>
              <w:right w:val="single" w:sz="4" w:space="0" w:color="auto"/>
            </w:tcBorders>
            <w:noWrap/>
            <w:vAlign w:val="center"/>
            <w:hideMark/>
          </w:tcPr>
          <w:p w14:paraId="47196BB6" w14:textId="63C6EE30" w:rsidR="00C5710D" w:rsidRPr="00C5710D" w:rsidRDefault="00C5710D" w:rsidP="00C5710D">
            <w:pPr>
              <w:keepNext/>
              <w:jc w:val="left"/>
              <w:rPr>
                <w:rFonts w:ascii="Arial Narrow" w:hAnsi="Arial Narrow" w:cs="Arial"/>
                <w:color w:val="000000"/>
                <w:sz w:val="20"/>
                <w:szCs w:val="20"/>
              </w:rPr>
            </w:pPr>
            <w:r w:rsidRPr="00C5710D">
              <w:rPr>
                <w:rFonts w:ascii="Arial Narrow" w:hAnsi="Arial Narrow" w:cs="Arial"/>
                <w:color w:val="000000"/>
                <w:sz w:val="20"/>
                <w:szCs w:val="20"/>
              </w:rPr>
              <w:t xml:space="preserve">Total first line </w:t>
            </w:r>
            <w:r w:rsidR="004A5E19">
              <w:rPr>
                <w:rFonts w:ascii="Arial Narrow" w:hAnsi="Arial Narrow" w:cs="Arial"/>
                <w:color w:val="000000"/>
                <w:sz w:val="20"/>
                <w:szCs w:val="20"/>
              </w:rPr>
              <w:t xml:space="preserve">incident </w:t>
            </w:r>
            <w:r w:rsidRPr="00C5710D">
              <w:rPr>
                <w:rFonts w:ascii="Arial Narrow" w:hAnsi="Arial Narrow" w:cs="Arial"/>
                <w:color w:val="000000"/>
                <w:sz w:val="20"/>
                <w:szCs w:val="20"/>
              </w:rPr>
              <w:t>patients</w:t>
            </w:r>
          </w:p>
        </w:tc>
        <w:tc>
          <w:tcPr>
            <w:tcW w:w="493" w:type="pct"/>
            <w:tcBorders>
              <w:top w:val="nil"/>
              <w:left w:val="nil"/>
              <w:bottom w:val="single" w:sz="4" w:space="0" w:color="auto"/>
              <w:right w:val="single" w:sz="4" w:space="0" w:color="auto"/>
            </w:tcBorders>
            <w:noWrap/>
            <w:vAlign w:val="center"/>
            <w:hideMark/>
          </w:tcPr>
          <w:p w14:paraId="354601E1" w14:textId="14B98EB6" w:rsidR="00C5710D" w:rsidRPr="00033AB8" w:rsidRDefault="00255D1B" w:rsidP="00C5710D">
            <w:pPr>
              <w:keepNext/>
              <w:jc w:val="center"/>
              <w:rPr>
                <w:rFonts w:ascii="Arial Narrow" w:hAnsi="Arial Narrow" w:cs="Arial"/>
                <w:color w:val="000000"/>
                <w:sz w:val="20"/>
                <w:szCs w:val="20"/>
                <w:highlight w:val="darkGray"/>
              </w:rPr>
            </w:pPr>
            <w:r w:rsidRPr="00255D1B">
              <w:rPr>
                <w:rFonts w:ascii="Arial Narrow" w:hAnsi="Arial Narrow" w:cs="Arial"/>
                <w:color w:val="000000"/>
                <w:spacing w:val="53"/>
                <w:sz w:val="20"/>
                <w:szCs w:val="20"/>
                <w:shd w:val="solid" w:color="000000" w:fill="000000"/>
                <w:fitText w:val="330" w:id="-606363383"/>
                <w14:textFill>
                  <w14:solidFill>
                    <w14:srgbClr w14:val="000000">
                      <w14:alpha w14:val="100000"/>
                    </w14:srgbClr>
                  </w14:solidFill>
                </w14:textFill>
              </w:rPr>
              <w:t>|||</w:t>
            </w:r>
            <w:r w:rsidRPr="00255D1B">
              <w:rPr>
                <w:rFonts w:ascii="Arial Narrow" w:hAnsi="Arial Narrow" w:cs="Arial"/>
                <w:color w:val="000000"/>
                <w:spacing w:val="1"/>
                <w:sz w:val="20"/>
                <w:szCs w:val="20"/>
                <w:shd w:val="solid" w:color="000000" w:fill="000000"/>
                <w:fitText w:val="330" w:id="-606363383"/>
                <w14:textFill>
                  <w14:solidFill>
                    <w14:srgbClr w14:val="000000">
                      <w14:alpha w14:val="100000"/>
                    </w14:srgbClr>
                  </w14:solidFill>
                </w14:textFill>
              </w:rPr>
              <w:t>|</w:t>
            </w:r>
            <w:r w:rsidR="00311ABD" w:rsidRPr="00033AB8">
              <w:rPr>
                <w:rFonts w:ascii="Arial Narrow" w:hAnsi="Arial Narrow" w:cs="Arial"/>
                <w:color w:val="000000"/>
                <w:sz w:val="20"/>
                <w:szCs w:val="20"/>
                <w:vertAlign w:val="superscript"/>
              </w:rPr>
              <w:t>1</w:t>
            </w:r>
          </w:p>
        </w:tc>
        <w:tc>
          <w:tcPr>
            <w:tcW w:w="494" w:type="pct"/>
            <w:tcBorders>
              <w:top w:val="nil"/>
              <w:left w:val="nil"/>
              <w:bottom w:val="single" w:sz="4" w:space="0" w:color="auto"/>
              <w:right w:val="single" w:sz="4" w:space="0" w:color="auto"/>
            </w:tcBorders>
            <w:noWrap/>
            <w:vAlign w:val="center"/>
            <w:hideMark/>
          </w:tcPr>
          <w:p w14:paraId="59C2E9A1" w14:textId="527963E9" w:rsidR="00C5710D" w:rsidRPr="00033AB8" w:rsidRDefault="00255D1B" w:rsidP="00C5710D">
            <w:pPr>
              <w:keepNext/>
              <w:jc w:val="center"/>
              <w:rPr>
                <w:rFonts w:ascii="Arial Narrow" w:hAnsi="Arial Narrow" w:cs="Arial"/>
                <w:color w:val="000000"/>
                <w:sz w:val="20"/>
                <w:szCs w:val="20"/>
                <w:highlight w:val="darkGray"/>
              </w:rPr>
            </w:pPr>
            <w:r w:rsidRPr="00255D1B">
              <w:rPr>
                <w:rFonts w:ascii="Arial Narrow" w:hAnsi="Arial Narrow" w:cs="Arial"/>
                <w:color w:val="000000"/>
                <w:spacing w:val="53"/>
                <w:sz w:val="20"/>
                <w:szCs w:val="20"/>
                <w:shd w:val="solid" w:color="000000" w:fill="000000"/>
                <w:fitText w:val="330" w:id="-606363382"/>
                <w14:textFill>
                  <w14:solidFill>
                    <w14:srgbClr w14:val="000000">
                      <w14:alpha w14:val="100000"/>
                    </w14:srgbClr>
                  </w14:solidFill>
                </w14:textFill>
              </w:rPr>
              <w:t>|||</w:t>
            </w:r>
            <w:r w:rsidRPr="00255D1B">
              <w:rPr>
                <w:rFonts w:ascii="Arial Narrow" w:hAnsi="Arial Narrow" w:cs="Arial"/>
                <w:color w:val="000000"/>
                <w:spacing w:val="1"/>
                <w:sz w:val="20"/>
                <w:szCs w:val="20"/>
                <w:shd w:val="solid" w:color="000000" w:fill="000000"/>
                <w:fitText w:val="330" w:id="-606363382"/>
                <w14:textFill>
                  <w14:solidFill>
                    <w14:srgbClr w14:val="000000">
                      <w14:alpha w14:val="100000"/>
                    </w14:srgbClr>
                  </w14:solidFill>
                </w14:textFill>
              </w:rPr>
              <w:t>|</w:t>
            </w:r>
            <w:r w:rsidR="00311ABD" w:rsidRPr="003420C3">
              <w:rPr>
                <w:rFonts w:ascii="Arial Narrow" w:hAnsi="Arial Narrow" w:cs="Arial"/>
                <w:color w:val="000000"/>
                <w:sz w:val="20"/>
                <w:szCs w:val="20"/>
                <w:vertAlign w:val="superscript"/>
              </w:rPr>
              <w:t>1</w:t>
            </w:r>
          </w:p>
        </w:tc>
        <w:tc>
          <w:tcPr>
            <w:tcW w:w="493" w:type="pct"/>
            <w:tcBorders>
              <w:top w:val="nil"/>
              <w:left w:val="nil"/>
              <w:bottom w:val="single" w:sz="4" w:space="0" w:color="auto"/>
              <w:right w:val="single" w:sz="4" w:space="0" w:color="auto"/>
            </w:tcBorders>
            <w:noWrap/>
            <w:vAlign w:val="center"/>
            <w:hideMark/>
          </w:tcPr>
          <w:p w14:paraId="2589BDFA" w14:textId="5A5F2DB4" w:rsidR="00C5710D" w:rsidRPr="00033AB8" w:rsidRDefault="00255D1B" w:rsidP="00C5710D">
            <w:pPr>
              <w:keepNext/>
              <w:jc w:val="center"/>
              <w:rPr>
                <w:rFonts w:ascii="Arial Narrow" w:hAnsi="Arial Narrow" w:cs="Arial"/>
                <w:color w:val="000000"/>
                <w:sz w:val="20"/>
                <w:szCs w:val="20"/>
                <w:highlight w:val="darkGray"/>
              </w:rPr>
            </w:pPr>
            <w:r w:rsidRPr="00255D1B">
              <w:rPr>
                <w:rFonts w:ascii="Arial Narrow" w:hAnsi="Arial Narrow" w:cs="Arial"/>
                <w:color w:val="000000"/>
                <w:spacing w:val="53"/>
                <w:sz w:val="20"/>
                <w:szCs w:val="20"/>
                <w:shd w:val="solid" w:color="000000" w:fill="000000"/>
                <w:fitText w:val="330" w:id="-606363381"/>
                <w14:textFill>
                  <w14:solidFill>
                    <w14:srgbClr w14:val="000000">
                      <w14:alpha w14:val="100000"/>
                    </w14:srgbClr>
                  </w14:solidFill>
                </w14:textFill>
              </w:rPr>
              <w:t>|||</w:t>
            </w:r>
            <w:r w:rsidRPr="00255D1B">
              <w:rPr>
                <w:rFonts w:ascii="Arial Narrow" w:hAnsi="Arial Narrow" w:cs="Arial"/>
                <w:color w:val="000000"/>
                <w:spacing w:val="1"/>
                <w:sz w:val="20"/>
                <w:szCs w:val="20"/>
                <w:shd w:val="solid" w:color="000000" w:fill="000000"/>
                <w:fitText w:val="330" w:id="-606363381"/>
                <w14:textFill>
                  <w14:solidFill>
                    <w14:srgbClr w14:val="000000">
                      <w14:alpha w14:val="100000"/>
                    </w14:srgbClr>
                  </w14:solidFill>
                </w14:textFill>
              </w:rPr>
              <w:t>|</w:t>
            </w:r>
            <w:r w:rsidR="00311ABD" w:rsidRPr="003420C3">
              <w:rPr>
                <w:rFonts w:ascii="Arial Narrow" w:hAnsi="Arial Narrow" w:cs="Arial"/>
                <w:color w:val="000000"/>
                <w:sz w:val="20"/>
                <w:szCs w:val="20"/>
                <w:vertAlign w:val="superscript"/>
              </w:rPr>
              <w:t>1</w:t>
            </w:r>
          </w:p>
        </w:tc>
        <w:tc>
          <w:tcPr>
            <w:tcW w:w="494" w:type="pct"/>
            <w:tcBorders>
              <w:top w:val="nil"/>
              <w:left w:val="nil"/>
              <w:bottom w:val="single" w:sz="4" w:space="0" w:color="auto"/>
              <w:right w:val="single" w:sz="4" w:space="0" w:color="auto"/>
            </w:tcBorders>
            <w:noWrap/>
            <w:vAlign w:val="center"/>
            <w:hideMark/>
          </w:tcPr>
          <w:p w14:paraId="3049D64B" w14:textId="2A4DD8B1" w:rsidR="00C5710D" w:rsidRPr="00033AB8" w:rsidRDefault="00255D1B" w:rsidP="00C5710D">
            <w:pPr>
              <w:keepNext/>
              <w:jc w:val="center"/>
              <w:rPr>
                <w:rFonts w:ascii="Arial Narrow" w:hAnsi="Arial Narrow" w:cs="Arial"/>
                <w:color w:val="000000"/>
                <w:sz w:val="20"/>
                <w:szCs w:val="20"/>
                <w:highlight w:val="darkGray"/>
              </w:rPr>
            </w:pPr>
            <w:r w:rsidRPr="00255D1B">
              <w:rPr>
                <w:rFonts w:ascii="Arial Narrow" w:hAnsi="Arial Narrow" w:cs="Arial"/>
                <w:color w:val="000000"/>
                <w:spacing w:val="53"/>
                <w:sz w:val="20"/>
                <w:szCs w:val="20"/>
                <w:shd w:val="solid" w:color="000000" w:fill="000000"/>
                <w:fitText w:val="330" w:id="-606363380"/>
                <w14:textFill>
                  <w14:solidFill>
                    <w14:srgbClr w14:val="000000">
                      <w14:alpha w14:val="100000"/>
                    </w14:srgbClr>
                  </w14:solidFill>
                </w14:textFill>
              </w:rPr>
              <w:t>|||</w:t>
            </w:r>
            <w:r w:rsidRPr="00255D1B">
              <w:rPr>
                <w:rFonts w:ascii="Arial Narrow" w:hAnsi="Arial Narrow" w:cs="Arial"/>
                <w:color w:val="000000"/>
                <w:spacing w:val="1"/>
                <w:sz w:val="20"/>
                <w:szCs w:val="20"/>
                <w:shd w:val="solid" w:color="000000" w:fill="000000"/>
                <w:fitText w:val="330" w:id="-606363380"/>
                <w14:textFill>
                  <w14:solidFill>
                    <w14:srgbClr w14:val="000000">
                      <w14:alpha w14:val="100000"/>
                    </w14:srgbClr>
                  </w14:solidFill>
                </w14:textFill>
              </w:rPr>
              <w:t>|</w:t>
            </w:r>
            <w:r w:rsidR="00311ABD" w:rsidRPr="003420C3">
              <w:rPr>
                <w:rFonts w:ascii="Arial Narrow" w:hAnsi="Arial Narrow" w:cs="Arial"/>
                <w:color w:val="000000"/>
                <w:sz w:val="20"/>
                <w:szCs w:val="20"/>
                <w:vertAlign w:val="superscript"/>
              </w:rPr>
              <w:t>1</w:t>
            </w:r>
          </w:p>
        </w:tc>
        <w:tc>
          <w:tcPr>
            <w:tcW w:w="493" w:type="pct"/>
            <w:tcBorders>
              <w:top w:val="nil"/>
              <w:left w:val="nil"/>
              <w:bottom w:val="single" w:sz="4" w:space="0" w:color="auto"/>
              <w:right w:val="single" w:sz="4" w:space="0" w:color="auto"/>
            </w:tcBorders>
            <w:noWrap/>
            <w:vAlign w:val="center"/>
            <w:hideMark/>
          </w:tcPr>
          <w:p w14:paraId="1BAED71C" w14:textId="7DE0960C" w:rsidR="00C5710D" w:rsidRPr="00033AB8" w:rsidRDefault="00255D1B" w:rsidP="00C5710D">
            <w:pPr>
              <w:keepNext/>
              <w:jc w:val="center"/>
              <w:rPr>
                <w:rFonts w:ascii="Arial Narrow" w:hAnsi="Arial Narrow" w:cs="Arial"/>
                <w:color w:val="000000"/>
                <w:sz w:val="20"/>
                <w:szCs w:val="20"/>
                <w:highlight w:val="darkGray"/>
              </w:rPr>
            </w:pPr>
            <w:r w:rsidRPr="00255D1B">
              <w:rPr>
                <w:rFonts w:ascii="Arial Narrow" w:hAnsi="Arial Narrow" w:cs="Arial"/>
                <w:color w:val="000000"/>
                <w:spacing w:val="53"/>
                <w:sz w:val="20"/>
                <w:szCs w:val="20"/>
                <w:shd w:val="solid" w:color="000000" w:fill="000000"/>
                <w:fitText w:val="330" w:id="-606363379"/>
                <w14:textFill>
                  <w14:solidFill>
                    <w14:srgbClr w14:val="000000">
                      <w14:alpha w14:val="100000"/>
                    </w14:srgbClr>
                  </w14:solidFill>
                </w14:textFill>
              </w:rPr>
              <w:t>|||</w:t>
            </w:r>
            <w:r w:rsidRPr="00255D1B">
              <w:rPr>
                <w:rFonts w:ascii="Arial Narrow" w:hAnsi="Arial Narrow" w:cs="Arial"/>
                <w:color w:val="000000"/>
                <w:spacing w:val="1"/>
                <w:sz w:val="20"/>
                <w:szCs w:val="20"/>
                <w:shd w:val="solid" w:color="000000" w:fill="000000"/>
                <w:fitText w:val="330" w:id="-606363379"/>
                <w14:textFill>
                  <w14:solidFill>
                    <w14:srgbClr w14:val="000000">
                      <w14:alpha w14:val="100000"/>
                    </w14:srgbClr>
                  </w14:solidFill>
                </w14:textFill>
              </w:rPr>
              <w:t>|</w:t>
            </w:r>
            <w:r w:rsidR="00311ABD" w:rsidRPr="003420C3">
              <w:rPr>
                <w:rFonts w:ascii="Arial Narrow" w:hAnsi="Arial Narrow" w:cs="Arial"/>
                <w:color w:val="000000"/>
                <w:sz w:val="20"/>
                <w:szCs w:val="20"/>
                <w:vertAlign w:val="superscript"/>
              </w:rPr>
              <w:t>1</w:t>
            </w:r>
          </w:p>
        </w:tc>
        <w:tc>
          <w:tcPr>
            <w:tcW w:w="494" w:type="pct"/>
            <w:tcBorders>
              <w:top w:val="nil"/>
              <w:left w:val="nil"/>
              <w:bottom w:val="single" w:sz="4" w:space="0" w:color="auto"/>
              <w:right w:val="single" w:sz="4" w:space="0" w:color="auto"/>
            </w:tcBorders>
            <w:noWrap/>
            <w:vAlign w:val="center"/>
            <w:hideMark/>
          </w:tcPr>
          <w:p w14:paraId="1D7F1B2D" w14:textId="4799F6C5" w:rsidR="00C5710D" w:rsidRPr="00033AB8" w:rsidRDefault="00255D1B" w:rsidP="00C5710D">
            <w:pPr>
              <w:keepNext/>
              <w:jc w:val="center"/>
              <w:rPr>
                <w:rFonts w:ascii="Arial Narrow" w:hAnsi="Arial Narrow" w:cs="Arial"/>
                <w:color w:val="000000"/>
                <w:sz w:val="20"/>
                <w:szCs w:val="20"/>
                <w:highlight w:val="darkGray"/>
              </w:rPr>
            </w:pPr>
            <w:r w:rsidRPr="00255D1B">
              <w:rPr>
                <w:rFonts w:ascii="Arial Narrow" w:hAnsi="Arial Narrow" w:cs="Arial"/>
                <w:color w:val="000000"/>
                <w:spacing w:val="53"/>
                <w:sz w:val="20"/>
                <w:szCs w:val="20"/>
                <w:shd w:val="solid" w:color="000000" w:fill="000000"/>
                <w:fitText w:val="330" w:id="-606363378"/>
                <w14:textFill>
                  <w14:solidFill>
                    <w14:srgbClr w14:val="000000">
                      <w14:alpha w14:val="100000"/>
                    </w14:srgbClr>
                  </w14:solidFill>
                </w14:textFill>
              </w:rPr>
              <w:t>|||</w:t>
            </w:r>
            <w:r w:rsidRPr="00255D1B">
              <w:rPr>
                <w:rFonts w:ascii="Arial Narrow" w:hAnsi="Arial Narrow" w:cs="Arial"/>
                <w:color w:val="000000"/>
                <w:spacing w:val="1"/>
                <w:sz w:val="20"/>
                <w:szCs w:val="20"/>
                <w:shd w:val="solid" w:color="000000" w:fill="000000"/>
                <w:fitText w:val="330" w:id="-606363378"/>
                <w14:textFill>
                  <w14:solidFill>
                    <w14:srgbClr w14:val="000000">
                      <w14:alpha w14:val="100000"/>
                    </w14:srgbClr>
                  </w14:solidFill>
                </w14:textFill>
              </w:rPr>
              <w:t>|</w:t>
            </w:r>
            <w:r w:rsidR="00311ABD" w:rsidRPr="003420C3">
              <w:rPr>
                <w:rFonts w:ascii="Arial Narrow" w:hAnsi="Arial Narrow" w:cs="Arial"/>
                <w:color w:val="000000"/>
                <w:sz w:val="20"/>
                <w:szCs w:val="20"/>
                <w:vertAlign w:val="superscript"/>
              </w:rPr>
              <w:t>1</w:t>
            </w:r>
          </w:p>
        </w:tc>
      </w:tr>
      <w:tr w:rsidR="007A0B9E" w:rsidRPr="00C5710D" w14:paraId="3A2D0670" w14:textId="77777777" w:rsidTr="0096324F">
        <w:trPr>
          <w:trHeight w:val="249"/>
        </w:trPr>
        <w:tc>
          <w:tcPr>
            <w:tcW w:w="2040" w:type="pct"/>
            <w:tcBorders>
              <w:top w:val="nil"/>
              <w:left w:val="single" w:sz="4" w:space="0" w:color="auto"/>
              <w:bottom w:val="single" w:sz="4" w:space="0" w:color="auto"/>
              <w:right w:val="single" w:sz="4" w:space="0" w:color="auto"/>
            </w:tcBorders>
            <w:noWrap/>
            <w:vAlign w:val="center"/>
            <w:hideMark/>
          </w:tcPr>
          <w:p w14:paraId="793F0A80" w14:textId="4C33C682" w:rsidR="00C5710D" w:rsidRPr="007A0B9E" w:rsidRDefault="004A5E19" w:rsidP="007A0B9E">
            <w:pPr>
              <w:pStyle w:val="ListParagraph"/>
              <w:keepNext/>
              <w:numPr>
                <w:ilvl w:val="0"/>
                <w:numId w:val="20"/>
              </w:numPr>
              <w:ind w:left="174" w:hanging="174"/>
              <w:rPr>
                <w:rFonts w:ascii="Arial Narrow" w:hAnsi="Arial Narrow"/>
                <w:color w:val="000000"/>
                <w:sz w:val="20"/>
                <w:szCs w:val="20"/>
              </w:rPr>
            </w:pPr>
            <w:r w:rsidRPr="007A0B9E">
              <w:rPr>
                <w:rFonts w:ascii="Arial Narrow" w:hAnsi="Arial Narrow"/>
                <w:color w:val="000000"/>
                <w:sz w:val="20"/>
                <w:szCs w:val="20"/>
              </w:rPr>
              <w:t xml:space="preserve">Initiating </w:t>
            </w:r>
            <w:r w:rsidR="00C5710D" w:rsidRPr="007A0B9E">
              <w:rPr>
                <w:rFonts w:ascii="Arial Narrow" w:hAnsi="Arial Narrow"/>
                <w:color w:val="000000"/>
                <w:sz w:val="20"/>
                <w:szCs w:val="20"/>
              </w:rPr>
              <w:t>first line OSI + CHEMO (</w:t>
            </w:r>
            <w:r w:rsidR="00255D1B" w:rsidRPr="00255D1B">
              <w:rPr>
                <w:rFonts w:ascii="Arial Narrow" w:hAnsi="Arial Narrow"/>
                <w:color w:val="000000"/>
                <w:spacing w:val="53"/>
                <w:sz w:val="20"/>
                <w:szCs w:val="20"/>
                <w:shd w:val="solid" w:color="000000" w:fill="000000"/>
                <w:fitText w:val="330" w:id="-606363377"/>
                <w14:textFill>
                  <w14:solidFill>
                    <w14:srgbClr w14:val="000000">
                      <w14:alpha w14:val="100000"/>
                    </w14:srgbClr>
                  </w14:solidFill>
                </w14:textFill>
              </w:rPr>
              <w:t>|||</w:t>
            </w:r>
            <w:r w:rsidR="00255D1B" w:rsidRPr="00255D1B">
              <w:rPr>
                <w:rFonts w:ascii="Arial Narrow" w:hAnsi="Arial Narrow"/>
                <w:color w:val="000000"/>
                <w:spacing w:val="1"/>
                <w:sz w:val="20"/>
                <w:szCs w:val="20"/>
                <w:shd w:val="solid" w:color="000000" w:fill="000000"/>
                <w:fitText w:val="330" w:id="-606363377"/>
                <w14:textFill>
                  <w14:solidFill>
                    <w14:srgbClr w14:val="000000">
                      <w14:alpha w14:val="100000"/>
                    </w14:srgbClr>
                  </w14:solidFill>
                </w14:textFill>
              </w:rPr>
              <w:t>|</w:t>
            </w:r>
            <w:r w:rsidR="00C5710D" w:rsidRPr="007A0B9E">
              <w:rPr>
                <w:rFonts w:ascii="Arial Narrow" w:hAnsi="Arial Narrow"/>
                <w:color w:val="000000"/>
                <w:sz w:val="20"/>
                <w:szCs w:val="20"/>
              </w:rPr>
              <w:t>%)</w:t>
            </w:r>
          </w:p>
        </w:tc>
        <w:tc>
          <w:tcPr>
            <w:tcW w:w="493" w:type="pct"/>
            <w:tcBorders>
              <w:top w:val="nil"/>
              <w:left w:val="nil"/>
              <w:bottom w:val="single" w:sz="4" w:space="0" w:color="auto"/>
              <w:right w:val="single" w:sz="4" w:space="0" w:color="auto"/>
            </w:tcBorders>
            <w:noWrap/>
            <w:vAlign w:val="center"/>
            <w:hideMark/>
          </w:tcPr>
          <w:p w14:paraId="0282D6A0" w14:textId="659CC791" w:rsidR="00C5710D" w:rsidRPr="00033AB8" w:rsidRDefault="00255D1B" w:rsidP="00C5710D">
            <w:pPr>
              <w:keepNext/>
              <w:jc w:val="center"/>
              <w:rPr>
                <w:rFonts w:ascii="Arial Narrow" w:hAnsi="Arial Narrow" w:cs="Arial"/>
                <w:color w:val="000000"/>
                <w:sz w:val="20"/>
                <w:szCs w:val="20"/>
                <w:highlight w:val="darkGray"/>
              </w:rPr>
            </w:pPr>
            <w:r w:rsidRPr="00255D1B">
              <w:rPr>
                <w:rFonts w:ascii="Arial Narrow" w:hAnsi="Arial Narrow" w:cs="Arial"/>
                <w:color w:val="000000"/>
                <w:spacing w:val="53"/>
                <w:sz w:val="20"/>
                <w:szCs w:val="20"/>
                <w:shd w:val="solid" w:color="000000" w:fill="000000"/>
                <w:fitText w:val="330" w:id="-606363376"/>
                <w14:textFill>
                  <w14:solidFill>
                    <w14:srgbClr w14:val="000000">
                      <w14:alpha w14:val="100000"/>
                    </w14:srgbClr>
                  </w14:solidFill>
                </w14:textFill>
              </w:rPr>
              <w:t>|||</w:t>
            </w:r>
            <w:r w:rsidRPr="00255D1B">
              <w:rPr>
                <w:rFonts w:ascii="Arial Narrow" w:hAnsi="Arial Narrow" w:cs="Arial"/>
                <w:color w:val="000000"/>
                <w:spacing w:val="1"/>
                <w:sz w:val="20"/>
                <w:szCs w:val="20"/>
                <w:shd w:val="solid" w:color="000000" w:fill="000000"/>
                <w:fitText w:val="330" w:id="-606363376"/>
                <w14:textFill>
                  <w14:solidFill>
                    <w14:srgbClr w14:val="000000">
                      <w14:alpha w14:val="100000"/>
                    </w14:srgbClr>
                  </w14:solidFill>
                </w14:textFill>
              </w:rPr>
              <w:t>|</w:t>
            </w:r>
            <w:r w:rsidR="00311ABD" w:rsidRPr="00033AB8">
              <w:rPr>
                <w:rFonts w:ascii="Arial Narrow" w:hAnsi="Arial Narrow" w:cs="Arial"/>
                <w:color w:val="000000"/>
                <w:sz w:val="20"/>
                <w:szCs w:val="20"/>
                <w:vertAlign w:val="superscript"/>
              </w:rPr>
              <w:t>2</w:t>
            </w:r>
          </w:p>
        </w:tc>
        <w:tc>
          <w:tcPr>
            <w:tcW w:w="494" w:type="pct"/>
            <w:tcBorders>
              <w:top w:val="nil"/>
              <w:left w:val="nil"/>
              <w:bottom w:val="single" w:sz="4" w:space="0" w:color="auto"/>
              <w:right w:val="single" w:sz="4" w:space="0" w:color="auto"/>
            </w:tcBorders>
            <w:noWrap/>
            <w:vAlign w:val="center"/>
            <w:hideMark/>
          </w:tcPr>
          <w:p w14:paraId="707070FE" w14:textId="5B3E2EBF" w:rsidR="00C5710D" w:rsidRPr="00033AB8" w:rsidRDefault="00255D1B" w:rsidP="00C5710D">
            <w:pPr>
              <w:keepNext/>
              <w:jc w:val="center"/>
              <w:rPr>
                <w:rFonts w:ascii="Arial Narrow" w:hAnsi="Arial Narrow" w:cs="Arial"/>
                <w:color w:val="000000"/>
                <w:sz w:val="20"/>
                <w:szCs w:val="20"/>
                <w:highlight w:val="darkGray"/>
              </w:rPr>
            </w:pPr>
            <w:r w:rsidRPr="00255D1B">
              <w:rPr>
                <w:rFonts w:ascii="Arial Narrow" w:hAnsi="Arial Narrow" w:cs="Arial"/>
                <w:color w:val="000000"/>
                <w:spacing w:val="53"/>
                <w:sz w:val="20"/>
                <w:szCs w:val="20"/>
                <w:shd w:val="solid" w:color="000000" w:fill="000000"/>
                <w:fitText w:val="330" w:id="-606363392"/>
                <w14:textFill>
                  <w14:solidFill>
                    <w14:srgbClr w14:val="000000">
                      <w14:alpha w14:val="100000"/>
                    </w14:srgbClr>
                  </w14:solidFill>
                </w14:textFill>
              </w:rPr>
              <w:t>|||</w:t>
            </w:r>
            <w:r w:rsidRPr="00255D1B">
              <w:rPr>
                <w:rFonts w:ascii="Arial Narrow" w:hAnsi="Arial Narrow" w:cs="Arial"/>
                <w:color w:val="000000"/>
                <w:spacing w:val="1"/>
                <w:sz w:val="20"/>
                <w:szCs w:val="20"/>
                <w:shd w:val="solid" w:color="000000" w:fill="000000"/>
                <w:fitText w:val="330" w:id="-606363392"/>
                <w14:textFill>
                  <w14:solidFill>
                    <w14:srgbClr w14:val="000000">
                      <w14:alpha w14:val="100000"/>
                    </w14:srgbClr>
                  </w14:solidFill>
                </w14:textFill>
              </w:rPr>
              <w:t>|</w:t>
            </w:r>
            <w:r w:rsidR="00311ABD" w:rsidRPr="003420C3">
              <w:rPr>
                <w:rFonts w:ascii="Arial Narrow" w:hAnsi="Arial Narrow" w:cs="Arial"/>
                <w:color w:val="000000"/>
                <w:sz w:val="20"/>
                <w:szCs w:val="20"/>
                <w:vertAlign w:val="superscript"/>
              </w:rPr>
              <w:t>2</w:t>
            </w:r>
          </w:p>
        </w:tc>
        <w:tc>
          <w:tcPr>
            <w:tcW w:w="493" w:type="pct"/>
            <w:tcBorders>
              <w:top w:val="nil"/>
              <w:left w:val="nil"/>
              <w:bottom w:val="single" w:sz="4" w:space="0" w:color="auto"/>
              <w:right w:val="single" w:sz="4" w:space="0" w:color="auto"/>
            </w:tcBorders>
            <w:noWrap/>
            <w:vAlign w:val="center"/>
            <w:hideMark/>
          </w:tcPr>
          <w:p w14:paraId="24ABBB4F" w14:textId="22E0FB9C" w:rsidR="00C5710D" w:rsidRPr="00033AB8" w:rsidRDefault="00255D1B" w:rsidP="00C5710D">
            <w:pPr>
              <w:keepNext/>
              <w:jc w:val="center"/>
              <w:rPr>
                <w:rFonts w:ascii="Arial Narrow" w:hAnsi="Arial Narrow" w:cs="Arial"/>
                <w:color w:val="000000"/>
                <w:sz w:val="20"/>
                <w:szCs w:val="20"/>
                <w:highlight w:val="darkGray"/>
              </w:rPr>
            </w:pPr>
            <w:r w:rsidRPr="00255D1B">
              <w:rPr>
                <w:rFonts w:ascii="Arial Narrow" w:hAnsi="Arial Narrow" w:cs="Arial"/>
                <w:color w:val="000000"/>
                <w:spacing w:val="53"/>
                <w:sz w:val="20"/>
                <w:szCs w:val="20"/>
                <w:shd w:val="solid" w:color="000000" w:fill="000000"/>
                <w:fitText w:val="330" w:id="-606363391"/>
                <w14:textFill>
                  <w14:solidFill>
                    <w14:srgbClr w14:val="000000">
                      <w14:alpha w14:val="100000"/>
                    </w14:srgbClr>
                  </w14:solidFill>
                </w14:textFill>
              </w:rPr>
              <w:t>|||</w:t>
            </w:r>
            <w:r w:rsidRPr="00255D1B">
              <w:rPr>
                <w:rFonts w:ascii="Arial Narrow" w:hAnsi="Arial Narrow" w:cs="Arial"/>
                <w:color w:val="000000"/>
                <w:spacing w:val="1"/>
                <w:sz w:val="20"/>
                <w:szCs w:val="20"/>
                <w:shd w:val="solid" w:color="000000" w:fill="000000"/>
                <w:fitText w:val="330" w:id="-606363391"/>
                <w14:textFill>
                  <w14:solidFill>
                    <w14:srgbClr w14:val="000000">
                      <w14:alpha w14:val="100000"/>
                    </w14:srgbClr>
                  </w14:solidFill>
                </w14:textFill>
              </w:rPr>
              <w:t>|</w:t>
            </w:r>
            <w:r w:rsidR="00311ABD" w:rsidRPr="003420C3">
              <w:rPr>
                <w:rFonts w:ascii="Arial Narrow" w:hAnsi="Arial Narrow" w:cs="Arial"/>
                <w:color w:val="000000"/>
                <w:sz w:val="20"/>
                <w:szCs w:val="20"/>
                <w:vertAlign w:val="superscript"/>
              </w:rPr>
              <w:t>2</w:t>
            </w:r>
          </w:p>
        </w:tc>
        <w:tc>
          <w:tcPr>
            <w:tcW w:w="494" w:type="pct"/>
            <w:tcBorders>
              <w:top w:val="nil"/>
              <w:left w:val="nil"/>
              <w:bottom w:val="single" w:sz="4" w:space="0" w:color="auto"/>
              <w:right w:val="single" w:sz="4" w:space="0" w:color="auto"/>
            </w:tcBorders>
            <w:noWrap/>
            <w:vAlign w:val="center"/>
            <w:hideMark/>
          </w:tcPr>
          <w:p w14:paraId="6B3D99FE" w14:textId="28D0A9B7" w:rsidR="00C5710D" w:rsidRPr="00033AB8" w:rsidRDefault="00255D1B" w:rsidP="00C5710D">
            <w:pPr>
              <w:keepNext/>
              <w:jc w:val="center"/>
              <w:rPr>
                <w:rFonts w:ascii="Arial Narrow" w:hAnsi="Arial Narrow" w:cs="Arial"/>
                <w:color w:val="000000"/>
                <w:sz w:val="20"/>
                <w:szCs w:val="20"/>
                <w:highlight w:val="darkGray"/>
              </w:rPr>
            </w:pPr>
            <w:r w:rsidRPr="00255D1B">
              <w:rPr>
                <w:rFonts w:ascii="Arial Narrow" w:hAnsi="Arial Narrow" w:cs="Arial"/>
                <w:color w:val="000000"/>
                <w:spacing w:val="53"/>
                <w:sz w:val="20"/>
                <w:szCs w:val="20"/>
                <w:shd w:val="solid" w:color="000000" w:fill="000000"/>
                <w:fitText w:val="330" w:id="-606363390"/>
                <w14:textFill>
                  <w14:solidFill>
                    <w14:srgbClr w14:val="000000">
                      <w14:alpha w14:val="100000"/>
                    </w14:srgbClr>
                  </w14:solidFill>
                </w14:textFill>
              </w:rPr>
              <w:t>|||</w:t>
            </w:r>
            <w:r w:rsidRPr="00255D1B">
              <w:rPr>
                <w:rFonts w:ascii="Arial Narrow" w:hAnsi="Arial Narrow" w:cs="Arial"/>
                <w:color w:val="000000"/>
                <w:spacing w:val="1"/>
                <w:sz w:val="20"/>
                <w:szCs w:val="20"/>
                <w:shd w:val="solid" w:color="000000" w:fill="000000"/>
                <w:fitText w:val="330" w:id="-606363390"/>
                <w14:textFill>
                  <w14:solidFill>
                    <w14:srgbClr w14:val="000000">
                      <w14:alpha w14:val="100000"/>
                    </w14:srgbClr>
                  </w14:solidFill>
                </w14:textFill>
              </w:rPr>
              <w:t>|</w:t>
            </w:r>
            <w:r w:rsidR="00311ABD" w:rsidRPr="003420C3">
              <w:rPr>
                <w:rFonts w:ascii="Arial Narrow" w:hAnsi="Arial Narrow" w:cs="Arial"/>
                <w:color w:val="000000"/>
                <w:sz w:val="20"/>
                <w:szCs w:val="20"/>
                <w:vertAlign w:val="superscript"/>
              </w:rPr>
              <w:t>2</w:t>
            </w:r>
          </w:p>
        </w:tc>
        <w:tc>
          <w:tcPr>
            <w:tcW w:w="493" w:type="pct"/>
            <w:tcBorders>
              <w:top w:val="nil"/>
              <w:left w:val="nil"/>
              <w:bottom w:val="single" w:sz="4" w:space="0" w:color="auto"/>
              <w:right w:val="single" w:sz="4" w:space="0" w:color="auto"/>
            </w:tcBorders>
            <w:noWrap/>
            <w:vAlign w:val="center"/>
            <w:hideMark/>
          </w:tcPr>
          <w:p w14:paraId="35498C60" w14:textId="5520B787" w:rsidR="00C5710D" w:rsidRPr="00033AB8" w:rsidRDefault="00255D1B" w:rsidP="00C5710D">
            <w:pPr>
              <w:keepNext/>
              <w:jc w:val="center"/>
              <w:rPr>
                <w:rFonts w:ascii="Arial Narrow" w:hAnsi="Arial Narrow" w:cs="Arial"/>
                <w:color w:val="000000"/>
                <w:sz w:val="20"/>
                <w:szCs w:val="20"/>
                <w:highlight w:val="darkGray"/>
              </w:rPr>
            </w:pPr>
            <w:r w:rsidRPr="00255D1B">
              <w:rPr>
                <w:rFonts w:ascii="Arial Narrow" w:hAnsi="Arial Narrow" w:cs="Arial"/>
                <w:color w:val="000000"/>
                <w:spacing w:val="53"/>
                <w:sz w:val="20"/>
                <w:szCs w:val="20"/>
                <w:shd w:val="solid" w:color="000000" w:fill="000000"/>
                <w:fitText w:val="330" w:id="-606363389"/>
                <w14:textFill>
                  <w14:solidFill>
                    <w14:srgbClr w14:val="000000">
                      <w14:alpha w14:val="100000"/>
                    </w14:srgbClr>
                  </w14:solidFill>
                </w14:textFill>
              </w:rPr>
              <w:t>|||</w:t>
            </w:r>
            <w:r w:rsidRPr="00255D1B">
              <w:rPr>
                <w:rFonts w:ascii="Arial Narrow" w:hAnsi="Arial Narrow" w:cs="Arial"/>
                <w:color w:val="000000"/>
                <w:spacing w:val="1"/>
                <w:sz w:val="20"/>
                <w:szCs w:val="20"/>
                <w:shd w:val="solid" w:color="000000" w:fill="000000"/>
                <w:fitText w:val="330" w:id="-606363389"/>
                <w14:textFill>
                  <w14:solidFill>
                    <w14:srgbClr w14:val="000000">
                      <w14:alpha w14:val="100000"/>
                    </w14:srgbClr>
                  </w14:solidFill>
                </w14:textFill>
              </w:rPr>
              <w:t>|</w:t>
            </w:r>
            <w:r w:rsidR="00311ABD" w:rsidRPr="003420C3">
              <w:rPr>
                <w:rFonts w:ascii="Arial Narrow" w:hAnsi="Arial Narrow" w:cs="Arial"/>
                <w:color w:val="000000"/>
                <w:sz w:val="20"/>
                <w:szCs w:val="20"/>
                <w:vertAlign w:val="superscript"/>
              </w:rPr>
              <w:t>2</w:t>
            </w:r>
          </w:p>
        </w:tc>
        <w:tc>
          <w:tcPr>
            <w:tcW w:w="494" w:type="pct"/>
            <w:tcBorders>
              <w:top w:val="nil"/>
              <w:left w:val="nil"/>
              <w:bottom w:val="single" w:sz="4" w:space="0" w:color="auto"/>
              <w:right w:val="single" w:sz="4" w:space="0" w:color="auto"/>
            </w:tcBorders>
            <w:noWrap/>
            <w:vAlign w:val="center"/>
            <w:hideMark/>
          </w:tcPr>
          <w:p w14:paraId="619B1651" w14:textId="23425AAA" w:rsidR="00C5710D" w:rsidRPr="00033AB8" w:rsidRDefault="00255D1B" w:rsidP="00C5710D">
            <w:pPr>
              <w:keepNext/>
              <w:jc w:val="center"/>
              <w:rPr>
                <w:rFonts w:ascii="Arial Narrow" w:hAnsi="Arial Narrow" w:cs="Arial"/>
                <w:color w:val="000000"/>
                <w:sz w:val="20"/>
                <w:szCs w:val="20"/>
                <w:highlight w:val="darkGray"/>
              </w:rPr>
            </w:pPr>
            <w:r w:rsidRPr="00255D1B">
              <w:rPr>
                <w:rFonts w:ascii="Arial Narrow" w:hAnsi="Arial Narrow" w:cs="Arial"/>
                <w:color w:val="000000"/>
                <w:spacing w:val="53"/>
                <w:sz w:val="20"/>
                <w:szCs w:val="20"/>
                <w:shd w:val="solid" w:color="000000" w:fill="000000"/>
                <w:fitText w:val="330" w:id="-606363388"/>
                <w14:textFill>
                  <w14:solidFill>
                    <w14:srgbClr w14:val="000000">
                      <w14:alpha w14:val="100000"/>
                    </w14:srgbClr>
                  </w14:solidFill>
                </w14:textFill>
              </w:rPr>
              <w:t>|||</w:t>
            </w:r>
            <w:r w:rsidRPr="00255D1B">
              <w:rPr>
                <w:rFonts w:ascii="Arial Narrow" w:hAnsi="Arial Narrow" w:cs="Arial"/>
                <w:color w:val="000000"/>
                <w:spacing w:val="1"/>
                <w:sz w:val="20"/>
                <w:szCs w:val="20"/>
                <w:shd w:val="solid" w:color="000000" w:fill="000000"/>
                <w:fitText w:val="330" w:id="-606363388"/>
                <w14:textFill>
                  <w14:solidFill>
                    <w14:srgbClr w14:val="000000">
                      <w14:alpha w14:val="100000"/>
                    </w14:srgbClr>
                  </w14:solidFill>
                </w14:textFill>
              </w:rPr>
              <w:t>|</w:t>
            </w:r>
            <w:r w:rsidR="00311ABD" w:rsidRPr="003420C3">
              <w:rPr>
                <w:rFonts w:ascii="Arial Narrow" w:hAnsi="Arial Narrow" w:cs="Arial"/>
                <w:color w:val="000000"/>
                <w:sz w:val="20"/>
                <w:szCs w:val="20"/>
                <w:vertAlign w:val="superscript"/>
              </w:rPr>
              <w:t>2</w:t>
            </w:r>
          </w:p>
        </w:tc>
      </w:tr>
      <w:tr w:rsidR="007A0B9E" w:rsidRPr="00C5710D" w14:paraId="4A0DEAAA" w14:textId="77777777" w:rsidTr="0096324F">
        <w:trPr>
          <w:trHeight w:val="249"/>
        </w:trPr>
        <w:tc>
          <w:tcPr>
            <w:tcW w:w="2040" w:type="pct"/>
            <w:tcBorders>
              <w:top w:val="nil"/>
              <w:left w:val="single" w:sz="4" w:space="0" w:color="auto"/>
              <w:bottom w:val="single" w:sz="4" w:space="0" w:color="auto"/>
              <w:right w:val="single" w:sz="4" w:space="0" w:color="auto"/>
            </w:tcBorders>
            <w:noWrap/>
            <w:vAlign w:val="center"/>
            <w:hideMark/>
          </w:tcPr>
          <w:p w14:paraId="3495D30F" w14:textId="68F7E502" w:rsidR="00C5710D" w:rsidRPr="007A0B9E" w:rsidRDefault="004A5E19" w:rsidP="007A0B9E">
            <w:pPr>
              <w:pStyle w:val="ListParagraph"/>
              <w:keepNext/>
              <w:numPr>
                <w:ilvl w:val="0"/>
                <w:numId w:val="20"/>
              </w:numPr>
              <w:ind w:left="174" w:hanging="174"/>
              <w:rPr>
                <w:rFonts w:ascii="Arial Narrow" w:hAnsi="Arial Narrow"/>
                <w:color w:val="000000"/>
                <w:sz w:val="20"/>
                <w:szCs w:val="20"/>
              </w:rPr>
            </w:pPr>
            <w:r w:rsidRPr="007A0B9E">
              <w:rPr>
                <w:rFonts w:ascii="Arial Narrow" w:hAnsi="Arial Narrow"/>
                <w:color w:val="000000"/>
                <w:sz w:val="20"/>
                <w:szCs w:val="20"/>
              </w:rPr>
              <w:t>I</w:t>
            </w:r>
            <w:r w:rsidR="00C5710D" w:rsidRPr="007A0B9E">
              <w:rPr>
                <w:rFonts w:ascii="Arial Narrow" w:hAnsi="Arial Narrow"/>
                <w:color w:val="000000"/>
                <w:sz w:val="20"/>
                <w:szCs w:val="20"/>
              </w:rPr>
              <w:t>nitiating first line OSI monotherapy (</w:t>
            </w:r>
            <w:r w:rsidR="00255D1B" w:rsidRPr="00255D1B">
              <w:rPr>
                <w:rFonts w:ascii="Arial Narrow" w:hAnsi="Arial Narrow"/>
                <w:color w:val="000000"/>
                <w:spacing w:val="53"/>
                <w:sz w:val="20"/>
                <w:szCs w:val="20"/>
                <w:shd w:val="solid" w:color="000000" w:fill="000000"/>
                <w:fitText w:val="330" w:id="-606363387"/>
                <w14:textFill>
                  <w14:solidFill>
                    <w14:srgbClr w14:val="000000">
                      <w14:alpha w14:val="100000"/>
                    </w14:srgbClr>
                  </w14:solidFill>
                </w14:textFill>
              </w:rPr>
              <w:t>|||</w:t>
            </w:r>
            <w:r w:rsidR="00255D1B" w:rsidRPr="00255D1B">
              <w:rPr>
                <w:rFonts w:ascii="Arial Narrow" w:hAnsi="Arial Narrow"/>
                <w:color w:val="000000"/>
                <w:spacing w:val="1"/>
                <w:sz w:val="20"/>
                <w:szCs w:val="20"/>
                <w:shd w:val="solid" w:color="000000" w:fill="000000"/>
                <w:fitText w:val="330" w:id="-606363387"/>
                <w14:textFill>
                  <w14:solidFill>
                    <w14:srgbClr w14:val="000000">
                      <w14:alpha w14:val="100000"/>
                    </w14:srgbClr>
                  </w14:solidFill>
                </w14:textFill>
              </w:rPr>
              <w:t>|</w:t>
            </w:r>
            <w:r w:rsidR="00C5710D" w:rsidRPr="007A0B9E">
              <w:rPr>
                <w:rFonts w:ascii="Arial Narrow" w:hAnsi="Arial Narrow"/>
                <w:color w:val="000000"/>
                <w:sz w:val="20"/>
                <w:szCs w:val="20"/>
              </w:rPr>
              <w:t>%)</w:t>
            </w:r>
          </w:p>
        </w:tc>
        <w:tc>
          <w:tcPr>
            <w:tcW w:w="493" w:type="pct"/>
            <w:tcBorders>
              <w:top w:val="nil"/>
              <w:left w:val="nil"/>
              <w:bottom w:val="single" w:sz="4" w:space="0" w:color="auto"/>
              <w:right w:val="single" w:sz="4" w:space="0" w:color="auto"/>
            </w:tcBorders>
            <w:noWrap/>
            <w:vAlign w:val="center"/>
            <w:hideMark/>
          </w:tcPr>
          <w:p w14:paraId="72CEA8AF" w14:textId="425D52F1" w:rsidR="00C5710D" w:rsidRPr="00033AB8" w:rsidRDefault="00255D1B" w:rsidP="00C5710D">
            <w:pPr>
              <w:keepNext/>
              <w:jc w:val="center"/>
              <w:rPr>
                <w:rFonts w:ascii="Arial Narrow" w:hAnsi="Arial Narrow" w:cs="Arial"/>
                <w:color w:val="000000"/>
                <w:sz w:val="20"/>
                <w:szCs w:val="20"/>
                <w:highlight w:val="darkGray"/>
              </w:rPr>
            </w:pPr>
            <w:r w:rsidRPr="00255D1B">
              <w:rPr>
                <w:rFonts w:ascii="Arial Narrow" w:hAnsi="Arial Narrow" w:cs="Arial"/>
                <w:color w:val="000000"/>
                <w:spacing w:val="53"/>
                <w:sz w:val="20"/>
                <w:szCs w:val="20"/>
                <w:shd w:val="solid" w:color="000000" w:fill="000000"/>
                <w:fitText w:val="330" w:id="-606363386"/>
                <w14:textFill>
                  <w14:solidFill>
                    <w14:srgbClr w14:val="000000">
                      <w14:alpha w14:val="100000"/>
                    </w14:srgbClr>
                  </w14:solidFill>
                </w14:textFill>
              </w:rPr>
              <w:t>|||</w:t>
            </w:r>
            <w:r w:rsidRPr="00255D1B">
              <w:rPr>
                <w:rFonts w:ascii="Arial Narrow" w:hAnsi="Arial Narrow" w:cs="Arial"/>
                <w:color w:val="000000"/>
                <w:spacing w:val="1"/>
                <w:sz w:val="20"/>
                <w:szCs w:val="20"/>
                <w:shd w:val="solid" w:color="000000" w:fill="000000"/>
                <w:fitText w:val="330" w:id="-606363386"/>
                <w14:textFill>
                  <w14:solidFill>
                    <w14:srgbClr w14:val="000000">
                      <w14:alpha w14:val="100000"/>
                    </w14:srgbClr>
                  </w14:solidFill>
                </w14:textFill>
              </w:rPr>
              <w:t>|</w:t>
            </w:r>
            <w:r w:rsidR="00311ABD" w:rsidRPr="003420C3">
              <w:rPr>
                <w:rFonts w:ascii="Arial Narrow" w:hAnsi="Arial Narrow" w:cs="Arial"/>
                <w:color w:val="000000"/>
                <w:sz w:val="20"/>
                <w:szCs w:val="20"/>
                <w:vertAlign w:val="superscript"/>
              </w:rPr>
              <w:t>2</w:t>
            </w:r>
          </w:p>
        </w:tc>
        <w:tc>
          <w:tcPr>
            <w:tcW w:w="494" w:type="pct"/>
            <w:tcBorders>
              <w:top w:val="nil"/>
              <w:left w:val="nil"/>
              <w:bottom w:val="single" w:sz="4" w:space="0" w:color="auto"/>
              <w:right w:val="single" w:sz="4" w:space="0" w:color="auto"/>
            </w:tcBorders>
            <w:noWrap/>
            <w:vAlign w:val="center"/>
            <w:hideMark/>
          </w:tcPr>
          <w:p w14:paraId="7D2A314A" w14:textId="7772CD50" w:rsidR="00C5710D" w:rsidRPr="00033AB8" w:rsidRDefault="00255D1B" w:rsidP="00C5710D">
            <w:pPr>
              <w:keepNext/>
              <w:jc w:val="center"/>
              <w:rPr>
                <w:rFonts w:ascii="Arial Narrow" w:hAnsi="Arial Narrow" w:cs="Arial"/>
                <w:color w:val="000000"/>
                <w:sz w:val="20"/>
                <w:szCs w:val="20"/>
                <w:highlight w:val="darkGray"/>
              </w:rPr>
            </w:pPr>
            <w:r w:rsidRPr="00255D1B">
              <w:rPr>
                <w:rFonts w:ascii="Arial Narrow" w:hAnsi="Arial Narrow" w:cs="Arial"/>
                <w:color w:val="000000"/>
                <w:spacing w:val="53"/>
                <w:sz w:val="20"/>
                <w:szCs w:val="20"/>
                <w:shd w:val="solid" w:color="000000" w:fill="000000"/>
                <w:fitText w:val="330" w:id="-606363385"/>
                <w14:textFill>
                  <w14:solidFill>
                    <w14:srgbClr w14:val="000000">
                      <w14:alpha w14:val="100000"/>
                    </w14:srgbClr>
                  </w14:solidFill>
                </w14:textFill>
              </w:rPr>
              <w:t>|||</w:t>
            </w:r>
            <w:r w:rsidRPr="00255D1B">
              <w:rPr>
                <w:rFonts w:ascii="Arial Narrow" w:hAnsi="Arial Narrow" w:cs="Arial"/>
                <w:color w:val="000000"/>
                <w:spacing w:val="1"/>
                <w:sz w:val="20"/>
                <w:szCs w:val="20"/>
                <w:shd w:val="solid" w:color="000000" w:fill="000000"/>
                <w:fitText w:val="330" w:id="-606363385"/>
                <w14:textFill>
                  <w14:solidFill>
                    <w14:srgbClr w14:val="000000">
                      <w14:alpha w14:val="100000"/>
                    </w14:srgbClr>
                  </w14:solidFill>
                </w14:textFill>
              </w:rPr>
              <w:t>|</w:t>
            </w:r>
            <w:r w:rsidR="00311ABD" w:rsidRPr="003420C3">
              <w:rPr>
                <w:rFonts w:ascii="Arial Narrow" w:hAnsi="Arial Narrow" w:cs="Arial"/>
                <w:color w:val="000000"/>
                <w:sz w:val="20"/>
                <w:szCs w:val="20"/>
                <w:vertAlign w:val="superscript"/>
              </w:rPr>
              <w:t>2</w:t>
            </w:r>
          </w:p>
        </w:tc>
        <w:tc>
          <w:tcPr>
            <w:tcW w:w="493" w:type="pct"/>
            <w:tcBorders>
              <w:top w:val="nil"/>
              <w:left w:val="nil"/>
              <w:bottom w:val="single" w:sz="4" w:space="0" w:color="auto"/>
              <w:right w:val="single" w:sz="4" w:space="0" w:color="auto"/>
            </w:tcBorders>
            <w:noWrap/>
            <w:vAlign w:val="center"/>
            <w:hideMark/>
          </w:tcPr>
          <w:p w14:paraId="56B1DD7E" w14:textId="72E93A19" w:rsidR="00C5710D" w:rsidRPr="00033AB8" w:rsidRDefault="00255D1B" w:rsidP="00C5710D">
            <w:pPr>
              <w:keepNext/>
              <w:jc w:val="center"/>
              <w:rPr>
                <w:rFonts w:ascii="Arial Narrow" w:hAnsi="Arial Narrow" w:cs="Arial"/>
                <w:color w:val="000000"/>
                <w:sz w:val="20"/>
                <w:szCs w:val="20"/>
                <w:highlight w:val="darkGray"/>
              </w:rPr>
            </w:pPr>
            <w:r w:rsidRPr="00255D1B">
              <w:rPr>
                <w:rFonts w:ascii="Arial Narrow" w:hAnsi="Arial Narrow" w:cs="Arial"/>
                <w:color w:val="000000"/>
                <w:spacing w:val="53"/>
                <w:sz w:val="20"/>
                <w:szCs w:val="20"/>
                <w:shd w:val="solid" w:color="000000" w:fill="000000"/>
                <w:fitText w:val="330" w:id="-606363384"/>
                <w14:textFill>
                  <w14:solidFill>
                    <w14:srgbClr w14:val="000000">
                      <w14:alpha w14:val="100000"/>
                    </w14:srgbClr>
                  </w14:solidFill>
                </w14:textFill>
              </w:rPr>
              <w:t>|||</w:t>
            </w:r>
            <w:r w:rsidRPr="00255D1B">
              <w:rPr>
                <w:rFonts w:ascii="Arial Narrow" w:hAnsi="Arial Narrow" w:cs="Arial"/>
                <w:color w:val="000000"/>
                <w:spacing w:val="1"/>
                <w:sz w:val="20"/>
                <w:szCs w:val="20"/>
                <w:shd w:val="solid" w:color="000000" w:fill="000000"/>
                <w:fitText w:val="330" w:id="-606363384"/>
                <w14:textFill>
                  <w14:solidFill>
                    <w14:srgbClr w14:val="000000">
                      <w14:alpha w14:val="100000"/>
                    </w14:srgbClr>
                  </w14:solidFill>
                </w14:textFill>
              </w:rPr>
              <w:t>|</w:t>
            </w:r>
            <w:r w:rsidR="00311ABD" w:rsidRPr="003420C3">
              <w:rPr>
                <w:rFonts w:ascii="Arial Narrow" w:hAnsi="Arial Narrow" w:cs="Arial"/>
                <w:color w:val="000000"/>
                <w:sz w:val="20"/>
                <w:szCs w:val="20"/>
                <w:vertAlign w:val="superscript"/>
              </w:rPr>
              <w:t>2</w:t>
            </w:r>
          </w:p>
        </w:tc>
        <w:tc>
          <w:tcPr>
            <w:tcW w:w="494" w:type="pct"/>
            <w:tcBorders>
              <w:top w:val="nil"/>
              <w:left w:val="nil"/>
              <w:bottom w:val="single" w:sz="4" w:space="0" w:color="auto"/>
              <w:right w:val="single" w:sz="4" w:space="0" w:color="auto"/>
            </w:tcBorders>
            <w:noWrap/>
            <w:vAlign w:val="center"/>
            <w:hideMark/>
          </w:tcPr>
          <w:p w14:paraId="008AFD20" w14:textId="7F2CDBA8" w:rsidR="00C5710D" w:rsidRPr="00033AB8" w:rsidRDefault="00255D1B" w:rsidP="00C5710D">
            <w:pPr>
              <w:keepNext/>
              <w:jc w:val="center"/>
              <w:rPr>
                <w:rFonts w:ascii="Arial Narrow" w:hAnsi="Arial Narrow" w:cs="Arial"/>
                <w:color w:val="000000"/>
                <w:sz w:val="20"/>
                <w:szCs w:val="20"/>
                <w:highlight w:val="darkGray"/>
              </w:rPr>
            </w:pPr>
            <w:r w:rsidRPr="00255D1B">
              <w:rPr>
                <w:rFonts w:ascii="Arial Narrow" w:hAnsi="Arial Narrow" w:cs="Arial"/>
                <w:color w:val="000000"/>
                <w:spacing w:val="53"/>
                <w:sz w:val="20"/>
                <w:szCs w:val="20"/>
                <w:shd w:val="solid" w:color="000000" w:fill="000000"/>
                <w:fitText w:val="330" w:id="-606363383"/>
                <w14:textFill>
                  <w14:solidFill>
                    <w14:srgbClr w14:val="000000">
                      <w14:alpha w14:val="100000"/>
                    </w14:srgbClr>
                  </w14:solidFill>
                </w14:textFill>
              </w:rPr>
              <w:t>|||</w:t>
            </w:r>
            <w:r w:rsidRPr="00255D1B">
              <w:rPr>
                <w:rFonts w:ascii="Arial Narrow" w:hAnsi="Arial Narrow" w:cs="Arial"/>
                <w:color w:val="000000"/>
                <w:spacing w:val="1"/>
                <w:sz w:val="20"/>
                <w:szCs w:val="20"/>
                <w:shd w:val="solid" w:color="000000" w:fill="000000"/>
                <w:fitText w:val="330" w:id="-606363383"/>
                <w14:textFill>
                  <w14:solidFill>
                    <w14:srgbClr w14:val="000000">
                      <w14:alpha w14:val="100000"/>
                    </w14:srgbClr>
                  </w14:solidFill>
                </w14:textFill>
              </w:rPr>
              <w:t>|</w:t>
            </w:r>
            <w:r w:rsidR="00311ABD" w:rsidRPr="003420C3">
              <w:rPr>
                <w:rFonts w:ascii="Arial Narrow" w:hAnsi="Arial Narrow" w:cs="Arial"/>
                <w:color w:val="000000"/>
                <w:sz w:val="20"/>
                <w:szCs w:val="20"/>
                <w:vertAlign w:val="superscript"/>
              </w:rPr>
              <w:t>2</w:t>
            </w:r>
          </w:p>
        </w:tc>
        <w:tc>
          <w:tcPr>
            <w:tcW w:w="493" w:type="pct"/>
            <w:tcBorders>
              <w:top w:val="nil"/>
              <w:left w:val="nil"/>
              <w:bottom w:val="single" w:sz="4" w:space="0" w:color="auto"/>
              <w:right w:val="single" w:sz="4" w:space="0" w:color="auto"/>
            </w:tcBorders>
            <w:noWrap/>
            <w:vAlign w:val="center"/>
            <w:hideMark/>
          </w:tcPr>
          <w:p w14:paraId="6F1D59A3" w14:textId="5F66C875" w:rsidR="00C5710D" w:rsidRPr="00033AB8" w:rsidRDefault="00255D1B" w:rsidP="00C5710D">
            <w:pPr>
              <w:keepNext/>
              <w:jc w:val="center"/>
              <w:rPr>
                <w:rFonts w:ascii="Arial Narrow" w:hAnsi="Arial Narrow" w:cs="Arial"/>
                <w:color w:val="000000"/>
                <w:sz w:val="20"/>
                <w:szCs w:val="20"/>
                <w:highlight w:val="darkGray"/>
              </w:rPr>
            </w:pPr>
            <w:r w:rsidRPr="00255D1B">
              <w:rPr>
                <w:rFonts w:ascii="Arial Narrow" w:hAnsi="Arial Narrow" w:cs="Arial"/>
                <w:color w:val="000000"/>
                <w:spacing w:val="53"/>
                <w:sz w:val="20"/>
                <w:szCs w:val="20"/>
                <w:shd w:val="solid" w:color="000000" w:fill="000000"/>
                <w:fitText w:val="330" w:id="-606363382"/>
                <w14:textFill>
                  <w14:solidFill>
                    <w14:srgbClr w14:val="000000">
                      <w14:alpha w14:val="100000"/>
                    </w14:srgbClr>
                  </w14:solidFill>
                </w14:textFill>
              </w:rPr>
              <w:t>|||</w:t>
            </w:r>
            <w:r w:rsidRPr="00255D1B">
              <w:rPr>
                <w:rFonts w:ascii="Arial Narrow" w:hAnsi="Arial Narrow" w:cs="Arial"/>
                <w:color w:val="000000"/>
                <w:spacing w:val="1"/>
                <w:sz w:val="20"/>
                <w:szCs w:val="20"/>
                <w:shd w:val="solid" w:color="000000" w:fill="000000"/>
                <w:fitText w:val="330" w:id="-606363382"/>
                <w14:textFill>
                  <w14:solidFill>
                    <w14:srgbClr w14:val="000000">
                      <w14:alpha w14:val="100000"/>
                    </w14:srgbClr>
                  </w14:solidFill>
                </w14:textFill>
              </w:rPr>
              <w:t>|</w:t>
            </w:r>
            <w:r w:rsidR="00311ABD" w:rsidRPr="003420C3">
              <w:rPr>
                <w:rFonts w:ascii="Arial Narrow" w:hAnsi="Arial Narrow" w:cs="Arial"/>
                <w:color w:val="000000"/>
                <w:sz w:val="20"/>
                <w:szCs w:val="20"/>
                <w:vertAlign w:val="superscript"/>
              </w:rPr>
              <w:t>2</w:t>
            </w:r>
          </w:p>
        </w:tc>
        <w:tc>
          <w:tcPr>
            <w:tcW w:w="494" w:type="pct"/>
            <w:tcBorders>
              <w:top w:val="nil"/>
              <w:left w:val="nil"/>
              <w:bottom w:val="single" w:sz="4" w:space="0" w:color="auto"/>
              <w:right w:val="single" w:sz="4" w:space="0" w:color="auto"/>
            </w:tcBorders>
            <w:noWrap/>
            <w:vAlign w:val="center"/>
            <w:hideMark/>
          </w:tcPr>
          <w:p w14:paraId="5404B814" w14:textId="66587AB4" w:rsidR="00C5710D" w:rsidRPr="00033AB8" w:rsidRDefault="00255D1B" w:rsidP="00C5710D">
            <w:pPr>
              <w:keepNext/>
              <w:jc w:val="center"/>
              <w:rPr>
                <w:rFonts w:ascii="Arial Narrow" w:hAnsi="Arial Narrow" w:cs="Arial"/>
                <w:color w:val="000000"/>
                <w:sz w:val="20"/>
                <w:szCs w:val="20"/>
                <w:highlight w:val="darkGray"/>
              </w:rPr>
            </w:pPr>
            <w:r w:rsidRPr="00255D1B">
              <w:rPr>
                <w:rFonts w:ascii="Arial Narrow" w:hAnsi="Arial Narrow" w:cs="Arial"/>
                <w:color w:val="000000"/>
                <w:spacing w:val="53"/>
                <w:sz w:val="20"/>
                <w:szCs w:val="20"/>
                <w:shd w:val="solid" w:color="000000" w:fill="000000"/>
                <w:fitText w:val="330" w:id="-606363381"/>
                <w14:textFill>
                  <w14:solidFill>
                    <w14:srgbClr w14:val="000000">
                      <w14:alpha w14:val="100000"/>
                    </w14:srgbClr>
                  </w14:solidFill>
                </w14:textFill>
              </w:rPr>
              <w:t>|||</w:t>
            </w:r>
            <w:r w:rsidRPr="00255D1B">
              <w:rPr>
                <w:rFonts w:ascii="Arial Narrow" w:hAnsi="Arial Narrow" w:cs="Arial"/>
                <w:color w:val="000000"/>
                <w:spacing w:val="1"/>
                <w:sz w:val="20"/>
                <w:szCs w:val="20"/>
                <w:shd w:val="solid" w:color="000000" w:fill="000000"/>
                <w:fitText w:val="330" w:id="-606363381"/>
                <w14:textFill>
                  <w14:solidFill>
                    <w14:srgbClr w14:val="000000">
                      <w14:alpha w14:val="100000"/>
                    </w14:srgbClr>
                  </w14:solidFill>
                </w14:textFill>
              </w:rPr>
              <w:t>|</w:t>
            </w:r>
            <w:r w:rsidR="00311ABD" w:rsidRPr="003420C3">
              <w:rPr>
                <w:rFonts w:ascii="Arial Narrow" w:hAnsi="Arial Narrow" w:cs="Arial"/>
                <w:color w:val="000000"/>
                <w:sz w:val="20"/>
                <w:szCs w:val="20"/>
                <w:vertAlign w:val="superscript"/>
              </w:rPr>
              <w:t>2</w:t>
            </w:r>
          </w:p>
        </w:tc>
      </w:tr>
      <w:tr w:rsidR="007A0B9E" w:rsidRPr="00C5710D" w14:paraId="13D6DB61" w14:textId="77777777" w:rsidTr="0096324F">
        <w:trPr>
          <w:trHeight w:val="249"/>
        </w:trPr>
        <w:tc>
          <w:tcPr>
            <w:tcW w:w="2040" w:type="pct"/>
            <w:tcBorders>
              <w:top w:val="single" w:sz="4" w:space="0" w:color="auto"/>
              <w:left w:val="single" w:sz="4" w:space="0" w:color="auto"/>
              <w:bottom w:val="single" w:sz="4" w:space="0" w:color="auto"/>
              <w:right w:val="single" w:sz="4" w:space="0" w:color="auto"/>
            </w:tcBorders>
            <w:noWrap/>
            <w:vAlign w:val="center"/>
          </w:tcPr>
          <w:p w14:paraId="683AF181" w14:textId="7191FAAE" w:rsidR="004A5E19" w:rsidRPr="00C5710D" w:rsidRDefault="00BE5405" w:rsidP="00C5710D">
            <w:pPr>
              <w:keepNext/>
              <w:jc w:val="left"/>
              <w:rPr>
                <w:rFonts w:ascii="Arial Narrow" w:hAnsi="Arial Narrow" w:cs="Arial"/>
                <w:color w:val="000000"/>
                <w:sz w:val="20"/>
                <w:szCs w:val="20"/>
              </w:rPr>
            </w:pPr>
            <w:r>
              <w:rPr>
                <w:rFonts w:ascii="Arial Narrow" w:hAnsi="Arial Narrow" w:cs="Arial"/>
                <w:color w:val="000000"/>
                <w:sz w:val="20"/>
                <w:szCs w:val="20"/>
              </w:rPr>
              <w:t>P</w:t>
            </w:r>
            <w:r w:rsidR="004A5E19">
              <w:rPr>
                <w:rFonts w:ascii="Arial Narrow" w:hAnsi="Arial Narrow" w:cs="Arial"/>
                <w:color w:val="000000"/>
                <w:sz w:val="20"/>
                <w:szCs w:val="20"/>
              </w:rPr>
              <w:t xml:space="preserve">revalent patients </w:t>
            </w:r>
            <w:r>
              <w:rPr>
                <w:rFonts w:ascii="Arial Narrow" w:hAnsi="Arial Narrow" w:cs="Arial"/>
                <w:color w:val="000000"/>
                <w:sz w:val="20"/>
                <w:szCs w:val="20"/>
              </w:rPr>
              <w:t xml:space="preserve">initiating PBS-listed O+C </w:t>
            </w:r>
          </w:p>
        </w:tc>
        <w:tc>
          <w:tcPr>
            <w:tcW w:w="493" w:type="pct"/>
            <w:tcBorders>
              <w:top w:val="single" w:sz="4" w:space="0" w:color="auto"/>
              <w:left w:val="nil"/>
              <w:bottom w:val="single" w:sz="4" w:space="0" w:color="auto"/>
              <w:right w:val="single" w:sz="4" w:space="0" w:color="auto"/>
            </w:tcBorders>
            <w:noWrap/>
            <w:vAlign w:val="center"/>
          </w:tcPr>
          <w:p w14:paraId="384FE2E4" w14:textId="41456055" w:rsidR="004A5E19" w:rsidRPr="00033AB8" w:rsidRDefault="00255D1B" w:rsidP="00C5710D">
            <w:pPr>
              <w:keepNext/>
              <w:jc w:val="center"/>
              <w:rPr>
                <w:rFonts w:ascii="Arial Narrow" w:hAnsi="Arial Narrow" w:cs="Arial"/>
                <w:color w:val="000000"/>
                <w:sz w:val="20"/>
                <w:szCs w:val="20"/>
                <w:highlight w:val="darkGray"/>
              </w:rPr>
            </w:pPr>
            <w:r w:rsidRPr="00255D1B">
              <w:rPr>
                <w:rFonts w:ascii="Arial Narrow" w:hAnsi="Arial Narrow" w:cs="Arial"/>
                <w:color w:val="000000"/>
                <w:spacing w:val="53"/>
                <w:sz w:val="20"/>
                <w:szCs w:val="20"/>
                <w:shd w:val="solid" w:color="000000" w:fill="000000"/>
                <w:fitText w:val="330" w:id="-606363380"/>
                <w14:textFill>
                  <w14:solidFill>
                    <w14:srgbClr w14:val="000000">
                      <w14:alpha w14:val="100000"/>
                    </w14:srgbClr>
                  </w14:solidFill>
                </w14:textFill>
              </w:rPr>
              <w:t>|||</w:t>
            </w:r>
            <w:r w:rsidRPr="00255D1B">
              <w:rPr>
                <w:rFonts w:ascii="Arial Narrow" w:hAnsi="Arial Narrow" w:cs="Arial"/>
                <w:color w:val="000000"/>
                <w:spacing w:val="1"/>
                <w:sz w:val="20"/>
                <w:szCs w:val="20"/>
                <w:shd w:val="solid" w:color="000000" w:fill="000000"/>
                <w:fitText w:val="330" w:id="-606363380"/>
                <w14:textFill>
                  <w14:solidFill>
                    <w14:srgbClr w14:val="000000">
                      <w14:alpha w14:val="100000"/>
                    </w14:srgbClr>
                  </w14:solidFill>
                </w14:textFill>
              </w:rPr>
              <w:t>|</w:t>
            </w:r>
            <w:r w:rsidR="00311ABD" w:rsidRPr="003420C3">
              <w:rPr>
                <w:rFonts w:ascii="Arial Narrow" w:hAnsi="Arial Narrow" w:cs="Arial"/>
                <w:color w:val="000000"/>
                <w:sz w:val="20"/>
                <w:szCs w:val="20"/>
                <w:vertAlign w:val="superscript"/>
              </w:rPr>
              <w:t>2</w:t>
            </w:r>
          </w:p>
        </w:tc>
        <w:tc>
          <w:tcPr>
            <w:tcW w:w="494" w:type="pct"/>
            <w:tcBorders>
              <w:top w:val="single" w:sz="4" w:space="0" w:color="auto"/>
              <w:left w:val="nil"/>
              <w:bottom w:val="single" w:sz="4" w:space="0" w:color="auto"/>
              <w:right w:val="single" w:sz="4" w:space="0" w:color="auto"/>
            </w:tcBorders>
            <w:noWrap/>
            <w:vAlign w:val="center"/>
          </w:tcPr>
          <w:p w14:paraId="6BC0166C" w14:textId="6EC668C9" w:rsidR="004A5E19" w:rsidRPr="00C5710D" w:rsidRDefault="007A0B9E" w:rsidP="00C5710D">
            <w:pPr>
              <w:keepNext/>
              <w:jc w:val="center"/>
              <w:rPr>
                <w:rFonts w:ascii="Arial Narrow" w:hAnsi="Arial Narrow" w:cs="Arial"/>
                <w:color w:val="000000"/>
                <w:sz w:val="20"/>
                <w:szCs w:val="20"/>
              </w:rPr>
            </w:pPr>
            <w:r>
              <w:rPr>
                <w:rFonts w:ascii="Arial Narrow" w:hAnsi="Arial Narrow" w:cs="Arial"/>
                <w:color w:val="000000"/>
                <w:sz w:val="20"/>
                <w:szCs w:val="20"/>
              </w:rPr>
              <w:t>-</w:t>
            </w:r>
          </w:p>
        </w:tc>
        <w:tc>
          <w:tcPr>
            <w:tcW w:w="493" w:type="pct"/>
            <w:tcBorders>
              <w:top w:val="single" w:sz="4" w:space="0" w:color="auto"/>
              <w:left w:val="nil"/>
              <w:bottom w:val="single" w:sz="4" w:space="0" w:color="auto"/>
              <w:right w:val="single" w:sz="4" w:space="0" w:color="auto"/>
            </w:tcBorders>
            <w:noWrap/>
            <w:vAlign w:val="center"/>
          </w:tcPr>
          <w:p w14:paraId="43292605" w14:textId="4B1FB994" w:rsidR="004A5E19" w:rsidRPr="00C5710D" w:rsidRDefault="007A0B9E" w:rsidP="00C5710D">
            <w:pPr>
              <w:keepNext/>
              <w:jc w:val="center"/>
              <w:rPr>
                <w:rFonts w:ascii="Arial Narrow" w:hAnsi="Arial Narrow" w:cs="Arial"/>
                <w:color w:val="000000"/>
                <w:sz w:val="20"/>
                <w:szCs w:val="20"/>
              </w:rPr>
            </w:pPr>
            <w:r>
              <w:rPr>
                <w:rFonts w:ascii="Arial Narrow" w:hAnsi="Arial Narrow" w:cs="Arial"/>
                <w:color w:val="000000"/>
                <w:sz w:val="20"/>
                <w:szCs w:val="20"/>
              </w:rPr>
              <w:t>-</w:t>
            </w:r>
          </w:p>
        </w:tc>
        <w:tc>
          <w:tcPr>
            <w:tcW w:w="494" w:type="pct"/>
            <w:tcBorders>
              <w:top w:val="single" w:sz="4" w:space="0" w:color="auto"/>
              <w:left w:val="nil"/>
              <w:bottom w:val="single" w:sz="4" w:space="0" w:color="auto"/>
              <w:right w:val="single" w:sz="4" w:space="0" w:color="auto"/>
            </w:tcBorders>
            <w:noWrap/>
            <w:vAlign w:val="center"/>
          </w:tcPr>
          <w:p w14:paraId="1CA4602A" w14:textId="3B372764" w:rsidR="004A5E19" w:rsidRPr="00C5710D" w:rsidRDefault="007A0B9E" w:rsidP="00C5710D">
            <w:pPr>
              <w:keepNext/>
              <w:jc w:val="center"/>
              <w:rPr>
                <w:rFonts w:ascii="Arial Narrow" w:hAnsi="Arial Narrow" w:cs="Arial"/>
                <w:color w:val="000000"/>
                <w:sz w:val="20"/>
                <w:szCs w:val="20"/>
              </w:rPr>
            </w:pPr>
            <w:r>
              <w:rPr>
                <w:rFonts w:ascii="Arial Narrow" w:hAnsi="Arial Narrow" w:cs="Arial"/>
                <w:color w:val="000000"/>
                <w:sz w:val="20"/>
                <w:szCs w:val="20"/>
              </w:rPr>
              <w:t>-</w:t>
            </w:r>
          </w:p>
        </w:tc>
        <w:tc>
          <w:tcPr>
            <w:tcW w:w="493" w:type="pct"/>
            <w:tcBorders>
              <w:top w:val="single" w:sz="4" w:space="0" w:color="auto"/>
              <w:left w:val="nil"/>
              <w:bottom w:val="single" w:sz="4" w:space="0" w:color="auto"/>
              <w:right w:val="single" w:sz="4" w:space="0" w:color="auto"/>
            </w:tcBorders>
            <w:noWrap/>
            <w:vAlign w:val="center"/>
          </w:tcPr>
          <w:p w14:paraId="6909F6A2" w14:textId="501D3C58" w:rsidR="004A5E19" w:rsidRPr="00C5710D" w:rsidRDefault="007A0B9E" w:rsidP="00C5710D">
            <w:pPr>
              <w:keepNext/>
              <w:jc w:val="center"/>
              <w:rPr>
                <w:rFonts w:ascii="Arial Narrow" w:hAnsi="Arial Narrow" w:cs="Arial"/>
                <w:color w:val="000000"/>
                <w:sz w:val="20"/>
                <w:szCs w:val="20"/>
              </w:rPr>
            </w:pPr>
            <w:r>
              <w:rPr>
                <w:rFonts w:ascii="Arial Narrow" w:hAnsi="Arial Narrow" w:cs="Arial"/>
                <w:color w:val="000000"/>
                <w:sz w:val="20"/>
                <w:szCs w:val="20"/>
              </w:rPr>
              <w:t>-</w:t>
            </w:r>
          </w:p>
        </w:tc>
        <w:tc>
          <w:tcPr>
            <w:tcW w:w="494" w:type="pct"/>
            <w:tcBorders>
              <w:top w:val="single" w:sz="4" w:space="0" w:color="auto"/>
              <w:left w:val="nil"/>
              <w:bottom w:val="single" w:sz="4" w:space="0" w:color="auto"/>
              <w:right w:val="single" w:sz="4" w:space="0" w:color="auto"/>
            </w:tcBorders>
            <w:noWrap/>
            <w:vAlign w:val="center"/>
          </w:tcPr>
          <w:p w14:paraId="3E479AB7" w14:textId="32939D2C" w:rsidR="004A5E19" w:rsidRPr="00C5710D" w:rsidRDefault="007A0B9E" w:rsidP="00C5710D">
            <w:pPr>
              <w:keepNext/>
              <w:jc w:val="center"/>
              <w:rPr>
                <w:rFonts w:ascii="Arial Narrow" w:hAnsi="Arial Narrow" w:cs="Arial"/>
                <w:color w:val="000000"/>
                <w:sz w:val="20"/>
                <w:szCs w:val="20"/>
              </w:rPr>
            </w:pPr>
            <w:r>
              <w:rPr>
                <w:rFonts w:ascii="Arial Narrow" w:hAnsi="Arial Narrow" w:cs="Arial"/>
                <w:color w:val="000000"/>
                <w:sz w:val="20"/>
                <w:szCs w:val="20"/>
              </w:rPr>
              <w:t>-</w:t>
            </w:r>
          </w:p>
        </w:tc>
      </w:tr>
    </w:tbl>
    <w:p w14:paraId="0D28D3F8" w14:textId="77777777" w:rsidR="00421AA0" w:rsidRPr="00225457" w:rsidRDefault="00C967FD" w:rsidP="00033AB8">
      <w:pPr>
        <w:pStyle w:val="TableFigureFooter"/>
      </w:pPr>
      <w:bookmarkStart w:id="10" w:name="_Ref191894185"/>
      <w:r w:rsidRPr="00225457">
        <w:t xml:space="preserve">Source: </w:t>
      </w:r>
      <w:r w:rsidR="00AF6F9E" w:rsidRPr="00225457">
        <w:t>Table 4-2, Table 4-5 of resubmission</w:t>
      </w:r>
    </w:p>
    <w:p w14:paraId="502DA19D" w14:textId="6FA7A318" w:rsidR="00421AA0" w:rsidRPr="00033AB8" w:rsidRDefault="00421AA0" w:rsidP="00033AB8">
      <w:pPr>
        <w:pStyle w:val="TableFigureFooter"/>
        <w:rPr>
          <w:i/>
          <w:iCs/>
        </w:rPr>
      </w:pPr>
      <w:r w:rsidRPr="00033AB8">
        <w:rPr>
          <w:i/>
          <w:iCs/>
        </w:rPr>
        <w:t xml:space="preserve">The redacted values correspond to the following ranges: </w:t>
      </w:r>
    </w:p>
    <w:p w14:paraId="019DED77" w14:textId="77777777" w:rsidR="00421AA0" w:rsidRPr="00033AB8" w:rsidRDefault="00421AA0" w:rsidP="00033AB8">
      <w:pPr>
        <w:pStyle w:val="TableFigureFooter"/>
        <w:rPr>
          <w:i/>
          <w:iCs/>
        </w:rPr>
      </w:pPr>
      <w:r w:rsidRPr="00033AB8">
        <w:rPr>
          <w:i/>
          <w:iCs/>
        </w:rPr>
        <w:t>1 500 to &lt; 5,000</w:t>
      </w:r>
    </w:p>
    <w:p w14:paraId="22D4A55D" w14:textId="4F841DA6" w:rsidR="00421AA0" w:rsidRPr="00AF6F9E" w:rsidRDefault="00421AA0" w:rsidP="00033AB8">
      <w:pPr>
        <w:pStyle w:val="TableFigureFooter"/>
      </w:pPr>
      <w:r w:rsidRPr="00033AB8">
        <w:rPr>
          <w:i/>
          <w:iCs/>
        </w:rPr>
        <w:t>2 &lt; 500</w:t>
      </w:r>
    </w:p>
    <w:p w14:paraId="0468A27A" w14:textId="28DD3477" w:rsidR="00424A75" w:rsidRDefault="7568DFDB" w:rsidP="00C967FD">
      <w:pPr>
        <w:pStyle w:val="3-BodyText"/>
        <w:rPr>
          <w:lang w:eastAsia="en-US"/>
        </w:rPr>
      </w:pPr>
      <w:r>
        <w:rPr>
          <w:lang w:eastAsia="en-US"/>
        </w:rPr>
        <w:t xml:space="preserve">The resubmission proposed a single weighted price, based on the </w:t>
      </w:r>
      <w:r w:rsidR="1FF907E1">
        <w:rPr>
          <w:lang w:eastAsia="en-US"/>
        </w:rPr>
        <w:t xml:space="preserve">patient market share for </w:t>
      </w:r>
      <w:proofErr w:type="spellStart"/>
      <w:r w:rsidR="1FF907E1">
        <w:rPr>
          <w:lang w:eastAsia="en-US"/>
        </w:rPr>
        <w:t>osimertinib</w:t>
      </w:r>
      <w:proofErr w:type="spellEnd"/>
      <w:r w:rsidR="1FF907E1">
        <w:rPr>
          <w:lang w:eastAsia="en-US"/>
        </w:rPr>
        <w:t xml:space="preserve"> monotherapy and O+C, as summarised in </w:t>
      </w:r>
      <w:r w:rsidR="009C1770">
        <w:rPr>
          <w:lang w:eastAsia="en-US"/>
        </w:rPr>
        <w:fldChar w:fldCharType="begin"/>
      </w:r>
      <w:r w:rsidR="009C1770">
        <w:rPr>
          <w:lang w:eastAsia="en-US"/>
        </w:rPr>
        <w:instrText xml:space="preserve"> REF _Ref195548269 \h </w:instrText>
      </w:r>
      <w:r w:rsidR="009C1770">
        <w:rPr>
          <w:lang w:eastAsia="en-US"/>
        </w:rPr>
      </w:r>
      <w:r w:rsidR="009C1770">
        <w:rPr>
          <w:lang w:eastAsia="en-US"/>
        </w:rPr>
        <w:fldChar w:fldCharType="separate"/>
      </w:r>
      <w:r w:rsidR="0055339A" w:rsidRPr="00491884">
        <w:t xml:space="preserve">Table </w:t>
      </w:r>
      <w:r w:rsidR="0055339A">
        <w:rPr>
          <w:noProof/>
        </w:rPr>
        <w:t>7</w:t>
      </w:r>
      <w:r w:rsidR="009C1770">
        <w:rPr>
          <w:lang w:eastAsia="en-US"/>
        </w:rPr>
        <w:fldChar w:fldCharType="end"/>
      </w:r>
      <w:r w:rsidR="4870B353">
        <w:rPr>
          <w:lang w:eastAsia="en-US"/>
        </w:rPr>
        <w:t>.</w:t>
      </w:r>
      <w:r w:rsidR="769EFBF4">
        <w:rPr>
          <w:lang w:eastAsia="en-US"/>
        </w:rPr>
        <w:t xml:space="preserve"> </w:t>
      </w:r>
    </w:p>
    <w:p w14:paraId="57DD7506" w14:textId="7C9945A8" w:rsidR="00067FA1" w:rsidRPr="009C1770" w:rsidRDefault="009C1770" w:rsidP="009C1770">
      <w:pPr>
        <w:pStyle w:val="3-BodyText"/>
        <w:numPr>
          <w:ilvl w:val="0"/>
          <w:numId w:val="0"/>
        </w:numPr>
        <w:spacing w:after="0"/>
        <w:rPr>
          <w:rFonts w:ascii="Arial Narrow" w:hAnsi="Arial Narrow"/>
          <w:b/>
          <w:bCs/>
          <w:sz w:val="20"/>
          <w:szCs w:val="20"/>
          <w:lang w:eastAsia="en-US"/>
        </w:rPr>
      </w:pPr>
      <w:r w:rsidRPr="009C1770">
        <w:rPr>
          <w:rFonts w:ascii="Arial Narrow" w:hAnsi="Arial Narrow"/>
          <w:b/>
          <w:bCs/>
          <w:sz w:val="20"/>
          <w:szCs w:val="20"/>
        </w:rPr>
        <w:t xml:space="preserve">Table </w:t>
      </w:r>
      <w:r w:rsidRPr="009C1770">
        <w:rPr>
          <w:rFonts w:ascii="Arial Narrow" w:hAnsi="Arial Narrow"/>
          <w:b/>
          <w:bCs/>
          <w:sz w:val="20"/>
          <w:szCs w:val="20"/>
        </w:rPr>
        <w:fldChar w:fldCharType="begin"/>
      </w:r>
      <w:r w:rsidRPr="009C1770">
        <w:rPr>
          <w:rFonts w:ascii="Arial Narrow" w:hAnsi="Arial Narrow"/>
          <w:b/>
          <w:bCs/>
          <w:sz w:val="20"/>
          <w:szCs w:val="20"/>
        </w:rPr>
        <w:instrText xml:space="preserve"> SEQ Table \* ARABIC </w:instrText>
      </w:r>
      <w:r w:rsidRPr="009C1770">
        <w:rPr>
          <w:rFonts w:ascii="Arial Narrow" w:hAnsi="Arial Narrow"/>
          <w:b/>
          <w:bCs/>
          <w:sz w:val="20"/>
          <w:szCs w:val="20"/>
        </w:rPr>
        <w:fldChar w:fldCharType="separate"/>
      </w:r>
      <w:r w:rsidR="0055339A">
        <w:rPr>
          <w:rFonts w:ascii="Arial Narrow" w:hAnsi="Arial Narrow"/>
          <w:b/>
          <w:bCs/>
          <w:noProof/>
          <w:sz w:val="20"/>
          <w:szCs w:val="20"/>
        </w:rPr>
        <w:t>6</w:t>
      </w:r>
      <w:r w:rsidRPr="009C1770">
        <w:rPr>
          <w:rFonts w:ascii="Arial Narrow" w:hAnsi="Arial Narrow"/>
          <w:b/>
          <w:bCs/>
          <w:sz w:val="20"/>
          <w:szCs w:val="20"/>
        </w:rPr>
        <w:fldChar w:fldCharType="end"/>
      </w:r>
      <w:r w:rsidRPr="009C1770">
        <w:rPr>
          <w:rFonts w:ascii="Arial Narrow" w:hAnsi="Arial Narrow"/>
          <w:b/>
          <w:bCs/>
          <w:sz w:val="20"/>
          <w:szCs w:val="20"/>
        </w:rPr>
        <w:t xml:space="preserve">: </w:t>
      </w:r>
      <w:r w:rsidRPr="009C1770">
        <w:rPr>
          <w:rFonts w:ascii="Arial Narrow" w:hAnsi="Arial Narrow"/>
          <w:b/>
          <w:bCs/>
          <w:sz w:val="20"/>
          <w:szCs w:val="20"/>
          <w:lang w:val="en-GB"/>
        </w:rPr>
        <w:t xml:space="preserve">Weighted average price of first-line </w:t>
      </w:r>
      <w:proofErr w:type="spellStart"/>
      <w:r w:rsidRPr="009C1770">
        <w:rPr>
          <w:rFonts w:ascii="Arial Narrow" w:hAnsi="Arial Narrow"/>
          <w:b/>
          <w:bCs/>
          <w:sz w:val="20"/>
          <w:szCs w:val="20"/>
          <w:lang w:val="en-GB"/>
        </w:rPr>
        <w:t>osimertinib</w:t>
      </w:r>
      <w:proofErr w:type="spellEnd"/>
    </w:p>
    <w:tbl>
      <w:tblPr>
        <w:tblW w:w="5000" w:type="pct"/>
        <w:tblLook w:val="04A0" w:firstRow="1" w:lastRow="0" w:firstColumn="1" w:lastColumn="0" w:noHBand="0" w:noVBand="1"/>
        <w:tblCaption w:val="Weighted average price of first-line osimertinib"/>
      </w:tblPr>
      <w:tblGrid>
        <w:gridCol w:w="3572"/>
        <w:gridCol w:w="1814"/>
        <w:gridCol w:w="1816"/>
        <w:gridCol w:w="1814"/>
      </w:tblGrid>
      <w:tr w:rsidR="002E4703" w:rsidRPr="00067FA1" w14:paraId="2E1C4416" w14:textId="77777777" w:rsidTr="002E4703">
        <w:trPr>
          <w:trHeight w:val="258"/>
        </w:trPr>
        <w:tc>
          <w:tcPr>
            <w:tcW w:w="1981" w:type="pct"/>
            <w:tcBorders>
              <w:top w:val="single" w:sz="4" w:space="0" w:color="auto"/>
              <w:left w:val="single" w:sz="4" w:space="0" w:color="auto"/>
              <w:bottom w:val="single" w:sz="4" w:space="0" w:color="auto"/>
              <w:right w:val="single" w:sz="4" w:space="0" w:color="auto"/>
            </w:tcBorders>
            <w:vAlign w:val="center"/>
            <w:hideMark/>
          </w:tcPr>
          <w:p w14:paraId="50F60E5F" w14:textId="70E96F35" w:rsidR="00067FA1" w:rsidRPr="00067FA1" w:rsidRDefault="00067FA1" w:rsidP="003B02DE">
            <w:pPr>
              <w:rPr>
                <w:rFonts w:ascii="Arial Narrow" w:hAnsi="Arial Narrow" w:cs="Arial"/>
                <w:color w:val="000000"/>
                <w:sz w:val="20"/>
                <w:szCs w:val="20"/>
              </w:rPr>
            </w:pPr>
            <w:r w:rsidRPr="00067FA1">
              <w:rPr>
                <w:rFonts w:ascii="Arial Narrow" w:hAnsi="Arial Narrow" w:cs="Arial"/>
                <w:color w:val="000000"/>
                <w:sz w:val="20"/>
                <w:szCs w:val="20"/>
              </w:rPr>
              <w:t> </w:t>
            </w:r>
          </w:p>
        </w:tc>
        <w:tc>
          <w:tcPr>
            <w:tcW w:w="1006" w:type="pct"/>
            <w:tcBorders>
              <w:top w:val="single" w:sz="4" w:space="0" w:color="auto"/>
              <w:left w:val="nil"/>
              <w:bottom w:val="single" w:sz="4" w:space="0" w:color="auto"/>
              <w:right w:val="single" w:sz="4" w:space="0" w:color="auto"/>
            </w:tcBorders>
            <w:vAlign w:val="center"/>
            <w:hideMark/>
          </w:tcPr>
          <w:p w14:paraId="0A922A68" w14:textId="77777777" w:rsidR="00067FA1" w:rsidRPr="00067FA1" w:rsidRDefault="00067FA1" w:rsidP="003B02DE">
            <w:pPr>
              <w:jc w:val="center"/>
              <w:rPr>
                <w:rFonts w:ascii="Arial Narrow" w:hAnsi="Arial Narrow" w:cs="Arial"/>
                <w:b/>
                <w:bCs/>
                <w:color w:val="000000"/>
                <w:sz w:val="20"/>
                <w:szCs w:val="20"/>
              </w:rPr>
            </w:pPr>
            <w:r w:rsidRPr="00067FA1">
              <w:rPr>
                <w:rFonts w:ascii="Arial Narrow" w:hAnsi="Arial Narrow" w:cs="Arial"/>
                <w:b/>
                <w:bCs/>
                <w:color w:val="000000"/>
                <w:sz w:val="20"/>
                <w:szCs w:val="20"/>
              </w:rPr>
              <w:t>AEMP</w:t>
            </w:r>
          </w:p>
        </w:tc>
        <w:tc>
          <w:tcPr>
            <w:tcW w:w="1007" w:type="pct"/>
            <w:tcBorders>
              <w:top w:val="single" w:sz="4" w:space="0" w:color="auto"/>
              <w:left w:val="nil"/>
              <w:bottom w:val="single" w:sz="4" w:space="0" w:color="auto"/>
              <w:right w:val="single" w:sz="4" w:space="0" w:color="auto"/>
            </w:tcBorders>
            <w:vAlign w:val="center"/>
            <w:hideMark/>
          </w:tcPr>
          <w:p w14:paraId="24718DBB" w14:textId="77777777" w:rsidR="00067FA1" w:rsidRPr="00067FA1" w:rsidRDefault="00067FA1" w:rsidP="003B02DE">
            <w:pPr>
              <w:jc w:val="center"/>
              <w:rPr>
                <w:rFonts w:ascii="Arial Narrow" w:hAnsi="Arial Narrow" w:cs="Arial"/>
                <w:b/>
                <w:bCs/>
                <w:color w:val="000000"/>
                <w:sz w:val="20"/>
                <w:szCs w:val="20"/>
              </w:rPr>
            </w:pPr>
            <w:r w:rsidRPr="00067FA1">
              <w:rPr>
                <w:rFonts w:ascii="Arial Narrow" w:hAnsi="Arial Narrow" w:cs="Arial"/>
                <w:b/>
                <w:bCs/>
                <w:color w:val="000000"/>
                <w:sz w:val="20"/>
                <w:szCs w:val="20"/>
              </w:rPr>
              <w:t>Market share</w:t>
            </w:r>
          </w:p>
        </w:tc>
        <w:tc>
          <w:tcPr>
            <w:tcW w:w="1007" w:type="pct"/>
            <w:tcBorders>
              <w:top w:val="single" w:sz="4" w:space="0" w:color="auto"/>
              <w:left w:val="nil"/>
              <w:bottom w:val="single" w:sz="4" w:space="0" w:color="auto"/>
              <w:right w:val="single" w:sz="4" w:space="0" w:color="auto"/>
            </w:tcBorders>
            <w:noWrap/>
            <w:vAlign w:val="center"/>
            <w:hideMark/>
          </w:tcPr>
          <w:p w14:paraId="33571062" w14:textId="77777777" w:rsidR="00067FA1" w:rsidRPr="00067FA1" w:rsidRDefault="00067FA1" w:rsidP="003B02DE">
            <w:pPr>
              <w:jc w:val="center"/>
              <w:rPr>
                <w:rFonts w:ascii="Arial Narrow" w:hAnsi="Arial Narrow" w:cs="Arial"/>
                <w:b/>
                <w:bCs/>
                <w:color w:val="000000"/>
                <w:sz w:val="20"/>
                <w:szCs w:val="20"/>
              </w:rPr>
            </w:pPr>
            <w:r w:rsidRPr="00067FA1">
              <w:rPr>
                <w:rFonts w:ascii="Arial Narrow" w:hAnsi="Arial Narrow" w:cs="Arial"/>
                <w:b/>
                <w:bCs/>
                <w:color w:val="000000"/>
                <w:sz w:val="20"/>
                <w:szCs w:val="20"/>
              </w:rPr>
              <w:t>Weighted price</w:t>
            </w:r>
          </w:p>
        </w:tc>
      </w:tr>
      <w:tr w:rsidR="002E4703" w:rsidRPr="00067FA1" w14:paraId="413F4248" w14:textId="77777777" w:rsidTr="002E4703">
        <w:trPr>
          <w:trHeight w:val="258"/>
        </w:trPr>
        <w:tc>
          <w:tcPr>
            <w:tcW w:w="1981" w:type="pct"/>
            <w:tcBorders>
              <w:top w:val="nil"/>
              <w:left w:val="single" w:sz="4" w:space="0" w:color="auto"/>
              <w:bottom w:val="single" w:sz="4" w:space="0" w:color="auto"/>
              <w:right w:val="single" w:sz="4" w:space="0" w:color="auto"/>
            </w:tcBorders>
            <w:vAlign w:val="center"/>
            <w:hideMark/>
          </w:tcPr>
          <w:p w14:paraId="0D6CDA95" w14:textId="162B69E4" w:rsidR="00067FA1" w:rsidRPr="00067FA1" w:rsidRDefault="00067FA1" w:rsidP="003B02DE">
            <w:pPr>
              <w:rPr>
                <w:rFonts w:ascii="Arial Narrow" w:hAnsi="Arial Narrow" w:cs="Arial"/>
                <w:color w:val="000000"/>
                <w:sz w:val="20"/>
                <w:szCs w:val="20"/>
              </w:rPr>
            </w:pPr>
            <w:r w:rsidRPr="00067FA1">
              <w:rPr>
                <w:rFonts w:ascii="Arial Narrow" w:hAnsi="Arial Narrow" w:cs="Arial"/>
                <w:color w:val="000000"/>
                <w:sz w:val="20"/>
                <w:szCs w:val="20"/>
              </w:rPr>
              <w:t xml:space="preserve">Effective price for </w:t>
            </w:r>
            <w:proofErr w:type="spellStart"/>
            <w:r w:rsidRPr="00067FA1">
              <w:rPr>
                <w:rFonts w:ascii="Arial Narrow" w:hAnsi="Arial Narrow" w:cs="Arial"/>
                <w:color w:val="000000"/>
                <w:sz w:val="20"/>
                <w:szCs w:val="20"/>
              </w:rPr>
              <w:t>osimertinib</w:t>
            </w:r>
            <w:proofErr w:type="spellEnd"/>
            <w:r w:rsidRPr="00067FA1">
              <w:rPr>
                <w:rFonts w:ascii="Arial Narrow" w:hAnsi="Arial Narrow" w:cs="Arial"/>
                <w:color w:val="000000"/>
                <w:sz w:val="20"/>
                <w:szCs w:val="20"/>
              </w:rPr>
              <w:t xml:space="preserve"> monotherapy </w:t>
            </w:r>
          </w:p>
        </w:tc>
        <w:tc>
          <w:tcPr>
            <w:tcW w:w="1006" w:type="pct"/>
            <w:tcBorders>
              <w:top w:val="nil"/>
              <w:left w:val="nil"/>
              <w:bottom w:val="single" w:sz="4" w:space="0" w:color="auto"/>
              <w:right w:val="single" w:sz="4" w:space="0" w:color="auto"/>
            </w:tcBorders>
            <w:vAlign w:val="center"/>
            <w:hideMark/>
          </w:tcPr>
          <w:p w14:paraId="240A50C2" w14:textId="2F335A97" w:rsidR="00067FA1" w:rsidRPr="00067FA1" w:rsidRDefault="00067FA1" w:rsidP="003B02DE">
            <w:pPr>
              <w:jc w:val="center"/>
              <w:rPr>
                <w:rFonts w:ascii="Arial Narrow" w:hAnsi="Arial Narrow" w:cs="Arial"/>
                <w:color w:val="000000"/>
                <w:sz w:val="20"/>
                <w:szCs w:val="20"/>
              </w:rPr>
            </w:pPr>
            <w:r w:rsidRPr="00067FA1">
              <w:rPr>
                <w:rFonts w:ascii="Arial Narrow" w:hAnsi="Arial Narrow" w:cs="Arial"/>
                <w:color w:val="000000"/>
                <w:sz w:val="20"/>
                <w:szCs w:val="20"/>
              </w:rPr>
              <w:t>$</w:t>
            </w:r>
            <w:r w:rsidR="00255D1B" w:rsidRPr="00255D1B">
              <w:rPr>
                <w:rFonts w:ascii="Arial Narrow" w:hAnsi="Arial Narrow" w:cs="Arial"/>
                <w:color w:val="000000"/>
                <w:spacing w:val="53"/>
                <w:sz w:val="20"/>
                <w:szCs w:val="20"/>
                <w:shd w:val="solid" w:color="000000" w:fill="000000"/>
                <w:fitText w:val="330" w:id="-606363379"/>
                <w14:textFill>
                  <w14:solidFill>
                    <w14:srgbClr w14:val="000000">
                      <w14:alpha w14:val="100000"/>
                    </w14:srgbClr>
                  </w14:solidFill>
                </w14:textFill>
              </w:rPr>
              <w:t>|||</w:t>
            </w:r>
            <w:r w:rsidR="00255D1B" w:rsidRPr="00255D1B">
              <w:rPr>
                <w:rFonts w:ascii="Arial Narrow" w:hAnsi="Arial Narrow" w:cs="Arial"/>
                <w:color w:val="000000"/>
                <w:spacing w:val="1"/>
                <w:sz w:val="20"/>
                <w:szCs w:val="20"/>
                <w:shd w:val="solid" w:color="000000" w:fill="000000"/>
                <w:fitText w:val="330" w:id="-606363379"/>
                <w14:textFill>
                  <w14:solidFill>
                    <w14:srgbClr w14:val="000000">
                      <w14:alpha w14:val="100000"/>
                    </w14:srgbClr>
                  </w14:solidFill>
                </w14:textFill>
              </w:rPr>
              <w:t>|</w:t>
            </w:r>
          </w:p>
        </w:tc>
        <w:tc>
          <w:tcPr>
            <w:tcW w:w="1007" w:type="pct"/>
            <w:tcBorders>
              <w:top w:val="nil"/>
              <w:left w:val="nil"/>
              <w:bottom w:val="single" w:sz="4" w:space="0" w:color="auto"/>
              <w:right w:val="single" w:sz="4" w:space="0" w:color="auto"/>
            </w:tcBorders>
            <w:vAlign w:val="center"/>
            <w:hideMark/>
          </w:tcPr>
          <w:p w14:paraId="3AC8F905" w14:textId="78C95A2D" w:rsidR="00067FA1" w:rsidRPr="00067FA1" w:rsidRDefault="00255D1B" w:rsidP="003B02DE">
            <w:pPr>
              <w:jc w:val="center"/>
              <w:rPr>
                <w:rFonts w:ascii="Arial Narrow" w:hAnsi="Arial Narrow" w:cs="Arial"/>
                <w:color w:val="000000"/>
                <w:sz w:val="20"/>
                <w:szCs w:val="20"/>
              </w:rPr>
            </w:pPr>
            <w:r w:rsidRPr="00255D1B">
              <w:rPr>
                <w:rFonts w:ascii="Arial Narrow" w:hAnsi="Arial Narrow" w:cs="Arial"/>
                <w:color w:val="000000"/>
                <w:spacing w:val="53"/>
                <w:sz w:val="20"/>
                <w:szCs w:val="20"/>
                <w:shd w:val="solid" w:color="000000" w:fill="000000"/>
                <w:fitText w:val="330" w:id="-606363378"/>
                <w14:textFill>
                  <w14:solidFill>
                    <w14:srgbClr w14:val="000000">
                      <w14:alpha w14:val="100000"/>
                    </w14:srgbClr>
                  </w14:solidFill>
                </w14:textFill>
              </w:rPr>
              <w:t>|||</w:t>
            </w:r>
            <w:r w:rsidRPr="00255D1B">
              <w:rPr>
                <w:rFonts w:ascii="Arial Narrow" w:hAnsi="Arial Narrow" w:cs="Arial"/>
                <w:color w:val="000000"/>
                <w:spacing w:val="1"/>
                <w:sz w:val="20"/>
                <w:szCs w:val="20"/>
                <w:shd w:val="solid" w:color="000000" w:fill="000000"/>
                <w:fitText w:val="330" w:id="-606363378"/>
                <w14:textFill>
                  <w14:solidFill>
                    <w14:srgbClr w14:val="000000">
                      <w14:alpha w14:val="100000"/>
                    </w14:srgbClr>
                  </w14:solidFill>
                </w14:textFill>
              </w:rPr>
              <w:t>|</w:t>
            </w:r>
            <w:r w:rsidR="00067FA1" w:rsidRPr="00067FA1">
              <w:rPr>
                <w:rFonts w:ascii="Arial Narrow" w:hAnsi="Arial Narrow" w:cs="Arial"/>
                <w:color w:val="000000"/>
                <w:sz w:val="20"/>
                <w:szCs w:val="20"/>
              </w:rPr>
              <w:t>%</w:t>
            </w:r>
          </w:p>
        </w:tc>
        <w:tc>
          <w:tcPr>
            <w:tcW w:w="1007" w:type="pct"/>
            <w:tcBorders>
              <w:top w:val="nil"/>
              <w:left w:val="nil"/>
              <w:bottom w:val="single" w:sz="4" w:space="0" w:color="auto"/>
              <w:right w:val="single" w:sz="4" w:space="0" w:color="auto"/>
            </w:tcBorders>
            <w:noWrap/>
            <w:vAlign w:val="center"/>
            <w:hideMark/>
          </w:tcPr>
          <w:p w14:paraId="4B0606CA" w14:textId="7189F6C1" w:rsidR="00067FA1" w:rsidRPr="00067FA1" w:rsidRDefault="00067FA1" w:rsidP="003B02DE">
            <w:pPr>
              <w:jc w:val="center"/>
              <w:rPr>
                <w:rFonts w:ascii="Arial Narrow" w:hAnsi="Arial Narrow" w:cs="Arial"/>
                <w:color w:val="000000"/>
                <w:sz w:val="20"/>
                <w:szCs w:val="20"/>
              </w:rPr>
            </w:pPr>
            <w:r w:rsidRPr="00067FA1">
              <w:rPr>
                <w:rFonts w:ascii="Arial Narrow" w:hAnsi="Arial Narrow" w:cs="Arial"/>
                <w:color w:val="000000"/>
                <w:sz w:val="20"/>
                <w:szCs w:val="20"/>
              </w:rPr>
              <w:t>$</w:t>
            </w:r>
            <w:r w:rsidR="00255D1B" w:rsidRPr="00255D1B">
              <w:rPr>
                <w:rFonts w:ascii="Arial Narrow" w:hAnsi="Arial Narrow" w:cs="Arial"/>
                <w:color w:val="000000"/>
                <w:spacing w:val="53"/>
                <w:sz w:val="20"/>
                <w:szCs w:val="20"/>
                <w:shd w:val="solid" w:color="000000" w:fill="000000"/>
                <w:fitText w:val="330" w:id="-606363377"/>
                <w14:textFill>
                  <w14:solidFill>
                    <w14:srgbClr w14:val="000000">
                      <w14:alpha w14:val="100000"/>
                    </w14:srgbClr>
                  </w14:solidFill>
                </w14:textFill>
              </w:rPr>
              <w:t>|||</w:t>
            </w:r>
            <w:r w:rsidR="00255D1B" w:rsidRPr="00255D1B">
              <w:rPr>
                <w:rFonts w:ascii="Arial Narrow" w:hAnsi="Arial Narrow" w:cs="Arial"/>
                <w:color w:val="000000"/>
                <w:spacing w:val="1"/>
                <w:sz w:val="20"/>
                <w:szCs w:val="20"/>
                <w:shd w:val="solid" w:color="000000" w:fill="000000"/>
                <w:fitText w:val="330" w:id="-606363377"/>
                <w14:textFill>
                  <w14:solidFill>
                    <w14:srgbClr w14:val="000000">
                      <w14:alpha w14:val="100000"/>
                    </w14:srgbClr>
                  </w14:solidFill>
                </w14:textFill>
              </w:rPr>
              <w:t>|</w:t>
            </w:r>
          </w:p>
        </w:tc>
      </w:tr>
      <w:tr w:rsidR="002E4703" w:rsidRPr="00067FA1" w14:paraId="6D18266F" w14:textId="77777777" w:rsidTr="002E4703">
        <w:trPr>
          <w:trHeight w:val="258"/>
        </w:trPr>
        <w:tc>
          <w:tcPr>
            <w:tcW w:w="1981" w:type="pct"/>
            <w:tcBorders>
              <w:top w:val="nil"/>
              <w:left w:val="single" w:sz="4" w:space="0" w:color="auto"/>
              <w:bottom w:val="single" w:sz="4" w:space="0" w:color="auto"/>
              <w:right w:val="single" w:sz="4" w:space="0" w:color="auto"/>
            </w:tcBorders>
            <w:vAlign w:val="center"/>
            <w:hideMark/>
          </w:tcPr>
          <w:p w14:paraId="32DEA843" w14:textId="089F845D" w:rsidR="00067FA1" w:rsidRPr="00067FA1" w:rsidRDefault="00067FA1" w:rsidP="003B02DE">
            <w:pPr>
              <w:rPr>
                <w:rFonts w:ascii="Arial Narrow" w:hAnsi="Arial Narrow" w:cs="Arial"/>
                <w:color w:val="000000"/>
                <w:sz w:val="20"/>
                <w:szCs w:val="20"/>
              </w:rPr>
            </w:pPr>
            <w:r w:rsidRPr="00067FA1">
              <w:rPr>
                <w:rFonts w:ascii="Arial Narrow" w:hAnsi="Arial Narrow" w:cs="Arial"/>
                <w:color w:val="000000"/>
                <w:sz w:val="20"/>
                <w:szCs w:val="20"/>
              </w:rPr>
              <w:t xml:space="preserve">Effective price for </w:t>
            </w:r>
            <w:proofErr w:type="spellStart"/>
            <w:r w:rsidR="002E4703">
              <w:rPr>
                <w:rFonts w:ascii="Arial Narrow" w:hAnsi="Arial Narrow" w:cs="Arial"/>
                <w:color w:val="000000"/>
                <w:sz w:val="20"/>
                <w:szCs w:val="20"/>
              </w:rPr>
              <w:t>osimertinib</w:t>
            </w:r>
            <w:proofErr w:type="spellEnd"/>
            <w:r w:rsidR="002E4703">
              <w:rPr>
                <w:rFonts w:ascii="Arial Narrow" w:hAnsi="Arial Narrow" w:cs="Arial"/>
                <w:color w:val="000000"/>
                <w:sz w:val="20"/>
                <w:szCs w:val="20"/>
              </w:rPr>
              <w:t xml:space="preserve"> in combination with chemotherapy </w:t>
            </w:r>
          </w:p>
        </w:tc>
        <w:tc>
          <w:tcPr>
            <w:tcW w:w="1006" w:type="pct"/>
            <w:tcBorders>
              <w:top w:val="nil"/>
              <w:left w:val="nil"/>
              <w:bottom w:val="single" w:sz="4" w:space="0" w:color="auto"/>
              <w:right w:val="single" w:sz="4" w:space="0" w:color="auto"/>
            </w:tcBorders>
            <w:vAlign w:val="center"/>
            <w:hideMark/>
          </w:tcPr>
          <w:p w14:paraId="22E9DF98" w14:textId="04B69828" w:rsidR="00067FA1" w:rsidRPr="00067FA1" w:rsidRDefault="00067FA1" w:rsidP="003B02DE">
            <w:pPr>
              <w:jc w:val="center"/>
              <w:rPr>
                <w:rFonts w:ascii="Arial Narrow" w:hAnsi="Arial Narrow" w:cs="Arial"/>
                <w:color w:val="000000"/>
                <w:sz w:val="20"/>
                <w:szCs w:val="20"/>
              </w:rPr>
            </w:pPr>
            <w:r w:rsidRPr="00067FA1">
              <w:rPr>
                <w:rFonts w:ascii="Arial Narrow" w:hAnsi="Arial Narrow" w:cs="Arial"/>
                <w:color w:val="000000"/>
                <w:sz w:val="20"/>
                <w:szCs w:val="20"/>
              </w:rPr>
              <w:t>$</w:t>
            </w:r>
            <w:r w:rsidR="00255D1B" w:rsidRPr="00255D1B">
              <w:rPr>
                <w:rFonts w:ascii="Arial Narrow" w:hAnsi="Arial Narrow" w:cs="Arial"/>
                <w:color w:val="000000"/>
                <w:spacing w:val="53"/>
                <w:sz w:val="20"/>
                <w:szCs w:val="20"/>
                <w:shd w:val="solid" w:color="000000" w:fill="000000"/>
                <w:fitText w:val="330" w:id="-606363376"/>
                <w14:textFill>
                  <w14:solidFill>
                    <w14:srgbClr w14:val="000000">
                      <w14:alpha w14:val="100000"/>
                    </w14:srgbClr>
                  </w14:solidFill>
                </w14:textFill>
              </w:rPr>
              <w:t>|||</w:t>
            </w:r>
            <w:r w:rsidR="00255D1B" w:rsidRPr="00255D1B">
              <w:rPr>
                <w:rFonts w:ascii="Arial Narrow" w:hAnsi="Arial Narrow" w:cs="Arial"/>
                <w:color w:val="000000"/>
                <w:spacing w:val="1"/>
                <w:sz w:val="20"/>
                <w:szCs w:val="20"/>
                <w:shd w:val="solid" w:color="000000" w:fill="000000"/>
                <w:fitText w:val="330" w:id="-606363376"/>
                <w14:textFill>
                  <w14:solidFill>
                    <w14:srgbClr w14:val="000000">
                      <w14:alpha w14:val="100000"/>
                    </w14:srgbClr>
                  </w14:solidFill>
                </w14:textFill>
              </w:rPr>
              <w:t>|</w:t>
            </w:r>
          </w:p>
        </w:tc>
        <w:tc>
          <w:tcPr>
            <w:tcW w:w="1007" w:type="pct"/>
            <w:tcBorders>
              <w:top w:val="nil"/>
              <w:left w:val="nil"/>
              <w:bottom w:val="single" w:sz="4" w:space="0" w:color="auto"/>
              <w:right w:val="single" w:sz="4" w:space="0" w:color="auto"/>
            </w:tcBorders>
            <w:vAlign w:val="center"/>
            <w:hideMark/>
          </w:tcPr>
          <w:p w14:paraId="0133881D" w14:textId="5F48F01D" w:rsidR="00067FA1" w:rsidRPr="00067FA1" w:rsidRDefault="00255D1B" w:rsidP="003B02DE">
            <w:pPr>
              <w:jc w:val="center"/>
              <w:rPr>
                <w:rFonts w:ascii="Arial Narrow" w:hAnsi="Arial Narrow" w:cs="Arial"/>
                <w:color w:val="000000"/>
                <w:sz w:val="20"/>
                <w:szCs w:val="20"/>
              </w:rPr>
            </w:pPr>
            <w:r w:rsidRPr="00255D1B">
              <w:rPr>
                <w:rFonts w:ascii="Arial Narrow" w:hAnsi="Arial Narrow" w:cs="Arial"/>
                <w:color w:val="000000"/>
                <w:spacing w:val="53"/>
                <w:sz w:val="20"/>
                <w:szCs w:val="20"/>
                <w:shd w:val="solid" w:color="000000" w:fill="000000"/>
                <w:fitText w:val="330" w:id="-606363392"/>
                <w14:textFill>
                  <w14:solidFill>
                    <w14:srgbClr w14:val="000000">
                      <w14:alpha w14:val="100000"/>
                    </w14:srgbClr>
                  </w14:solidFill>
                </w14:textFill>
              </w:rPr>
              <w:t>|||</w:t>
            </w:r>
            <w:r w:rsidRPr="00255D1B">
              <w:rPr>
                <w:rFonts w:ascii="Arial Narrow" w:hAnsi="Arial Narrow" w:cs="Arial"/>
                <w:color w:val="000000"/>
                <w:spacing w:val="1"/>
                <w:sz w:val="20"/>
                <w:szCs w:val="20"/>
                <w:shd w:val="solid" w:color="000000" w:fill="000000"/>
                <w:fitText w:val="330" w:id="-606363392"/>
                <w14:textFill>
                  <w14:solidFill>
                    <w14:srgbClr w14:val="000000">
                      <w14:alpha w14:val="100000"/>
                    </w14:srgbClr>
                  </w14:solidFill>
                </w14:textFill>
              </w:rPr>
              <w:t>|</w:t>
            </w:r>
            <w:r w:rsidR="00067FA1" w:rsidRPr="00067FA1">
              <w:rPr>
                <w:rFonts w:ascii="Arial Narrow" w:hAnsi="Arial Narrow" w:cs="Arial"/>
                <w:color w:val="000000"/>
                <w:sz w:val="20"/>
                <w:szCs w:val="20"/>
              </w:rPr>
              <w:t>%</w:t>
            </w:r>
          </w:p>
        </w:tc>
        <w:tc>
          <w:tcPr>
            <w:tcW w:w="1007" w:type="pct"/>
            <w:tcBorders>
              <w:top w:val="nil"/>
              <w:left w:val="nil"/>
              <w:bottom w:val="single" w:sz="4" w:space="0" w:color="auto"/>
              <w:right w:val="single" w:sz="4" w:space="0" w:color="auto"/>
            </w:tcBorders>
            <w:noWrap/>
            <w:vAlign w:val="center"/>
            <w:hideMark/>
          </w:tcPr>
          <w:p w14:paraId="30F9755C" w14:textId="2442E9E2" w:rsidR="00067FA1" w:rsidRPr="00067FA1" w:rsidRDefault="00067FA1" w:rsidP="003B02DE">
            <w:pPr>
              <w:jc w:val="center"/>
              <w:rPr>
                <w:rFonts w:ascii="Arial Narrow" w:hAnsi="Arial Narrow" w:cs="Arial"/>
                <w:color w:val="000000"/>
                <w:sz w:val="20"/>
                <w:szCs w:val="20"/>
              </w:rPr>
            </w:pPr>
            <w:r w:rsidRPr="00067FA1">
              <w:rPr>
                <w:rFonts w:ascii="Arial Narrow" w:hAnsi="Arial Narrow" w:cs="Arial"/>
                <w:color w:val="000000"/>
                <w:sz w:val="20"/>
                <w:szCs w:val="20"/>
              </w:rPr>
              <w:t>$</w:t>
            </w:r>
            <w:r w:rsidR="00255D1B" w:rsidRPr="00255D1B">
              <w:rPr>
                <w:rFonts w:ascii="Arial Narrow" w:hAnsi="Arial Narrow" w:cs="Arial"/>
                <w:color w:val="000000"/>
                <w:spacing w:val="53"/>
                <w:sz w:val="20"/>
                <w:szCs w:val="20"/>
                <w:shd w:val="solid" w:color="000000" w:fill="000000"/>
                <w:fitText w:val="330" w:id="-606363391"/>
                <w14:textFill>
                  <w14:solidFill>
                    <w14:srgbClr w14:val="000000">
                      <w14:alpha w14:val="100000"/>
                    </w14:srgbClr>
                  </w14:solidFill>
                </w14:textFill>
              </w:rPr>
              <w:t>|||</w:t>
            </w:r>
            <w:r w:rsidR="00255D1B" w:rsidRPr="00255D1B">
              <w:rPr>
                <w:rFonts w:ascii="Arial Narrow" w:hAnsi="Arial Narrow" w:cs="Arial"/>
                <w:color w:val="000000"/>
                <w:spacing w:val="1"/>
                <w:sz w:val="20"/>
                <w:szCs w:val="20"/>
                <w:shd w:val="solid" w:color="000000" w:fill="000000"/>
                <w:fitText w:val="330" w:id="-606363391"/>
                <w14:textFill>
                  <w14:solidFill>
                    <w14:srgbClr w14:val="000000">
                      <w14:alpha w14:val="100000"/>
                    </w14:srgbClr>
                  </w14:solidFill>
                </w14:textFill>
              </w:rPr>
              <w:t>|</w:t>
            </w:r>
          </w:p>
        </w:tc>
      </w:tr>
      <w:tr w:rsidR="00067FA1" w:rsidRPr="00067FA1" w14:paraId="5A152CCF" w14:textId="77777777" w:rsidTr="003B02DE">
        <w:trPr>
          <w:trHeight w:val="258"/>
        </w:trPr>
        <w:tc>
          <w:tcPr>
            <w:tcW w:w="1981" w:type="pct"/>
            <w:tcBorders>
              <w:top w:val="nil"/>
              <w:left w:val="single" w:sz="4" w:space="0" w:color="auto"/>
              <w:bottom w:val="single" w:sz="4" w:space="0" w:color="auto"/>
              <w:right w:val="single" w:sz="4" w:space="0" w:color="auto"/>
            </w:tcBorders>
            <w:vAlign w:val="center"/>
            <w:hideMark/>
          </w:tcPr>
          <w:p w14:paraId="528757C3" w14:textId="5DF7F823" w:rsidR="00067FA1" w:rsidRPr="00067FA1" w:rsidRDefault="00067FA1" w:rsidP="003B02DE">
            <w:pPr>
              <w:rPr>
                <w:rFonts w:ascii="Arial Narrow" w:hAnsi="Arial Narrow" w:cs="Arial"/>
                <w:color w:val="000000"/>
                <w:sz w:val="20"/>
                <w:szCs w:val="20"/>
              </w:rPr>
            </w:pPr>
            <w:r w:rsidRPr="00067FA1">
              <w:rPr>
                <w:rFonts w:ascii="Arial Narrow" w:hAnsi="Arial Narrow" w:cs="Arial"/>
                <w:color w:val="000000"/>
                <w:sz w:val="20"/>
                <w:szCs w:val="20"/>
              </w:rPr>
              <w:t xml:space="preserve">Weighted average price in </w:t>
            </w:r>
            <w:r w:rsidR="009C1770">
              <w:rPr>
                <w:rFonts w:ascii="Arial Narrow" w:hAnsi="Arial Narrow" w:cs="Arial"/>
                <w:color w:val="000000"/>
                <w:sz w:val="20"/>
                <w:szCs w:val="20"/>
              </w:rPr>
              <w:t>f</w:t>
            </w:r>
            <w:r w:rsidRPr="00067FA1">
              <w:rPr>
                <w:rFonts w:ascii="Arial Narrow" w:hAnsi="Arial Narrow" w:cs="Arial"/>
                <w:color w:val="000000"/>
                <w:sz w:val="20"/>
                <w:szCs w:val="20"/>
              </w:rPr>
              <w:t xml:space="preserve">irst line </w:t>
            </w:r>
            <w:proofErr w:type="spellStart"/>
            <w:r w:rsidRPr="00067FA1">
              <w:rPr>
                <w:rFonts w:ascii="Arial Narrow" w:hAnsi="Arial Narrow" w:cs="Arial"/>
                <w:color w:val="000000"/>
                <w:sz w:val="20"/>
                <w:szCs w:val="20"/>
              </w:rPr>
              <w:t>osimertinib</w:t>
            </w:r>
            <w:proofErr w:type="spellEnd"/>
          </w:p>
        </w:tc>
        <w:tc>
          <w:tcPr>
            <w:tcW w:w="3019" w:type="pct"/>
            <w:gridSpan w:val="3"/>
            <w:tcBorders>
              <w:top w:val="single" w:sz="4" w:space="0" w:color="auto"/>
              <w:left w:val="nil"/>
              <w:bottom w:val="single" w:sz="4" w:space="0" w:color="auto"/>
              <w:right w:val="single" w:sz="4" w:space="0" w:color="000000"/>
            </w:tcBorders>
            <w:noWrap/>
            <w:vAlign w:val="center"/>
            <w:hideMark/>
          </w:tcPr>
          <w:p w14:paraId="2D3EB792" w14:textId="0A604DBC" w:rsidR="00067FA1" w:rsidRPr="00067FA1" w:rsidRDefault="00067FA1" w:rsidP="003B02DE">
            <w:pPr>
              <w:jc w:val="center"/>
              <w:rPr>
                <w:rFonts w:ascii="Arial Narrow" w:hAnsi="Arial Narrow" w:cs="Arial"/>
                <w:b/>
                <w:bCs/>
                <w:color w:val="000000"/>
                <w:sz w:val="20"/>
                <w:szCs w:val="20"/>
              </w:rPr>
            </w:pPr>
            <w:r w:rsidRPr="00067FA1">
              <w:rPr>
                <w:rFonts w:ascii="Arial Narrow" w:hAnsi="Arial Narrow" w:cs="Arial"/>
                <w:b/>
                <w:bCs/>
                <w:color w:val="000000"/>
                <w:sz w:val="20"/>
                <w:szCs w:val="20"/>
              </w:rPr>
              <w:t>$</w:t>
            </w:r>
            <w:r w:rsidR="00255D1B" w:rsidRPr="00255D1B">
              <w:rPr>
                <w:rFonts w:ascii="Arial Narrow" w:hAnsi="Arial Narrow" w:cs="Arial"/>
                <w:b/>
                <w:bCs/>
                <w:color w:val="000000"/>
                <w:spacing w:val="58"/>
                <w:sz w:val="20"/>
                <w:szCs w:val="20"/>
                <w:shd w:val="solid" w:color="000000" w:fill="000000"/>
                <w:fitText w:val="360" w:id="-606363390"/>
                <w14:textFill>
                  <w14:solidFill>
                    <w14:srgbClr w14:val="000000">
                      <w14:alpha w14:val="100000"/>
                    </w14:srgbClr>
                  </w14:solidFill>
                </w14:textFill>
              </w:rPr>
              <w:t>|||</w:t>
            </w:r>
            <w:r w:rsidR="00255D1B" w:rsidRPr="00255D1B">
              <w:rPr>
                <w:rFonts w:ascii="Arial Narrow" w:hAnsi="Arial Narrow" w:cs="Arial"/>
                <w:b/>
                <w:bCs/>
                <w:color w:val="000000"/>
                <w:spacing w:val="3"/>
                <w:sz w:val="20"/>
                <w:szCs w:val="20"/>
                <w:shd w:val="solid" w:color="000000" w:fill="000000"/>
                <w:fitText w:val="360" w:id="-606363390"/>
                <w14:textFill>
                  <w14:solidFill>
                    <w14:srgbClr w14:val="000000">
                      <w14:alpha w14:val="100000"/>
                    </w14:srgbClr>
                  </w14:solidFill>
                </w14:textFill>
              </w:rPr>
              <w:t>|</w:t>
            </w:r>
          </w:p>
        </w:tc>
      </w:tr>
    </w:tbl>
    <w:p w14:paraId="205618EA" w14:textId="565E344E" w:rsidR="00C77725" w:rsidRDefault="002E4703" w:rsidP="00C77725">
      <w:pPr>
        <w:pStyle w:val="3-BodyText"/>
        <w:numPr>
          <w:ilvl w:val="0"/>
          <w:numId w:val="0"/>
        </w:numPr>
        <w:rPr>
          <w:lang w:eastAsia="en-US"/>
        </w:rPr>
      </w:pPr>
      <w:r w:rsidRPr="00AF6F9E">
        <w:rPr>
          <w:rFonts w:ascii="Arial Narrow" w:hAnsi="Arial Narrow"/>
          <w:sz w:val="18"/>
          <w:szCs w:val="16"/>
        </w:rPr>
        <w:t>Source:</w:t>
      </w:r>
      <w:r>
        <w:rPr>
          <w:rFonts w:ascii="Arial Narrow" w:hAnsi="Arial Narrow"/>
          <w:sz w:val="18"/>
          <w:szCs w:val="16"/>
        </w:rPr>
        <w:t xml:space="preserve"> </w:t>
      </w:r>
      <w:r w:rsidRPr="00AF6F9E">
        <w:rPr>
          <w:rFonts w:ascii="Arial Narrow" w:hAnsi="Arial Narrow"/>
          <w:sz w:val="18"/>
          <w:szCs w:val="16"/>
        </w:rPr>
        <w:t>Table 4-</w:t>
      </w:r>
      <w:r>
        <w:rPr>
          <w:rFonts w:ascii="Arial Narrow" w:hAnsi="Arial Narrow"/>
          <w:sz w:val="18"/>
          <w:szCs w:val="16"/>
        </w:rPr>
        <w:t>11</w:t>
      </w:r>
      <w:r w:rsidRPr="00AF6F9E">
        <w:rPr>
          <w:rFonts w:ascii="Arial Narrow" w:hAnsi="Arial Narrow"/>
          <w:sz w:val="18"/>
          <w:szCs w:val="16"/>
        </w:rPr>
        <w:t xml:space="preserve"> of resubmission</w:t>
      </w:r>
    </w:p>
    <w:p w14:paraId="4F2EC3E6" w14:textId="2D9ED03C" w:rsidR="00041BBC" w:rsidRPr="00041BBC" w:rsidRDefault="00041BBC" w:rsidP="00041BBC">
      <w:pPr>
        <w:pStyle w:val="3-BodyText"/>
        <w:rPr>
          <w:lang w:eastAsia="en-US"/>
        </w:rPr>
      </w:pPr>
      <w:r w:rsidRPr="00041BBC">
        <w:rPr>
          <w:lang w:eastAsia="en-US"/>
        </w:rPr>
        <w:t>The Secretariat considered that, given the different treatment duration for the two populations (</w:t>
      </w:r>
      <w:r w:rsidR="00255D1B" w:rsidRPr="00255D1B">
        <w:rPr>
          <w:color w:val="000000"/>
          <w:w w:val="61"/>
          <w:shd w:val="solid" w:color="000000" w:fill="000000"/>
          <w:fitText w:val="475" w:id="-606363389"/>
          <w:lang w:eastAsia="en-US"/>
          <w14:textFill>
            <w14:solidFill>
              <w14:srgbClr w14:val="000000">
                <w14:alpha w14:val="100000"/>
              </w14:srgbClr>
            </w14:solidFill>
          </w14:textFill>
        </w:rPr>
        <w:t>||</w:t>
      </w:r>
      <w:proofErr w:type="gramStart"/>
      <w:r w:rsidR="00255D1B" w:rsidRPr="00255D1B">
        <w:rPr>
          <w:color w:val="000000"/>
          <w:w w:val="61"/>
          <w:shd w:val="solid" w:color="000000" w:fill="000000"/>
          <w:fitText w:val="475" w:id="-606363389"/>
          <w:lang w:eastAsia="en-US"/>
          <w14:textFill>
            <w14:solidFill>
              <w14:srgbClr w14:val="000000">
                <w14:alpha w14:val="100000"/>
              </w14:srgbClr>
            </w14:solidFill>
          </w14:textFill>
        </w:rPr>
        <w:t>|  |</w:t>
      </w:r>
      <w:proofErr w:type="gramEnd"/>
      <w:r w:rsidR="00255D1B" w:rsidRPr="00255D1B">
        <w:rPr>
          <w:color w:val="000000"/>
          <w:w w:val="61"/>
          <w:shd w:val="solid" w:color="000000" w:fill="000000"/>
          <w:fitText w:val="475" w:id="-606363389"/>
          <w:lang w:eastAsia="en-US"/>
          <w14:textFill>
            <w14:solidFill>
              <w14:srgbClr w14:val="000000">
                <w14:alpha w14:val="100000"/>
              </w14:srgbClr>
            </w14:solidFill>
          </w14:textFill>
        </w:rPr>
        <w:t>|</w:t>
      </w:r>
      <w:r w:rsidR="00255D1B" w:rsidRPr="00255D1B">
        <w:rPr>
          <w:color w:val="000000"/>
          <w:spacing w:val="5"/>
          <w:w w:val="61"/>
          <w:shd w:val="solid" w:color="000000" w:fill="000000"/>
          <w:fitText w:val="475" w:id="-606363389"/>
          <w:lang w:eastAsia="en-US"/>
          <w14:textFill>
            <w14:solidFill>
              <w14:srgbClr w14:val="000000">
                <w14:alpha w14:val="100000"/>
              </w14:srgbClr>
            </w14:solidFill>
          </w14:textFill>
        </w:rPr>
        <w:t>|</w:t>
      </w:r>
      <w:r w:rsidRPr="00041BBC">
        <w:rPr>
          <w:lang w:eastAsia="en-US"/>
        </w:rPr>
        <w:t xml:space="preserve"> months for O+C, </w:t>
      </w:r>
      <w:r w:rsidR="00255D1B" w:rsidRPr="00255D1B">
        <w:rPr>
          <w:color w:val="000000"/>
          <w:w w:val="61"/>
          <w:shd w:val="solid" w:color="000000" w:fill="000000"/>
          <w:fitText w:val="475" w:id="-606363388"/>
          <w:lang w:eastAsia="en-US"/>
          <w14:textFill>
            <w14:solidFill>
              <w14:srgbClr w14:val="000000">
                <w14:alpha w14:val="100000"/>
              </w14:srgbClr>
            </w14:solidFill>
          </w14:textFill>
        </w:rPr>
        <w:t>||</w:t>
      </w:r>
      <w:proofErr w:type="gramStart"/>
      <w:r w:rsidR="00255D1B" w:rsidRPr="00255D1B">
        <w:rPr>
          <w:color w:val="000000"/>
          <w:w w:val="61"/>
          <w:shd w:val="solid" w:color="000000" w:fill="000000"/>
          <w:fitText w:val="475" w:id="-606363388"/>
          <w:lang w:eastAsia="en-US"/>
          <w14:textFill>
            <w14:solidFill>
              <w14:srgbClr w14:val="000000">
                <w14:alpha w14:val="100000"/>
              </w14:srgbClr>
            </w14:solidFill>
          </w14:textFill>
        </w:rPr>
        <w:t>|  |</w:t>
      </w:r>
      <w:proofErr w:type="gramEnd"/>
      <w:r w:rsidR="00255D1B" w:rsidRPr="00255D1B">
        <w:rPr>
          <w:color w:val="000000"/>
          <w:w w:val="61"/>
          <w:shd w:val="solid" w:color="000000" w:fill="000000"/>
          <w:fitText w:val="475" w:id="-606363388"/>
          <w:lang w:eastAsia="en-US"/>
          <w14:textFill>
            <w14:solidFill>
              <w14:srgbClr w14:val="000000">
                <w14:alpha w14:val="100000"/>
              </w14:srgbClr>
            </w14:solidFill>
          </w14:textFill>
        </w:rPr>
        <w:t>|</w:t>
      </w:r>
      <w:r w:rsidR="00255D1B" w:rsidRPr="00255D1B">
        <w:rPr>
          <w:color w:val="000000"/>
          <w:spacing w:val="5"/>
          <w:w w:val="61"/>
          <w:shd w:val="solid" w:color="000000" w:fill="000000"/>
          <w:fitText w:val="475" w:id="-606363388"/>
          <w:lang w:eastAsia="en-US"/>
          <w14:textFill>
            <w14:solidFill>
              <w14:srgbClr w14:val="000000">
                <w14:alpha w14:val="100000"/>
              </w14:srgbClr>
            </w14:solidFill>
          </w14:textFill>
        </w:rPr>
        <w:t>|</w:t>
      </w:r>
      <w:r w:rsidRPr="00041BBC">
        <w:rPr>
          <w:lang w:eastAsia="en-US"/>
        </w:rPr>
        <w:t xml:space="preserve"> months for </w:t>
      </w:r>
      <w:proofErr w:type="spellStart"/>
      <w:r w:rsidRPr="00041BBC">
        <w:rPr>
          <w:lang w:eastAsia="en-US"/>
        </w:rPr>
        <w:t>osimertinib</w:t>
      </w:r>
      <w:proofErr w:type="spellEnd"/>
      <w:r w:rsidRPr="00041BBC">
        <w:rPr>
          <w:lang w:eastAsia="en-US"/>
        </w:rPr>
        <w:t xml:space="preserve"> monotherapy), it may be more appropriate to calculate the weighted price based on script numbers. </w:t>
      </w:r>
      <w:r>
        <w:rPr>
          <w:lang w:eastAsia="en-US"/>
        </w:rPr>
        <w:t xml:space="preserve">The pre-PBAC response accepted using script numbers to </w:t>
      </w:r>
      <w:r w:rsidR="0016778E">
        <w:rPr>
          <w:lang w:eastAsia="en-US"/>
        </w:rPr>
        <w:t xml:space="preserve">calculate a </w:t>
      </w:r>
      <w:r>
        <w:rPr>
          <w:lang w:eastAsia="en-US"/>
        </w:rPr>
        <w:t>weight</w:t>
      </w:r>
      <w:r w:rsidR="0016778E">
        <w:rPr>
          <w:lang w:eastAsia="en-US"/>
        </w:rPr>
        <w:t>ed</w:t>
      </w:r>
      <w:r>
        <w:rPr>
          <w:lang w:eastAsia="en-US"/>
        </w:rPr>
        <w:t xml:space="preserve"> price.  </w:t>
      </w:r>
    </w:p>
    <w:p w14:paraId="608F83C8" w14:textId="2E4910D3" w:rsidR="00C5710D" w:rsidRDefault="00C967FD" w:rsidP="00C967FD">
      <w:pPr>
        <w:pStyle w:val="3-BodyText"/>
        <w:rPr>
          <w:lang w:eastAsia="en-US"/>
        </w:rPr>
      </w:pPr>
      <w:r w:rsidRPr="00491884">
        <w:t>A summary of the estimated use and financial implications is presented in</w:t>
      </w:r>
      <w:bookmarkEnd w:id="10"/>
      <w:r w:rsidRPr="00491884">
        <w:t xml:space="preserve"> </w:t>
      </w:r>
      <w:r w:rsidRPr="00491884">
        <w:fldChar w:fldCharType="begin"/>
      </w:r>
      <w:r w:rsidRPr="00491884">
        <w:instrText xml:space="preserve"> REF _Ref195548269 \h  \* MERGEFORMAT </w:instrText>
      </w:r>
      <w:r w:rsidRPr="00491884">
        <w:fldChar w:fldCharType="separate"/>
      </w:r>
      <w:r w:rsidR="0055339A" w:rsidRPr="00491884">
        <w:t xml:space="preserve">Table </w:t>
      </w:r>
      <w:r w:rsidR="0055339A">
        <w:t>7</w:t>
      </w:r>
      <w:r w:rsidRPr="00491884">
        <w:fldChar w:fldCharType="end"/>
      </w:r>
      <w:r w:rsidR="00AF6F9E">
        <w:t>.</w:t>
      </w:r>
    </w:p>
    <w:p w14:paraId="2E68D5B2" w14:textId="4164BAB5" w:rsidR="0009531B" w:rsidRPr="00AF6F9E" w:rsidRDefault="0009531B" w:rsidP="0009531B">
      <w:pPr>
        <w:pStyle w:val="Caption"/>
        <w:rPr>
          <w:szCs w:val="20"/>
        </w:rPr>
      </w:pPr>
      <w:bookmarkStart w:id="11" w:name="_Ref195548269"/>
      <w:r w:rsidRPr="00491884">
        <w:lastRenderedPageBreak/>
        <w:t xml:space="preserve">Table </w:t>
      </w:r>
      <w:r w:rsidR="00191259">
        <w:fldChar w:fldCharType="begin"/>
      </w:r>
      <w:r w:rsidR="00191259">
        <w:instrText xml:space="preserve"> SEQ Table \* ARABIC </w:instrText>
      </w:r>
      <w:r w:rsidR="00191259">
        <w:fldChar w:fldCharType="separate"/>
      </w:r>
      <w:r w:rsidR="0055339A">
        <w:rPr>
          <w:noProof/>
        </w:rPr>
        <w:t>7</w:t>
      </w:r>
      <w:r w:rsidR="00191259">
        <w:rPr>
          <w:noProof/>
        </w:rPr>
        <w:fldChar w:fldCharType="end"/>
      </w:r>
      <w:bookmarkEnd w:id="11"/>
      <w:r w:rsidRPr="00491884">
        <w:t>:</w:t>
      </w:r>
      <w:r w:rsidRPr="00491884">
        <w:rPr>
          <w:rStyle w:val="CommentReference"/>
          <w:rFonts w:eastAsiaTheme="majorEastAsia"/>
          <w:szCs w:val="24"/>
        </w:rPr>
        <w:t xml:space="preserve"> </w:t>
      </w:r>
      <w:r w:rsidRPr="00AF6F9E">
        <w:rPr>
          <w:rStyle w:val="CommentReference"/>
          <w:rFonts w:eastAsiaTheme="majorEastAsia"/>
          <w:sz w:val="20"/>
          <w:szCs w:val="20"/>
        </w:rPr>
        <w:t xml:space="preserve">Estimated use and financial implications </w:t>
      </w:r>
    </w:p>
    <w:tbl>
      <w:tblPr>
        <w:tblStyle w:val="HTATableshaded"/>
        <w:tblW w:w="5000" w:type="pct"/>
        <w:tblLayout w:type="fixed"/>
        <w:tblCellMar>
          <w:left w:w="57" w:type="dxa"/>
          <w:right w:w="57" w:type="dxa"/>
        </w:tblCellMar>
        <w:tblLook w:val="04A0" w:firstRow="1" w:lastRow="0" w:firstColumn="1" w:lastColumn="0" w:noHBand="0" w:noVBand="1"/>
        <w:tblCaption w:val="Estimated use and financial implications "/>
      </w:tblPr>
      <w:tblGrid>
        <w:gridCol w:w="1288"/>
        <w:gridCol w:w="1288"/>
        <w:gridCol w:w="1288"/>
        <w:gridCol w:w="1288"/>
        <w:gridCol w:w="1288"/>
        <w:gridCol w:w="1288"/>
        <w:gridCol w:w="1288"/>
      </w:tblGrid>
      <w:tr w:rsidR="0009531B" w:rsidRPr="00491884" w14:paraId="33F9D471" w14:textId="77777777" w:rsidTr="00033AB8">
        <w:trPr>
          <w:cnfStyle w:val="100000000000" w:firstRow="1" w:lastRow="0" w:firstColumn="0" w:lastColumn="0" w:oddVBand="0" w:evenVBand="0" w:oddHBand="0" w:evenHBand="0" w:firstRowFirstColumn="0" w:firstRowLastColumn="0" w:lastRowFirstColumn="0" w:lastRowLastColumn="0"/>
        </w:trPr>
        <w:tc>
          <w:tcPr>
            <w:tcW w:w="0" w:type="pct"/>
          </w:tcPr>
          <w:p w14:paraId="06DACCC2" w14:textId="77777777" w:rsidR="0009531B" w:rsidRPr="00033AB8" w:rsidRDefault="0009531B" w:rsidP="003B02DE">
            <w:pPr>
              <w:pStyle w:val="In-tableHeading"/>
              <w:rPr>
                <w:sz w:val="20"/>
                <w:szCs w:val="20"/>
                <w:lang w:val="en-AU"/>
              </w:rPr>
            </w:pPr>
          </w:p>
        </w:tc>
        <w:tc>
          <w:tcPr>
            <w:tcW w:w="0" w:type="pct"/>
          </w:tcPr>
          <w:p w14:paraId="12EDDFB5" w14:textId="77777777" w:rsidR="0009531B" w:rsidRPr="002942E9" w:rsidRDefault="0009531B" w:rsidP="003B02DE">
            <w:pPr>
              <w:pStyle w:val="In-tableHeading"/>
              <w:jc w:val="center"/>
              <w:rPr>
                <w:sz w:val="20"/>
                <w:szCs w:val="20"/>
                <w:lang w:val="en-AU"/>
              </w:rPr>
            </w:pPr>
            <w:r w:rsidRPr="002942E9">
              <w:rPr>
                <w:sz w:val="20"/>
                <w:szCs w:val="20"/>
                <w:lang w:val="en-AU"/>
              </w:rPr>
              <w:t>Year 1</w:t>
            </w:r>
          </w:p>
        </w:tc>
        <w:tc>
          <w:tcPr>
            <w:tcW w:w="0" w:type="pct"/>
          </w:tcPr>
          <w:p w14:paraId="4AABE331" w14:textId="77777777" w:rsidR="0009531B" w:rsidRPr="002942E9" w:rsidRDefault="0009531B" w:rsidP="003B02DE">
            <w:pPr>
              <w:pStyle w:val="In-tableHeading"/>
              <w:jc w:val="center"/>
              <w:rPr>
                <w:sz w:val="20"/>
                <w:szCs w:val="20"/>
                <w:lang w:val="en-AU"/>
              </w:rPr>
            </w:pPr>
            <w:r w:rsidRPr="002942E9">
              <w:rPr>
                <w:sz w:val="20"/>
                <w:szCs w:val="20"/>
                <w:lang w:val="en-AU"/>
              </w:rPr>
              <w:t>Year 2</w:t>
            </w:r>
          </w:p>
        </w:tc>
        <w:tc>
          <w:tcPr>
            <w:tcW w:w="0" w:type="pct"/>
          </w:tcPr>
          <w:p w14:paraId="3F37B0BC" w14:textId="77777777" w:rsidR="0009531B" w:rsidRPr="002942E9" w:rsidRDefault="0009531B" w:rsidP="003B02DE">
            <w:pPr>
              <w:pStyle w:val="In-tableHeading"/>
              <w:jc w:val="center"/>
              <w:rPr>
                <w:sz w:val="20"/>
                <w:szCs w:val="20"/>
                <w:lang w:val="en-AU"/>
              </w:rPr>
            </w:pPr>
            <w:r w:rsidRPr="002942E9">
              <w:rPr>
                <w:sz w:val="20"/>
                <w:szCs w:val="20"/>
                <w:lang w:val="en-AU"/>
              </w:rPr>
              <w:t>Year 3</w:t>
            </w:r>
          </w:p>
        </w:tc>
        <w:tc>
          <w:tcPr>
            <w:tcW w:w="0" w:type="pct"/>
          </w:tcPr>
          <w:p w14:paraId="5683DF48" w14:textId="77777777" w:rsidR="0009531B" w:rsidRPr="002942E9" w:rsidRDefault="0009531B" w:rsidP="003B02DE">
            <w:pPr>
              <w:pStyle w:val="In-tableHeading"/>
              <w:jc w:val="center"/>
              <w:rPr>
                <w:sz w:val="20"/>
                <w:szCs w:val="20"/>
                <w:lang w:val="en-AU"/>
              </w:rPr>
            </w:pPr>
            <w:r w:rsidRPr="002942E9">
              <w:rPr>
                <w:sz w:val="20"/>
                <w:szCs w:val="20"/>
                <w:lang w:val="en-AU"/>
              </w:rPr>
              <w:t>Year 4</w:t>
            </w:r>
          </w:p>
        </w:tc>
        <w:tc>
          <w:tcPr>
            <w:tcW w:w="0" w:type="pct"/>
          </w:tcPr>
          <w:p w14:paraId="1C19B5D5" w14:textId="77777777" w:rsidR="0009531B" w:rsidRPr="002942E9" w:rsidRDefault="0009531B" w:rsidP="003B02DE">
            <w:pPr>
              <w:pStyle w:val="In-tableHeading"/>
              <w:jc w:val="center"/>
              <w:rPr>
                <w:sz w:val="20"/>
                <w:szCs w:val="20"/>
                <w:lang w:val="en-AU"/>
              </w:rPr>
            </w:pPr>
            <w:r w:rsidRPr="002942E9">
              <w:rPr>
                <w:sz w:val="20"/>
                <w:szCs w:val="20"/>
                <w:lang w:val="en-AU"/>
              </w:rPr>
              <w:t>Year 5</w:t>
            </w:r>
          </w:p>
        </w:tc>
        <w:tc>
          <w:tcPr>
            <w:tcW w:w="0" w:type="pct"/>
          </w:tcPr>
          <w:p w14:paraId="21617CB4" w14:textId="77777777" w:rsidR="0009531B" w:rsidRPr="002942E9" w:rsidRDefault="0009531B" w:rsidP="003B02DE">
            <w:pPr>
              <w:pStyle w:val="In-tableHeading"/>
              <w:jc w:val="center"/>
              <w:rPr>
                <w:sz w:val="20"/>
                <w:szCs w:val="20"/>
                <w:lang w:val="en-AU"/>
              </w:rPr>
            </w:pPr>
            <w:r w:rsidRPr="002942E9">
              <w:rPr>
                <w:sz w:val="20"/>
                <w:szCs w:val="20"/>
                <w:lang w:val="en-AU"/>
              </w:rPr>
              <w:t>Year 6</w:t>
            </w:r>
          </w:p>
        </w:tc>
      </w:tr>
      <w:tr w:rsidR="0009531B" w:rsidRPr="00491884" w14:paraId="4B3CD0F1" w14:textId="77777777" w:rsidTr="00033AB8">
        <w:tc>
          <w:tcPr>
            <w:tcW w:w="0" w:type="pct"/>
            <w:gridSpan w:val="7"/>
          </w:tcPr>
          <w:p w14:paraId="1257BEBB" w14:textId="3A47960B" w:rsidR="0009531B" w:rsidRPr="00033AB8" w:rsidRDefault="0009531B" w:rsidP="003B02DE">
            <w:pPr>
              <w:pStyle w:val="In-tableHeading"/>
              <w:rPr>
                <w:bCs/>
                <w:color w:val="000000"/>
                <w:sz w:val="20"/>
                <w:szCs w:val="20"/>
                <w:lang w:val="en-AU"/>
              </w:rPr>
            </w:pPr>
            <w:r w:rsidRPr="00594056">
              <w:rPr>
                <w:bCs/>
                <w:color w:val="000000"/>
                <w:szCs w:val="20"/>
                <w:lang w:val="en-AU"/>
              </w:rPr>
              <w:t>Estimated extent of use</w:t>
            </w:r>
            <w:r w:rsidR="001D2A63" w:rsidRPr="00594056">
              <w:rPr>
                <w:bCs/>
                <w:color w:val="000000"/>
                <w:szCs w:val="20"/>
                <w:lang w:val="en-AU"/>
              </w:rPr>
              <w:t xml:space="preserve"> O+C</w:t>
            </w:r>
          </w:p>
        </w:tc>
      </w:tr>
      <w:tr w:rsidR="00AD076F" w:rsidRPr="00491884" w14:paraId="572F6D35" w14:textId="77777777" w:rsidTr="00033AB8">
        <w:tc>
          <w:tcPr>
            <w:tcW w:w="0" w:type="pct"/>
          </w:tcPr>
          <w:p w14:paraId="7728928D" w14:textId="77777777" w:rsidR="00D121CB" w:rsidRPr="00033AB8" w:rsidRDefault="00D121CB" w:rsidP="00D121CB">
            <w:pPr>
              <w:pStyle w:val="TableText"/>
              <w:rPr>
                <w:sz w:val="20"/>
                <w:szCs w:val="20"/>
              </w:rPr>
            </w:pPr>
            <w:r w:rsidRPr="00594056">
              <w:rPr>
                <w:szCs w:val="20"/>
              </w:rPr>
              <w:t>Number of patients initiating treatment</w:t>
            </w:r>
          </w:p>
        </w:tc>
        <w:tc>
          <w:tcPr>
            <w:tcW w:w="0" w:type="pct"/>
            <w:vAlign w:val="center"/>
          </w:tcPr>
          <w:p w14:paraId="6A8B25BA" w14:textId="39C19678" w:rsidR="00D121CB" w:rsidRPr="00033AB8" w:rsidRDefault="00255D1B" w:rsidP="000E5E12">
            <w:pPr>
              <w:pStyle w:val="TableText"/>
              <w:jc w:val="center"/>
              <w:rPr>
                <w:sz w:val="20"/>
                <w:szCs w:val="20"/>
              </w:rPr>
            </w:pPr>
            <w:r w:rsidRPr="00255D1B">
              <w:rPr>
                <w:color w:val="000000"/>
                <w:spacing w:val="223"/>
                <w:szCs w:val="20"/>
                <w:shd w:val="solid" w:color="000000" w:fill="000000"/>
                <w:fitText w:val="300" w:id="-606363387"/>
                <w14:textFill>
                  <w14:solidFill>
                    <w14:srgbClr w14:val="000000">
                      <w14:alpha w14:val="100000"/>
                    </w14:srgbClr>
                  </w14:solidFill>
                </w14:textFill>
              </w:rPr>
              <w:t>|</w:t>
            </w:r>
            <w:r w:rsidRPr="00255D1B">
              <w:rPr>
                <w:color w:val="000000"/>
                <w:spacing w:val="1"/>
                <w:szCs w:val="20"/>
                <w:shd w:val="solid" w:color="000000" w:fill="000000"/>
                <w:fitText w:val="300" w:id="-606363387"/>
                <w14:textFill>
                  <w14:solidFill>
                    <w14:srgbClr w14:val="000000">
                      <w14:alpha w14:val="100000"/>
                    </w14:srgbClr>
                  </w14:solidFill>
                </w14:textFill>
              </w:rPr>
              <w:t>|</w:t>
            </w:r>
            <w:proofErr w:type="gramStart"/>
            <w:r w:rsidR="00613942" w:rsidRPr="00033AB8">
              <w:rPr>
                <w:szCs w:val="20"/>
                <w:vertAlign w:val="superscript"/>
              </w:rPr>
              <w:t>1</w:t>
            </w:r>
            <w:r w:rsidR="001B0B06" w:rsidRPr="00594056">
              <w:rPr>
                <w:szCs w:val="20"/>
                <w:vertAlign w:val="superscript"/>
              </w:rPr>
              <w:t>,</w:t>
            </w:r>
            <w:r w:rsidR="00E458C0" w:rsidRPr="00594056">
              <w:rPr>
                <w:szCs w:val="20"/>
                <w:vertAlign w:val="superscript"/>
              </w:rPr>
              <w:t>a</w:t>
            </w:r>
            <w:proofErr w:type="gramEnd"/>
          </w:p>
        </w:tc>
        <w:tc>
          <w:tcPr>
            <w:tcW w:w="0" w:type="pct"/>
            <w:vAlign w:val="center"/>
          </w:tcPr>
          <w:p w14:paraId="7733502C" w14:textId="289E10B1" w:rsidR="00D121CB" w:rsidRPr="00033AB8" w:rsidRDefault="00255D1B" w:rsidP="000E5E12">
            <w:pPr>
              <w:pStyle w:val="TableText"/>
              <w:jc w:val="center"/>
              <w:rPr>
                <w:sz w:val="20"/>
                <w:szCs w:val="20"/>
                <w:highlight w:val="darkGray"/>
              </w:rPr>
            </w:pPr>
            <w:r w:rsidRPr="00255D1B">
              <w:rPr>
                <w:color w:val="000000"/>
                <w:spacing w:val="208"/>
                <w:szCs w:val="20"/>
                <w:shd w:val="solid" w:color="000000" w:fill="000000"/>
                <w:fitText w:val="285" w:id="-606363386"/>
                <w14:textFill>
                  <w14:solidFill>
                    <w14:srgbClr w14:val="000000">
                      <w14:alpha w14:val="100000"/>
                    </w14:srgbClr>
                  </w14:solidFill>
                </w14:textFill>
              </w:rPr>
              <w:t>|</w:t>
            </w:r>
            <w:r w:rsidRPr="00255D1B">
              <w:rPr>
                <w:color w:val="000000"/>
                <w:spacing w:val="1"/>
                <w:szCs w:val="20"/>
                <w:shd w:val="solid" w:color="000000" w:fill="000000"/>
                <w:fitText w:val="285" w:id="-606363386"/>
                <w14:textFill>
                  <w14:solidFill>
                    <w14:srgbClr w14:val="000000">
                      <w14:alpha w14:val="100000"/>
                    </w14:srgbClr>
                  </w14:solidFill>
                </w14:textFill>
              </w:rPr>
              <w:t>|</w:t>
            </w:r>
            <w:r w:rsidR="00613942" w:rsidRPr="00033AB8">
              <w:rPr>
                <w:szCs w:val="20"/>
                <w:vertAlign w:val="superscript"/>
              </w:rPr>
              <w:t>1</w:t>
            </w:r>
          </w:p>
        </w:tc>
        <w:tc>
          <w:tcPr>
            <w:tcW w:w="0" w:type="pct"/>
            <w:vAlign w:val="center"/>
          </w:tcPr>
          <w:p w14:paraId="06978EA4" w14:textId="03F41F0B" w:rsidR="00D121CB" w:rsidRPr="00033AB8" w:rsidRDefault="00255D1B" w:rsidP="000E5E12">
            <w:pPr>
              <w:pStyle w:val="TableText"/>
              <w:jc w:val="center"/>
              <w:rPr>
                <w:sz w:val="20"/>
                <w:szCs w:val="20"/>
                <w:highlight w:val="darkGray"/>
              </w:rPr>
            </w:pPr>
            <w:r w:rsidRPr="00255D1B">
              <w:rPr>
                <w:color w:val="000000"/>
                <w:spacing w:val="208"/>
                <w:szCs w:val="20"/>
                <w:shd w:val="solid" w:color="000000" w:fill="000000"/>
                <w:fitText w:val="285" w:id="-606363385"/>
                <w14:textFill>
                  <w14:solidFill>
                    <w14:srgbClr w14:val="000000">
                      <w14:alpha w14:val="100000"/>
                    </w14:srgbClr>
                  </w14:solidFill>
                </w14:textFill>
              </w:rPr>
              <w:t>|</w:t>
            </w:r>
            <w:r w:rsidRPr="00255D1B">
              <w:rPr>
                <w:color w:val="000000"/>
                <w:spacing w:val="1"/>
                <w:szCs w:val="20"/>
                <w:shd w:val="solid" w:color="000000" w:fill="000000"/>
                <w:fitText w:val="285" w:id="-606363385"/>
                <w14:textFill>
                  <w14:solidFill>
                    <w14:srgbClr w14:val="000000">
                      <w14:alpha w14:val="100000"/>
                    </w14:srgbClr>
                  </w14:solidFill>
                </w14:textFill>
              </w:rPr>
              <w:t>|</w:t>
            </w:r>
            <w:r w:rsidR="00613942" w:rsidRPr="00594056">
              <w:rPr>
                <w:szCs w:val="20"/>
                <w:vertAlign w:val="superscript"/>
              </w:rPr>
              <w:t>1</w:t>
            </w:r>
          </w:p>
        </w:tc>
        <w:tc>
          <w:tcPr>
            <w:tcW w:w="0" w:type="pct"/>
            <w:vAlign w:val="center"/>
          </w:tcPr>
          <w:p w14:paraId="7F47D75B" w14:textId="12CCB27A" w:rsidR="00D121CB" w:rsidRPr="00033AB8" w:rsidRDefault="00255D1B" w:rsidP="000E5E12">
            <w:pPr>
              <w:pStyle w:val="TableText"/>
              <w:jc w:val="center"/>
              <w:rPr>
                <w:sz w:val="20"/>
                <w:szCs w:val="20"/>
                <w:highlight w:val="darkGray"/>
              </w:rPr>
            </w:pPr>
            <w:r w:rsidRPr="00255D1B">
              <w:rPr>
                <w:color w:val="000000"/>
                <w:spacing w:val="208"/>
                <w:szCs w:val="20"/>
                <w:shd w:val="solid" w:color="000000" w:fill="000000"/>
                <w:fitText w:val="285" w:id="-606363384"/>
                <w14:textFill>
                  <w14:solidFill>
                    <w14:srgbClr w14:val="000000">
                      <w14:alpha w14:val="100000"/>
                    </w14:srgbClr>
                  </w14:solidFill>
                </w14:textFill>
              </w:rPr>
              <w:t>|</w:t>
            </w:r>
            <w:r w:rsidRPr="00255D1B">
              <w:rPr>
                <w:color w:val="000000"/>
                <w:spacing w:val="1"/>
                <w:szCs w:val="20"/>
                <w:shd w:val="solid" w:color="000000" w:fill="000000"/>
                <w:fitText w:val="285" w:id="-606363384"/>
                <w14:textFill>
                  <w14:solidFill>
                    <w14:srgbClr w14:val="000000">
                      <w14:alpha w14:val="100000"/>
                    </w14:srgbClr>
                  </w14:solidFill>
                </w14:textFill>
              </w:rPr>
              <w:t>|</w:t>
            </w:r>
            <w:r w:rsidR="00613942" w:rsidRPr="00594056">
              <w:rPr>
                <w:szCs w:val="20"/>
                <w:vertAlign w:val="superscript"/>
              </w:rPr>
              <w:t>1</w:t>
            </w:r>
          </w:p>
        </w:tc>
        <w:tc>
          <w:tcPr>
            <w:tcW w:w="0" w:type="pct"/>
            <w:vAlign w:val="center"/>
          </w:tcPr>
          <w:p w14:paraId="021DBD97" w14:textId="3AE1DD50" w:rsidR="00D121CB" w:rsidRPr="00033AB8" w:rsidRDefault="00255D1B" w:rsidP="000E5E12">
            <w:pPr>
              <w:pStyle w:val="TableText"/>
              <w:jc w:val="center"/>
              <w:rPr>
                <w:sz w:val="20"/>
                <w:szCs w:val="20"/>
                <w:highlight w:val="darkGray"/>
              </w:rPr>
            </w:pPr>
            <w:r w:rsidRPr="00255D1B">
              <w:rPr>
                <w:color w:val="000000"/>
                <w:spacing w:val="208"/>
                <w:szCs w:val="20"/>
                <w:shd w:val="solid" w:color="000000" w:fill="000000"/>
                <w:fitText w:val="285" w:id="-606363383"/>
                <w14:textFill>
                  <w14:solidFill>
                    <w14:srgbClr w14:val="000000">
                      <w14:alpha w14:val="100000"/>
                    </w14:srgbClr>
                  </w14:solidFill>
                </w14:textFill>
              </w:rPr>
              <w:t>|</w:t>
            </w:r>
            <w:r w:rsidRPr="00255D1B">
              <w:rPr>
                <w:color w:val="000000"/>
                <w:spacing w:val="1"/>
                <w:szCs w:val="20"/>
                <w:shd w:val="solid" w:color="000000" w:fill="000000"/>
                <w:fitText w:val="285" w:id="-606363383"/>
                <w14:textFill>
                  <w14:solidFill>
                    <w14:srgbClr w14:val="000000">
                      <w14:alpha w14:val="100000"/>
                    </w14:srgbClr>
                  </w14:solidFill>
                </w14:textFill>
              </w:rPr>
              <w:t>|</w:t>
            </w:r>
            <w:r w:rsidR="00613942" w:rsidRPr="00594056">
              <w:rPr>
                <w:szCs w:val="20"/>
                <w:vertAlign w:val="superscript"/>
              </w:rPr>
              <w:t>1</w:t>
            </w:r>
          </w:p>
        </w:tc>
        <w:tc>
          <w:tcPr>
            <w:tcW w:w="0" w:type="pct"/>
            <w:vAlign w:val="center"/>
          </w:tcPr>
          <w:p w14:paraId="49FF0353" w14:textId="7CC75129" w:rsidR="00D121CB" w:rsidRPr="00033AB8" w:rsidRDefault="00255D1B" w:rsidP="000E5E12">
            <w:pPr>
              <w:pStyle w:val="TableText"/>
              <w:jc w:val="center"/>
              <w:rPr>
                <w:sz w:val="20"/>
                <w:szCs w:val="20"/>
                <w:highlight w:val="darkGray"/>
              </w:rPr>
            </w:pPr>
            <w:r w:rsidRPr="00255D1B">
              <w:rPr>
                <w:color w:val="000000"/>
                <w:spacing w:val="208"/>
                <w:szCs w:val="20"/>
                <w:shd w:val="solid" w:color="000000" w:fill="000000"/>
                <w:fitText w:val="285" w:id="-606363382"/>
                <w14:textFill>
                  <w14:solidFill>
                    <w14:srgbClr w14:val="000000">
                      <w14:alpha w14:val="100000"/>
                    </w14:srgbClr>
                  </w14:solidFill>
                </w14:textFill>
              </w:rPr>
              <w:t>|</w:t>
            </w:r>
            <w:r w:rsidRPr="00255D1B">
              <w:rPr>
                <w:color w:val="000000"/>
                <w:spacing w:val="1"/>
                <w:szCs w:val="20"/>
                <w:shd w:val="solid" w:color="000000" w:fill="000000"/>
                <w:fitText w:val="285" w:id="-606363382"/>
                <w14:textFill>
                  <w14:solidFill>
                    <w14:srgbClr w14:val="000000">
                      <w14:alpha w14:val="100000"/>
                    </w14:srgbClr>
                  </w14:solidFill>
                </w14:textFill>
              </w:rPr>
              <w:t>|</w:t>
            </w:r>
            <w:r w:rsidR="00613942" w:rsidRPr="00594056">
              <w:rPr>
                <w:szCs w:val="20"/>
                <w:vertAlign w:val="superscript"/>
              </w:rPr>
              <w:t>1</w:t>
            </w:r>
          </w:p>
        </w:tc>
      </w:tr>
      <w:tr w:rsidR="008338D2" w:rsidRPr="00491884" w14:paraId="482B142B" w14:textId="77777777" w:rsidTr="00033AB8">
        <w:tc>
          <w:tcPr>
            <w:tcW w:w="0" w:type="pct"/>
          </w:tcPr>
          <w:p w14:paraId="44D7FD86" w14:textId="3A3F4A41" w:rsidR="008338D2" w:rsidRPr="00033AB8" w:rsidRDefault="00D45C2B" w:rsidP="008338D2">
            <w:pPr>
              <w:pStyle w:val="TableText"/>
              <w:rPr>
                <w:sz w:val="20"/>
                <w:szCs w:val="20"/>
              </w:rPr>
            </w:pPr>
            <w:r w:rsidRPr="00594056">
              <w:rPr>
                <w:szCs w:val="20"/>
              </w:rPr>
              <w:t>Number of scripts</w:t>
            </w:r>
            <w:r w:rsidRPr="00594056">
              <w:rPr>
                <w:szCs w:val="20"/>
                <w:vertAlign w:val="superscript"/>
              </w:rPr>
              <w:t xml:space="preserve"> </w:t>
            </w:r>
            <w:proofErr w:type="spellStart"/>
            <w:r w:rsidRPr="00594056">
              <w:rPr>
                <w:szCs w:val="20"/>
              </w:rPr>
              <w:t>dispensed</w:t>
            </w:r>
            <w:r w:rsidRPr="00594056">
              <w:rPr>
                <w:szCs w:val="20"/>
                <w:vertAlign w:val="superscript"/>
              </w:rPr>
              <w:t>b</w:t>
            </w:r>
            <w:proofErr w:type="spellEnd"/>
          </w:p>
        </w:tc>
        <w:tc>
          <w:tcPr>
            <w:tcW w:w="0" w:type="pct"/>
            <w:vAlign w:val="center"/>
          </w:tcPr>
          <w:p w14:paraId="2D25DF50" w14:textId="488D0CD2" w:rsidR="008338D2" w:rsidRPr="00033AB8" w:rsidRDefault="00255D1B" w:rsidP="000E5E12">
            <w:pPr>
              <w:pStyle w:val="TableText"/>
              <w:jc w:val="center"/>
              <w:rPr>
                <w:sz w:val="20"/>
                <w:szCs w:val="20"/>
              </w:rPr>
            </w:pPr>
            <w:r w:rsidRPr="00255D1B">
              <w:rPr>
                <w:color w:val="000000"/>
                <w:spacing w:val="208"/>
                <w:szCs w:val="20"/>
                <w:shd w:val="solid" w:color="000000" w:fill="000000"/>
                <w:fitText w:val="285" w:id="-606363381"/>
                <w14:textFill>
                  <w14:solidFill>
                    <w14:srgbClr w14:val="000000">
                      <w14:alpha w14:val="100000"/>
                    </w14:srgbClr>
                  </w14:solidFill>
                </w14:textFill>
              </w:rPr>
              <w:t>|</w:t>
            </w:r>
            <w:r w:rsidRPr="00255D1B">
              <w:rPr>
                <w:color w:val="000000"/>
                <w:spacing w:val="1"/>
                <w:szCs w:val="20"/>
                <w:shd w:val="solid" w:color="000000" w:fill="000000"/>
                <w:fitText w:val="285" w:id="-606363381"/>
                <w14:textFill>
                  <w14:solidFill>
                    <w14:srgbClr w14:val="000000">
                      <w14:alpha w14:val="100000"/>
                    </w14:srgbClr>
                  </w14:solidFill>
                </w14:textFill>
              </w:rPr>
              <w:t>|</w:t>
            </w:r>
            <w:r w:rsidR="007322AF" w:rsidRPr="00033AB8">
              <w:rPr>
                <w:szCs w:val="20"/>
                <w:vertAlign w:val="superscript"/>
              </w:rPr>
              <w:t>2</w:t>
            </w:r>
          </w:p>
        </w:tc>
        <w:tc>
          <w:tcPr>
            <w:tcW w:w="0" w:type="pct"/>
            <w:vAlign w:val="center"/>
          </w:tcPr>
          <w:p w14:paraId="20F4CD8A" w14:textId="0D6B36D3" w:rsidR="008338D2" w:rsidRPr="00033AB8" w:rsidRDefault="00255D1B" w:rsidP="000E5E12">
            <w:pPr>
              <w:pStyle w:val="TableText"/>
              <w:jc w:val="center"/>
              <w:rPr>
                <w:sz w:val="20"/>
                <w:szCs w:val="20"/>
                <w:highlight w:val="darkGray"/>
              </w:rPr>
            </w:pPr>
            <w:r w:rsidRPr="00255D1B">
              <w:rPr>
                <w:color w:val="000000"/>
                <w:spacing w:val="208"/>
                <w:szCs w:val="20"/>
                <w:shd w:val="solid" w:color="000000" w:fill="000000"/>
                <w:fitText w:val="285" w:id="-606363380"/>
                <w14:textFill>
                  <w14:solidFill>
                    <w14:srgbClr w14:val="000000">
                      <w14:alpha w14:val="100000"/>
                    </w14:srgbClr>
                  </w14:solidFill>
                </w14:textFill>
              </w:rPr>
              <w:t>|</w:t>
            </w:r>
            <w:r w:rsidRPr="00255D1B">
              <w:rPr>
                <w:color w:val="000000"/>
                <w:spacing w:val="1"/>
                <w:szCs w:val="20"/>
                <w:shd w:val="solid" w:color="000000" w:fill="000000"/>
                <w:fitText w:val="285" w:id="-606363380"/>
                <w14:textFill>
                  <w14:solidFill>
                    <w14:srgbClr w14:val="000000">
                      <w14:alpha w14:val="100000"/>
                    </w14:srgbClr>
                  </w14:solidFill>
                </w14:textFill>
              </w:rPr>
              <w:t>|</w:t>
            </w:r>
            <w:r w:rsidR="00CE08EB" w:rsidRPr="00594056">
              <w:rPr>
                <w:szCs w:val="20"/>
                <w:vertAlign w:val="superscript"/>
              </w:rPr>
              <w:t>2</w:t>
            </w:r>
          </w:p>
        </w:tc>
        <w:tc>
          <w:tcPr>
            <w:tcW w:w="0" w:type="pct"/>
            <w:vAlign w:val="center"/>
          </w:tcPr>
          <w:p w14:paraId="6A7DF9ED" w14:textId="30F64B77" w:rsidR="008338D2" w:rsidRPr="00033AB8" w:rsidRDefault="00255D1B" w:rsidP="000E5E12">
            <w:pPr>
              <w:pStyle w:val="TableText"/>
              <w:jc w:val="center"/>
              <w:rPr>
                <w:sz w:val="20"/>
                <w:szCs w:val="20"/>
                <w:highlight w:val="darkGray"/>
              </w:rPr>
            </w:pPr>
            <w:r w:rsidRPr="00255D1B">
              <w:rPr>
                <w:color w:val="000000"/>
                <w:spacing w:val="208"/>
                <w:szCs w:val="20"/>
                <w:shd w:val="solid" w:color="000000" w:fill="000000"/>
                <w:fitText w:val="285" w:id="-606363379"/>
                <w14:textFill>
                  <w14:solidFill>
                    <w14:srgbClr w14:val="000000">
                      <w14:alpha w14:val="100000"/>
                    </w14:srgbClr>
                  </w14:solidFill>
                </w14:textFill>
              </w:rPr>
              <w:t>|</w:t>
            </w:r>
            <w:r w:rsidRPr="00255D1B">
              <w:rPr>
                <w:color w:val="000000"/>
                <w:spacing w:val="1"/>
                <w:szCs w:val="20"/>
                <w:shd w:val="solid" w:color="000000" w:fill="000000"/>
                <w:fitText w:val="285" w:id="-606363379"/>
                <w14:textFill>
                  <w14:solidFill>
                    <w14:srgbClr w14:val="000000">
                      <w14:alpha w14:val="100000"/>
                    </w14:srgbClr>
                  </w14:solidFill>
                </w14:textFill>
              </w:rPr>
              <w:t>|</w:t>
            </w:r>
            <w:r w:rsidR="00CE08EB" w:rsidRPr="00594056">
              <w:rPr>
                <w:szCs w:val="20"/>
                <w:vertAlign w:val="superscript"/>
              </w:rPr>
              <w:t>2</w:t>
            </w:r>
          </w:p>
        </w:tc>
        <w:tc>
          <w:tcPr>
            <w:tcW w:w="0" w:type="pct"/>
            <w:vAlign w:val="center"/>
          </w:tcPr>
          <w:p w14:paraId="7DE9EE48" w14:textId="3DBD79D4" w:rsidR="008338D2" w:rsidRPr="00033AB8" w:rsidRDefault="00255D1B" w:rsidP="000E5E12">
            <w:pPr>
              <w:pStyle w:val="TableText"/>
              <w:jc w:val="center"/>
              <w:rPr>
                <w:sz w:val="20"/>
                <w:szCs w:val="20"/>
                <w:highlight w:val="darkGray"/>
              </w:rPr>
            </w:pPr>
            <w:r w:rsidRPr="00255D1B">
              <w:rPr>
                <w:color w:val="000000"/>
                <w:spacing w:val="208"/>
                <w:szCs w:val="20"/>
                <w:shd w:val="solid" w:color="000000" w:fill="000000"/>
                <w:fitText w:val="285" w:id="-606363378"/>
                <w14:textFill>
                  <w14:solidFill>
                    <w14:srgbClr w14:val="000000">
                      <w14:alpha w14:val="100000"/>
                    </w14:srgbClr>
                  </w14:solidFill>
                </w14:textFill>
              </w:rPr>
              <w:t>|</w:t>
            </w:r>
            <w:r w:rsidRPr="00255D1B">
              <w:rPr>
                <w:color w:val="000000"/>
                <w:spacing w:val="1"/>
                <w:szCs w:val="20"/>
                <w:shd w:val="solid" w:color="000000" w:fill="000000"/>
                <w:fitText w:val="285" w:id="-606363378"/>
                <w14:textFill>
                  <w14:solidFill>
                    <w14:srgbClr w14:val="000000">
                      <w14:alpha w14:val="100000"/>
                    </w14:srgbClr>
                  </w14:solidFill>
                </w14:textFill>
              </w:rPr>
              <w:t>|</w:t>
            </w:r>
            <w:r w:rsidR="00CE08EB" w:rsidRPr="00594056">
              <w:rPr>
                <w:szCs w:val="20"/>
                <w:vertAlign w:val="superscript"/>
              </w:rPr>
              <w:t>2</w:t>
            </w:r>
          </w:p>
        </w:tc>
        <w:tc>
          <w:tcPr>
            <w:tcW w:w="0" w:type="pct"/>
            <w:vAlign w:val="center"/>
          </w:tcPr>
          <w:p w14:paraId="126743A9" w14:textId="1825AA85" w:rsidR="008338D2" w:rsidRPr="00033AB8" w:rsidRDefault="00255D1B" w:rsidP="000E5E12">
            <w:pPr>
              <w:pStyle w:val="TableText"/>
              <w:jc w:val="center"/>
              <w:rPr>
                <w:sz w:val="20"/>
                <w:szCs w:val="20"/>
                <w:highlight w:val="darkGray"/>
              </w:rPr>
            </w:pPr>
            <w:r w:rsidRPr="00255D1B">
              <w:rPr>
                <w:color w:val="000000"/>
                <w:spacing w:val="208"/>
                <w:szCs w:val="20"/>
                <w:shd w:val="solid" w:color="000000" w:fill="000000"/>
                <w:fitText w:val="285" w:id="-606363377"/>
                <w14:textFill>
                  <w14:solidFill>
                    <w14:srgbClr w14:val="000000">
                      <w14:alpha w14:val="100000"/>
                    </w14:srgbClr>
                  </w14:solidFill>
                </w14:textFill>
              </w:rPr>
              <w:t>|</w:t>
            </w:r>
            <w:r w:rsidRPr="00255D1B">
              <w:rPr>
                <w:color w:val="000000"/>
                <w:spacing w:val="1"/>
                <w:szCs w:val="20"/>
                <w:shd w:val="solid" w:color="000000" w:fill="000000"/>
                <w:fitText w:val="285" w:id="-606363377"/>
                <w14:textFill>
                  <w14:solidFill>
                    <w14:srgbClr w14:val="000000">
                      <w14:alpha w14:val="100000"/>
                    </w14:srgbClr>
                  </w14:solidFill>
                </w14:textFill>
              </w:rPr>
              <w:t>|</w:t>
            </w:r>
            <w:r w:rsidR="00CE08EB" w:rsidRPr="00594056">
              <w:rPr>
                <w:szCs w:val="20"/>
                <w:vertAlign w:val="superscript"/>
              </w:rPr>
              <w:t>2</w:t>
            </w:r>
          </w:p>
        </w:tc>
        <w:tc>
          <w:tcPr>
            <w:tcW w:w="0" w:type="pct"/>
            <w:vAlign w:val="center"/>
          </w:tcPr>
          <w:p w14:paraId="1E9B557B" w14:textId="4E6EB6EC" w:rsidR="008338D2" w:rsidRPr="00033AB8" w:rsidRDefault="00255D1B" w:rsidP="000E5E12">
            <w:pPr>
              <w:pStyle w:val="TableText"/>
              <w:jc w:val="center"/>
              <w:rPr>
                <w:sz w:val="20"/>
                <w:szCs w:val="20"/>
                <w:highlight w:val="darkGray"/>
              </w:rPr>
            </w:pPr>
            <w:r w:rsidRPr="00255D1B">
              <w:rPr>
                <w:color w:val="000000"/>
                <w:spacing w:val="208"/>
                <w:szCs w:val="20"/>
                <w:shd w:val="solid" w:color="000000" w:fill="000000"/>
                <w:fitText w:val="285" w:id="-606363376"/>
                <w14:textFill>
                  <w14:solidFill>
                    <w14:srgbClr w14:val="000000">
                      <w14:alpha w14:val="100000"/>
                    </w14:srgbClr>
                  </w14:solidFill>
                </w14:textFill>
              </w:rPr>
              <w:t>|</w:t>
            </w:r>
            <w:r w:rsidRPr="00255D1B">
              <w:rPr>
                <w:color w:val="000000"/>
                <w:spacing w:val="1"/>
                <w:szCs w:val="20"/>
                <w:shd w:val="solid" w:color="000000" w:fill="000000"/>
                <w:fitText w:val="285" w:id="-606363376"/>
                <w14:textFill>
                  <w14:solidFill>
                    <w14:srgbClr w14:val="000000">
                      <w14:alpha w14:val="100000"/>
                    </w14:srgbClr>
                  </w14:solidFill>
                </w14:textFill>
              </w:rPr>
              <w:t>|</w:t>
            </w:r>
            <w:r w:rsidR="00CE08EB" w:rsidRPr="00594056">
              <w:rPr>
                <w:szCs w:val="20"/>
                <w:vertAlign w:val="superscript"/>
              </w:rPr>
              <w:t>2</w:t>
            </w:r>
          </w:p>
        </w:tc>
      </w:tr>
      <w:tr w:rsidR="008338D2" w:rsidRPr="00491884" w14:paraId="429DD14D" w14:textId="77777777" w:rsidTr="00033AB8">
        <w:tc>
          <w:tcPr>
            <w:tcW w:w="0" w:type="pct"/>
            <w:gridSpan w:val="7"/>
          </w:tcPr>
          <w:p w14:paraId="563ECF26" w14:textId="5EF649F4" w:rsidR="008338D2" w:rsidRPr="00033AB8" w:rsidRDefault="008338D2" w:rsidP="008338D2">
            <w:pPr>
              <w:pStyle w:val="In-tableHeading"/>
              <w:rPr>
                <w:sz w:val="20"/>
                <w:szCs w:val="20"/>
                <w:lang w:val="en-AU"/>
              </w:rPr>
            </w:pPr>
            <w:r w:rsidRPr="00594056">
              <w:rPr>
                <w:szCs w:val="20"/>
                <w:lang w:val="en-AU"/>
              </w:rPr>
              <w:t xml:space="preserve">Estimated financial implications of </w:t>
            </w:r>
            <w:proofErr w:type="spellStart"/>
            <w:r w:rsidRPr="00594056">
              <w:rPr>
                <w:szCs w:val="20"/>
                <w:lang w:val="en-AU"/>
              </w:rPr>
              <w:t>osimertinib</w:t>
            </w:r>
            <w:proofErr w:type="spellEnd"/>
            <w:r w:rsidRPr="00594056">
              <w:rPr>
                <w:szCs w:val="20"/>
                <w:lang w:val="en-AU"/>
              </w:rPr>
              <w:t xml:space="preserve"> O+C</w:t>
            </w:r>
          </w:p>
        </w:tc>
      </w:tr>
      <w:tr w:rsidR="008338D2" w:rsidRPr="00491884" w14:paraId="60D365DA" w14:textId="77777777" w:rsidTr="00033AB8">
        <w:tc>
          <w:tcPr>
            <w:tcW w:w="0" w:type="pct"/>
          </w:tcPr>
          <w:p w14:paraId="3B735169" w14:textId="77777777" w:rsidR="008338D2" w:rsidRPr="00033AB8" w:rsidRDefault="008338D2" w:rsidP="008338D2">
            <w:pPr>
              <w:pStyle w:val="TableText"/>
              <w:rPr>
                <w:sz w:val="20"/>
                <w:szCs w:val="20"/>
              </w:rPr>
            </w:pPr>
            <w:r w:rsidRPr="00594056">
              <w:rPr>
                <w:szCs w:val="20"/>
              </w:rPr>
              <w:t>Cost to PBS/RPBS less copayments</w:t>
            </w:r>
          </w:p>
        </w:tc>
        <w:tc>
          <w:tcPr>
            <w:tcW w:w="0" w:type="pct"/>
            <w:vAlign w:val="center"/>
          </w:tcPr>
          <w:p w14:paraId="52070C33" w14:textId="7D5B44BC" w:rsidR="008338D2" w:rsidRPr="00033AB8" w:rsidRDefault="00255D1B" w:rsidP="000E5E12">
            <w:pPr>
              <w:pStyle w:val="TableText"/>
              <w:jc w:val="center"/>
              <w:rPr>
                <w:sz w:val="20"/>
                <w:szCs w:val="20"/>
                <w:highlight w:val="darkGray"/>
              </w:rPr>
            </w:pPr>
            <w:r w:rsidRPr="00255D1B">
              <w:rPr>
                <w:rFonts w:cs="Arial"/>
                <w:color w:val="000000"/>
                <w:spacing w:val="208"/>
                <w:szCs w:val="20"/>
                <w:shd w:val="solid" w:color="000000" w:fill="000000"/>
                <w:fitText w:val="285" w:id="-606363392"/>
                <w14:textFill>
                  <w14:solidFill>
                    <w14:srgbClr w14:val="000000">
                      <w14:alpha w14:val="100000"/>
                    </w14:srgbClr>
                  </w14:solidFill>
                </w14:textFill>
              </w:rPr>
              <w:t>|</w:t>
            </w:r>
            <w:r w:rsidRPr="00255D1B">
              <w:rPr>
                <w:rFonts w:cs="Arial"/>
                <w:color w:val="000000"/>
                <w:spacing w:val="1"/>
                <w:szCs w:val="20"/>
                <w:shd w:val="solid" w:color="000000" w:fill="000000"/>
                <w:fitText w:val="285" w:id="-606363392"/>
                <w14:textFill>
                  <w14:solidFill>
                    <w14:srgbClr w14:val="000000">
                      <w14:alpha w14:val="100000"/>
                    </w14:srgbClr>
                  </w14:solidFill>
                </w14:textFill>
              </w:rPr>
              <w:t>|</w:t>
            </w:r>
            <w:r w:rsidR="00315A86" w:rsidRPr="00033AB8">
              <w:rPr>
                <w:rFonts w:cs="Arial"/>
                <w:color w:val="000000"/>
                <w:szCs w:val="20"/>
                <w:vertAlign w:val="superscript"/>
              </w:rPr>
              <w:t>3</w:t>
            </w:r>
          </w:p>
        </w:tc>
        <w:tc>
          <w:tcPr>
            <w:tcW w:w="0" w:type="pct"/>
            <w:vAlign w:val="center"/>
          </w:tcPr>
          <w:p w14:paraId="736BDF4F" w14:textId="6C540B81" w:rsidR="008338D2" w:rsidRPr="00033AB8" w:rsidRDefault="00255D1B" w:rsidP="000E5E12">
            <w:pPr>
              <w:pStyle w:val="TableText"/>
              <w:jc w:val="center"/>
              <w:rPr>
                <w:sz w:val="20"/>
                <w:szCs w:val="20"/>
                <w:highlight w:val="darkGray"/>
              </w:rPr>
            </w:pPr>
            <w:r w:rsidRPr="00255D1B">
              <w:rPr>
                <w:rFonts w:cs="Arial"/>
                <w:color w:val="000000"/>
                <w:spacing w:val="208"/>
                <w:szCs w:val="20"/>
                <w:shd w:val="solid" w:color="000000" w:fill="000000"/>
                <w:fitText w:val="285" w:id="-606363391"/>
                <w14:textFill>
                  <w14:solidFill>
                    <w14:srgbClr w14:val="000000">
                      <w14:alpha w14:val="100000"/>
                    </w14:srgbClr>
                  </w14:solidFill>
                </w14:textFill>
              </w:rPr>
              <w:t>|</w:t>
            </w:r>
            <w:r w:rsidRPr="00255D1B">
              <w:rPr>
                <w:rFonts w:cs="Arial"/>
                <w:color w:val="000000"/>
                <w:spacing w:val="1"/>
                <w:szCs w:val="20"/>
                <w:shd w:val="solid" w:color="000000" w:fill="000000"/>
                <w:fitText w:val="285" w:id="-606363391"/>
                <w14:textFill>
                  <w14:solidFill>
                    <w14:srgbClr w14:val="000000">
                      <w14:alpha w14:val="100000"/>
                    </w14:srgbClr>
                  </w14:solidFill>
                </w14:textFill>
              </w:rPr>
              <w:t>|</w:t>
            </w:r>
            <w:r w:rsidR="00B51107" w:rsidRPr="00033AB8">
              <w:rPr>
                <w:rFonts w:cs="Arial"/>
                <w:color w:val="000000"/>
                <w:szCs w:val="20"/>
                <w:vertAlign w:val="superscript"/>
              </w:rPr>
              <w:t>4</w:t>
            </w:r>
          </w:p>
        </w:tc>
        <w:tc>
          <w:tcPr>
            <w:tcW w:w="0" w:type="pct"/>
            <w:vAlign w:val="center"/>
          </w:tcPr>
          <w:p w14:paraId="0C62D14A" w14:textId="7FF3F8C1" w:rsidR="008338D2" w:rsidRPr="00033AB8" w:rsidRDefault="00255D1B" w:rsidP="000E5E12">
            <w:pPr>
              <w:pStyle w:val="TableText"/>
              <w:jc w:val="center"/>
              <w:rPr>
                <w:sz w:val="20"/>
                <w:szCs w:val="20"/>
                <w:highlight w:val="darkGray"/>
              </w:rPr>
            </w:pPr>
            <w:r w:rsidRPr="00255D1B">
              <w:rPr>
                <w:rFonts w:cs="Arial"/>
                <w:color w:val="000000"/>
                <w:spacing w:val="208"/>
                <w:szCs w:val="20"/>
                <w:shd w:val="solid" w:color="000000" w:fill="000000"/>
                <w:fitText w:val="285" w:id="-606363390"/>
                <w14:textFill>
                  <w14:solidFill>
                    <w14:srgbClr w14:val="000000">
                      <w14:alpha w14:val="100000"/>
                    </w14:srgbClr>
                  </w14:solidFill>
                </w14:textFill>
              </w:rPr>
              <w:t>|</w:t>
            </w:r>
            <w:r w:rsidRPr="00255D1B">
              <w:rPr>
                <w:rFonts w:cs="Arial"/>
                <w:color w:val="000000"/>
                <w:spacing w:val="1"/>
                <w:szCs w:val="20"/>
                <w:shd w:val="solid" w:color="000000" w:fill="000000"/>
                <w:fitText w:val="285" w:id="-606363390"/>
                <w14:textFill>
                  <w14:solidFill>
                    <w14:srgbClr w14:val="000000">
                      <w14:alpha w14:val="100000"/>
                    </w14:srgbClr>
                  </w14:solidFill>
                </w14:textFill>
              </w:rPr>
              <w:t>|</w:t>
            </w:r>
            <w:r w:rsidR="00B51107" w:rsidRPr="00594056">
              <w:rPr>
                <w:rFonts w:cs="Arial"/>
                <w:color w:val="000000"/>
                <w:szCs w:val="20"/>
                <w:vertAlign w:val="superscript"/>
              </w:rPr>
              <w:t>4</w:t>
            </w:r>
          </w:p>
        </w:tc>
        <w:tc>
          <w:tcPr>
            <w:tcW w:w="0" w:type="pct"/>
            <w:vAlign w:val="center"/>
          </w:tcPr>
          <w:p w14:paraId="4603B376" w14:textId="389A9936" w:rsidR="008338D2" w:rsidRPr="00033AB8" w:rsidRDefault="00255D1B" w:rsidP="000E5E12">
            <w:pPr>
              <w:pStyle w:val="TableText"/>
              <w:jc w:val="center"/>
              <w:rPr>
                <w:sz w:val="20"/>
                <w:szCs w:val="20"/>
                <w:highlight w:val="darkGray"/>
              </w:rPr>
            </w:pPr>
            <w:r w:rsidRPr="00255D1B">
              <w:rPr>
                <w:rFonts w:cs="Arial"/>
                <w:color w:val="000000"/>
                <w:spacing w:val="208"/>
                <w:szCs w:val="20"/>
                <w:shd w:val="solid" w:color="000000" w:fill="000000"/>
                <w:fitText w:val="285" w:id="-606363389"/>
                <w14:textFill>
                  <w14:solidFill>
                    <w14:srgbClr w14:val="000000">
                      <w14:alpha w14:val="100000"/>
                    </w14:srgbClr>
                  </w14:solidFill>
                </w14:textFill>
              </w:rPr>
              <w:t>|</w:t>
            </w:r>
            <w:r w:rsidRPr="00255D1B">
              <w:rPr>
                <w:rFonts w:cs="Arial"/>
                <w:color w:val="000000"/>
                <w:spacing w:val="1"/>
                <w:szCs w:val="20"/>
                <w:shd w:val="solid" w:color="000000" w:fill="000000"/>
                <w:fitText w:val="285" w:id="-606363389"/>
                <w14:textFill>
                  <w14:solidFill>
                    <w14:srgbClr w14:val="000000">
                      <w14:alpha w14:val="100000"/>
                    </w14:srgbClr>
                  </w14:solidFill>
                </w14:textFill>
              </w:rPr>
              <w:t>|</w:t>
            </w:r>
            <w:r w:rsidR="00B51107" w:rsidRPr="00594056">
              <w:rPr>
                <w:rFonts w:cs="Arial"/>
                <w:color w:val="000000"/>
                <w:szCs w:val="20"/>
                <w:vertAlign w:val="superscript"/>
              </w:rPr>
              <w:t>4</w:t>
            </w:r>
          </w:p>
        </w:tc>
        <w:tc>
          <w:tcPr>
            <w:tcW w:w="0" w:type="pct"/>
            <w:vAlign w:val="center"/>
          </w:tcPr>
          <w:p w14:paraId="17089CD2" w14:textId="455CBC42" w:rsidR="008338D2" w:rsidRPr="00033AB8" w:rsidRDefault="00255D1B" w:rsidP="000E5E12">
            <w:pPr>
              <w:pStyle w:val="TableText"/>
              <w:jc w:val="center"/>
              <w:rPr>
                <w:sz w:val="20"/>
                <w:szCs w:val="20"/>
                <w:highlight w:val="darkGray"/>
              </w:rPr>
            </w:pPr>
            <w:r w:rsidRPr="00255D1B">
              <w:rPr>
                <w:rFonts w:cs="Arial"/>
                <w:color w:val="000000"/>
                <w:spacing w:val="208"/>
                <w:szCs w:val="20"/>
                <w:shd w:val="solid" w:color="000000" w:fill="000000"/>
                <w:fitText w:val="285" w:id="-606363388"/>
                <w14:textFill>
                  <w14:solidFill>
                    <w14:srgbClr w14:val="000000">
                      <w14:alpha w14:val="100000"/>
                    </w14:srgbClr>
                  </w14:solidFill>
                </w14:textFill>
              </w:rPr>
              <w:t>|</w:t>
            </w:r>
            <w:r w:rsidRPr="00255D1B">
              <w:rPr>
                <w:rFonts w:cs="Arial"/>
                <w:color w:val="000000"/>
                <w:spacing w:val="1"/>
                <w:szCs w:val="20"/>
                <w:shd w:val="solid" w:color="000000" w:fill="000000"/>
                <w:fitText w:val="285" w:id="-606363388"/>
                <w14:textFill>
                  <w14:solidFill>
                    <w14:srgbClr w14:val="000000">
                      <w14:alpha w14:val="100000"/>
                    </w14:srgbClr>
                  </w14:solidFill>
                </w14:textFill>
              </w:rPr>
              <w:t>|</w:t>
            </w:r>
            <w:r w:rsidR="00B51107" w:rsidRPr="00594056">
              <w:rPr>
                <w:rFonts w:cs="Arial"/>
                <w:color w:val="000000"/>
                <w:szCs w:val="20"/>
                <w:vertAlign w:val="superscript"/>
              </w:rPr>
              <w:t>4</w:t>
            </w:r>
          </w:p>
        </w:tc>
        <w:tc>
          <w:tcPr>
            <w:tcW w:w="0" w:type="pct"/>
            <w:vAlign w:val="center"/>
          </w:tcPr>
          <w:p w14:paraId="4074EDCB" w14:textId="05DB8A58" w:rsidR="008338D2" w:rsidRPr="00033AB8" w:rsidRDefault="00255D1B" w:rsidP="000E5E12">
            <w:pPr>
              <w:pStyle w:val="TableText"/>
              <w:jc w:val="center"/>
              <w:rPr>
                <w:sz w:val="20"/>
                <w:szCs w:val="20"/>
                <w:highlight w:val="darkGray"/>
              </w:rPr>
            </w:pPr>
            <w:r w:rsidRPr="00255D1B">
              <w:rPr>
                <w:rFonts w:cs="Arial"/>
                <w:color w:val="000000"/>
                <w:spacing w:val="208"/>
                <w:szCs w:val="20"/>
                <w:shd w:val="solid" w:color="000000" w:fill="000000"/>
                <w:fitText w:val="285" w:id="-606363387"/>
                <w14:textFill>
                  <w14:solidFill>
                    <w14:srgbClr w14:val="000000">
                      <w14:alpha w14:val="100000"/>
                    </w14:srgbClr>
                  </w14:solidFill>
                </w14:textFill>
              </w:rPr>
              <w:t>|</w:t>
            </w:r>
            <w:r w:rsidRPr="00255D1B">
              <w:rPr>
                <w:rFonts w:cs="Arial"/>
                <w:color w:val="000000"/>
                <w:spacing w:val="1"/>
                <w:szCs w:val="20"/>
                <w:shd w:val="solid" w:color="000000" w:fill="000000"/>
                <w:fitText w:val="285" w:id="-606363387"/>
                <w14:textFill>
                  <w14:solidFill>
                    <w14:srgbClr w14:val="000000">
                      <w14:alpha w14:val="100000"/>
                    </w14:srgbClr>
                  </w14:solidFill>
                </w14:textFill>
              </w:rPr>
              <w:t>|</w:t>
            </w:r>
            <w:r w:rsidR="00B51107" w:rsidRPr="00594056">
              <w:rPr>
                <w:rFonts w:cs="Arial"/>
                <w:color w:val="000000"/>
                <w:szCs w:val="20"/>
                <w:vertAlign w:val="superscript"/>
              </w:rPr>
              <w:t>4</w:t>
            </w:r>
          </w:p>
        </w:tc>
      </w:tr>
      <w:tr w:rsidR="008338D2" w:rsidRPr="00491884" w14:paraId="3136AE0B" w14:textId="77777777" w:rsidTr="00033AB8">
        <w:tc>
          <w:tcPr>
            <w:tcW w:w="0" w:type="pct"/>
            <w:gridSpan w:val="7"/>
          </w:tcPr>
          <w:p w14:paraId="28F7459F" w14:textId="77777777" w:rsidR="008338D2" w:rsidRPr="00033AB8" w:rsidRDefault="008338D2" w:rsidP="008338D2">
            <w:pPr>
              <w:pStyle w:val="TableText"/>
              <w:rPr>
                <w:b/>
                <w:sz w:val="20"/>
                <w:szCs w:val="20"/>
              </w:rPr>
            </w:pPr>
            <w:r w:rsidRPr="00594056">
              <w:rPr>
                <w:b/>
                <w:szCs w:val="20"/>
              </w:rPr>
              <w:t xml:space="preserve">Estimated financial implications for </w:t>
            </w:r>
            <w:proofErr w:type="spellStart"/>
            <w:r w:rsidRPr="00594056">
              <w:rPr>
                <w:b/>
                <w:szCs w:val="20"/>
              </w:rPr>
              <w:t>osimertinib</w:t>
            </w:r>
            <w:proofErr w:type="spellEnd"/>
            <w:r w:rsidRPr="00594056">
              <w:rPr>
                <w:b/>
                <w:szCs w:val="20"/>
              </w:rPr>
              <w:t xml:space="preserve"> (monotherapy) and chemotherapy (cisplatin/carboplatin, pemetrexed)</w:t>
            </w:r>
          </w:p>
        </w:tc>
      </w:tr>
      <w:tr w:rsidR="00237F4E" w:rsidRPr="00491884" w14:paraId="33C76526" w14:textId="77777777" w:rsidTr="00033AB8">
        <w:tc>
          <w:tcPr>
            <w:tcW w:w="0" w:type="pct"/>
          </w:tcPr>
          <w:p w14:paraId="3549F38F" w14:textId="4798071E" w:rsidR="00237F4E" w:rsidRPr="00033AB8" w:rsidRDefault="00237F4E" w:rsidP="00237F4E">
            <w:pPr>
              <w:pStyle w:val="TableText"/>
              <w:rPr>
                <w:sz w:val="20"/>
                <w:szCs w:val="20"/>
              </w:rPr>
            </w:pPr>
            <w:r w:rsidRPr="00594056">
              <w:rPr>
                <w:szCs w:val="20"/>
              </w:rPr>
              <w:t xml:space="preserve">Number of scripts dispensed, </w:t>
            </w:r>
            <w:proofErr w:type="spellStart"/>
            <w:r w:rsidRPr="00594056">
              <w:rPr>
                <w:szCs w:val="20"/>
              </w:rPr>
              <w:t>osimertinib</w:t>
            </w:r>
            <w:proofErr w:type="spellEnd"/>
          </w:p>
        </w:tc>
        <w:tc>
          <w:tcPr>
            <w:tcW w:w="0" w:type="pct"/>
            <w:tcBorders>
              <w:top w:val="single" w:sz="4" w:space="0" w:color="auto"/>
              <w:left w:val="nil"/>
              <w:bottom w:val="nil"/>
              <w:right w:val="single" w:sz="4" w:space="0" w:color="auto"/>
            </w:tcBorders>
            <w:vAlign w:val="center"/>
          </w:tcPr>
          <w:p w14:paraId="71117529" w14:textId="68AB93A2" w:rsidR="00237F4E" w:rsidRPr="00033AB8" w:rsidRDefault="00237F4E" w:rsidP="000E5E12">
            <w:pPr>
              <w:pStyle w:val="TableText"/>
              <w:jc w:val="center"/>
              <w:rPr>
                <w:sz w:val="20"/>
                <w:szCs w:val="20"/>
              </w:rPr>
            </w:pPr>
            <w:r w:rsidRPr="00594056">
              <w:rPr>
                <w:szCs w:val="20"/>
              </w:rPr>
              <w:t>-</w:t>
            </w:r>
            <w:r w:rsidR="00255D1B" w:rsidRPr="00255D1B">
              <w:rPr>
                <w:color w:val="000000"/>
                <w:spacing w:val="223"/>
                <w:szCs w:val="20"/>
                <w:shd w:val="solid" w:color="000000" w:fill="000000"/>
                <w:fitText w:val="300" w:id="-606363386"/>
                <w14:textFill>
                  <w14:solidFill>
                    <w14:srgbClr w14:val="000000">
                      <w14:alpha w14:val="100000"/>
                    </w14:srgbClr>
                  </w14:solidFill>
                </w14:textFill>
              </w:rPr>
              <w:t>|</w:t>
            </w:r>
            <w:r w:rsidR="00255D1B" w:rsidRPr="00255D1B">
              <w:rPr>
                <w:color w:val="000000"/>
                <w:spacing w:val="1"/>
                <w:szCs w:val="20"/>
                <w:shd w:val="solid" w:color="000000" w:fill="000000"/>
                <w:fitText w:val="300" w:id="-606363386"/>
                <w14:textFill>
                  <w14:solidFill>
                    <w14:srgbClr w14:val="000000">
                      <w14:alpha w14:val="100000"/>
                    </w14:srgbClr>
                  </w14:solidFill>
                </w14:textFill>
              </w:rPr>
              <w:t>|</w:t>
            </w:r>
            <w:r w:rsidR="00BB2D9F" w:rsidRPr="00594056">
              <w:rPr>
                <w:szCs w:val="20"/>
                <w:vertAlign w:val="superscript"/>
              </w:rPr>
              <w:t>2</w:t>
            </w:r>
          </w:p>
        </w:tc>
        <w:tc>
          <w:tcPr>
            <w:tcW w:w="0" w:type="pct"/>
            <w:tcBorders>
              <w:top w:val="single" w:sz="4" w:space="0" w:color="auto"/>
              <w:left w:val="single" w:sz="4" w:space="0" w:color="auto"/>
              <w:bottom w:val="nil"/>
              <w:right w:val="single" w:sz="4" w:space="0" w:color="auto"/>
            </w:tcBorders>
            <w:vAlign w:val="center"/>
          </w:tcPr>
          <w:p w14:paraId="45C89949" w14:textId="44FEDD3C" w:rsidR="00237F4E" w:rsidRPr="00033AB8" w:rsidRDefault="00237F4E" w:rsidP="000E5E12">
            <w:pPr>
              <w:pStyle w:val="TableText"/>
              <w:jc w:val="center"/>
              <w:rPr>
                <w:sz w:val="20"/>
                <w:szCs w:val="20"/>
              </w:rPr>
            </w:pPr>
            <w:r w:rsidRPr="00594056">
              <w:rPr>
                <w:szCs w:val="20"/>
              </w:rPr>
              <w:t>-</w:t>
            </w:r>
            <w:r w:rsidR="00255D1B" w:rsidRPr="00255D1B">
              <w:rPr>
                <w:color w:val="000000"/>
                <w:spacing w:val="223"/>
                <w:szCs w:val="20"/>
                <w:shd w:val="solid" w:color="000000" w:fill="000000"/>
                <w:fitText w:val="300" w:id="-606363385"/>
                <w14:textFill>
                  <w14:solidFill>
                    <w14:srgbClr w14:val="000000">
                      <w14:alpha w14:val="100000"/>
                    </w14:srgbClr>
                  </w14:solidFill>
                </w14:textFill>
              </w:rPr>
              <w:t>|</w:t>
            </w:r>
            <w:r w:rsidR="00255D1B" w:rsidRPr="00255D1B">
              <w:rPr>
                <w:color w:val="000000"/>
                <w:spacing w:val="1"/>
                <w:szCs w:val="20"/>
                <w:shd w:val="solid" w:color="000000" w:fill="000000"/>
                <w:fitText w:val="300" w:id="-606363385"/>
                <w14:textFill>
                  <w14:solidFill>
                    <w14:srgbClr w14:val="000000">
                      <w14:alpha w14:val="100000"/>
                    </w14:srgbClr>
                  </w14:solidFill>
                </w14:textFill>
              </w:rPr>
              <w:t>|</w:t>
            </w:r>
            <w:r w:rsidR="00BB2D9F" w:rsidRPr="00594056">
              <w:rPr>
                <w:szCs w:val="20"/>
                <w:vertAlign w:val="superscript"/>
              </w:rPr>
              <w:t>2</w:t>
            </w:r>
          </w:p>
        </w:tc>
        <w:tc>
          <w:tcPr>
            <w:tcW w:w="0" w:type="pct"/>
            <w:tcBorders>
              <w:top w:val="single" w:sz="4" w:space="0" w:color="auto"/>
              <w:left w:val="single" w:sz="4" w:space="0" w:color="auto"/>
              <w:bottom w:val="nil"/>
              <w:right w:val="single" w:sz="4" w:space="0" w:color="auto"/>
            </w:tcBorders>
            <w:vAlign w:val="center"/>
          </w:tcPr>
          <w:p w14:paraId="3BAD54DF" w14:textId="3E496664" w:rsidR="00237F4E" w:rsidRPr="00033AB8" w:rsidRDefault="00237F4E" w:rsidP="000E5E12">
            <w:pPr>
              <w:pStyle w:val="TableText"/>
              <w:jc w:val="center"/>
              <w:rPr>
                <w:sz w:val="20"/>
                <w:szCs w:val="20"/>
              </w:rPr>
            </w:pPr>
            <w:r w:rsidRPr="00594056">
              <w:rPr>
                <w:szCs w:val="20"/>
              </w:rPr>
              <w:t>-</w:t>
            </w:r>
            <w:r w:rsidR="00255D1B" w:rsidRPr="00255D1B">
              <w:rPr>
                <w:color w:val="000000"/>
                <w:spacing w:val="223"/>
                <w:szCs w:val="20"/>
                <w:shd w:val="solid" w:color="000000" w:fill="000000"/>
                <w:fitText w:val="300" w:id="-606363384"/>
                <w14:textFill>
                  <w14:solidFill>
                    <w14:srgbClr w14:val="000000">
                      <w14:alpha w14:val="100000"/>
                    </w14:srgbClr>
                  </w14:solidFill>
                </w14:textFill>
              </w:rPr>
              <w:t>|</w:t>
            </w:r>
            <w:r w:rsidR="00255D1B" w:rsidRPr="00255D1B">
              <w:rPr>
                <w:color w:val="000000"/>
                <w:spacing w:val="1"/>
                <w:szCs w:val="20"/>
                <w:shd w:val="solid" w:color="000000" w:fill="000000"/>
                <w:fitText w:val="300" w:id="-606363384"/>
                <w14:textFill>
                  <w14:solidFill>
                    <w14:srgbClr w14:val="000000">
                      <w14:alpha w14:val="100000"/>
                    </w14:srgbClr>
                  </w14:solidFill>
                </w14:textFill>
              </w:rPr>
              <w:t>|</w:t>
            </w:r>
            <w:r w:rsidR="00BB2D9F" w:rsidRPr="00594056">
              <w:rPr>
                <w:szCs w:val="20"/>
                <w:vertAlign w:val="superscript"/>
              </w:rPr>
              <w:t>2</w:t>
            </w:r>
          </w:p>
        </w:tc>
        <w:tc>
          <w:tcPr>
            <w:tcW w:w="0" w:type="pct"/>
            <w:tcBorders>
              <w:top w:val="single" w:sz="4" w:space="0" w:color="auto"/>
              <w:left w:val="single" w:sz="4" w:space="0" w:color="auto"/>
              <w:bottom w:val="nil"/>
              <w:right w:val="single" w:sz="4" w:space="0" w:color="auto"/>
            </w:tcBorders>
            <w:vAlign w:val="center"/>
          </w:tcPr>
          <w:p w14:paraId="039DB034" w14:textId="5F6C3FB3" w:rsidR="00237F4E" w:rsidRPr="00033AB8" w:rsidRDefault="00237F4E" w:rsidP="000E5E12">
            <w:pPr>
              <w:pStyle w:val="TableText"/>
              <w:jc w:val="center"/>
              <w:rPr>
                <w:sz w:val="20"/>
                <w:szCs w:val="20"/>
              </w:rPr>
            </w:pPr>
            <w:r w:rsidRPr="00594056">
              <w:rPr>
                <w:szCs w:val="20"/>
              </w:rPr>
              <w:t>-</w:t>
            </w:r>
            <w:r w:rsidR="00255D1B" w:rsidRPr="00255D1B">
              <w:rPr>
                <w:color w:val="000000"/>
                <w:spacing w:val="223"/>
                <w:szCs w:val="20"/>
                <w:shd w:val="solid" w:color="000000" w:fill="000000"/>
                <w:fitText w:val="300" w:id="-606363383"/>
                <w14:textFill>
                  <w14:solidFill>
                    <w14:srgbClr w14:val="000000">
                      <w14:alpha w14:val="100000"/>
                    </w14:srgbClr>
                  </w14:solidFill>
                </w14:textFill>
              </w:rPr>
              <w:t>|</w:t>
            </w:r>
            <w:r w:rsidR="00255D1B" w:rsidRPr="00255D1B">
              <w:rPr>
                <w:color w:val="000000"/>
                <w:spacing w:val="1"/>
                <w:szCs w:val="20"/>
                <w:shd w:val="solid" w:color="000000" w:fill="000000"/>
                <w:fitText w:val="300" w:id="-606363383"/>
                <w14:textFill>
                  <w14:solidFill>
                    <w14:srgbClr w14:val="000000">
                      <w14:alpha w14:val="100000"/>
                    </w14:srgbClr>
                  </w14:solidFill>
                </w14:textFill>
              </w:rPr>
              <w:t>|</w:t>
            </w:r>
            <w:r w:rsidR="00BB2D9F" w:rsidRPr="00594056">
              <w:rPr>
                <w:szCs w:val="20"/>
                <w:vertAlign w:val="superscript"/>
              </w:rPr>
              <w:t>2</w:t>
            </w:r>
          </w:p>
        </w:tc>
        <w:tc>
          <w:tcPr>
            <w:tcW w:w="0" w:type="pct"/>
            <w:tcBorders>
              <w:top w:val="single" w:sz="4" w:space="0" w:color="auto"/>
              <w:left w:val="single" w:sz="4" w:space="0" w:color="auto"/>
              <w:bottom w:val="nil"/>
              <w:right w:val="single" w:sz="4" w:space="0" w:color="auto"/>
            </w:tcBorders>
            <w:vAlign w:val="center"/>
          </w:tcPr>
          <w:p w14:paraId="537D6F6A" w14:textId="48A2502C" w:rsidR="00237F4E" w:rsidRPr="00033AB8" w:rsidRDefault="00237F4E" w:rsidP="000E5E12">
            <w:pPr>
              <w:pStyle w:val="TableText"/>
              <w:jc w:val="center"/>
              <w:rPr>
                <w:sz w:val="20"/>
                <w:szCs w:val="20"/>
              </w:rPr>
            </w:pPr>
            <w:r w:rsidRPr="00594056">
              <w:rPr>
                <w:szCs w:val="20"/>
              </w:rPr>
              <w:t>-</w:t>
            </w:r>
            <w:r w:rsidR="00255D1B" w:rsidRPr="00255D1B">
              <w:rPr>
                <w:color w:val="000000"/>
                <w:spacing w:val="223"/>
                <w:szCs w:val="20"/>
                <w:shd w:val="solid" w:color="000000" w:fill="000000"/>
                <w:fitText w:val="300" w:id="-606363382"/>
                <w14:textFill>
                  <w14:solidFill>
                    <w14:srgbClr w14:val="000000">
                      <w14:alpha w14:val="100000"/>
                    </w14:srgbClr>
                  </w14:solidFill>
                </w14:textFill>
              </w:rPr>
              <w:t>|</w:t>
            </w:r>
            <w:r w:rsidR="00255D1B" w:rsidRPr="00255D1B">
              <w:rPr>
                <w:color w:val="000000"/>
                <w:spacing w:val="1"/>
                <w:szCs w:val="20"/>
                <w:shd w:val="solid" w:color="000000" w:fill="000000"/>
                <w:fitText w:val="300" w:id="-606363382"/>
                <w14:textFill>
                  <w14:solidFill>
                    <w14:srgbClr w14:val="000000">
                      <w14:alpha w14:val="100000"/>
                    </w14:srgbClr>
                  </w14:solidFill>
                </w14:textFill>
              </w:rPr>
              <w:t>|</w:t>
            </w:r>
            <w:r w:rsidR="00BB2D9F" w:rsidRPr="00594056">
              <w:rPr>
                <w:szCs w:val="20"/>
                <w:vertAlign w:val="superscript"/>
              </w:rPr>
              <w:t>2</w:t>
            </w:r>
          </w:p>
        </w:tc>
        <w:tc>
          <w:tcPr>
            <w:tcW w:w="0" w:type="pct"/>
            <w:tcBorders>
              <w:top w:val="single" w:sz="4" w:space="0" w:color="auto"/>
              <w:left w:val="single" w:sz="4" w:space="0" w:color="auto"/>
              <w:bottom w:val="nil"/>
              <w:right w:val="single" w:sz="4" w:space="0" w:color="auto"/>
            </w:tcBorders>
            <w:vAlign w:val="center"/>
          </w:tcPr>
          <w:p w14:paraId="0E281C03" w14:textId="4CCBFC2A" w:rsidR="00237F4E" w:rsidRPr="00033AB8" w:rsidRDefault="00237F4E" w:rsidP="000E5E12">
            <w:pPr>
              <w:pStyle w:val="TableText"/>
              <w:jc w:val="center"/>
              <w:rPr>
                <w:sz w:val="20"/>
                <w:szCs w:val="20"/>
              </w:rPr>
            </w:pPr>
            <w:r w:rsidRPr="00594056">
              <w:rPr>
                <w:szCs w:val="20"/>
              </w:rPr>
              <w:t>-</w:t>
            </w:r>
            <w:r w:rsidR="00255D1B" w:rsidRPr="00255D1B">
              <w:rPr>
                <w:color w:val="000000"/>
                <w:spacing w:val="223"/>
                <w:szCs w:val="20"/>
                <w:shd w:val="solid" w:color="000000" w:fill="000000"/>
                <w:fitText w:val="300" w:id="-606363381"/>
                <w14:textFill>
                  <w14:solidFill>
                    <w14:srgbClr w14:val="000000">
                      <w14:alpha w14:val="100000"/>
                    </w14:srgbClr>
                  </w14:solidFill>
                </w14:textFill>
              </w:rPr>
              <w:t>|</w:t>
            </w:r>
            <w:r w:rsidR="00255D1B" w:rsidRPr="00255D1B">
              <w:rPr>
                <w:color w:val="000000"/>
                <w:spacing w:val="1"/>
                <w:szCs w:val="20"/>
                <w:shd w:val="solid" w:color="000000" w:fill="000000"/>
                <w:fitText w:val="300" w:id="-606363381"/>
                <w14:textFill>
                  <w14:solidFill>
                    <w14:srgbClr w14:val="000000">
                      <w14:alpha w14:val="100000"/>
                    </w14:srgbClr>
                  </w14:solidFill>
                </w14:textFill>
              </w:rPr>
              <w:t>|</w:t>
            </w:r>
            <w:r w:rsidR="00BB2D9F" w:rsidRPr="00594056">
              <w:rPr>
                <w:szCs w:val="20"/>
                <w:vertAlign w:val="superscript"/>
              </w:rPr>
              <w:t>2</w:t>
            </w:r>
          </w:p>
        </w:tc>
      </w:tr>
      <w:tr w:rsidR="00237F4E" w:rsidRPr="00491884" w14:paraId="73A23207" w14:textId="77777777" w:rsidTr="00033AB8">
        <w:tc>
          <w:tcPr>
            <w:tcW w:w="0" w:type="pct"/>
          </w:tcPr>
          <w:p w14:paraId="19BFA833" w14:textId="77777777" w:rsidR="00237F4E" w:rsidRPr="00033AB8" w:rsidRDefault="00237F4E" w:rsidP="00237F4E">
            <w:pPr>
              <w:pStyle w:val="TableText"/>
              <w:rPr>
                <w:sz w:val="20"/>
                <w:szCs w:val="20"/>
              </w:rPr>
            </w:pPr>
            <w:r w:rsidRPr="00594056">
              <w:rPr>
                <w:szCs w:val="20"/>
              </w:rPr>
              <w:t xml:space="preserve">Cost to PBS/RPBS less copayments, </w:t>
            </w:r>
            <w:proofErr w:type="spellStart"/>
            <w:r w:rsidRPr="00594056">
              <w:rPr>
                <w:szCs w:val="20"/>
              </w:rPr>
              <w:t>osimertinib</w:t>
            </w:r>
            <w:proofErr w:type="spellEnd"/>
            <w:r w:rsidRPr="00594056">
              <w:rPr>
                <w:szCs w:val="20"/>
              </w:rPr>
              <w:t xml:space="preserve"> </w:t>
            </w:r>
          </w:p>
        </w:tc>
        <w:tc>
          <w:tcPr>
            <w:tcW w:w="0" w:type="pct"/>
            <w:vAlign w:val="center"/>
          </w:tcPr>
          <w:p w14:paraId="68A47BF3" w14:textId="16085CA3" w:rsidR="00237F4E" w:rsidRPr="00033AB8" w:rsidRDefault="00255D1B" w:rsidP="000E5E12">
            <w:pPr>
              <w:pStyle w:val="TableText"/>
              <w:jc w:val="center"/>
              <w:rPr>
                <w:rFonts w:cs="Arial"/>
                <w:color w:val="000000"/>
                <w:sz w:val="20"/>
                <w:szCs w:val="20"/>
                <w:highlight w:val="darkGray"/>
              </w:rPr>
            </w:pPr>
            <w:r w:rsidRPr="00255D1B">
              <w:rPr>
                <w:rFonts w:cs="Arial"/>
                <w:color w:val="000000"/>
                <w:spacing w:val="208"/>
                <w:szCs w:val="20"/>
                <w:shd w:val="solid" w:color="000000" w:fill="000000"/>
                <w:fitText w:val="285" w:id="-606363380"/>
                <w14:textFill>
                  <w14:solidFill>
                    <w14:srgbClr w14:val="000000">
                      <w14:alpha w14:val="100000"/>
                    </w14:srgbClr>
                  </w14:solidFill>
                </w14:textFill>
              </w:rPr>
              <w:t>|</w:t>
            </w:r>
            <w:r w:rsidRPr="00255D1B">
              <w:rPr>
                <w:rFonts w:cs="Arial"/>
                <w:color w:val="000000"/>
                <w:spacing w:val="1"/>
                <w:szCs w:val="20"/>
                <w:shd w:val="solid" w:color="000000" w:fill="000000"/>
                <w:fitText w:val="285" w:id="-606363380"/>
                <w14:textFill>
                  <w14:solidFill>
                    <w14:srgbClr w14:val="000000">
                      <w14:alpha w14:val="100000"/>
                    </w14:srgbClr>
                  </w14:solidFill>
                </w14:textFill>
              </w:rPr>
              <w:t>|</w:t>
            </w:r>
            <w:r w:rsidR="0091505E" w:rsidRPr="00594056">
              <w:rPr>
                <w:rFonts w:cs="Arial"/>
                <w:color w:val="000000"/>
                <w:szCs w:val="20"/>
                <w:vertAlign w:val="superscript"/>
              </w:rPr>
              <w:t>3</w:t>
            </w:r>
          </w:p>
        </w:tc>
        <w:tc>
          <w:tcPr>
            <w:tcW w:w="0" w:type="pct"/>
            <w:vAlign w:val="center"/>
          </w:tcPr>
          <w:p w14:paraId="093407CD" w14:textId="52554D95" w:rsidR="00237F4E" w:rsidRPr="00033AB8" w:rsidRDefault="00255D1B" w:rsidP="000E5E12">
            <w:pPr>
              <w:pStyle w:val="TableText"/>
              <w:jc w:val="center"/>
              <w:rPr>
                <w:rFonts w:cs="Arial"/>
                <w:color w:val="000000"/>
                <w:sz w:val="20"/>
                <w:szCs w:val="20"/>
                <w:highlight w:val="darkGray"/>
              </w:rPr>
            </w:pPr>
            <w:r w:rsidRPr="00255D1B">
              <w:rPr>
                <w:rFonts w:cs="Arial"/>
                <w:color w:val="000000"/>
                <w:spacing w:val="208"/>
                <w:szCs w:val="20"/>
                <w:shd w:val="solid" w:color="000000" w:fill="000000"/>
                <w:fitText w:val="285" w:id="-606363379"/>
                <w14:textFill>
                  <w14:solidFill>
                    <w14:srgbClr w14:val="000000">
                      <w14:alpha w14:val="100000"/>
                    </w14:srgbClr>
                  </w14:solidFill>
                </w14:textFill>
              </w:rPr>
              <w:t>|</w:t>
            </w:r>
            <w:r w:rsidRPr="00255D1B">
              <w:rPr>
                <w:rFonts w:cs="Arial"/>
                <w:color w:val="000000"/>
                <w:spacing w:val="1"/>
                <w:szCs w:val="20"/>
                <w:shd w:val="solid" w:color="000000" w:fill="000000"/>
                <w:fitText w:val="285" w:id="-606363379"/>
                <w14:textFill>
                  <w14:solidFill>
                    <w14:srgbClr w14:val="000000">
                      <w14:alpha w14:val="100000"/>
                    </w14:srgbClr>
                  </w14:solidFill>
                </w14:textFill>
              </w:rPr>
              <w:t>|</w:t>
            </w:r>
            <w:r w:rsidR="0091505E" w:rsidRPr="00594056">
              <w:rPr>
                <w:rFonts w:cs="Arial"/>
                <w:color w:val="000000"/>
                <w:szCs w:val="20"/>
                <w:vertAlign w:val="superscript"/>
              </w:rPr>
              <w:t>4</w:t>
            </w:r>
          </w:p>
        </w:tc>
        <w:tc>
          <w:tcPr>
            <w:tcW w:w="0" w:type="pct"/>
            <w:vAlign w:val="center"/>
          </w:tcPr>
          <w:p w14:paraId="2C1BF3E1" w14:textId="5B1BD6FC" w:rsidR="00237F4E" w:rsidRPr="00033AB8" w:rsidRDefault="00255D1B" w:rsidP="000E5E12">
            <w:pPr>
              <w:pStyle w:val="TableText"/>
              <w:jc w:val="center"/>
              <w:rPr>
                <w:rFonts w:cs="Arial"/>
                <w:color w:val="000000"/>
                <w:sz w:val="20"/>
                <w:szCs w:val="20"/>
                <w:highlight w:val="darkGray"/>
              </w:rPr>
            </w:pPr>
            <w:r w:rsidRPr="00255D1B">
              <w:rPr>
                <w:rFonts w:cs="Arial"/>
                <w:color w:val="000000"/>
                <w:spacing w:val="208"/>
                <w:szCs w:val="20"/>
                <w:shd w:val="solid" w:color="000000" w:fill="000000"/>
                <w:fitText w:val="285" w:id="-606363378"/>
                <w14:textFill>
                  <w14:solidFill>
                    <w14:srgbClr w14:val="000000">
                      <w14:alpha w14:val="100000"/>
                    </w14:srgbClr>
                  </w14:solidFill>
                </w14:textFill>
              </w:rPr>
              <w:t>|</w:t>
            </w:r>
            <w:r w:rsidRPr="00255D1B">
              <w:rPr>
                <w:rFonts w:cs="Arial"/>
                <w:color w:val="000000"/>
                <w:spacing w:val="1"/>
                <w:szCs w:val="20"/>
                <w:shd w:val="solid" w:color="000000" w:fill="000000"/>
                <w:fitText w:val="285" w:id="-606363378"/>
                <w14:textFill>
                  <w14:solidFill>
                    <w14:srgbClr w14:val="000000">
                      <w14:alpha w14:val="100000"/>
                    </w14:srgbClr>
                  </w14:solidFill>
                </w14:textFill>
              </w:rPr>
              <w:t>|</w:t>
            </w:r>
            <w:r w:rsidR="0091505E" w:rsidRPr="00594056">
              <w:rPr>
                <w:rFonts w:cs="Arial"/>
                <w:color w:val="000000"/>
                <w:szCs w:val="20"/>
                <w:vertAlign w:val="superscript"/>
              </w:rPr>
              <w:t>4</w:t>
            </w:r>
          </w:p>
        </w:tc>
        <w:tc>
          <w:tcPr>
            <w:tcW w:w="0" w:type="pct"/>
            <w:vAlign w:val="center"/>
          </w:tcPr>
          <w:p w14:paraId="4767BF40" w14:textId="6BD96C3A" w:rsidR="00237F4E" w:rsidRPr="00033AB8" w:rsidRDefault="00255D1B" w:rsidP="000E5E12">
            <w:pPr>
              <w:pStyle w:val="TableText"/>
              <w:jc w:val="center"/>
              <w:rPr>
                <w:rFonts w:cs="Arial"/>
                <w:color w:val="000000"/>
                <w:sz w:val="20"/>
                <w:szCs w:val="20"/>
                <w:highlight w:val="darkGray"/>
              </w:rPr>
            </w:pPr>
            <w:r w:rsidRPr="00255D1B">
              <w:rPr>
                <w:rFonts w:cs="Arial"/>
                <w:color w:val="000000"/>
                <w:spacing w:val="208"/>
                <w:szCs w:val="20"/>
                <w:shd w:val="solid" w:color="000000" w:fill="000000"/>
                <w:fitText w:val="285" w:id="-606363377"/>
                <w14:textFill>
                  <w14:solidFill>
                    <w14:srgbClr w14:val="000000">
                      <w14:alpha w14:val="100000"/>
                    </w14:srgbClr>
                  </w14:solidFill>
                </w14:textFill>
              </w:rPr>
              <w:t>|</w:t>
            </w:r>
            <w:r w:rsidRPr="00255D1B">
              <w:rPr>
                <w:rFonts w:cs="Arial"/>
                <w:color w:val="000000"/>
                <w:spacing w:val="1"/>
                <w:szCs w:val="20"/>
                <w:shd w:val="solid" w:color="000000" w:fill="000000"/>
                <w:fitText w:val="285" w:id="-606363377"/>
                <w14:textFill>
                  <w14:solidFill>
                    <w14:srgbClr w14:val="000000">
                      <w14:alpha w14:val="100000"/>
                    </w14:srgbClr>
                  </w14:solidFill>
                </w14:textFill>
              </w:rPr>
              <w:t>|</w:t>
            </w:r>
            <w:r w:rsidR="0091505E" w:rsidRPr="00594056">
              <w:rPr>
                <w:rFonts w:cs="Arial"/>
                <w:color w:val="000000"/>
                <w:szCs w:val="20"/>
                <w:vertAlign w:val="superscript"/>
              </w:rPr>
              <w:t>4</w:t>
            </w:r>
          </w:p>
        </w:tc>
        <w:tc>
          <w:tcPr>
            <w:tcW w:w="0" w:type="pct"/>
            <w:vAlign w:val="center"/>
          </w:tcPr>
          <w:p w14:paraId="7220E326" w14:textId="148FC937" w:rsidR="00237F4E" w:rsidRPr="00033AB8" w:rsidRDefault="00255D1B" w:rsidP="000E5E12">
            <w:pPr>
              <w:pStyle w:val="TableText"/>
              <w:jc w:val="center"/>
              <w:rPr>
                <w:rFonts w:cs="Arial"/>
                <w:color w:val="000000"/>
                <w:sz w:val="20"/>
                <w:szCs w:val="20"/>
                <w:highlight w:val="darkGray"/>
              </w:rPr>
            </w:pPr>
            <w:r w:rsidRPr="00255D1B">
              <w:rPr>
                <w:rFonts w:cs="Arial"/>
                <w:color w:val="000000"/>
                <w:spacing w:val="208"/>
                <w:szCs w:val="20"/>
                <w:shd w:val="solid" w:color="000000" w:fill="000000"/>
                <w:fitText w:val="285" w:id="-606363376"/>
                <w14:textFill>
                  <w14:solidFill>
                    <w14:srgbClr w14:val="000000">
                      <w14:alpha w14:val="100000"/>
                    </w14:srgbClr>
                  </w14:solidFill>
                </w14:textFill>
              </w:rPr>
              <w:t>|</w:t>
            </w:r>
            <w:r w:rsidRPr="00255D1B">
              <w:rPr>
                <w:rFonts w:cs="Arial"/>
                <w:color w:val="000000"/>
                <w:spacing w:val="1"/>
                <w:szCs w:val="20"/>
                <w:shd w:val="solid" w:color="000000" w:fill="000000"/>
                <w:fitText w:val="285" w:id="-606363376"/>
                <w14:textFill>
                  <w14:solidFill>
                    <w14:srgbClr w14:val="000000">
                      <w14:alpha w14:val="100000"/>
                    </w14:srgbClr>
                  </w14:solidFill>
                </w14:textFill>
              </w:rPr>
              <w:t>|</w:t>
            </w:r>
            <w:r w:rsidR="0091505E" w:rsidRPr="00594056">
              <w:rPr>
                <w:rFonts w:cs="Arial"/>
                <w:color w:val="000000"/>
                <w:szCs w:val="20"/>
                <w:vertAlign w:val="superscript"/>
              </w:rPr>
              <w:t>4</w:t>
            </w:r>
          </w:p>
        </w:tc>
        <w:tc>
          <w:tcPr>
            <w:tcW w:w="0" w:type="pct"/>
            <w:vAlign w:val="center"/>
          </w:tcPr>
          <w:p w14:paraId="72B70E08" w14:textId="61EDE283" w:rsidR="00237F4E" w:rsidRPr="00033AB8" w:rsidRDefault="00255D1B" w:rsidP="000E5E12">
            <w:pPr>
              <w:pStyle w:val="TableText"/>
              <w:jc w:val="center"/>
              <w:rPr>
                <w:rFonts w:cs="Arial"/>
                <w:color w:val="000000"/>
                <w:sz w:val="20"/>
                <w:szCs w:val="20"/>
                <w:highlight w:val="darkGray"/>
              </w:rPr>
            </w:pPr>
            <w:r w:rsidRPr="00255D1B">
              <w:rPr>
                <w:rFonts w:cs="Arial"/>
                <w:color w:val="000000"/>
                <w:spacing w:val="208"/>
                <w:szCs w:val="20"/>
                <w:shd w:val="solid" w:color="000000" w:fill="000000"/>
                <w:fitText w:val="285" w:id="-606363392"/>
                <w14:textFill>
                  <w14:solidFill>
                    <w14:srgbClr w14:val="000000">
                      <w14:alpha w14:val="100000"/>
                    </w14:srgbClr>
                  </w14:solidFill>
                </w14:textFill>
              </w:rPr>
              <w:t>|</w:t>
            </w:r>
            <w:r w:rsidRPr="00255D1B">
              <w:rPr>
                <w:rFonts w:cs="Arial"/>
                <w:color w:val="000000"/>
                <w:spacing w:val="1"/>
                <w:szCs w:val="20"/>
                <w:shd w:val="solid" w:color="000000" w:fill="000000"/>
                <w:fitText w:val="285" w:id="-606363392"/>
                <w14:textFill>
                  <w14:solidFill>
                    <w14:srgbClr w14:val="000000">
                      <w14:alpha w14:val="100000"/>
                    </w14:srgbClr>
                  </w14:solidFill>
                </w14:textFill>
              </w:rPr>
              <w:t>|</w:t>
            </w:r>
            <w:r w:rsidR="0091505E" w:rsidRPr="00594056">
              <w:rPr>
                <w:rFonts w:cs="Arial"/>
                <w:color w:val="000000"/>
                <w:szCs w:val="20"/>
                <w:vertAlign w:val="superscript"/>
              </w:rPr>
              <w:t>4</w:t>
            </w:r>
          </w:p>
        </w:tc>
      </w:tr>
      <w:tr w:rsidR="00237F4E" w:rsidRPr="00491884" w14:paraId="59E65261" w14:textId="77777777" w:rsidTr="00033AB8">
        <w:tc>
          <w:tcPr>
            <w:tcW w:w="0" w:type="pct"/>
          </w:tcPr>
          <w:p w14:paraId="306630C1" w14:textId="77777777" w:rsidR="00237F4E" w:rsidRPr="00033AB8" w:rsidRDefault="00237F4E" w:rsidP="00237F4E">
            <w:pPr>
              <w:pStyle w:val="TableText"/>
              <w:rPr>
                <w:sz w:val="20"/>
                <w:szCs w:val="20"/>
              </w:rPr>
            </w:pPr>
            <w:r w:rsidRPr="00594056">
              <w:rPr>
                <w:szCs w:val="20"/>
              </w:rPr>
              <w:t xml:space="preserve">Cost to PBS/RPBS less copayments, chemotherapy </w:t>
            </w:r>
          </w:p>
        </w:tc>
        <w:tc>
          <w:tcPr>
            <w:tcW w:w="0" w:type="pct"/>
            <w:vAlign w:val="center"/>
          </w:tcPr>
          <w:p w14:paraId="5B69197A" w14:textId="432FE313" w:rsidR="00237F4E" w:rsidRPr="00033AB8" w:rsidRDefault="00255D1B" w:rsidP="000E5E12">
            <w:pPr>
              <w:pStyle w:val="TableText"/>
              <w:jc w:val="center"/>
              <w:rPr>
                <w:rFonts w:cs="Arial"/>
                <w:color w:val="000000"/>
                <w:sz w:val="20"/>
                <w:szCs w:val="20"/>
                <w:highlight w:val="darkGray"/>
              </w:rPr>
            </w:pPr>
            <w:r w:rsidRPr="00255D1B">
              <w:rPr>
                <w:rFonts w:cs="Arial"/>
                <w:color w:val="000000"/>
                <w:spacing w:val="208"/>
                <w:szCs w:val="20"/>
                <w:shd w:val="solid" w:color="000000" w:fill="000000"/>
                <w:fitText w:val="285" w:id="-606363391"/>
                <w14:textFill>
                  <w14:solidFill>
                    <w14:srgbClr w14:val="000000">
                      <w14:alpha w14:val="100000"/>
                    </w14:srgbClr>
                  </w14:solidFill>
                </w14:textFill>
              </w:rPr>
              <w:t>|</w:t>
            </w:r>
            <w:r w:rsidRPr="00255D1B">
              <w:rPr>
                <w:rFonts w:cs="Arial"/>
                <w:color w:val="000000"/>
                <w:spacing w:val="1"/>
                <w:szCs w:val="20"/>
                <w:shd w:val="solid" w:color="000000" w:fill="000000"/>
                <w:fitText w:val="285" w:id="-606363391"/>
                <w14:textFill>
                  <w14:solidFill>
                    <w14:srgbClr w14:val="000000">
                      <w14:alpha w14:val="100000"/>
                    </w14:srgbClr>
                  </w14:solidFill>
                </w14:textFill>
              </w:rPr>
              <w:t>|</w:t>
            </w:r>
            <w:r w:rsidR="00FA2462" w:rsidRPr="00033AB8">
              <w:rPr>
                <w:rFonts w:cs="Arial"/>
                <w:color w:val="000000"/>
                <w:szCs w:val="20"/>
                <w:vertAlign w:val="superscript"/>
              </w:rPr>
              <w:t>6</w:t>
            </w:r>
          </w:p>
        </w:tc>
        <w:tc>
          <w:tcPr>
            <w:tcW w:w="0" w:type="pct"/>
            <w:vAlign w:val="center"/>
          </w:tcPr>
          <w:p w14:paraId="6A035474" w14:textId="098CAA56" w:rsidR="00237F4E" w:rsidRPr="00033AB8" w:rsidRDefault="00255D1B" w:rsidP="000E5E12">
            <w:pPr>
              <w:pStyle w:val="TableText"/>
              <w:jc w:val="center"/>
              <w:rPr>
                <w:rFonts w:cs="Arial"/>
                <w:color w:val="000000"/>
                <w:sz w:val="20"/>
                <w:szCs w:val="20"/>
                <w:highlight w:val="darkGray"/>
              </w:rPr>
            </w:pPr>
            <w:r w:rsidRPr="00255D1B">
              <w:rPr>
                <w:rFonts w:cs="Arial"/>
                <w:color w:val="000000"/>
                <w:spacing w:val="208"/>
                <w:szCs w:val="20"/>
                <w:shd w:val="solid" w:color="000000" w:fill="000000"/>
                <w:fitText w:val="285" w:id="-606363390"/>
                <w14:textFill>
                  <w14:solidFill>
                    <w14:srgbClr w14:val="000000">
                      <w14:alpha w14:val="100000"/>
                    </w14:srgbClr>
                  </w14:solidFill>
                </w14:textFill>
              </w:rPr>
              <w:t>|</w:t>
            </w:r>
            <w:r w:rsidRPr="00255D1B">
              <w:rPr>
                <w:rFonts w:cs="Arial"/>
                <w:color w:val="000000"/>
                <w:spacing w:val="1"/>
                <w:szCs w:val="20"/>
                <w:shd w:val="solid" w:color="000000" w:fill="000000"/>
                <w:fitText w:val="285" w:id="-606363390"/>
                <w14:textFill>
                  <w14:solidFill>
                    <w14:srgbClr w14:val="000000">
                      <w14:alpha w14:val="100000"/>
                    </w14:srgbClr>
                  </w14:solidFill>
                </w14:textFill>
              </w:rPr>
              <w:t>|</w:t>
            </w:r>
            <w:r w:rsidR="00FA2462" w:rsidRPr="00594056">
              <w:rPr>
                <w:rFonts w:cs="Arial"/>
                <w:color w:val="000000"/>
                <w:szCs w:val="20"/>
                <w:vertAlign w:val="superscript"/>
              </w:rPr>
              <w:t>6</w:t>
            </w:r>
          </w:p>
        </w:tc>
        <w:tc>
          <w:tcPr>
            <w:tcW w:w="0" w:type="pct"/>
            <w:vAlign w:val="center"/>
          </w:tcPr>
          <w:p w14:paraId="1CCBDF01" w14:textId="1F1CF4C2" w:rsidR="00237F4E" w:rsidRPr="00033AB8" w:rsidRDefault="00255D1B" w:rsidP="000E5E12">
            <w:pPr>
              <w:pStyle w:val="TableText"/>
              <w:jc w:val="center"/>
              <w:rPr>
                <w:rFonts w:cs="Arial"/>
                <w:color w:val="000000"/>
                <w:sz w:val="20"/>
                <w:szCs w:val="20"/>
                <w:highlight w:val="darkGray"/>
              </w:rPr>
            </w:pPr>
            <w:r w:rsidRPr="00255D1B">
              <w:rPr>
                <w:rFonts w:cs="Arial"/>
                <w:color w:val="000000"/>
                <w:spacing w:val="208"/>
                <w:szCs w:val="20"/>
                <w:shd w:val="solid" w:color="000000" w:fill="000000"/>
                <w:fitText w:val="285" w:id="-606363389"/>
                <w14:textFill>
                  <w14:solidFill>
                    <w14:srgbClr w14:val="000000">
                      <w14:alpha w14:val="100000"/>
                    </w14:srgbClr>
                  </w14:solidFill>
                </w14:textFill>
              </w:rPr>
              <w:t>|</w:t>
            </w:r>
            <w:r w:rsidRPr="00255D1B">
              <w:rPr>
                <w:rFonts w:cs="Arial"/>
                <w:color w:val="000000"/>
                <w:spacing w:val="1"/>
                <w:szCs w:val="20"/>
                <w:shd w:val="solid" w:color="000000" w:fill="000000"/>
                <w:fitText w:val="285" w:id="-606363389"/>
                <w14:textFill>
                  <w14:solidFill>
                    <w14:srgbClr w14:val="000000">
                      <w14:alpha w14:val="100000"/>
                    </w14:srgbClr>
                  </w14:solidFill>
                </w14:textFill>
              </w:rPr>
              <w:t>|</w:t>
            </w:r>
            <w:r w:rsidR="00FA2462" w:rsidRPr="00594056">
              <w:rPr>
                <w:rFonts w:cs="Arial"/>
                <w:color w:val="000000"/>
                <w:szCs w:val="20"/>
                <w:vertAlign w:val="superscript"/>
              </w:rPr>
              <w:t>6</w:t>
            </w:r>
          </w:p>
        </w:tc>
        <w:tc>
          <w:tcPr>
            <w:tcW w:w="0" w:type="pct"/>
            <w:vAlign w:val="center"/>
          </w:tcPr>
          <w:p w14:paraId="5436DC50" w14:textId="5D5C868B" w:rsidR="00237F4E" w:rsidRPr="00033AB8" w:rsidRDefault="00255D1B" w:rsidP="000E5E12">
            <w:pPr>
              <w:pStyle w:val="TableText"/>
              <w:jc w:val="center"/>
              <w:rPr>
                <w:rFonts w:cs="Arial"/>
                <w:color w:val="000000"/>
                <w:sz w:val="20"/>
                <w:szCs w:val="20"/>
                <w:highlight w:val="darkGray"/>
              </w:rPr>
            </w:pPr>
            <w:r w:rsidRPr="00255D1B">
              <w:rPr>
                <w:rFonts w:cs="Arial"/>
                <w:color w:val="000000"/>
                <w:spacing w:val="208"/>
                <w:szCs w:val="20"/>
                <w:shd w:val="solid" w:color="000000" w:fill="000000"/>
                <w:fitText w:val="285" w:id="-606363388"/>
                <w14:textFill>
                  <w14:solidFill>
                    <w14:srgbClr w14:val="000000">
                      <w14:alpha w14:val="100000"/>
                    </w14:srgbClr>
                  </w14:solidFill>
                </w14:textFill>
              </w:rPr>
              <w:t>|</w:t>
            </w:r>
            <w:r w:rsidRPr="00255D1B">
              <w:rPr>
                <w:rFonts w:cs="Arial"/>
                <w:color w:val="000000"/>
                <w:spacing w:val="1"/>
                <w:szCs w:val="20"/>
                <w:shd w:val="solid" w:color="000000" w:fill="000000"/>
                <w:fitText w:val="285" w:id="-606363388"/>
                <w14:textFill>
                  <w14:solidFill>
                    <w14:srgbClr w14:val="000000">
                      <w14:alpha w14:val="100000"/>
                    </w14:srgbClr>
                  </w14:solidFill>
                </w14:textFill>
              </w:rPr>
              <w:t>|</w:t>
            </w:r>
            <w:r w:rsidR="00FA2462" w:rsidRPr="00594056">
              <w:rPr>
                <w:rFonts w:cs="Arial"/>
                <w:color w:val="000000"/>
                <w:szCs w:val="20"/>
                <w:vertAlign w:val="superscript"/>
              </w:rPr>
              <w:t>6</w:t>
            </w:r>
          </w:p>
        </w:tc>
        <w:tc>
          <w:tcPr>
            <w:tcW w:w="0" w:type="pct"/>
            <w:vAlign w:val="center"/>
          </w:tcPr>
          <w:p w14:paraId="57AED6AE" w14:textId="43188BD5" w:rsidR="00237F4E" w:rsidRPr="00033AB8" w:rsidRDefault="00255D1B" w:rsidP="000E5E12">
            <w:pPr>
              <w:pStyle w:val="TableText"/>
              <w:jc w:val="center"/>
              <w:rPr>
                <w:rFonts w:cs="Arial"/>
                <w:color w:val="000000"/>
                <w:sz w:val="20"/>
                <w:szCs w:val="20"/>
                <w:highlight w:val="darkGray"/>
              </w:rPr>
            </w:pPr>
            <w:r w:rsidRPr="00255D1B">
              <w:rPr>
                <w:rFonts w:cs="Arial"/>
                <w:color w:val="000000"/>
                <w:spacing w:val="208"/>
                <w:szCs w:val="20"/>
                <w:shd w:val="solid" w:color="000000" w:fill="000000"/>
                <w:fitText w:val="285" w:id="-606363387"/>
                <w14:textFill>
                  <w14:solidFill>
                    <w14:srgbClr w14:val="000000">
                      <w14:alpha w14:val="100000"/>
                    </w14:srgbClr>
                  </w14:solidFill>
                </w14:textFill>
              </w:rPr>
              <w:t>|</w:t>
            </w:r>
            <w:r w:rsidRPr="00255D1B">
              <w:rPr>
                <w:rFonts w:cs="Arial"/>
                <w:color w:val="000000"/>
                <w:spacing w:val="1"/>
                <w:szCs w:val="20"/>
                <w:shd w:val="solid" w:color="000000" w:fill="000000"/>
                <w:fitText w:val="285" w:id="-606363387"/>
                <w14:textFill>
                  <w14:solidFill>
                    <w14:srgbClr w14:val="000000">
                      <w14:alpha w14:val="100000"/>
                    </w14:srgbClr>
                  </w14:solidFill>
                </w14:textFill>
              </w:rPr>
              <w:t>|</w:t>
            </w:r>
            <w:r w:rsidR="00FA2462" w:rsidRPr="00594056">
              <w:rPr>
                <w:rFonts w:cs="Arial"/>
                <w:color w:val="000000"/>
                <w:szCs w:val="20"/>
                <w:vertAlign w:val="superscript"/>
              </w:rPr>
              <w:t>6</w:t>
            </w:r>
          </w:p>
        </w:tc>
        <w:tc>
          <w:tcPr>
            <w:tcW w:w="0" w:type="pct"/>
            <w:vAlign w:val="center"/>
          </w:tcPr>
          <w:p w14:paraId="696EC772" w14:textId="042EAC1D" w:rsidR="00237F4E" w:rsidRPr="00033AB8" w:rsidRDefault="00255D1B" w:rsidP="000E5E12">
            <w:pPr>
              <w:pStyle w:val="TableText"/>
              <w:jc w:val="center"/>
              <w:rPr>
                <w:rFonts w:cs="Arial"/>
                <w:color w:val="000000"/>
                <w:sz w:val="20"/>
                <w:szCs w:val="20"/>
                <w:highlight w:val="darkGray"/>
              </w:rPr>
            </w:pPr>
            <w:r w:rsidRPr="00255D1B">
              <w:rPr>
                <w:rFonts w:cs="Arial"/>
                <w:color w:val="000000"/>
                <w:spacing w:val="208"/>
                <w:szCs w:val="20"/>
                <w:shd w:val="solid" w:color="000000" w:fill="000000"/>
                <w:fitText w:val="285" w:id="-606363386"/>
                <w14:textFill>
                  <w14:solidFill>
                    <w14:srgbClr w14:val="000000">
                      <w14:alpha w14:val="100000"/>
                    </w14:srgbClr>
                  </w14:solidFill>
                </w14:textFill>
              </w:rPr>
              <w:t>|</w:t>
            </w:r>
            <w:r w:rsidRPr="00255D1B">
              <w:rPr>
                <w:rFonts w:cs="Arial"/>
                <w:color w:val="000000"/>
                <w:spacing w:val="1"/>
                <w:szCs w:val="20"/>
                <w:shd w:val="solid" w:color="000000" w:fill="000000"/>
                <w:fitText w:val="285" w:id="-606363386"/>
                <w14:textFill>
                  <w14:solidFill>
                    <w14:srgbClr w14:val="000000">
                      <w14:alpha w14:val="100000"/>
                    </w14:srgbClr>
                  </w14:solidFill>
                </w14:textFill>
              </w:rPr>
              <w:t>|</w:t>
            </w:r>
            <w:r w:rsidR="00FA2462" w:rsidRPr="00594056">
              <w:rPr>
                <w:rFonts w:cs="Arial"/>
                <w:color w:val="000000"/>
                <w:szCs w:val="20"/>
                <w:vertAlign w:val="superscript"/>
              </w:rPr>
              <w:t>6</w:t>
            </w:r>
          </w:p>
        </w:tc>
      </w:tr>
      <w:tr w:rsidR="00237F4E" w:rsidRPr="00491884" w14:paraId="341AF701" w14:textId="77777777" w:rsidTr="00033AB8">
        <w:tc>
          <w:tcPr>
            <w:tcW w:w="0" w:type="pct"/>
          </w:tcPr>
          <w:p w14:paraId="73F337A4" w14:textId="77777777" w:rsidR="00237F4E" w:rsidRPr="00033AB8" w:rsidRDefault="00237F4E" w:rsidP="00237F4E">
            <w:pPr>
              <w:pStyle w:val="TableText"/>
              <w:rPr>
                <w:sz w:val="20"/>
                <w:szCs w:val="20"/>
              </w:rPr>
            </w:pPr>
            <w:r w:rsidRPr="00594056">
              <w:rPr>
                <w:szCs w:val="20"/>
              </w:rPr>
              <w:t>Cost to PBS/RPBS less copayments, total</w:t>
            </w:r>
          </w:p>
        </w:tc>
        <w:tc>
          <w:tcPr>
            <w:tcW w:w="0" w:type="pct"/>
            <w:vAlign w:val="center"/>
          </w:tcPr>
          <w:p w14:paraId="54AA77B4" w14:textId="0E4F1F40" w:rsidR="00237F4E" w:rsidRPr="00033AB8" w:rsidRDefault="00255D1B" w:rsidP="000E5E12">
            <w:pPr>
              <w:pStyle w:val="TableText"/>
              <w:jc w:val="center"/>
              <w:rPr>
                <w:rFonts w:cs="Arial"/>
                <w:color w:val="000000"/>
                <w:sz w:val="20"/>
                <w:szCs w:val="20"/>
                <w:highlight w:val="darkGray"/>
              </w:rPr>
            </w:pPr>
            <w:r w:rsidRPr="00255D1B">
              <w:rPr>
                <w:rFonts w:cs="Arial"/>
                <w:color w:val="000000"/>
                <w:spacing w:val="208"/>
                <w:szCs w:val="20"/>
                <w:shd w:val="solid" w:color="000000" w:fill="000000"/>
                <w:fitText w:val="285" w:id="-606363385"/>
                <w14:textFill>
                  <w14:solidFill>
                    <w14:srgbClr w14:val="000000">
                      <w14:alpha w14:val="100000"/>
                    </w14:srgbClr>
                  </w14:solidFill>
                </w14:textFill>
              </w:rPr>
              <w:t>|</w:t>
            </w:r>
            <w:r w:rsidRPr="00255D1B">
              <w:rPr>
                <w:rFonts w:cs="Arial"/>
                <w:color w:val="000000"/>
                <w:spacing w:val="1"/>
                <w:szCs w:val="20"/>
                <w:shd w:val="solid" w:color="000000" w:fill="000000"/>
                <w:fitText w:val="285" w:id="-606363385"/>
                <w14:textFill>
                  <w14:solidFill>
                    <w14:srgbClr w14:val="000000">
                      <w14:alpha w14:val="100000"/>
                    </w14:srgbClr>
                  </w14:solidFill>
                </w14:textFill>
              </w:rPr>
              <w:t>|</w:t>
            </w:r>
            <w:r w:rsidR="00C43734" w:rsidRPr="00594056">
              <w:rPr>
                <w:rFonts w:cs="Arial"/>
                <w:color w:val="000000"/>
                <w:szCs w:val="20"/>
                <w:vertAlign w:val="superscript"/>
              </w:rPr>
              <w:t>3</w:t>
            </w:r>
          </w:p>
        </w:tc>
        <w:tc>
          <w:tcPr>
            <w:tcW w:w="0" w:type="pct"/>
            <w:vAlign w:val="center"/>
          </w:tcPr>
          <w:p w14:paraId="2ABF083D" w14:textId="396A9F53" w:rsidR="00237F4E" w:rsidRPr="00033AB8" w:rsidRDefault="00255D1B" w:rsidP="000E5E12">
            <w:pPr>
              <w:pStyle w:val="TableText"/>
              <w:jc w:val="center"/>
              <w:rPr>
                <w:rFonts w:cs="Arial"/>
                <w:color w:val="000000"/>
                <w:sz w:val="20"/>
                <w:szCs w:val="20"/>
                <w:highlight w:val="darkGray"/>
              </w:rPr>
            </w:pPr>
            <w:r w:rsidRPr="00255D1B">
              <w:rPr>
                <w:rFonts w:cs="Arial"/>
                <w:color w:val="000000"/>
                <w:spacing w:val="208"/>
                <w:szCs w:val="20"/>
                <w:shd w:val="solid" w:color="000000" w:fill="000000"/>
                <w:fitText w:val="285" w:id="-606363384"/>
                <w14:textFill>
                  <w14:solidFill>
                    <w14:srgbClr w14:val="000000">
                      <w14:alpha w14:val="100000"/>
                    </w14:srgbClr>
                  </w14:solidFill>
                </w14:textFill>
              </w:rPr>
              <w:t>|</w:t>
            </w:r>
            <w:r w:rsidRPr="00255D1B">
              <w:rPr>
                <w:rFonts w:cs="Arial"/>
                <w:color w:val="000000"/>
                <w:spacing w:val="1"/>
                <w:szCs w:val="20"/>
                <w:shd w:val="solid" w:color="000000" w:fill="000000"/>
                <w:fitText w:val="285" w:id="-606363384"/>
                <w14:textFill>
                  <w14:solidFill>
                    <w14:srgbClr w14:val="000000">
                      <w14:alpha w14:val="100000"/>
                    </w14:srgbClr>
                  </w14:solidFill>
                </w14:textFill>
              </w:rPr>
              <w:t>|</w:t>
            </w:r>
            <w:r w:rsidR="00EB387A" w:rsidRPr="00594056">
              <w:rPr>
                <w:rFonts w:cs="Arial"/>
                <w:color w:val="000000"/>
                <w:szCs w:val="20"/>
                <w:vertAlign w:val="superscript"/>
              </w:rPr>
              <w:t>4</w:t>
            </w:r>
          </w:p>
        </w:tc>
        <w:tc>
          <w:tcPr>
            <w:tcW w:w="0" w:type="pct"/>
            <w:vAlign w:val="center"/>
          </w:tcPr>
          <w:p w14:paraId="7DABC973" w14:textId="74DC333C" w:rsidR="00237F4E" w:rsidRPr="00033AB8" w:rsidRDefault="00255D1B" w:rsidP="000E5E12">
            <w:pPr>
              <w:pStyle w:val="TableText"/>
              <w:jc w:val="center"/>
              <w:rPr>
                <w:rFonts w:cs="Arial"/>
                <w:color w:val="000000"/>
                <w:sz w:val="20"/>
                <w:szCs w:val="20"/>
                <w:highlight w:val="darkGray"/>
              </w:rPr>
            </w:pPr>
            <w:r w:rsidRPr="00255D1B">
              <w:rPr>
                <w:rFonts w:cs="Arial"/>
                <w:color w:val="000000"/>
                <w:spacing w:val="208"/>
                <w:szCs w:val="20"/>
                <w:shd w:val="solid" w:color="000000" w:fill="000000"/>
                <w:fitText w:val="285" w:id="-606363383"/>
                <w14:textFill>
                  <w14:solidFill>
                    <w14:srgbClr w14:val="000000">
                      <w14:alpha w14:val="100000"/>
                    </w14:srgbClr>
                  </w14:solidFill>
                </w14:textFill>
              </w:rPr>
              <w:t>|</w:t>
            </w:r>
            <w:r w:rsidRPr="00255D1B">
              <w:rPr>
                <w:rFonts w:cs="Arial"/>
                <w:color w:val="000000"/>
                <w:spacing w:val="1"/>
                <w:szCs w:val="20"/>
                <w:shd w:val="solid" w:color="000000" w:fill="000000"/>
                <w:fitText w:val="285" w:id="-606363383"/>
                <w14:textFill>
                  <w14:solidFill>
                    <w14:srgbClr w14:val="000000">
                      <w14:alpha w14:val="100000"/>
                    </w14:srgbClr>
                  </w14:solidFill>
                </w14:textFill>
              </w:rPr>
              <w:t>|</w:t>
            </w:r>
            <w:r w:rsidR="0039511B" w:rsidRPr="00594056">
              <w:rPr>
                <w:rFonts w:cs="Arial"/>
                <w:color w:val="000000"/>
                <w:szCs w:val="20"/>
                <w:vertAlign w:val="superscript"/>
              </w:rPr>
              <w:t>9</w:t>
            </w:r>
          </w:p>
        </w:tc>
        <w:tc>
          <w:tcPr>
            <w:tcW w:w="0" w:type="pct"/>
            <w:vAlign w:val="center"/>
          </w:tcPr>
          <w:p w14:paraId="425C30F2" w14:textId="515BB8B5" w:rsidR="00237F4E" w:rsidRPr="00033AB8" w:rsidRDefault="00255D1B" w:rsidP="000E5E12">
            <w:pPr>
              <w:pStyle w:val="TableText"/>
              <w:jc w:val="center"/>
              <w:rPr>
                <w:rFonts w:cs="Arial"/>
                <w:color w:val="000000"/>
                <w:sz w:val="20"/>
                <w:szCs w:val="20"/>
                <w:highlight w:val="darkGray"/>
              </w:rPr>
            </w:pPr>
            <w:r w:rsidRPr="00255D1B">
              <w:rPr>
                <w:rFonts w:cs="Arial"/>
                <w:color w:val="000000"/>
                <w:spacing w:val="208"/>
                <w:szCs w:val="20"/>
                <w:shd w:val="solid" w:color="000000" w:fill="000000"/>
                <w:fitText w:val="285" w:id="-606363382"/>
                <w14:textFill>
                  <w14:solidFill>
                    <w14:srgbClr w14:val="000000">
                      <w14:alpha w14:val="100000"/>
                    </w14:srgbClr>
                  </w14:solidFill>
                </w14:textFill>
              </w:rPr>
              <w:t>|</w:t>
            </w:r>
            <w:r w:rsidRPr="00255D1B">
              <w:rPr>
                <w:rFonts w:cs="Arial"/>
                <w:color w:val="000000"/>
                <w:spacing w:val="1"/>
                <w:szCs w:val="20"/>
                <w:shd w:val="solid" w:color="000000" w:fill="000000"/>
                <w:fitText w:val="285" w:id="-606363382"/>
                <w14:textFill>
                  <w14:solidFill>
                    <w14:srgbClr w14:val="000000">
                      <w14:alpha w14:val="100000"/>
                    </w14:srgbClr>
                  </w14:solidFill>
                </w14:textFill>
              </w:rPr>
              <w:t>|</w:t>
            </w:r>
            <w:r w:rsidR="0039511B" w:rsidRPr="00594056">
              <w:rPr>
                <w:rFonts w:cs="Arial"/>
                <w:color w:val="000000"/>
                <w:szCs w:val="20"/>
                <w:vertAlign w:val="superscript"/>
              </w:rPr>
              <w:t>9</w:t>
            </w:r>
          </w:p>
        </w:tc>
        <w:tc>
          <w:tcPr>
            <w:tcW w:w="0" w:type="pct"/>
            <w:vAlign w:val="center"/>
          </w:tcPr>
          <w:p w14:paraId="65CE8A9B" w14:textId="7CF91B86" w:rsidR="00237F4E" w:rsidRPr="00033AB8" w:rsidRDefault="00255D1B" w:rsidP="000E5E12">
            <w:pPr>
              <w:pStyle w:val="TableText"/>
              <w:jc w:val="center"/>
              <w:rPr>
                <w:rFonts w:cs="Arial"/>
                <w:color w:val="000000"/>
                <w:sz w:val="20"/>
                <w:szCs w:val="20"/>
                <w:highlight w:val="darkGray"/>
              </w:rPr>
            </w:pPr>
            <w:r w:rsidRPr="00255D1B">
              <w:rPr>
                <w:rFonts w:cs="Arial"/>
                <w:color w:val="000000"/>
                <w:spacing w:val="208"/>
                <w:szCs w:val="20"/>
                <w:shd w:val="solid" w:color="000000" w:fill="000000"/>
                <w:fitText w:val="285" w:id="-606363381"/>
                <w14:textFill>
                  <w14:solidFill>
                    <w14:srgbClr w14:val="000000">
                      <w14:alpha w14:val="100000"/>
                    </w14:srgbClr>
                  </w14:solidFill>
                </w14:textFill>
              </w:rPr>
              <w:t>|</w:t>
            </w:r>
            <w:r w:rsidRPr="00255D1B">
              <w:rPr>
                <w:rFonts w:cs="Arial"/>
                <w:color w:val="000000"/>
                <w:spacing w:val="1"/>
                <w:szCs w:val="20"/>
                <w:shd w:val="solid" w:color="000000" w:fill="000000"/>
                <w:fitText w:val="285" w:id="-606363381"/>
                <w14:textFill>
                  <w14:solidFill>
                    <w14:srgbClr w14:val="000000">
                      <w14:alpha w14:val="100000"/>
                    </w14:srgbClr>
                  </w14:solidFill>
                </w14:textFill>
              </w:rPr>
              <w:t>|</w:t>
            </w:r>
            <w:r w:rsidR="00EB387A" w:rsidRPr="00594056">
              <w:rPr>
                <w:rFonts w:cs="Arial"/>
                <w:color w:val="000000"/>
                <w:szCs w:val="20"/>
                <w:vertAlign w:val="superscript"/>
              </w:rPr>
              <w:t>4</w:t>
            </w:r>
          </w:p>
        </w:tc>
        <w:tc>
          <w:tcPr>
            <w:tcW w:w="0" w:type="pct"/>
            <w:vAlign w:val="center"/>
          </w:tcPr>
          <w:p w14:paraId="3FA83C38" w14:textId="7EAFC4D7" w:rsidR="00237F4E" w:rsidRPr="00033AB8" w:rsidRDefault="00255D1B" w:rsidP="000E5E12">
            <w:pPr>
              <w:pStyle w:val="TableText"/>
              <w:jc w:val="center"/>
              <w:rPr>
                <w:rFonts w:cs="Arial"/>
                <w:color w:val="000000"/>
                <w:sz w:val="20"/>
                <w:szCs w:val="20"/>
                <w:highlight w:val="darkGray"/>
              </w:rPr>
            </w:pPr>
            <w:r w:rsidRPr="00255D1B">
              <w:rPr>
                <w:rFonts w:cs="Arial"/>
                <w:color w:val="000000"/>
                <w:spacing w:val="208"/>
                <w:szCs w:val="20"/>
                <w:shd w:val="solid" w:color="000000" w:fill="000000"/>
                <w:fitText w:val="285" w:id="-606363380"/>
                <w14:textFill>
                  <w14:solidFill>
                    <w14:srgbClr w14:val="000000">
                      <w14:alpha w14:val="100000"/>
                    </w14:srgbClr>
                  </w14:solidFill>
                </w14:textFill>
              </w:rPr>
              <w:t>|</w:t>
            </w:r>
            <w:r w:rsidRPr="00255D1B">
              <w:rPr>
                <w:rFonts w:cs="Arial"/>
                <w:color w:val="000000"/>
                <w:spacing w:val="1"/>
                <w:szCs w:val="20"/>
                <w:shd w:val="solid" w:color="000000" w:fill="000000"/>
                <w:fitText w:val="285" w:id="-606363380"/>
                <w14:textFill>
                  <w14:solidFill>
                    <w14:srgbClr w14:val="000000">
                      <w14:alpha w14:val="100000"/>
                    </w14:srgbClr>
                  </w14:solidFill>
                </w14:textFill>
              </w:rPr>
              <w:t>|</w:t>
            </w:r>
            <w:r w:rsidR="00EB387A" w:rsidRPr="00594056">
              <w:rPr>
                <w:rFonts w:cs="Arial"/>
                <w:color w:val="000000"/>
                <w:szCs w:val="20"/>
                <w:vertAlign w:val="superscript"/>
              </w:rPr>
              <w:t>4</w:t>
            </w:r>
          </w:p>
        </w:tc>
      </w:tr>
      <w:tr w:rsidR="00237F4E" w:rsidRPr="00491884" w14:paraId="733B5AC3" w14:textId="77777777" w:rsidTr="00033AB8">
        <w:tc>
          <w:tcPr>
            <w:tcW w:w="0" w:type="pct"/>
            <w:gridSpan w:val="7"/>
          </w:tcPr>
          <w:p w14:paraId="09829FDB" w14:textId="77777777" w:rsidR="00237F4E" w:rsidRPr="00033AB8" w:rsidRDefault="00237F4E" w:rsidP="00237F4E">
            <w:pPr>
              <w:pStyle w:val="In-tableHeading"/>
              <w:rPr>
                <w:sz w:val="20"/>
                <w:szCs w:val="20"/>
                <w:lang w:val="en-AU"/>
              </w:rPr>
            </w:pPr>
            <w:r w:rsidRPr="00594056">
              <w:rPr>
                <w:szCs w:val="20"/>
                <w:lang w:val="en-AU"/>
              </w:rPr>
              <w:t>Net financial implications</w:t>
            </w:r>
          </w:p>
        </w:tc>
      </w:tr>
      <w:tr w:rsidR="00237F4E" w:rsidRPr="00491884" w14:paraId="57F4138A" w14:textId="77777777" w:rsidTr="00033AB8">
        <w:tc>
          <w:tcPr>
            <w:tcW w:w="0" w:type="pct"/>
          </w:tcPr>
          <w:p w14:paraId="4715F29C" w14:textId="77777777" w:rsidR="00237F4E" w:rsidRPr="00033AB8" w:rsidRDefault="00237F4E" w:rsidP="00237F4E">
            <w:pPr>
              <w:pStyle w:val="TableText"/>
              <w:rPr>
                <w:sz w:val="20"/>
                <w:szCs w:val="20"/>
              </w:rPr>
            </w:pPr>
            <w:r w:rsidRPr="00594056">
              <w:rPr>
                <w:szCs w:val="20"/>
              </w:rPr>
              <w:t>Net cost to PBS/RPBS</w:t>
            </w:r>
          </w:p>
        </w:tc>
        <w:tc>
          <w:tcPr>
            <w:tcW w:w="0" w:type="pct"/>
          </w:tcPr>
          <w:p w14:paraId="3009299B" w14:textId="749B219A" w:rsidR="00237F4E" w:rsidRPr="00033AB8" w:rsidRDefault="00255D1B" w:rsidP="00237F4E">
            <w:pPr>
              <w:pStyle w:val="TableText"/>
              <w:jc w:val="center"/>
              <w:rPr>
                <w:rFonts w:cs="Arial"/>
                <w:color w:val="000000"/>
                <w:sz w:val="20"/>
                <w:szCs w:val="20"/>
                <w:highlight w:val="darkGray"/>
              </w:rPr>
            </w:pPr>
            <w:r w:rsidRPr="00255D1B">
              <w:rPr>
                <w:rFonts w:cs="Arial"/>
                <w:color w:val="000000"/>
                <w:spacing w:val="208"/>
                <w:szCs w:val="20"/>
                <w:shd w:val="solid" w:color="000000" w:fill="000000"/>
                <w:fitText w:val="285" w:id="-606363379"/>
                <w14:textFill>
                  <w14:solidFill>
                    <w14:srgbClr w14:val="000000">
                      <w14:alpha w14:val="100000"/>
                    </w14:srgbClr>
                  </w14:solidFill>
                </w14:textFill>
              </w:rPr>
              <w:t>|</w:t>
            </w:r>
            <w:r w:rsidRPr="00255D1B">
              <w:rPr>
                <w:rFonts w:cs="Arial"/>
                <w:color w:val="000000"/>
                <w:spacing w:val="1"/>
                <w:szCs w:val="20"/>
                <w:shd w:val="solid" w:color="000000" w:fill="000000"/>
                <w:fitText w:val="285" w:id="-606363379"/>
                <w14:textFill>
                  <w14:solidFill>
                    <w14:srgbClr w14:val="000000">
                      <w14:alpha w14:val="100000"/>
                    </w14:srgbClr>
                  </w14:solidFill>
                </w14:textFill>
              </w:rPr>
              <w:t>|</w:t>
            </w:r>
            <w:r w:rsidR="00D533D1" w:rsidRPr="00594056">
              <w:rPr>
                <w:rFonts w:cs="Arial"/>
                <w:color w:val="000000"/>
                <w:szCs w:val="20"/>
                <w:vertAlign w:val="superscript"/>
              </w:rPr>
              <w:t>5</w:t>
            </w:r>
          </w:p>
        </w:tc>
        <w:tc>
          <w:tcPr>
            <w:tcW w:w="0" w:type="pct"/>
          </w:tcPr>
          <w:p w14:paraId="6A8DFE77" w14:textId="198E9572" w:rsidR="00237F4E" w:rsidRPr="00033AB8" w:rsidRDefault="00255D1B" w:rsidP="00237F4E">
            <w:pPr>
              <w:pStyle w:val="TableText"/>
              <w:jc w:val="center"/>
              <w:rPr>
                <w:rFonts w:cs="Arial"/>
                <w:color w:val="000000"/>
                <w:sz w:val="20"/>
                <w:szCs w:val="20"/>
                <w:highlight w:val="darkGray"/>
              </w:rPr>
            </w:pPr>
            <w:r w:rsidRPr="00255D1B">
              <w:rPr>
                <w:rFonts w:cs="Arial"/>
                <w:color w:val="000000"/>
                <w:spacing w:val="208"/>
                <w:szCs w:val="20"/>
                <w:shd w:val="solid" w:color="000000" w:fill="000000"/>
                <w:fitText w:val="285" w:id="-606363378"/>
                <w14:textFill>
                  <w14:solidFill>
                    <w14:srgbClr w14:val="000000">
                      <w14:alpha w14:val="100000"/>
                    </w14:srgbClr>
                  </w14:solidFill>
                </w14:textFill>
              </w:rPr>
              <w:t>|</w:t>
            </w:r>
            <w:r w:rsidRPr="00255D1B">
              <w:rPr>
                <w:rFonts w:cs="Arial"/>
                <w:color w:val="000000"/>
                <w:spacing w:val="1"/>
                <w:szCs w:val="20"/>
                <w:shd w:val="solid" w:color="000000" w:fill="000000"/>
                <w:fitText w:val="285" w:id="-606363378"/>
                <w14:textFill>
                  <w14:solidFill>
                    <w14:srgbClr w14:val="000000">
                      <w14:alpha w14:val="100000"/>
                    </w14:srgbClr>
                  </w14:solidFill>
                </w14:textFill>
              </w:rPr>
              <w:t>|</w:t>
            </w:r>
            <w:r w:rsidR="00B00AF1" w:rsidRPr="00594056">
              <w:rPr>
                <w:rFonts w:cs="Arial"/>
                <w:color w:val="000000"/>
                <w:szCs w:val="20"/>
                <w:vertAlign w:val="superscript"/>
              </w:rPr>
              <w:t>6</w:t>
            </w:r>
          </w:p>
        </w:tc>
        <w:tc>
          <w:tcPr>
            <w:tcW w:w="0" w:type="pct"/>
          </w:tcPr>
          <w:p w14:paraId="64680F4B" w14:textId="508D1293" w:rsidR="00237F4E" w:rsidRPr="00033AB8" w:rsidRDefault="00255D1B" w:rsidP="00237F4E">
            <w:pPr>
              <w:pStyle w:val="TableText"/>
              <w:jc w:val="center"/>
              <w:rPr>
                <w:rFonts w:cs="Arial"/>
                <w:color w:val="000000"/>
                <w:sz w:val="20"/>
                <w:szCs w:val="20"/>
                <w:highlight w:val="darkGray"/>
              </w:rPr>
            </w:pPr>
            <w:r w:rsidRPr="00255D1B">
              <w:rPr>
                <w:rFonts w:cs="Arial"/>
                <w:color w:val="000000"/>
                <w:spacing w:val="208"/>
                <w:szCs w:val="20"/>
                <w:shd w:val="solid" w:color="000000" w:fill="000000"/>
                <w:fitText w:val="285" w:id="-606363377"/>
                <w14:textFill>
                  <w14:solidFill>
                    <w14:srgbClr w14:val="000000">
                      <w14:alpha w14:val="100000"/>
                    </w14:srgbClr>
                  </w14:solidFill>
                </w14:textFill>
              </w:rPr>
              <w:t>|</w:t>
            </w:r>
            <w:r w:rsidRPr="00255D1B">
              <w:rPr>
                <w:rFonts w:cs="Arial"/>
                <w:color w:val="000000"/>
                <w:spacing w:val="1"/>
                <w:szCs w:val="20"/>
                <w:shd w:val="solid" w:color="000000" w:fill="000000"/>
                <w:fitText w:val="285" w:id="-606363377"/>
                <w14:textFill>
                  <w14:solidFill>
                    <w14:srgbClr w14:val="000000">
                      <w14:alpha w14:val="100000"/>
                    </w14:srgbClr>
                  </w14:solidFill>
                </w14:textFill>
              </w:rPr>
              <w:t>|</w:t>
            </w:r>
            <w:r w:rsidR="00B00AF1" w:rsidRPr="00594056">
              <w:rPr>
                <w:rFonts w:cs="Arial"/>
                <w:color w:val="000000"/>
                <w:szCs w:val="20"/>
                <w:vertAlign w:val="superscript"/>
              </w:rPr>
              <w:t>6</w:t>
            </w:r>
          </w:p>
        </w:tc>
        <w:tc>
          <w:tcPr>
            <w:tcW w:w="0" w:type="pct"/>
          </w:tcPr>
          <w:p w14:paraId="071F97F3" w14:textId="1682CF81" w:rsidR="00237F4E" w:rsidRPr="00033AB8" w:rsidRDefault="00255D1B" w:rsidP="00237F4E">
            <w:pPr>
              <w:pStyle w:val="TableText"/>
              <w:jc w:val="center"/>
              <w:rPr>
                <w:rFonts w:cs="Arial"/>
                <w:color w:val="000000"/>
                <w:sz w:val="20"/>
                <w:szCs w:val="20"/>
                <w:highlight w:val="darkGray"/>
              </w:rPr>
            </w:pPr>
            <w:r w:rsidRPr="00255D1B">
              <w:rPr>
                <w:rFonts w:cs="Arial"/>
                <w:color w:val="000000"/>
                <w:spacing w:val="208"/>
                <w:szCs w:val="20"/>
                <w:shd w:val="solid" w:color="000000" w:fill="000000"/>
                <w:fitText w:val="285" w:id="-606363376"/>
                <w14:textFill>
                  <w14:solidFill>
                    <w14:srgbClr w14:val="000000">
                      <w14:alpha w14:val="100000"/>
                    </w14:srgbClr>
                  </w14:solidFill>
                </w14:textFill>
              </w:rPr>
              <w:t>|</w:t>
            </w:r>
            <w:r w:rsidRPr="00255D1B">
              <w:rPr>
                <w:rFonts w:cs="Arial"/>
                <w:color w:val="000000"/>
                <w:spacing w:val="1"/>
                <w:szCs w:val="20"/>
                <w:shd w:val="solid" w:color="000000" w:fill="000000"/>
                <w:fitText w:val="285" w:id="-606363376"/>
                <w14:textFill>
                  <w14:solidFill>
                    <w14:srgbClr w14:val="000000">
                      <w14:alpha w14:val="100000"/>
                    </w14:srgbClr>
                  </w14:solidFill>
                </w14:textFill>
              </w:rPr>
              <w:t>|</w:t>
            </w:r>
            <w:r w:rsidR="00B00AF1" w:rsidRPr="00594056">
              <w:rPr>
                <w:rFonts w:cs="Arial"/>
                <w:color w:val="000000"/>
                <w:szCs w:val="20"/>
                <w:vertAlign w:val="superscript"/>
              </w:rPr>
              <w:t>6</w:t>
            </w:r>
          </w:p>
        </w:tc>
        <w:tc>
          <w:tcPr>
            <w:tcW w:w="0" w:type="pct"/>
          </w:tcPr>
          <w:p w14:paraId="621507BD" w14:textId="27D2BFEC" w:rsidR="00237F4E" w:rsidRPr="00033AB8" w:rsidRDefault="00255D1B" w:rsidP="00237F4E">
            <w:pPr>
              <w:pStyle w:val="TableText"/>
              <w:jc w:val="center"/>
              <w:rPr>
                <w:rFonts w:cs="Arial"/>
                <w:color w:val="000000"/>
                <w:sz w:val="20"/>
                <w:szCs w:val="20"/>
                <w:highlight w:val="darkGray"/>
              </w:rPr>
            </w:pPr>
            <w:r w:rsidRPr="00255D1B">
              <w:rPr>
                <w:rFonts w:cs="Arial"/>
                <w:color w:val="000000"/>
                <w:spacing w:val="208"/>
                <w:szCs w:val="20"/>
                <w:shd w:val="solid" w:color="000000" w:fill="000000"/>
                <w:fitText w:val="285" w:id="-606363392"/>
                <w14:textFill>
                  <w14:solidFill>
                    <w14:srgbClr w14:val="000000">
                      <w14:alpha w14:val="100000"/>
                    </w14:srgbClr>
                  </w14:solidFill>
                </w14:textFill>
              </w:rPr>
              <w:t>|</w:t>
            </w:r>
            <w:r w:rsidRPr="00255D1B">
              <w:rPr>
                <w:rFonts w:cs="Arial"/>
                <w:color w:val="000000"/>
                <w:spacing w:val="1"/>
                <w:szCs w:val="20"/>
                <w:shd w:val="solid" w:color="000000" w:fill="000000"/>
                <w:fitText w:val="285" w:id="-606363392"/>
                <w14:textFill>
                  <w14:solidFill>
                    <w14:srgbClr w14:val="000000">
                      <w14:alpha w14:val="100000"/>
                    </w14:srgbClr>
                  </w14:solidFill>
                </w14:textFill>
              </w:rPr>
              <w:t>|</w:t>
            </w:r>
            <w:r w:rsidR="00B00AF1" w:rsidRPr="00594056">
              <w:rPr>
                <w:rFonts w:cs="Arial"/>
                <w:color w:val="000000"/>
                <w:szCs w:val="20"/>
                <w:vertAlign w:val="superscript"/>
              </w:rPr>
              <w:t>6</w:t>
            </w:r>
          </w:p>
        </w:tc>
        <w:tc>
          <w:tcPr>
            <w:tcW w:w="0" w:type="pct"/>
          </w:tcPr>
          <w:p w14:paraId="5BD6BBEB" w14:textId="5109B569" w:rsidR="00237F4E" w:rsidRPr="00033AB8" w:rsidRDefault="00255D1B" w:rsidP="00237F4E">
            <w:pPr>
              <w:pStyle w:val="TableText"/>
              <w:jc w:val="center"/>
              <w:rPr>
                <w:rFonts w:cs="Arial"/>
                <w:color w:val="000000"/>
                <w:sz w:val="20"/>
                <w:szCs w:val="20"/>
                <w:highlight w:val="darkGray"/>
              </w:rPr>
            </w:pPr>
            <w:r w:rsidRPr="00255D1B">
              <w:rPr>
                <w:rFonts w:cs="Arial"/>
                <w:color w:val="000000"/>
                <w:spacing w:val="208"/>
                <w:szCs w:val="20"/>
                <w:shd w:val="solid" w:color="000000" w:fill="000000"/>
                <w:fitText w:val="285" w:id="-606363391"/>
                <w14:textFill>
                  <w14:solidFill>
                    <w14:srgbClr w14:val="000000">
                      <w14:alpha w14:val="100000"/>
                    </w14:srgbClr>
                  </w14:solidFill>
                </w14:textFill>
              </w:rPr>
              <w:t>|</w:t>
            </w:r>
            <w:r w:rsidRPr="00255D1B">
              <w:rPr>
                <w:rFonts w:cs="Arial"/>
                <w:color w:val="000000"/>
                <w:spacing w:val="1"/>
                <w:szCs w:val="20"/>
                <w:shd w:val="solid" w:color="000000" w:fill="000000"/>
                <w:fitText w:val="285" w:id="-606363391"/>
                <w14:textFill>
                  <w14:solidFill>
                    <w14:srgbClr w14:val="000000">
                      <w14:alpha w14:val="100000"/>
                    </w14:srgbClr>
                  </w14:solidFill>
                </w14:textFill>
              </w:rPr>
              <w:t>|</w:t>
            </w:r>
            <w:r w:rsidR="00B00AF1" w:rsidRPr="00594056">
              <w:rPr>
                <w:rFonts w:cs="Arial"/>
                <w:color w:val="000000"/>
                <w:szCs w:val="20"/>
                <w:vertAlign w:val="superscript"/>
              </w:rPr>
              <w:t>6</w:t>
            </w:r>
          </w:p>
        </w:tc>
      </w:tr>
      <w:tr w:rsidR="00237F4E" w:rsidRPr="00491884" w14:paraId="2C38D806" w14:textId="77777777" w:rsidTr="00033AB8">
        <w:tc>
          <w:tcPr>
            <w:tcW w:w="0" w:type="pct"/>
            <w:gridSpan w:val="7"/>
            <w:shd w:val="clear" w:color="auto" w:fill="DBE5F1" w:themeFill="accent1" w:themeFillTint="33"/>
          </w:tcPr>
          <w:p w14:paraId="71A39931" w14:textId="62F35650" w:rsidR="00237F4E" w:rsidRPr="00033AB8" w:rsidRDefault="00237F4E" w:rsidP="00237F4E">
            <w:pPr>
              <w:pStyle w:val="TableText"/>
              <w:rPr>
                <w:rFonts w:cs="Times New Roman"/>
                <w:b/>
                <w:bCs w:val="0"/>
                <w:sz w:val="20"/>
                <w:szCs w:val="20"/>
              </w:rPr>
            </w:pPr>
            <w:r w:rsidRPr="00594056">
              <w:rPr>
                <w:rFonts w:cs="Times New Roman"/>
                <w:b/>
                <w:bCs w:val="0"/>
                <w:szCs w:val="20"/>
              </w:rPr>
              <w:t xml:space="preserve">May 2025 submission </w:t>
            </w:r>
          </w:p>
        </w:tc>
      </w:tr>
      <w:tr w:rsidR="00237F4E" w:rsidRPr="00491884" w14:paraId="771B1E03" w14:textId="77777777" w:rsidTr="00033AB8">
        <w:tc>
          <w:tcPr>
            <w:tcW w:w="0" w:type="pct"/>
            <w:shd w:val="clear" w:color="auto" w:fill="DBE5F1" w:themeFill="accent1" w:themeFillTint="33"/>
          </w:tcPr>
          <w:p w14:paraId="466A744C" w14:textId="0D6486BB" w:rsidR="00237F4E" w:rsidRPr="00033AB8" w:rsidRDefault="00237F4E" w:rsidP="00237F4E">
            <w:pPr>
              <w:pStyle w:val="TableText"/>
              <w:rPr>
                <w:sz w:val="20"/>
                <w:szCs w:val="20"/>
              </w:rPr>
            </w:pPr>
            <w:r w:rsidRPr="00594056">
              <w:rPr>
                <w:szCs w:val="20"/>
              </w:rPr>
              <w:t>Number of patients initiating treatment</w:t>
            </w:r>
          </w:p>
        </w:tc>
        <w:tc>
          <w:tcPr>
            <w:tcW w:w="0" w:type="pct"/>
            <w:shd w:val="clear" w:color="auto" w:fill="DBE5F1" w:themeFill="accent1" w:themeFillTint="33"/>
            <w:vAlign w:val="center"/>
          </w:tcPr>
          <w:p w14:paraId="7CFC723B" w14:textId="67D801C3" w:rsidR="00237F4E" w:rsidRPr="00033AB8" w:rsidRDefault="00255D1B" w:rsidP="000E5E12">
            <w:pPr>
              <w:pStyle w:val="TableText"/>
              <w:jc w:val="center"/>
              <w:rPr>
                <w:sz w:val="20"/>
                <w:szCs w:val="20"/>
              </w:rPr>
            </w:pPr>
            <w:r w:rsidRPr="00255D1B">
              <w:rPr>
                <w:color w:val="000000"/>
                <w:spacing w:val="223"/>
                <w:szCs w:val="20"/>
                <w:shd w:val="solid" w:color="000000" w:fill="000000"/>
                <w:fitText w:val="300" w:id="-606363390"/>
                <w14:textFill>
                  <w14:solidFill>
                    <w14:srgbClr w14:val="000000">
                      <w14:alpha w14:val="100000"/>
                    </w14:srgbClr>
                  </w14:solidFill>
                </w14:textFill>
              </w:rPr>
              <w:t>|</w:t>
            </w:r>
            <w:r w:rsidRPr="00255D1B">
              <w:rPr>
                <w:color w:val="000000"/>
                <w:spacing w:val="1"/>
                <w:szCs w:val="20"/>
                <w:shd w:val="solid" w:color="000000" w:fill="000000"/>
                <w:fitText w:val="300" w:id="-606363390"/>
                <w14:textFill>
                  <w14:solidFill>
                    <w14:srgbClr w14:val="000000">
                      <w14:alpha w14:val="100000"/>
                    </w14:srgbClr>
                  </w14:solidFill>
                </w14:textFill>
              </w:rPr>
              <w:t>|</w:t>
            </w:r>
            <w:proofErr w:type="gramStart"/>
            <w:r w:rsidR="003C5C23" w:rsidRPr="00033AB8">
              <w:rPr>
                <w:szCs w:val="20"/>
                <w:vertAlign w:val="superscript"/>
              </w:rPr>
              <w:t>7</w:t>
            </w:r>
            <w:r w:rsidR="002942E9" w:rsidRPr="00594056">
              <w:rPr>
                <w:szCs w:val="20"/>
                <w:vertAlign w:val="superscript"/>
              </w:rPr>
              <w:t>,</w:t>
            </w:r>
            <w:r w:rsidR="00237F4E" w:rsidRPr="00594056">
              <w:rPr>
                <w:szCs w:val="20"/>
                <w:vertAlign w:val="superscript"/>
              </w:rPr>
              <w:t>b</w:t>
            </w:r>
            <w:proofErr w:type="gramEnd"/>
          </w:p>
        </w:tc>
        <w:tc>
          <w:tcPr>
            <w:tcW w:w="0" w:type="pct"/>
            <w:shd w:val="clear" w:color="auto" w:fill="DBE5F1" w:themeFill="accent1" w:themeFillTint="33"/>
            <w:vAlign w:val="center"/>
          </w:tcPr>
          <w:p w14:paraId="7BB72D7A" w14:textId="022A5616" w:rsidR="00237F4E" w:rsidRPr="00033AB8" w:rsidRDefault="00255D1B" w:rsidP="000E5E12">
            <w:pPr>
              <w:pStyle w:val="TableText"/>
              <w:jc w:val="center"/>
              <w:rPr>
                <w:sz w:val="20"/>
                <w:szCs w:val="20"/>
                <w:highlight w:val="darkGray"/>
              </w:rPr>
            </w:pPr>
            <w:r w:rsidRPr="00255D1B">
              <w:rPr>
                <w:color w:val="000000"/>
                <w:spacing w:val="208"/>
                <w:szCs w:val="20"/>
                <w:shd w:val="solid" w:color="000000" w:fill="000000"/>
                <w:fitText w:val="285" w:id="-606363389"/>
                <w14:textFill>
                  <w14:solidFill>
                    <w14:srgbClr w14:val="000000">
                      <w14:alpha w14:val="100000"/>
                    </w14:srgbClr>
                  </w14:solidFill>
                </w14:textFill>
              </w:rPr>
              <w:t>|</w:t>
            </w:r>
            <w:r w:rsidRPr="00255D1B">
              <w:rPr>
                <w:color w:val="000000"/>
                <w:spacing w:val="1"/>
                <w:szCs w:val="20"/>
                <w:shd w:val="solid" w:color="000000" w:fill="000000"/>
                <w:fitText w:val="285" w:id="-606363389"/>
                <w14:textFill>
                  <w14:solidFill>
                    <w14:srgbClr w14:val="000000">
                      <w14:alpha w14:val="100000"/>
                    </w14:srgbClr>
                  </w14:solidFill>
                </w14:textFill>
              </w:rPr>
              <w:t>|</w:t>
            </w:r>
            <w:r w:rsidR="000D76CC" w:rsidRPr="00594056">
              <w:rPr>
                <w:szCs w:val="20"/>
                <w:vertAlign w:val="superscript"/>
              </w:rPr>
              <w:t>1</w:t>
            </w:r>
          </w:p>
        </w:tc>
        <w:tc>
          <w:tcPr>
            <w:tcW w:w="0" w:type="pct"/>
            <w:shd w:val="clear" w:color="auto" w:fill="DBE5F1" w:themeFill="accent1" w:themeFillTint="33"/>
            <w:vAlign w:val="center"/>
          </w:tcPr>
          <w:p w14:paraId="3D589ED3" w14:textId="26BA2987" w:rsidR="00237F4E" w:rsidRPr="00033AB8" w:rsidRDefault="00255D1B" w:rsidP="000E5E12">
            <w:pPr>
              <w:pStyle w:val="TableText"/>
              <w:jc w:val="center"/>
              <w:rPr>
                <w:sz w:val="20"/>
                <w:szCs w:val="20"/>
                <w:highlight w:val="darkGray"/>
              </w:rPr>
            </w:pPr>
            <w:r w:rsidRPr="00255D1B">
              <w:rPr>
                <w:color w:val="000000"/>
                <w:spacing w:val="208"/>
                <w:szCs w:val="20"/>
                <w:shd w:val="solid" w:color="000000" w:fill="000000"/>
                <w:fitText w:val="285" w:id="-606363388"/>
                <w14:textFill>
                  <w14:solidFill>
                    <w14:srgbClr w14:val="000000">
                      <w14:alpha w14:val="100000"/>
                    </w14:srgbClr>
                  </w14:solidFill>
                </w14:textFill>
              </w:rPr>
              <w:t>|</w:t>
            </w:r>
            <w:r w:rsidRPr="00255D1B">
              <w:rPr>
                <w:color w:val="000000"/>
                <w:spacing w:val="1"/>
                <w:szCs w:val="20"/>
                <w:shd w:val="solid" w:color="000000" w:fill="000000"/>
                <w:fitText w:val="285" w:id="-606363388"/>
                <w14:textFill>
                  <w14:solidFill>
                    <w14:srgbClr w14:val="000000">
                      <w14:alpha w14:val="100000"/>
                    </w14:srgbClr>
                  </w14:solidFill>
                </w14:textFill>
              </w:rPr>
              <w:t>|</w:t>
            </w:r>
            <w:r w:rsidR="000D76CC" w:rsidRPr="00594056">
              <w:rPr>
                <w:szCs w:val="20"/>
                <w:vertAlign w:val="superscript"/>
              </w:rPr>
              <w:t>1</w:t>
            </w:r>
          </w:p>
        </w:tc>
        <w:tc>
          <w:tcPr>
            <w:tcW w:w="0" w:type="pct"/>
            <w:shd w:val="clear" w:color="auto" w:fill="DBE5F1" w:themeFill="accent1" w:themeFillTint="33"/>
            <w:vAlign w:val="center"/>
          </w:tcPr>
          <w:p w14:paraId="0BD1E816" w14:textId="5361AFA5" w:rsidR="00237F4E" w:rsidRPr="00033AB8" w:rsidRDefault="00255D1B" w:rsidP="000E5E12">
            <w:pPr>
              <w:pStyle w:val="TableText"/>
              <w:jc w:val="center"/>
              <w:rPr>
                <w:sz w:val="20"/>
                <w:szCs w:val="20"/>
                <w:highlight w:val="darkGray"/>
              </w:rPr>
            </w:pPr>
            <w:r w:rsidRPr="00255D1B">
              <w:rPr>
                <w:color w:val="000000"/>
                <w:spacing w:val="208"/>
                <w:szCs w:val="20"/>
                <w:shd w:val="solid" w:color="000000" w:fill="000000"/>
                <w:fitText w:val="285" w:id="-606363387"/>
                <w14:textFill>
                  <w14:solidFill>
                    <w14:srgbClr w14:val="000000">
                      <w14:alpha w14:val="100000"/>
                    </w14:srgbClr>
                  </w14:solidFill>
                </w14:textFill>
              </w:rPr>
              <w:t>|</w:t>
            </w:r>
            <w:r w:rsidRPr="00255D1B">
              <w:rPr>
                <w:color w:val="000000"/>
                <w:spacing w:val="1"/>
                <w:szCs w:val="20"/>
                <w:shd w:val="solid" w:color="000000" w:fill="000000"/>
                <w:fitText w:val="285" w:id="-606363387"/>
                <w14:textFill>
                  <w14:solidFill>
                    <w14:srgbClr w14:val="000000">
                      <w14:alpha w14:val="100000"/>
                    </w14:srgbClr>
                  </w14:solidFill>
                </w14:textFill>
              </w:rPr>
              <w:t>|</w:t>
            </w:r>
            <w:r w:rsidR="000D76CC" w:rsidRPr="00594056">
              <w:rPr>
                <w:szCs w:val="20"/>
                <w:vertAlign w:val="superscript"/>
              </w:rPr>
              <w:t>1</w:t>
            </w:r>
          </w:p>
        </w:tc>
        <w:tc>
          <w:tcPr>
            <w:tcW w:w="0" w:type="pct"/>
            <w:shd w:val="clear" w:color="auto" w:fill="DBE5F1" w:themeFill="accent1" w:themeFillTint="33"/>
            <w:vAlign w:val="center"/>
          </w:tcPr>
          <w:p w14:paraId="0EC148E5" w14:textId="6E2C450D" w:rsidR="00237F4E" w:rsidRPr="00033AB8" w:rsidRDefault="00255D1B" w:rsidP="000E5E12">
            <w:pPr>
              <w:pStyle w:val="TableText"/>
              <w:jc w:val="center"/>
              <w:rPr>
                <w:sz w:val="20"/>
                <w:szCs w:val="20"/>
                <w:highlight w:val="darkGray"/>
              </w:rPr>
            </w:pPr>
            <w:r w:rsidRPr="00255D1B">
              <w:rPr>
                <w:color w:val="000000"/>
                <w:spacing w:val="208"/>
                <w:szCs w:val="20"/>
                <w:shd w:val="solid" w:color="000000" w:fill="000000"/>
                <w:fitText w:val="285" w:id="-606363386"/>
                <w14:textFill>
                  <w14:solidFill>
                    <w14:srgbClr w14:val="000000">
                      <w14:alpha w14:val="100000"/>
                    </w14:srgbClr>
                  </w14:solidFill>
                </w14:textFill>
              </w:rPr>
              <w:t>|</w:t>
            </w:r>
            <w:r w:rsidRPr="00255D1B">
              <w:rPr>
                <w:color w:val="000000"/>
                <w:spacing w:val="1"/>
                <w:szCs w:val="20"/>
                <w:shd w:val="solid" w:color="000000" w:fill="000000"/>
                <w:fitText w:val="285" w:id="-606363386"/>
                <w14:textFill>
                  <w14:solidFill>
                    <w14:srgbClr w14:val="000000">
                      <w14:alpha w14:val="100000"/>
                    </w14:srgbClr>
                  </w14:solidFill>
                </w14:textFill>
              </w:rPr>
              <w:t>|</w:t>
            </w:r>
            <w:r w:rsidR="000D76CC" w:rsidRPr="00594056">
              <w:rPr>
                <w:szCs w:val="20"/>
                <w:vertAlign w:val="superscript"/>
              </w:rPr>
              <w:t>1</w:t>
            </w:r>
          </w:p>
        </w:tc>
        <w:tc>
          <w:tcPr>
            <w:tcW w:w="0" w:type="pct"/>
            <w:shd w:val="clear" w:color="auto" w:fill="DBE5F1" w:themeFill="accent1" w:themeFillTint="33"/>
            <w:vAlign w:val="center"/>
          </w:tcPr>
          <w:p w14:paraId="281635CF" w14:textId="5D4BB201" w:rsidR="00237F4E" w:rsidRPr="00033AB8" w:rsidRDefault="00255D1B" w:rsidP="000E5E12">
            <w:pPr>
              <w:pStyle w:val="TableText"/>
              <w:jc w:val="center"/>
              <w:rPr>
                <w:sz w:val="20"/>
                <w:szCs w:val="20"/>
                <w:highlight w:val="darkGray"/>
              </w:rPr>
            </w:pPr>
            <w:r w:rsidRPr="00255D1B">
              <w:rPr>
                <w:color w:val="000000"/>
                <w:spacing w:val="208"/>
                <w:szCs w:val="20"/>
                <w:shd w:val="solid" w:color="000000" w:fill="000000"/>
                <w:fitText w:val="285" w:id="-606363385"/>
                <w14:textFill>
                  <w14:solidFill>
                    <w14:srgbClr w14:val="000000">
                      <w14:alpha w14:val="100000"/>
                    </w14:srgbClr>
                  </w14:solidFill>
                </w14:textFill>
              </w:rPr>
              <w:t>|</w:t>
            </w:r>
            <w:r w:rsidRPr="00255D1B">
              <w:rPr>
                <w:color w:val="000000"/>
                <w:spacing w:val="1"/>
                <w:szCs w:val="20"/>
                <w:shd w:val="solid" w:color="000000" w:fill="000000"/>
                <w:fitText w:val="285" w:id="-606363385"/>
                <w14:textFill>
                  <w14:solidFill>
                    <w14:srgbClr w14:val="000000">
                      <w14:alpha w14:val="100000"/>
                    </w14:srgbClr>
                  </w14:solidFill>
                </w14:textFill>
              </w:rPr>
              <w:t>|</w:t>
            </w:r>
            <w:r w:rsidR="000D76CC" w:rsidRPr="00594056">
              <w:rPr>
                <w:szCs w:val="20"/>
                <w:vertAlign w:val="superscript"/>
              </w:rPr>
              <w:t>1</w:t>
            </w:r>
          </w:p>
        </w:tc>
      </w:tr>
      <w:tr w:rsidR="00237F4E" w:rsidRPr="00491884" w14:paraId="4834D2D9" w14:textId="77777777" w:rsidTr="00033AB8">
        <w:tc>
          <w:tcPr>
            <w:tcW w:w="0" w:type="pct"/>
            <w:shd w:val="clear" w:color="auto" w:fill="DBE5F1" w:themeFill="accent1" w:themeFillTint="33"/>
          </w:tcPr>
          <w:p w14:paraId="3D953230" w14:textId="44D37B9F" w:rsidR="00237F4E" w:rsidRPr="00033AB8" w:rsidRDefault="00237F4E" w:rsidP="00237F4E">
            <w:pPr>
              <w:pStyle w:val="TableText"/>
              <w:rPr>
                <w:sz w:val="20"/>
                <w:szCs w:val="20"/>
              </w:rPr>
            </w:pPr>
            <w:r w:rsidRPr="00594056">
              <w:rPr>
                <w:szCs w:val="20"/>
              </w:rPr>
              <w:t>Number of scripts</w:t>
            </w:r>
            <w:r w:rsidRPr="00594056">
              <w:rPr>
                <w:szCs w:val="20"/>
                <w:vertAlign w:val="superscript"/>
              </w:rPr>
              <w:t xml:space="preserve"> </w:t>
            </w:r>
            <w:proofErr w:type="spellStart"/>
            <w:r w:rsidRPr="00594056">
              <w:rPr>
                <w:szCs w:val="20"/>
              </w:rPr>
              <w:t>dispensed</w:t>
            </w:r>
            <w:r w:rsidRPr="00594056">
              <w:rPr>
                <w:szCs w:val="20"/>
                <w:vertAlign w:val="superscript"/>
              </w:rPr>
              <w:t>c</w:t>
            </w:r>
            <w:proofErr w:type="spellEnd"/>
          </w:p>
        </w:tc>
        <w:tc>
          <w:tcPr>
            <w:tcW w:w="0" w:type="pct"/>
            <w:shd w:val="clear" w:color="auto" w:fill="DBE5F1" w:themeFill="accent1" w:themeFillTint="33"/>
            <w:vAlign w:val="center"/>
          </w:tcPr>
          <w:p w14:paraId="1FB328FE" w14:textId="7D7C1610" w:rsidR="00237F4E" w:rsidRPr="00033AB8" w:rsidRDefault="00255D1B" w:rsidP="000E5E12">
            <w:pPr>
              <w:pStyle w:val="TableText"/>
              <w:jc w:val="center"/>
              <w:rPr>
                <w:sz w:val="20"/>
                <w:szCs w:val="20"/>
                <w:highlight w:val="darkGray"/>
              </w:rPr>
            </w:pPr>
            <w:r w:rsidRPr="00255D1B">
              <w:rPr>
                <w:color w:val="000000"/>
                <w:spacing w:val="208"/>
                <w:szCs w:val="20"/>
                <w:shd w:val="solid" w:color="000000" w:fill="000000"/>
                <w:fitText w:val="285" w:id="-606363384"/>
                <w14:textFill>
                  <w14:solidFill>
                    <w14:srgbClr w14:val="000000">
                      <w14:alpha w14:val="100000"/>
                    </w14:srgbClr>
                  </w14:solidFill>
                </w14:textFill>
              </w:rPr>
              <w:t>|</w:t>
            </w:r>
            <w:r w:rsidRPr="00255D1B">
              <w:rPr>
                <w:color w:val="000000"/>
                <w:spacing w:val="1"/>
                <w:szCs w:val="20"/>
                <w:shd w:val="solid" w:color="000000" w:fill="000000"/>
                <w:fitText w:val="285" w:id="-606363384"/>
                <w14:textFill>
                  <w14:solidFill>
                    <w14:srgbClr w14:val="000000">
                      <w14:alpha w14:val="100000"/>
                    </w14:srgbClr>
                  </w14:solidFill>
                </w14:textFill>
              </w:rPr>
              <w:t>|</w:t>
            </w:r>
            <w:r w:rsidR="005A4D87" w:rsidRPr="00033AB8">
              <w:rPr>
                <w:szCs w:val="20"/>
                <w:vertAlign w:val="superscript"/>
              </w:rPr>
              <w:t>8</w:t>
            </w:r>
          </w:p>
        </w:tc>
        <w:tc>
          <w:tcPr>
            <w:tcW w:w="0" w:type="pct"/>
            <w:shd w:val="clear" w:color="auto" w:fill="DBE5F1" w:themeFill="accent1" w:themeFillTint="33"/>
            <w:vAlign w:val="center"/>
          </w:tcPr>
          <w:p w14:paraId="37384BAD" w14:textId="17DB2B46" w:rsidR="00237F4E" w:rsidRPr="00033AB8" w:rsidRDefault="00255D1B" w:rsidP="000E5E12">
            <w:pPr>
              <w:pStyle w:val="TableText"/>
              <w:jc w:val="center"/>
              <w:rPr>
                <w:sz w:val="20"/>
                <w:szCs w:val="20"/>
                <w:highlight w:val="darkGray"/>
              </w:rPr>
            </w:pPr>
            <w:r w:rsidRPr="00255D1B">
              <w:rPr>
                <w:color w:val="000000"/>
                <w:spacing w:val="208"/>
                <w:szCs w:val="20"/>
                <w:shd w:val="solid" w:color="000000" w:fill="000000"/>
                <w:fitText w:val="285" w:id="-606363383"/>
                <w14:textFill>
                  <w14:solidFill>
                    <w14:srgbClr w14:val="000000">
                      <w14:alpha w14:val="100000"/>
                    </w14:srgbClr>
                  </w14:solidFill>
                </w14:textFill>
              </w:rPr>
              <w:t>|</w:t>
            </w:r>
            <w:r w:rsidRPr="00255D1B">
              <w:rPr>
                <w:color w:val="000000"/>
                <w:spacing w:val="1"/>
                <w:szCs w:val="20"/>
                <w:shd w:val="solid" w:color="000000" w:fill="000000"/>
                <w:fitText w:val="285" w:id="-606363383"/>
                <w14:textFill>
                  <w14:solidFill>
                    <w14:srgbClr w14:val="000000">
                      <w14:alpha w14:val="100000"/>
                    </w14:srgbClr>
                  </w14:solidFill>
                </w14:textFill>
              </w:rPr>
              <w:t>|</w:t>
            </w:r>
            <w:r w:rsidR="00315A86" w:rsidRPr="00594056">
              <w:rPr>
                <w:szCs w:val="20"/>
                <w:vertAlign w:val="superscript"/>
              </w:rPr>
              <w:t>2</w:t>
            </w:r>
          </w:p>
        </w:tc>
        <w:tc>
          <w:tcPr>
            <w:tcW w:w="0" w:type="pct"/>
            <w:shd w:val="clear" w:color="auto" w:fill="DBE5F1" w:themeFill="accent1" w:themeFillTint="33"/>
            <w:vAlign w:val="center"/>
          </w:tcPr>
          <w:p w14:paraId="05BBF68E" w14:textId="7FFD2CD2" w:rsidR="00237F4E" w:rsidRPr="00033AB8" w:rsidRDefault="00255D1B" w:rsidP="000E5E12">
            <w:pPr>
              <w:pStyle w:val="TableText"/>
              <w:jc w:val="center"/>
              <w:rPr>
                <w:sz w:val="20"/>
                <w:szCs w:val="20"/>
                <w:highlight w:val="darkGray"/>
              </w:rPr>
            </w:pPr>
            <w:r w:rsidRPr="00255D1B">
              <w:rPr>
                <w:color w:val="000000"/>
                <w:spacing w:val="208"/>
                <w:szCs w:val="20"/>
                <w:shd w:val="solid" w:color="000000" w:fill="000000"/>
                <w:fitText w:val="285" w:id="-606363382"/>
                <w14:textFill>
                  <w14:solidFill>
                    <w14:srgbClr w14:val="000000">
                      <w14:alpha w14:val="100000"/>
                    </w14:srgbClr>
                  </w14:solidFill>
                </w14:textFill>
              </w:rPr>
              <w:t>|</w:t>
            </w:r>
            <w:r w:rsidRPr="00255D1B">
              <w:rPr>
                <w:color w:val="000000"/>
                <w:spacing w:val="1"/>
                <w:szCs w:val="20"/>
                <w:shd w:val="solid" w:color="000000" w:fill="000000"/>
                <w:fitText w:val="285" w:id="-606363382"/>
                <w14:textFill>
                  <w14:solidFill>
                    <w14:srgbClr w14:val="000000">
                      <w14:alpha w14:val="100000"/>
                    </w14:srgbClr>
                  </w14:solidFill>
                </w14:textFill>
              </w:rPr>
              <w:t>|</w:t>
            </w:r>
            <w:r w:rsidR="005A4D87" w:rsidRPr="00594056">
              <w:rPr>
                <w:szCs w:val="20"/>
                <w:vertAlign w:val="superscript"/>
              </w:rPr>
              <w:t>8</w:t>
            </w:r>
          </w:p>
        </w:tc>
        <w:tc>
          <w:tcPr>
            <w:tcW w:w="0" w:type="pct"/>
            <w:shd w:val="clear" w:color="auto" w:fill="DBE5F1" w:themeFill="accent1" w:themeFillTint="33"/>
            <w:vAlign w:val="center"/>
          </w:tcPr>
          <w:p w14:paraId="16EE5CBC" w14:textId="4923C140" w:rsidR="00237F4E" w:rsidRPr="00033AB8" w:rsidRDefault="00255D1B" w:rsidP="000E5E12">
            <w:pPr>
              <w:pStyle w:val="TableText"/>
              <w:jc w:val="center"/>
              <w:rPr>
                <w:sz w:val="20"/>
                <w:szCs w:val="20"/>
                <w:highlight w:val="darkGray"/>
              </w:rPr>
            </w:pPr>
            <w:r w:rsidRPr="00255D1B">
              <w:rPr>
                <w:color w:val="000000"/>
                <w:spacing w:val="208"/>
                <w:szCs w:val="20"/>
                <w:shd w:val="solid" w:color="000000" w:fill="000000"/>
                <w:fitText w:val="285" w:id="-606363381"/>
                <w14:textFill>
                  <w14:solidFill>
                    <w14:srgbClr w14:val="000000">
                      <w14:alpha w14:val="100000"/>
                    </w14:srgbClr>
                  </w14:solidFill>
                </w14:textFill>
              </w:rPr>
              <w:t>|</w:t>
            </w:r>
            <w:r w:rsidRPr="00255D1B">
              <w:rPr>
                <w:color w:val="000000"/>
                <w:spacing w:val="1"/>
                <w:szCs w:val="20"/>
                <w:shd w:val="solid" w:color="000000" w:fill="000000"/>
                <w:fitText w:val="285" w:id="-606363381"/>
                <w14:textFill>
                  <w14:solidFill>
                    <w14:srgbClr w14:val="000000">
                      <w14:alpha w14:val="100000"/>
                    </w14:srgbClr>
                  </w14:solidFill>
                </w14:textFill>
              </w:rPr>
              <w:t>|</w:t>
            </w:r>
            <w:r w:rsidR="005A4D87" w:rsidRPr="00594056">
              <w:rPr>
                <w:szCs w:val="20"/>
                <w:vertAlign w:val="superscript"/>
              </w:rPr>
              <w:t>8</w:t>
            </w:r>
          </w:p>
        </w:tc>
        <w:tc>
          <w:tcPr>
            <w:tcW w:w="0" w:type="pct"/>
            <w:shd w:val="clear" w:color="auto" w:fill="DBE5F1" w:themeFill="accent1" w:themeFillTint="33"/>
            <w:vAlign w:val="center"/>
          </w:tcPr>
          <w:p w14:paraId="51686626" w14:textId="27381B7D" w:rsidR="00237F4E" w:rsidRPr="00033AB8" w:rsidRDefault="00255D1B" w:rsidP="000E5E12">
            <w:pPr>
              <w:pStyle w:val="TableText"/>
              <w:jc w:val="center"/>
              <w:rPr>
                <w:sz w:val="20"/>
                <w:szCs w:val="20"/>
                <w:highlight w:val="darkGray"/>
              </w:rPr>
            </w:pPr>
            <w:r w:rsidRPr="00255D1B">
              <w:rPr>
                <w:color w:val="000000"/>
                <w:spacing w:val="208"/>
                <w:szCs w:val="20"/>
                <w:shd w:val="solid" w:color="000000" w:fill="000000"/>
                <w:fitText w:val="285" w:id="-606363380"/>
                <w14:textFill>
                  <w14:solidFill>
                    <w14:srgbClr w14:val="000000">
                      <w14:alpha w14:val="100000"/>
                    </w14:srgbClr>
                  </w14:solidFill>
                </w14:textFill>
              </w:rPr>
              <w:t>|</w:t>
            </w:r>
            <w:r w:rsidRPr="00255D1B">
              <w:rPr>
                <w:color w:val="000000"/>
                <w:spacing w:val="1"/>
                <w:szCs w:val="20"/>
                <w:shd w:val="solid" w:color="000000" w:fill="000000"/>
                <w:fitText w:val="285" w:id="-606363380"/>
                <w14:textFill>
                  <w14:solidFill>
                    <w14:srgbClr w14:val="000000">
                      <w14:alpha w14:val="100000"/>
                    </w14:srgbClr>
                  </w14:solidFill>
                </w14:textFill>
              </w:rPr>
              <w:t>|</w:t>
            </w:r>
            <w:r w:rsidR="005A4D87" w:rsidRPr="00594056">
              <w:rPr>
                <w:szCs w:val="20"/>
                <w:vertAlign w:val="superscript"/>
              </w:rPr>
              <w:t>8</w:t>
            </w:r>
          </w:p>
        </w:tc>
        <w:tc>
          <w:tcPr>
            <w:tcW w:w="0" w:type="pct"/>
            <w:shd w:val="clear" w:color="auto" w:fill="DBE5F1" w:themeFill="accent1" w:themeFillTint="33"/>
            <w:vAlign w:val="center"/>
          </w:tcPr>
          <w:p w14:paraId="2D238F15" w14:textId="0CA7592A" w:rsidR="00237F4E" w:rsidRPr="00033AB8" w:rsidRDefault="00255D1B" w:rsidP="000E5E12">
            <w:pPr>
              <w:pStyle w:val="TableText"/>
              <w:jc w:val="center"/>
              <w:rPr>
                <w:sz w:val="20"/>
                <w:szCs w:val="20"/>
                <w:highlight w:val="darkGray"/>
              </w:rPr>
            </w:pPr>
            <w:r w:rsidRPr="00255D1B">
              <w:rPr>
                <w:color w:val="000000"/>
                <w:spacing w:val="208"/>
                <w:szCs w:val="20"/>
                <w:shd w:val="solid" w:color="000000" w:fill="000000"/>
                <w:fitText w:val="285" w:id="-606363379"/>
                <w14:textFill>
                  <w14:solidFill>
                    <w14:srgbClr w14:val="000000">
                      <w14:alpha w14:val="100000"/>
                    </w14:srgbClr>
                  </w14:solidFill>
                </w14:textFill>
              </w:rPr>
              <w:t>|</w:t>
            </w:r>
            <w:r w:rsidRPr="00255D1B">
              <w:rPr>
                <w:color w:val="000000"/>
                <w:spacing w:val="1"/>
                <w:szCs w:val="20"/>
                <w:shd w:val="solid" w:color="000000" w:fill="000000"/>
                <w:fitText w:val="285" w:id="-606363379"/>
                <w14:textFill>
                  <w14:solidFill>
                    <w14:srgbClr w14:val="000000">
                      <w14:alpha w14:val="100000"/>
                    </w14:srgbClr>
                  </w14:solidFill>
                </w14:textFill>
              </w:rPr>
              <w:t>|</w:t>
            </w:r>
            <w:r w:rsidR="005A4D87" w:rsidRPr="00594056">
              <w:rPr>
                <w:szCs w:val="20"/>
                <w:vertAlign w:val="superscript"/>
              </w:rPr>
              <w:t>8</w:t>
            </w:r>
          </w:p>
        </w:tc>
      </w:tr>
      <w:tr w:rsidR="00237F4E" w:rsidRPr="00491884" w14:paraId="1731AD8D" w14:textId="77777777" w:rsidTr="00033AB8">
        <w:tc>
          <w:tcPr>
            <w:tcW w:w="0" w:type="pct"/>
            <w:shd w:val="clear" w:color="auto" w:fill="DBE5F1" w:themeFill="accent1" w:themeFillTint="33"/>
          </w:tcPr>
          <w:p w14:paraId="7E30C4ED" w14:textId="198F299C" w:rsidR="00237F4E" w:rsidRPr="00033AB8" w:rsidRDefault="00237F4E" w:rsidP="00237F4E">
            <w:pPr>
              <w:pStyle w:val="TableText"/>
              <w:rPr>
                <w:sz w:val="20"/>
                <w:szCs w:val="20"/>
              </w:rPr>
            </w:pPr>
            <w:r w:rsidRPr="00594056">
              <w:rPr>
                <w:szCs w:val="20"/>
              </w:rPr>
              <w:t>Net cost to PBS/RPBS</w:t>
            </w:r>
          </w:p>
        </w:tc>
        <w:tc>
          <w:tcPr>
            <w:tcW w:w="0" w:type="pct"/>
            <w:shd w:val="clear" w:color="auto" w:fill="DBE5F1" w:themeFill="accent1" w:themeFillTint="33"/>
            <w:vAlign w:val="center"/>
          </w:tcPr>
          <w:p w14:paraId="2FFFBE5F" w14:textId="32BB4C60" w:rsidR="00237F4E" w:rsidRPr="00033AB8" w:rsidRDefault="00255D1B" w:rsidP="000E5E12">
            <w:pPr>
              <w:pStyle w:val="TableText"/>
              <w:jc w:val="center"/>
              <w:rPr>
                <w:sz w:val="20"/>
                <w:szCs w:val="20"/>
                <w:highlight w:val="darkGray"/>
              </w:rPr>
            </w:pPr>
            <w:r w:rsidRPr="00255D1B">
              <w:rPr>
                <w:color w:val="000000"/>
                <w:spacing w:val="208"/>
                <w:szCs w:val="20"/>
                <w:shd w:val="solid" w:color="000000" w:fill="000000"/>
                <w:fitText w:val="285" w:id="-606363378"/>
                <w14:textFill>
                  <w14:solidFill>
                    <w14:srgbClr w14:val="000000">
                      <w14:alpha w14:val="100000"/>
                    </w14:srgbClr>
                  </w14:solidFill>
                </w14:textFill>
              </w:rPr>
              <w:t>|</w:t>
            </w:r>
            <w:r w:rsidRPr="00255D1B">
              <w:rPr>
                <w:color w:val="000000"/>
                <w:spacing w:val="1"/>
                <w:szCs w:val="20"/>
                <w:shd w:val="solid" w:color="000000" w:fill="000000"/>
                <w:fitText w:val="285" w:id="-606363378"/>
                <w14:textFill>
                  <w14:solidFill>
                    <w14:srgbClr w14:val="000000">
                      <w14:alpha w14:val="100000"/>
                    </w14:srgbClr>
                  </w14:solidFill>
                </w14:textFill>
              </w:rPr>
              <w:t>|</w:t>
            </w:r>
            <w:r w:rsidR="00B00AF1" w:rsidRPr="00594056">
              <w:rPr>
                <w:rFonts w:cs="Arial"/>
                <w:color w:val="000000"/>
                <w:szCs w:val="20"/>
                <w:vertAlign w:val="superscript"/>
              </w:rPr>
              <w:t>6</w:t>
            </w:r>
          </w:p>
        </w:tc>
        <w:tc>
          <w:tcPr>
            <w:tcW w:w="0" w:type="pct"/>
            <w:shd w:val="clear" w:color="auto" w:fill="DBE5F1" w:themeFill="accent1" w:themeFillTint="33"/>
            <w:vAlign w:val="center"/>
          </w:tcPr>
          <w:p w14:paraId="0137092C" w14:textId="22677483" w:rsidR="00237F4E" w:rsidRPr="00033AB8" w:rsidRDefault="00255D1B" w:rsidP="000E5E12">
            <w:pPr>
              <w:pStyle w:val="TableText"/>
              <w:jc w:val="center"/>
              <w:rPr>
                <w:sz w:val="20"/>
                <w:szCs w:val="20"/>
                <w:highlight w:val="darkGray"/>
              </w:rPr>
            </w:pPr>
            <w:r w:rsidRPr="00255D1B">
              <w:rPr>
                <w:color w:val="000000"/>
                <w:spacing w:val="208"/>
                <w:szCs w:val="20"/>
                <w:shd w:val="solid" w:color="000000" w:fill="000000"/>
                <w:fitText w:val="285" w:id="-606363377"/>
                <w14:textFill>
                  <w14:solidFill>
                    <w14:srgbClr w14:val="000000">
                      <w14:alpha w14:val="100000"/>
                    </w14:srgbClr>
                  </w14:solidFill>
                </w14:textFill>
              </w:rPr>
              <w:t>|</w:t>
            </w:r>
            <w:r w:rsidRPr="00255D1B">
              <w:rPr>
                <w:color w:val="000000"/>
                <w:spacing w:val="1"/>
                <w:szCs w:val="20"/>
                <w:shd w:val="solid" w:color="000000" w:fill="000000"/>
                <w:fitText w:val="285" w:id="-606363377"/>
                <w14:textFill>
                  <w14:solidFill>
                    <w14:srgbClr w14:val="000000">
                      <w14:alpha w14:val="100000"/>
                    </w14:srgbClr>
                  </w14:solidFill>
                </w14:textFill>
              </w:rPr>
              <w:t>|</w:t>
            </w:r>
            <w:r w:rsidR="009143A1">
              <w:rPr>
                <w:rFonts w:cs="Arial"/>
                <w:color w:val="000000"/>
                <w:sz w:val="20"/>
                <w:szCs w:val="20"/>
                <w:vertAlign w:val="superscript"/>
              </w:rPr>
              <w:t>10</w:t>
            </w:r>
          </w:p>
        </w:tc>
        <w:tc>
          <w:tcPr>
            <w:tcW w:w="0" w:type="pct"/>
            <w:shd w:val="clear" w:color="auto" w:fill="DBE5F1" w:themeFill="accent1" w:themeFillTint="33"/>
            <w:vAlign w:val="center"/>
          </w:tcPr>
          <w:p w14:paraId="37679B7A" w14:textId="73F29698" w:rsidR="00237F4E" w:rsidRPr="00033AB8" w:rsidRDefault="00255D1B" w:rsidP="000E5E12">
            <w:pPr>
              <w:pStyle w:val="TableText"/>
              <w:jc w:val="center"/>
              <w:rPr>
                <w:sz w:val="20"/>
                <w:szCs w:val="20"/>
                <w:highlight w:val="darkGray"/>
              </w:rPr>
            </w:pPr>
            <w:r w:rsidRPr="00255D1B">
              <w:rPr>
                <w:color w:val="000000"/>
                <w:spacing w:val="208"/>
                <w:szCs w:val="20"/>
                <w:shd w:val="solid" w:color="000000" w:fill="000000"/>
                <w:fitText w:val="285" w:id="-606363376"/>
                <w14:textFill>
                  <w14:solidFill>
                    <w14:srgbClr w14:val="000000">
                      <w14:alpha w14:val="100000"/>
                    </w14:srgbClr>
                  </w14:solidFill>
                </w14:textFill>
              </w:rPr>
              <w:t>|</w:t>
            </w:r>
            <w:r w:rsidRPr="00255D1B">
              <w:rPr>
                <w:color w:val="000000"/>
                <w:spacing w:val="1"/>
                <w:szCs w:val="20"/>
                <w:shd w:val="solid" w:color="000000" w:fill="000000"/>
                <w:fitText w:val="285" w:id="-606363376"/>
                <w14:textFill>
                  <w14:solidFill>
                    <w14:srgbClr w14:val="000000">
                      <w14:alpha w14:val="100000"/>
                    </w14:srgbClr>
                  </w14:solidFill>
                </w14:textFill>
              </w:rPr>
              <w:t>|</w:t>
            </w:r>
            <w:r w:rsidR="00B00AF1" w:rsidRPr="00594056">
              <w:rPr>
                <w:rFonts w:cs="Arial"/>
                <w:color w:val="000000"/>
                <w:szCs w:val="20"/>
                <w:vertAlign w:val="superscript"/>
              </w:rPr>
              <w:t>6</w:t>
            </w:r>
          </w:p>
        </w:tc>
        <w:tc>
          <w:tcPr>
            <w:tcW w:w="0" w:type="pct"/>
            <w:shd w:val="clear" w:color="auto" w:fill="DBE5F1" w:themeFill="accent1" w:themeFillTint="33"/>
            <w:vAlign w:val="center"/>
          </w:tcPr>
          <w:p w14:paraId="1CC45D88" w14:textId="4945A6E1" w:rsidR="00237F4E" w:rsidRPr="00033AB8" w:rsidRDefault="00255D1B" w:rsidP="000E5E12">
            <w:pPr>
              <w:pStyle w:val="TableText"/>
              <w:jc w:val="center"/>
              <w:rPr>
                <w:sz w:val="20"/>
                <w:szCs w:val="20"/>
                <w:highlight w:val="darkGray"/>
              </w:rPr>
            </w:pPr>
            <w:r w:rsidRPr="00255D1B">
              <w:rPr>
                <w:color w:val="000000"/>
                <w:spacing w:val="208"/>
                <w:szCs w:val="20"/>
                <w:shd w:val="solid" w:color="000000" w:fill="000000"/>
                <w:fitText w:val="285" w:id="-606363392"/>
                <w14:textFill>
                  <w14:solidFill>
                    <w14:srgbClr w14:val="000000">
                      <w14:alpha w14:val="100000"/>
                    </w14:srgbClr>
                  </w14:solidFill>
                </w14:textFill>
              </w:rPr>
              <w:t>|</w:t>
            </w:r>
            <w:r w:rsidRPr="00255D1B">
              <w:rPr>
                <w:color w:val="000000"/>
                <w:spacing w:val="1"/>
                <w:szCs w:val="20"/>
                <w:shd w:val="solid" w:color="000000" w:fill="000000"/>
                <w:fitText w:val="285" w:id="-606363392"/>
                <w14:textFill>
                  <w14:solidFill>
                    <w14:srgbClr w14:val="000000">
                      <w14:alpha w14:val="100000"/>
                    </w14:srgbClr>
                  </w14:solidFill>
                </w14:textFill>
              </w:rPr>
              <w:t>|</w:t>
            </w:r>
            <w:r w:rsidR="00B00AF1" w:rsidRPr="00594056">
              <w:rPr>
                <w:rFonts w:cs="Arial"/>
                <w:color w:val="000000"/>
                <w:szCs w:val="20"/>
                <w:vertAlign w:val="superscript"/>
              </w:rPr>
              <w:t>6</w:t>
            </w:r>
          </w:p>
        </w:tc>
        <w:tc>
          <w:tcPr>
            <w:tcW w:w="0" w:type="pct"/>
            <w:shd w:val="clear" w:color="auto" w:fill="DBE5F1" w:themeFill="accent1" w:themeFillTint="33"/>
            <w:vAlign w:val="center"/>
          </w:tcPr>
          <w:p w14:paraId="3444F0EA" w14:textId="6D380C7F" w:rsidR="00237F4E" w:rsidRPr="00033AB8" w:rsidRDefault="00255D1B" w:rsidP="000E5E12">
            <w:pPr>
              <w:pStyle w:val="TableText"/>
              <w:jc w:val="center"/>
              <w:rPr>
                <w:sz w:val="20"/>
                <w:szCs w:val="20"/>
                <w:highlight w:val="darkGray"/>
              </w:rPr>
            </w:pPr>
            <w:r w:rsidRPr="00255D1B">
              <w:rPr>
                <w:color w:val="000000"/>
                <w:spacing w:val="208"/>
                <w:szCs w:val="20"/>
                <w:shd w:val="solid" w:color="000000" w:fill="000000"/>
                <w:fitText w:val="285" w:id="-606363391"/>
                <w14:textFill>
                  <w14:solidFill>
                    <w14:srgbClr w14:val="000000">
                      <w14:alpha w14:val="100000"/>
                    </w14:srgbClr>
                  </w14:solidFill>
                </w14:textFill>
              </w:rPr>
              <w:t>|</w:t>
            </w:r>
            <w:r w:rsidRPr="00255D1B">
              <w:rPr>
                <w:color w:val="000000"/>
                <w:spacing w:val="1"/>
                <w:szCs w:val="20"/>
                <w:shd w:val="solid" w:color="000000" w:fill="000000"/>
                <w:fitText w:val="285" w:id="-606363391"/>
                <w14:textFill>
                  <w14:solidFill>
                    <w14:srgbClr w14:val="000000">
                      <w14:alpha w14:val="100000"/>
                    </w14:srgbClr>
                  </w14:solidFill>
                </w14:textFill>
              </w:rPr>
              <w:t>|</w:t>
            </w:r>
            <w:r w:rsidR="00B00AF1" w:rsidRPr="00594056">
              <w:rPr>
                <w:rFonts w:cs="Arial"/>
                <w:color w:val="000000"/>
                <w:szCs w:val="20"/>
                <w:vertAlign w:val="superscript"/>
              </w:rPr>
              <w:t>6</w:t>
            </w:r>
          </w:p>
        </w:tc>
        <w:tc>
          <w:tcPr>
            <w:tcW w:w="0" w:type="pct"/>
            <w:shd w:val="clear" w:color="auto" w:fill="DBE5F1" w:themeFill="accent1" w:themeFillTint="33"/>
            <w:vAlign w:val="center"/>
          </w:tcPr>
          <w:p w14:paraId="53DB17EC" w14:textId="07AD5D77" w:rsidR="00237F4E" w:rsidRPr="00033AB8" w:rsidRDefault="00255D1B" w:rsidP="000E5E12">
            <w:pPr>
              <w:pStyle w:val="TableText"/>
              <w:jc w:val="center"/>
              <w:rPr>
                <w:sz w:val="20"/>
                <w:szCs w:val="20"/>
                <w:highlight w:val="darkGray"/>
              </w:rPr>
            </w:pPr>
            <w:r w:rsidRPr="00255D1B">
              <w:rPr>
                <w:color w:val="000000"/>
                <w:spacing w:val="208"/>
                <w:szCs w:val="20"/>
                <w:shd w:val="solid" w:color="000000" w:fill="000000"/>
                <w:fitText w:val="285" w:id="-606363390"/>
                <w14:textFill>
                  <w14:solidFill>
                    <w14:srgbClr w14:val="000000">
                      <w14:alpha w14:val="100000"/>
                    </w14:srgbClr>
                  </w14:solidFill>
                </w14:textFill>
              </w:rPr>
              <w:t>|</w:t>
            </w:r>
            <w:r w:rsidRPr="00255D1B">
              <w:rPr>
                <w:color w:val="000000"/>
                <w:spacing w:val="1"/>
                <w:szCs w:val="20"/>
                <w:shd w:val="solid" w:color="000000" w:fill="000000"/>
                <w:fitText w:val="285" w:id="-606363390"/>
                <w14:textFill>
                  <w14:solidFill>
                    <w14:srgbClr w14:val="000000">
                      <w14:alpha w14:val="100000"/>
                    </w14:srgbClr>
                  </w14:solidFill>
                </w14:textFill>
              </w:rPr>
              <w:t>|</w:t>
            </w:r>
            <w:r w:rsidR="00B00AF1" w:rsidRPr="00594056">
              <w:rPr>
                <w:rFonts w:cs="Arial"/>
                <w:color w:val="000000"/>
                <w:szCs w:val="20"/>
                <w:vertAlign w:val="superscript"/>
              </w:rPr>
              <w:t>6</w:t>
            </w:r>
          </w:p>
        </w:tc>
      </w:tr>
    </w:tbl>
    <w:p w14:paraId="54436180" w14:textId="1A716F3E" w:rsidR="0009531B" w:rsidRPr="00491884" w:rsidRDefault="0009531B" w:rsidP="0009531B">
      <w:pPr>
        <w:pStyle w:val="FooterTableFigure"/>
        <w:rPr>
          <w:szCs w:val="18"/>
        </w:rPr>
      </w:pPr>
      <w:bookmarkStart w:id="12" w:name="_Hlk195785792"/>
      <w:r w:rsidRPr="00491884">
        <w:t xml:space="preserve">Source: </w:t>
      </w:r>
      <w:r w:rsidRPr="00491884">
        <w:rPr>
          <w:szCs w:val="18"/>
        </w:rPr>
        <w:t>Table</w:t>
      </w:r>
      <w:r w:rsidR="00C83522">
        <w:rPr>
          <w:szCs w:val="18"/>
        </w:rPr>
        <w:t>s</w:t>
      </w:r>
      <w:r w:rsidRPr="00491884">
        <w:rPr>
          <w:szCs w:val="18"/>
        </w:rPr>
        <w:t xml:space="preserve"> </w:t>
      </w:r>
      <w:r w:rsidR="00715B44">
        <w:rPr>
          <w:szCs w:val="18"/>
        </w:rPr>
        <w:t>4-6</w:t>
      </w:r>
      <w:r w:rsidRPr="00491884">
        <w:rPr>
          <w:szCs w:val="18"/>
        </w:rPr>
        <w:t>,</w:t>
      </w:r>
      <w:bookmarkEnd w:id="12"/>
      <w:r w:rsidR="00C83522">
        <w:rPr>
          <w:szCs w:val="18"/>
        </w:rPr>
        <w:t xml:space="preserve"> </w:t>
      </w:r>
      <w:r w:rsidR="00620478">
        <w:rPr>
          <w:szCs w:val="18"/>
        </w:rPr>
        <w:t xml:space="preserve">4-14, </w:t>
      </w:r>
      <w:r w:rsidR="00C83522">
        <w:rPr>
          <w:szCs w:val="18"/>
        </w:rPr>
        <w:t>4-1</w:t>
      </w:r>
      <w:r w:rsidR="00F967E3">
        <w:rPr>
          <w:szCs w:val="18"/>
        </w:rPr>
        <w:t>9</w:t>
      </w:r>
      <w:r w:rsidR="00C83522">
        <w:rPr>
          <w:szCs w:val="18"/>
        </w:rPr>
        <w:t xml:space="preserve"> </w:t>
      </w:r>
      <w:r w:rsidRPr="00491884">
        <w:rPr>
          <w:szCs w:val="18"/>
        </w:rPr>
        <w:t xml:space="preserve">of the </w:t>
      </w:r>
      <w:proofErr w:type="gramStart"/>
      <w:r w:rsidR="00715B44">
        <w:rPr>
          <w:szCs w:val="18"/>
        </w:rPr>
        <w:t>re</w:t>
      </w:r>
      <w:r w:rsidRPr="00491884">
        <w:rPr>
          <w:szCs w:val="18"/>
        </w:rPr>
        <w:t>submission</w:t>
      </w:r>
      <w:proofErr w:type="gramEnd"/>
      <w:r w:rsidR="000E2015">
        <w:rPr>
          <w:szCs w:val="18"/>
        </w:rPr>
        <w:t xml:space="preserve">, </w:t>
      </w:r>
      <w:r w:rsidR="00424A75" w:rsidRPr="005725CA">
        <w:rPr>
          <w:szCs w:val="18"/>
        </w:rPr>
        <w:t>Economic Evaluation Excel model.xlsx provided with resubmission</w:t>
      </w:r>
      <w:r w:rsidR="00424A75">
        <w:rPr>
          <w:sz w:val="16"/>
          <w:szCs w:val="14"/>
          <w:lang w:eastAsia="en-US"/>
        </w:rPr>
        <w:t xml:space="preserve">, </w:t>
      </w:r>
      <w:r w:rsidR="000E2015">
        <w:rPr>
          <w:szCs w:val="18"/>
        </w:rPr>
        <w:t xml:space="preserve">Table 15, </w:t>
      </w:r>
      <w:proofErr w:type="spellStart"/>
      <w:r w:rsidR="000E2015">
        <w:rPr>
          <w:szCs w:val="18"/>
        </w:rPr>
        <w:t>osimertinib</w:t>
      </w:r>
      <w:proofErr w:type="spellEnd"/>
      <w:r w:rsidR="000E2015">
        <w:rPr>
          <w:szCs w:val="18"/>
        </w:rPr>
        <w:t xml:space="preserve"> </w:t>
      </w:r>
      <w:r w:rsidR="000C55DE">
        <w:rPr>
          <w:szCs w:val="18"/>
        </w:rPr>
        <w:t>PSD</w:t>
      </w:r>
      <w:r w:rsidR="000E2015">
        <w:rPr>
          <w:szCs w:val="18"/>
        </w:rPr>
        <w:t>, May 2025 PBAC meeting</w:t>
      </w:r>
    </w:p>
    <w:p w14:paraId="38005616" w14:textId="77777777" w:rsidR="0009531B" w:rsidRPr="00491884" w:rsidRDefault="0009531B" w:rsidP="0009531B">
      <w:pPr>
        <w:pStyle w:val="FooterTableFigure"/>
        <w:rPr>
          <w:szCs w:val="18"/>
        </w:rPr>
      </w:pPr>
      <w:r w:rsidRPr="00491884">
        <w:rPr>
          <w:szCs w:val="18"/>
        </w:rPr>
        <w:t>Values in italics were calculated during evaluation from Table 107, p167 and Table 112 – 114, p171 of the submission.</w:t>
      </w:r>
    </w:p>
    <w:p w14:paraId="7FF35F68" w14:textId="77777777" w:rsidR="0009531B" w:rsidRDefault="0009531B" w:rsidP="0009531B">
      <w:pPr>
        <w:pStyle w:val="FooterTableFigure"/>
      </w:pPr>
      <w:r w:rsidRPr="00491884">
        <w:t>PBS = Pharmaceutical Benefits Scheme; RPBS = Repatriation Pharmaceutical Benefits Scheme.</w:t>
      </w:r>
    </w:p>
    <w:p w14:paraId="36A01BAF" w14:textId="0CAC718A" w:rsidR="0009531B" w:rsidRDefault="0009531B" w:rsidP="0009531B">
      <w:pPr>
        <w:pStyle w:val="FooterTableFigure"/>
      </w:pPr>
      <w:r w:rsidRPr="005F6AB3">
        <w:rPr>
          <w:vertAlign w:val="superscript"/>
        </w:rPr>
        <w:t>a</w:t>
      </w:r>
      <w:r w:rsidRPr="005F6AB3">
        <w:t xml:space="preserve"> Includes</w:t>
      </w:r>
      <w:r>
        <w:t xml:space="preserve"> </w:t>
      </w:r>
      <w:r w:rsidR="002B45E0">
        <w:t xml:space="preserve">&lt;500 </w:t>
      </w:r>
      <w:r>
        <w:t>prevalent patients</w:t>
      </w:r>
    </w:p>
    <w:p w14:paraId="40BD7511" w14:textId="1D31E727" w:rsidR="001B0B06" w:rsidRDefault="00AD076F" w:rsidP="0009531B">
      <w:pPr>
        <w:pStyle w:val="FooterTableFigure"/>
      </w:pPr>
      <w:r w:rsidRPr="00AD076F">
        <w:rPr>
          <w:vertAlign w:val="superscript"/>
        </w:rPr>
        <w:t>b</w:t>
      </w:r>
      <w:r>
        <w:t xml:space="preserve"> Includes </w:t>
      </w:r>
      <w:r w:rsidR="002B45E0">
        <w:t>&lt;</w:t>
      </w:r>
      <w:r w:rsidR="009E0FFE">
        <w:t>500</w:t>
      </w:r>
      <w:r w:rsidR="002B45E0">
        <w:t xml:space="preserve"> </w:t>
      </w:r>
      <w:r>
        <w:t>prev</w:t>
      </w:r>
      <w:r w:rsidR="00A63F05">
        <w:t>a</w:t>
      </w:r>
      <w:r>
        <w:t>lent patients</w:t>
      </w:r>
    </w:p>
    <w:p w14:paraId="15B6B495" w14:textId="7F981464" w:rsidR="00500068" w:rsidRDefault="00AD076F" w:rsidP="00033AB8">
      <w:pPr>
        <w:pStyle w:val="FooterTableFigure"/>
      </w:pPr>
      <w:r w:rsidRPr="00AD076F">
        <w:rPr>
          <w:vertAlign w:val="superscript"/>
        </w:rPr>
        <w:t>c</w:t>
      </w:r>
      <w:r>
        <w:rPr>
          <w:vertAlign w:val="superscript"/>
        </w:rPr>
        <w:t xml:space="preserve"> </w:t>
      </w:r>
      <w:r>
        <w:t xml:space="preserve">Assumed </w:t>
      </w:r>
      <w:proofErr w:type="gramStart"/>
      <w:r w:rsidR="00255D1B" w:rsidRPr="00482C2F">
        <w:rPr>
          <w:color w:val="000000"/>
          <w:spacing w:val="48"/>
          <w:w w:val="85"/>
          <w:shd w:val="solid" w:color="000000" w:fill="000000"/>
          <w:fitText w:val="280" w:id="-606363389"/>
          <w14:textFill>
            <w14:solidFill>
              <w14:srgbClr w14:val="000000">
                <w14:alpha w14:val="100000"/>
              </w14:srgbClr>
            </w14:solidFill>
          </w14:textFill>
        </w:rPr>
        <w:t xml:space="preserve">|  </w:t>
      </w:r>
      <w:r w:rsidR="00255D1B" w:rsidRPr="00482C2F">
        <w:rPr>
          <w:color w:val="000000"/>
          <w:spacing w:val="2"/>
          <w:w w:val="85"/>
          <w:shd w:val="solid" w:color="000000" w:fill="000000"/>
          <w:fitText w:val="280" w:id="-606363389"/>
          <w14:textFill>
            <w14:solidFill>
              <w14:srgbClr w14:val="000000">
                <w14:alpha w14:val="100000"/>
              </w14:srgbClr>
            </w14:solidFill>
          </w14:textFill>
        </w:rPr>
        <w:t>|</w:t>
      </w:r>
      <w:proofErr w:type="gramEnd"/>
      <w:r>
        <w:t xml:space="preserve"> months treatment duration</w:t>
      </w:r>
    </w:p>
    <w:p w14:paraId="78C4F5FB" w14:textId="77777777" w:rsidR="007F4AB4" w:rsidRDefault="00500068" w:rsidP="00500068">
      <w:pPr>
        <w:rPr>
          <w:rFonts w:ascii="Arial Narrow" w:hAnsi="Arial Narrow" w:cs="Arial"/>
          <w:i/>
          <w:sz w:val="18"/>
          <w:szCs w:val="18"/>
        </w:rPr>
      </w:pPr>
      <w:r w:rsidRPr="00500068">
        <w:rPr>
          <w:rFonts w:ascii="Arial Narrow" w:hAnsi="Arial Narrow" w:cs="Arial"/>
          <w:i/>
          <w:sz w:val="18"/>
          <w:szCs w:val="18"/>
        </w:rPr>
        <w:t>The redacted values correspond to the following ranges</w:t>
      </w:r>
    </w:p>
    <w:p w14:paraId="327E6A9A" w14:textId="1E7D9092" w:rsidR="00480163" w:rsidRPr="00953297" w:rsidRDefault="007F4AB4" w:rsidP="00500068">
      <w:pPr>
        <w:rPr>
          <w:rFonts w:ascii="Arial Narrow" w:hAnsi="Arial Narrow" w:cs="Arial"/>
          <w:i/>
          <w:sz w:val="18"/>
          <w:szCs w:val="18"/>
        </w:rPr>
      </w:pPr>
      <w:r w:rsidRPr="00033AB8">
        <w:rPr>
          <w:rFonts w:ascii="Arial Narrow" w:hAnsi="Arial Narrow" w:cs="Arial"/>
          <w:i/>
          <w:sz w:val="18"/>
          <w:szCs w:val="18"/>
          <w:vertAlign w:val="superscript"/>
        </w:rPr>
        <w:t>1</w:t>
      </w:r>
      <w:r w:rsidRPr="00953297">
        <w:rPr>
          <w:rFonts w:ascii="Arial Narrow" w:hAnsi="Arial Narrow" w:cs="Arial"/>
          <w:i/>
          <w:sz w:val="18"/>
          <w:szCs w:val="18"/>
        </w:rPr>
        <w:t xml:space="preserve"> &lt; 500</w:t>
      </w:r>
    </w:p>
    <w:p w14:paraId="4D17E10E" w14:textId="77777777" w:rsidR="00452D08" w:rsidRPr="00953297" w:rsidRDefault="00480163" w:rsidP="00500068">
      <w:pPr>
        <w:rPr>
          <w:rFonts w:ascii="Arial Narrow" w:hAnsi="Arial Narrow" w:cs="Arial"/>
          <w:i/>
          <w:sz w:val="18"/>
          <w:szCs w:val="18"/>
        </w:rPr>
      </w:pPr>
      <w:r w:rsidRPr="00033AB8">
        <w:rPr>
          <w:rFonts w:ascii="Arial Narrow" w:hAnsi="Arial Narrow" w:cs="Arial"/>
          <w:i/>
          <w:sz w:val="18"/>
          <w:szCs w:val="18"/>
          <w:vertAlign w:val="superscript"/>
        </w:rPr>
        <w:t>2</w:t>
      </w:r>
      <w:r w:rsidRPr="00953297">
        <w:rPr>
          <w:rFonts w:ascii="Arial Narrow" w:hAnsi="Arial Narrow" w:cs="Arial"/>
          <w:i/>
          <w:sz w:val="18"/>
          <w:szCs w:val="18"/>
        </w:rPr>
        <w:t xml:space="preserve"> 10,000 to &lt; 20,000</w:t>
      </w:r>
    </w:p>
    <w:p w14:paraId="56004994" w14:textId="77777777" w:rsidR="008A4056" w:rsidRPr="00953297" w:rsidRDefault="00452D08" w:rsidP="00500068">
      <w:pPr>
        <w:rPr>
          <w:rFonts w:ascii="Arial Narrow" w:hAnsi="Arial Narrow" w:cs="Arial"/>
          <w:i/>
          <w:sz w:val="18"/>
          <w:szCs w:val="18"/>
        </w:rPr>
      </w:pPr>
      <w:r w:rsidRPr="00033AB8">
        <w:rPr>
          <w:rFonts w:ascii="Arial Narrow" w:hAnsi="Arial Narrow" w:cs="Arial"/>
          <w:i/>
          <w:sz w:val="18"/>
          <w:szCs w:val="18"/>
          <w:vertAlign w:val="superscript"/>
        </w:rPr>
        <w:t>3</w:t>
      </w:r>
      <w:r w:rsidRPr="00953297">
        <w:rPr>
          <w:rFonts w:ascii="Arial Narrow" w:hAnsi="Arial Narrow" w:cs="Arial"/>
          <w:i/>
          <w:sz w:val="18"/>
          <w:szCs w:val="18"/>
        </w:rPr>
        <w:t xml:space="preserve"> $30 million to &lt; $40 million</w:t>
      </w:r>
    </w:p>
    <w:p w14:paraId="1DF63073" w14:textId="77777777" w:rsidR="00A37483" w:rsidRPr="00953297" w:rsidRDefault="008A4056" w:rsidP="00500068">
      <w:pPr>
        <w:rPr>
          <w:rFonts w:ascii="Arial Narrow" w:hAnsi="Arial Narrow" w:cs="Arial"/>
          <w:i/>
          <w:sz w:val="18"/>
          <w:szCs w:val="18"/>
        </w:rPr>
      </w:pPr>
      <w:r w:rsidRPr="00033AB8">
        <w:rPr>
          <w:rFonts w:ascii="Arial Narrow" w:hAnsi="Arial Narrow" w:cs="Arial"/>
          <w:i/>
          <w:sz w:val="18"/>
          <w:szCs w:val="18"/>
          <w:vertAlign w:val="superscript"/>
        </w:rPr>
        <w:t>4</w:t>
      </w:r>
      <w:r w:rsidRPr="00953297">
        <w:rPr>
          <w:rFonts w:ascii="Arial Narrow" w:hAnsi="Arial Narrow" w:cs="Arial"/>
          <w:i/>
          <w:sz w:val="18"/>
          <w:szCs w:val="18"/>
        </w:rPr>
        <w:t xml:space="preserve"> $50 million to &lt; $60 million</w:t>
      </w:r>
    </w:p>
    <w:p w14:paraId="7FCCCCDF" w14:textId="77777777" w:rsidR="00CD6A24" w:rsidRPr="00953297" w:rsidRDefault="00A37483" w:rsidP="00500068">
      <w:pPr>
        <w:rPr>
          <w:rFonts w:ascii="Arial Narrow" w:hAnsi="Arial Narrow" w:cs="Arial"/>
          <w:i/>
          <w:sz w:val="18"/>
          <w:szCs w:val="18"/>
        </w:rPr>
      </w:pPr>
      <w:r w:rsidRPr="00033AB8">
        <w:rPr>
          <w:rFonts w:ascii="Arial Narrow" w:hAnsi="Arial Narrow" w:cs="Arial"/>
          <w:i/>
          <w:sz w:val="18"/>
          <w:szCs w:val="18"/>
          <w:vertAlign w:val="superscript"/>
        </w:rPr>
        <w:t>5</w:t>
      </w:r>
      <w:r w:rsidRPr="00953297">
        <w:rPr>
          <w:rFonts w:ascii="Arial Narrow" w:hAnsi="Arial Narrow" w:cs="Arial"/>
          <w:i/>
          <w:sz w:val="18"/>
          <w:szCs w:val="18"/>
        </w:rPr>
        <w:t xml:space="preserve"> net cost saving </w:t>
      </w:r>
    </w:p>
    <w:p w14:paraId="69834D4D" w14:textId="332A7B66" w:rsidR="00500068" w:rsidRPr="00953297" w:rsidRDefault="00CD6A24" w:rsidP="00500068">
      <w:pPr>
        <w:rPr>
          <w:rFonts w:ascii="Arial Narrow" w:hAnsi="Arial Narrow" w:cs="Arial"/>
          <w:i/>
          <w:sz w:val="18"/>
          <w:szCs w:val="18"/>
        </w:rPr>
      </w:pPr>
      <w:r w:rsidRPr="00033AB8">
        <w:rPr>
          <w:rFonts w:ascii="Arial Narrow" w:hAnsi="Arial Narrow" w:cs="Arial"/>
          <w:i/>
          <w:sz w:val="18"/>
          <w:szCs w:val="18"/>
          <w:vertAlign w:val="superscript"/>
        </w:rPr>
        <w:t>6</w:t>
      </w:r>
      <w:r w:rsidRPr="00953297">
        <w:rPr>
          <w:rFonts w:ascii="Arial Narrow" w:hAnsi="Arial Narrow" w:cs="Arial"/>
          <w:i/>
          <w:sz w:val="18"/>
          <w:szCs w:val="18"/>
        </w:rPr>
        <w:t xml:space="preserve"> $0 to &lt; $10 million</w:t>
      </w:r>
    </w:p>
    <w:p w14:paraId="6D39790F" w14:textId="4ABFE9F9" w:rsidR="00500068" w:rsidRPr="00953297" w:rsidRDefault="00E571AF" w:rsidP="00500068">
      <w:pPr>
        <w:rPr>
          <w:rFonts w:ascii="Arial Narrow" w:hAnsi="Arial Narrow" w:cs="Arial"/>
          <w:i/>
          <w:sz w:val="18"/>
          <w:szCs w:val="18"/>
        </w:rPr>
      </w:pPr>
      <w:r w:rsidRPr="00953297">
        <w:rPr>
          <w:rFonts w:ascii="Arial Narrow" w:hAnsi="Arial Narrow" w:cs="Arial"/>
          <w:i/>
          <w:sz w:val="18"/>
          <w:szCs w:val="18"/>
          <w:vertAlign w:val="superscript"/>
        </w:rPr>
        <w:t>7</w:t>
      </w:r>
      <w:r w:rsidR="00500068" w:rsidRPr="00953297">
        <w:rPr>
          <w:rFonts w:ascii="Arial Narrow" w:hAnsi="Arial Narrow" w:cs="Arial"/>
          <w:i/>
          <w:sz w:val="18"/>
          <w:szCs w:val="18"/>
        </w:rPr>
        <w:t xml:space="preserve"> 500 to &lt; 5,000</w:t>
      </w:r>
    </w:p>
    <w:p w14:paraId="2645ED0B" w14:textId="1BBCB315" w:rsidR="00500068" w:rsidRPr="00953297" w:rsidRDefault="00E571AF" w:rsidP="00500068">
      <w:pPr>
        <w:rPr>
          <w:rFonts w:ascii="Arial Narrow" w:hAnsi="Arial Narrow" w:cs="Arial"/>
          <w:i/>
          <w:sz w:val="18"/>
          <w:szCs w:val="18"/>
        </w:rPr>
      </w:pPr>
      <w:r w:rsidRPr="00953297">
        <w:rPr>
          <w:rFonts w:ascii="Arial Narrow" w:hAnsi="Arial Narrow" w:cs="Arial"/>
          <w:i/>
          <w:sz w:val="18"/>
          <w:szCs w:val="18"/>
          <w:vertAlign w:val="superscript"/>
        </w:rPr>
        <w:lastRenderedPageBreak/>
        <w:t>8</w:t>
      </w:r>
      <w:r w:rsidR="00500068" w:rsidRPr="00953297">
        <w:rPr>
          <w:rFonts w:ascii="Arial Narrow" w:hAnsi="Arial Narrow" w:cs="Arial"/>
          <w:i/>
          <w:sz w:val="18"/>
          <w:szCs w:val="18"/>
        </w:rPr>
        <w:t xml:space="preserve"> 5,000 to &lt; 10,000</w:t>
      </w:r>
    </w:p>
    <w:p w14:paraId="2C08AABF" w14:textId="36147E8B" w:rsidR="0039511B" w:rsidRPr="00953297" w:rsidRDefault="0039511B" w:rsidP="0039511B">
      <w:pPr>
        <w:rPr>
          <w:rFonts w:ascii="Arial Narrow" w:hAnsi="Arial Narrow" w:cs="Arial"/>
          <w:i/>
          <w:sz w:val="18"/>
          <w:szCs w:val="18"/>
        </w:rPr>
      </w:pPr>
      <w:r w:rsidRPr="00953297">
        <w:rPr>
          <w:rFonts w:ascii="Arial Narrow" w:hAnsi="Arial Narrow" w:cs="Arial"/>
          <w:i/>
          <w:sz w:val="18"/>
          <w:szCs w:val="18"/>
          <w:vertAlign w:val="superscript"/>
        </w:rPr>
        <w:t>9</w:t>
      </w:r>
      <w:r w:rsidRPr="00953297">
        <w:rPr>
          <w:rFonts w:ascii="Arial Narrow" w:hAnsi="Arial Narrow" w:cs="Arial"/>
          <w:i/>
          <w:sz w:val="18"/>
          <w:szCs w:val="18"/>
        </w:rPr>
        <w:t xml:space="preserve"> $40 million to &lt; $50 million</w:t>
      </w:r>
    </w:p>
    <w:p w14:paraId="6093BAFF" w14:textId="6E74DAFA" w:rsidR="0039511B" w:rsidRPr="00500068" w:rsidRDefault="009143A1" w:rsidP="00500068">
      <w:pPr>
        <w:rPr>
          <w:rFonts w:ascii="Arial Narrow" w:hAnsi="Arial Narrow" w:cs="Arial"/>
          <w:i/>
          <w:sz w:val="18"/>
          <w:szCs w:val="18"/>
        </w:rPr>
      </w:pPr>
      <w:r w:rsidRPr="00953297">
        <w:rPr>
          <w:rFonts w:ascii="Arial Narrow" w:hAnsi="Arial Narrow" w:cs="Arial"/>
          <w:i/>
          <w:sz w:val="18"/>
          <w:szCs w:val="18"/>
          <w:vertAlign w:val="superscript"/>
        </w:rPr>
        <w:t>10</w:t>
      </w:r>
      <w:r w:rsidRPr="00953297">
        <w:rPr>
          <w:rFonts w:ascii="Arial Narrow" w:hAnsi="Arial Narrow" w:cs="Arial"/>
          <w:i/>
          <w:sz w:val="18"/>
          <w:szCs w:val="18"/>
        </w:rPr>
        <w:t xml:space="preserve"> $10 million to &lt; $20 million</w:t>
      </w:r>
    </w:p>
    <w:p w14:paraId="081CF147" w14:textId="77777777" w:rsidR="002E52DC" w:rsidRPr="00491884" w:rsidRDefault="002E52DC" w:rsidP="00033AB8">
      <w:pPr>
        <w:pStyle w:val="4-SubsectionHeading"/>
        <w:keepNext/>
      </w:pPr>
      <w:bookmarkStart w:id="13" w:name="_Toc22897649"/>
      <w:bookmarkStart w:id="14" w:name="_Toc192751753"/>
      <w:r w:rsidRPr="00491884">
        <w:t>Financial Management – Risk Sharing Arrangements</w:t>
      </w:r>
      <w:bookmarkEnd w:id="13"/>
      <w:bookmarkEnd w:id="14"/>
    </w:p>
    <w:p w14:paraId="4E020DDC" w14:textId="1C5950C6" w:rsidR="00A552B3" w:rsidRDefault="00175BD0" w:rsidP="00A552B3">
      <w:pPr>
        <w:pStyle w:val="3-BodyText"/>
      </w:pPr>
      <w:r w:rsidRPr="00491884">
        <w:t xml:space="preserve">There is a current </w:t>
      </w:r>
      <w:r>
        <w:t>D</w:t>
      </w:r>
      <w:r w:rsidRPr="00491884">
        <w:t xml:space="preserve">eed of </w:t>
      </w:r>
      <w:r>
        <w:t>A</w:t>
      </w:r>
      <w:r w:rsidRPr="00491884">
        <w:t xml:space="preserve">greement for </w:t>
      </w:r>
      <w:proofErr w:type="spellStart"/>
      <w:r w:rsidRPr="00491884">
        <w:t>osimertinib</w:t>
      </w:r>
      <w:proofErr w:type="spellEnd"/>
      <w:r w:rsidRPr="00491884">
        <w:t xml:space="preserve"> which includes use in first-line, </w:t>
      </w:r>
      <w:proofErr w:type="gramStart"/>
      <w:r w:rsidRPr="00491884">
        <w:t>second-line</w:t>
      </w:r>
      <w:proofErr w:type="gramEnd"/>
      <w:r w:rsidRPr="00491884">
        <w:t xml:space="preserve"> and adjuvant treatment of </w:t>
      </w:r>
      <w:r w:rsidRPr="007B60A2">
        <w:rPr>
          <w:i/>
          <w:iCs/>
        </w:rPr>
        <w:t>EGFRm</w:t>
      </w:r>
      <w:r w:rsidRPr="00491884">
        <w:t xml:space="preserve"> positive NSCLC</w:t>
      </w:r>
      <w:r w:rsidR="002B3C39">
        <w:t xml:space="preserve">, with </w:t>
      </w:r>
      <w:r w:rsidR="00255D1B" w:rsidRPr="00255D1B">
        <w:rPr>
          <w:color w:val="000000"/>
          <w:w w:val="61"/>
          <w:shd w:val="solid" w:color="000000" w:fill="000000"/>
          <w:fitText w:val="475" w:id="-606363388"/>
          <w14:textFill>
            <w14:solidFill>
              <w14:srgbClr w14:val="000000">
                <w14:alpha w14:val="100000"/>
              </w14:srgbClr>
            </w14:solidFill>
          </w14:textFill>
        </w:rPr>
        <w:t>||</w:t>
      </w:r>
      <w:proofErr w:type="gramStart"/>
      <w:r w:rsidR="00255D1B" w:rsidRPr="00255D1B">
        <w:rPr>
          <w:color w:val="000000"/>
          <w:w w:val="61"/>
          <w:shd w:val="solid" w:color="000000" w:fill="000000"/>
          <w:fitText w:val="475" w:id="-606363388"/>
          <w14:textFill>
            <w14:solidFill>
              <w14:srgbClr w14:val="000000">
                <w14:alpha w14:val="100000"/>
              </w14:srgbClr>
            </w14:solidFill>
          </w14:textFill>
        </w:rPr>
        <w:t>|  |</w:t>
      </w:r>
      <w:proofErr w:type="gramEnd"/>
      <w:r w:rsidR="00255D1B" w:rsidRPr="00255D1B">
        <w:rPr>
          <w:color w:val="000000"/>
          <w:w w:val="61"/>
          <w:shd w:val="solid" w:color="000000" w:fill="000000"/>
          <w:fitText w:val="475" w:id="-606363388"/>
          <w14:textFill>
            <w14:solidFill>
              <w14:srgbClr w14:val="000000">
                <w14:alpha w14:val="100000"/>
              </w14:srgbClr>
            </w14:solidFill>
          </w14:textFill>
        </w:rPr>
        <w:t>|</w:t>
      </w:r>
      <w:r w:rsidR="00255D1B" w:rsidRPr="00255D1B">
        <w:rPr>
          <w:color w:val="000000"/>
          <w:spacing w:val="5"/>
          <w:w w:val="61"/>
          <w:shd w:val="solid" w:color="000000" w:fill="000000"/>
          <w:fitText w:val="475" w:id="-606363388"/>
          <w14:textFill>
            <w14:solidFill>
              <w14:srgbClr w14:val="000000">
                <w14:alpha w14:val="100000"/>
              </w14:srgbClr>
            </w14:solidFill>
          </w14:textFill>
        </w:rPr>
        <w:t>|</w:t>
      </w:r>
      <w:r w:rsidR="00A552B3" w:rsidRPr="00A552B3">
        <w:t>%</w:t>
      </w:r>
      <w:r w:rsidR="002B3C39">
        <w:t xml:space="preserve"> rebate for spend above expenditure caps</w:t>
      </w:r>
      <w:r w:rsidR="00EE7708">
        <w:t xml:space="preserve"> (</w:t>
      </w:r>
      <w:r w:rsidR="00EE7708">
        <w:fldChar w:fldCharType="begin"/>
      </w:r>
      <w:r w:rsidR="00EE7708">
        <w:instrText xml:space="preserve"> REF _Ref206150009 \h </w:instrText>
      </w:r>
      <w:r w:rsidR="00EE7708">
        <w:fldChar w:fldCharType="separate"/>
      </w:r>
      <w:r w:rsidR="0055339A">
        <w:t xml:space="preserve">Table </w:t>
      </w:r>
      <w:r w:rsidR="0055339A">
        <w:rPr>
          <w:noProof/>
        </w:rPr>
        <w:t>8</w:t>
      </w:r>
      <w:r w:rsidR="00EE7708">
        <w:fldChar w:fldCharType="end"/>
      </w:r>
      <w:r w:rsidR="00EE7708">
        <w:t>)</w:t>
      </w:r>
      <w:r w:rsidR="00A552B3" w:rsidRPr="00A552B3">
        <w:t>.</w:t>
      </w:r>
    </w:p>
    <w:p w14:paraId="25E80044" w14:textId="13DBD6E6" w:rsidR="001A674E" w:rsidRDefault="004747FA" w:rsidP="00EE7708">
      <w:pPr>
        <w:pStyle w:val="Caption"/>
      </w:pPr>
      <w:bookmarkStart w:id="15" w:name="_Ref206150009"/>
      <w:r>
        <w:t xml:space="preserve">Table </w:t>
      </w:r>
      <w:r>
        <w:fldChar w:fldCharType="begin"/>
      </w:r>
      <w:r>
        <w:instrText xml:space="preserve"> SEQ Table \* ARABIC </w:instrText>
      </w:r>
      <w:r>
        <w:fldChar w:fldCharType="separate"/>
      </w:r>
      <w:r w:rsidR="0055339A">
        <w:rPr>
          <w:noProof/>
        </w:rPr>
        <w:t>8</w:t>
      </w:r>
      <w:r>
        <w:rPr>
          <w:noProof/>
        </w:rPr>
        <w:fldChar w:fldCharType="end"/>
      </w:r>
      <w:bookmarkEnd w:id="15"/>
      <w:r w:rsidRPr="004747FA">
        <w:t xml:space="preserve">: </w:t>
      </w:r>
      <w:r>
        <w:t xml:space="preserve">Expenditure cap and Commonwealth spend: </w:t>
      </w:r>
      <w:r w:rsidR="00EE7708">
        <w:t>first line, second line and adjuvant treatment of EGFRm NSCLC</w:t>
      </w:r>
    </w:p>
    <w:tbl>
      <w:tblPr>
        <w:tblStyle w:val="HTATableshaded"/>
        <w:tblW w:w="5000" w:type="pct"/>
        <w:tblLook w:val="04A0" w:firstRow="1" w:lastRow="0" w:firstColumn="1" w:lastColumn="0" w:noHBand="0" w:noVBand="1"/>
        <w:tblCaption w:val="Expenditure cap and Commonwealth spend: first line, second line and adjuvant treatment of EGFRm NSCLC"/>
      </w:tblPr>
      <w:tblGrid>
        <w:gridCol w:w="2573"/>
        <w:gridCol w:w="1601"/>
        <w:gridCol w:w="3041"/>
        <w:gridCol w:w="1801"/>
      </w:tblGrid>
      <w:tr w:rsidR="004747FA" w:rsidRPr="00EE7708" w14:paraId="25735138" w14:textId="77777777" w:rsidTr="00033AB8">
        <w:trPr>
          <w:cnfStyle w:val="100000000000" w:firstRow="1" w:lastRow="0" w:firstColumn="0" w:lastColumn="0" w:oddVBand="0" w:evenVBand="0" w:oddHBand="0" w:evenHBand="0" w:firstRowFirstColumn="0" w:firstRowLastColumn="0" w:lastRowFirstColumn="0" w:lastRowLastColumn="0"/>
          <w:trHeight w:val="300"/>
          <w:tblHeader/>
        </w:trPr>
        <w:tc>
          <w:tcPr>
            <w:tcW w:w="0" w:type="pct"/>
            <w:hideMark/>
          </w:tcPr>
          <w:p w14:paraId="60E9FA73" w14:textId="77777777" w:rsidR="004747FA" w:rsidRPr="00EE7708" w:rsidRDefault="004747FA" w:rsidP="004747FA">
            <w:pPr>
              <w:rPr>
                <w:rFonts w:ascii="Arial Narrow" w:eastAsiaTheme="minorHAnsi" w:hAnsi="Arial Narrow" w:cs="Aptos"/>
                <w:b/>
                <w:bCs/>
                <w:color w:val="000000"/>
                <w:sz w:val="20"/>
                <w:szCs w:val="20"/>
              </w:rPr>
            </w:pPr>
            <w:r w:rsidRPr="00EE7708">
              <w:rPr>
                <w:rFonts w:ascii="Arial Narrow" w:hAnsi="Arial Narrow"/>
                <w:b/>
                <w:bCs/>
                <w:color w:val="000000"/>
                <w:sz w:val="20"/>
                <w:szCs w:val="20"/>
              </w:rPr>
              <w:t>Year</w:t>
            </w:r>
          </w:p>
        </w:tc>
        <w:tc>
          <w:tcPr>
            <w:tcW w:w="0" w:type="pct"/>
          </w:tcPr>
          <w:p w14:paraId="2D21F039" w14:textId="6946EF20" w:rsidR="004747FA" w:rsidRPr="00EE7708" w:rsidRDefault="004747FA" w:rsidP="004747FA">
            <w:pPr>
              <w:jc w:val="center"/>
              <w:rPr>
                <w:rFonts w:ascii="Arial Narrow" w:hAnsi="Arial Narrow"/>
                <w:b/>
                <w:bCs/>
                <w:color w:val="000000"/>
                <w:sz w:val="20"/>
                <w:szCs w:val="20"/>
              </w:rPr>
            </w:pPr>
            <w:r w:rsidRPr="00EE7708">
              <w:rPr>
                <w:rFonts w:ascii="Arial Narrow" w:hAnsi="Arial Narrow"/>
                <w:b/>
                <w:bCs/>
                <w:color w:val="000000"/>
                <w:sz w:val="20"/>
                <w:szCs w:val="20"/>
              </w:rPr>
              <w:t>Expenditure cap</w:t>
            </w:r>
          </w:p>
        </w:tc>
        <w:tc>
          <w:tcPr>
            <w:tcW w:w="0" w:type="pct"/>
            <w:noWrap/>
            <w:hideMark/>
          </w:tcPr>
          <w:p w14:paraId="3E4F159A" w14:textId="357EDFD1" w:rsidR="004747FA" w:rsidRPr="00EE7708" w:rsidRDefault="004747FA" w:rsidP="004747FA">
            <w:pPr>
              <w:jc w:val="center"/>
              <w:rPr>
                <w:rFonts w:ascii="Arial Narrow" w:hAnsi="Arial Narrow"/>
                <w:b/>
                <w:bCs/>
                <w:color w:val="000000"/>
                <w:sz w:val="20"/>
                <w:szCs w:val="20"/>
              </w:rPr>
            </w:pPr>
            <w:r w:rsidRPr="00EE7708">
              <w:rPr>
                <w:rFonts w:ascii="Arial Narrow" w:hAnsi="Arial Narrow"/>
                <w:b/>
                <w:bCs/>
                <w:color w:val="000000"/>
                <w:sz w:val="20"/>
                <w:szCs w:val="20"/>
              </w:rPr>
              <w:t>Total Commonwealth Payment</w:t>
            </w:r>
          </w:p>
        </w:tc>
        <w:tc>
          <w:tcPr>
            <w:tcW w:w="0" w:type="pct"/>
            <w:noWrap/>
            <w:hideMark/>
          </w:tcPr>
          <w:p w14:paraId="4466590E" w14:textId="77777777" w:rsidR="004747FA" w:rsidRPr="00EE7708" w:rsidRDefault="004747FA" w:rsidP="004747FA">
            <w:pPr>
              <w:jc w:val="center"/>
              <w:rPr>
                <w:rFonts w:ascii="Arial Narrow" w:hAnsi="Arial Narrow"/>
                <w:b/>
                <w:bCs/>
                <w:color w:val="000000"/>
                <w:sz w:val="20"/>
                <w:szCs w:val="20"/>
              </w:rPr>
            </w:pPr>
            <w:r w:rsidRPr="00EE7708">
              <w:rPr>
                <w:rFonts w:ascii="Arial Narrow" w:hAnsi="Arial Narrow"/>
                <w:b/>
                <w:bCs/>
                <w:color w:val="000000"/>
                <w:sz w:val="20"/>
                <w:szCs w:val="20"/>
              </w:rPr>
              <w:t>% cap reached</w:t>
            </w:r>
          </w:p>
        </w:tc>
      </w:tr>
      <w:tr w:rsidR="004747FA" w:rsidRPr="00EE7708" w14:paraId="500A8D8B" w14:textId="77777777" w:rsidTr="00033AB8">
        <w:trPr>
          <w:cnfStyle w:val="100000000000" w:firstRow="1" w:lastRow="0" w:firstColumn="0" w:lastColumn="0" w:oddVBand="0" w:evenVBand="0" w:oddHBand="0" w:evenHBand="0" w:firstRowFirstColumn="0" w:firstRowLastColumn="0" w:lastRowFirstColumn="0" w:lastRowLastColumn="0"/>
          <w:trHeight w:val="300"/>
          <w:tblHeader/>
        </w:trPr>
        <w:tc>
          <w:tcPr>
            <w:tcW w:w="0" w:type="pct"/>
            <w:noWrap/>
            <w:hideMark/>
          </w:tcPr>
          <w:p w14:paraId="0E604967" w14:textId="5E44554A" w:rsidR="004747FA" w:rsidRPr="00EE7708" w:rsidRDefault="004747FA" w:rsidP="004747FA">
            <w:pPr>
              <w:rPr>
                <w:rFonts w:ascii="Arial Narrow" w:eastAsiaTheme="minorHAnsi" w:hAnsi="Arial Narrow" w:cs="Aptos"/>
                <w:color w:val="000000"/>
                <w:sz w:val="20"/>
                <w:szCs w:val="20"/>
              </w:rPr>
            </w:pPr>
            <w:r w:rsidRPr="00EE7708">
              <w:rPr>
                <w:rFonts w:ascii="Arial Narrow" w:hAnsi="Arial Narrow"/>
                <w:color w:val="000000"/>
                <w:sz w:val="20"/>
                <w:szCs w:val="20"/>
              </w:rPr>
              <w:t xml:space="preserve">Year 1 (June 24 -May </w:t>
            </w:r>
            <w:proofErr w:type="gramStart"/>
            <w:r w:rsidRPr="00EE7708">
              <w:rPr>
                <w:rFonts w:ascii="Arial Narrow" w:hAnsi="Arial Narrow"/>
                <w:color w:val="000000"/>
                <w:sz w:val="20"/>
                <w:szCs w:val="20"/>
              </w:rPr>
              <w:t>25)</w:t>
            </w:r>
            <w:r w:rsidR="00EE7708" w:rsidRPr="00EE7708">
              <w:rPr>
                <w:rFonts w:ascii="Arial Narrow" w:hAnsi="Arial Narrow"/>
                <w:color w:val="000000"/>
                <w:sz w:val="20"/>
                <w:szCs w:val="20"/>
                <w:vertAlign w:val="superscript"/>
              </w:rPr>
              <w:t>a</w:t>
            </w:r>
            <w:proofErr w:type="gramEnd"/>
          </w:p>
        </w:tc>
        <w:tc>
          <w:tcPr>
            <w:tcW w:w="0" w:type="pct"/>
          </w:tcPr>
          <w:p w14:paraId="48C75003" w14:textId="6B1DD150" w:rsidR="004747FA" w:rsidRPr="00EE7708" w:rsidRDefault="004747FA" w:rsidP="004747FA">
            <w:pPr>
              <w:jc w:val="center"/>
              <w:rPr>
                <w:rFonts w:ascii="Arial Narrow" w:hAnsi="Arial Narrow"/>
                <w:color w:val="000000"/>
                <w:sz w:val="20"/>
                <w:szCs w:val="20"/>
              </w:rPr>
            </w:pPr>
            <w:r w:rsidRPr="61F047E1">
              <w:rPr>
                <w:rFonts w:ascii="Arial Narrow" w:hAnsi="Arial Narrow"/>
                <w:color w:val="000000" w:themeColor="text1"/>
                <w:sz w:val="20"/>
                <w:szCs w:val="20"/>
              </w:rPr>
              <w:t>$</w:t>
            </w:r>
            <w:r w:rsidR="00255D1B" w:rsidRPr="00255D1B">
              <w:rPr>
                <w:rFonts w:ascii="Arial Narrow" w:hAnsi="Arial Narrow"/>
                <w:color w:val="000000" w:themeColor="text1"/>
                <w:spacing w:val="53"/>
                <w:sz w:val="20"/>
                <w:szCs w:val="20"/>
                <w:shd w:val="solid" w:color="000000" w:fill="000000"/>
                <w:fitText w:val="330" w:id="-606363387"/>
                <w14:textFill>
                  <w14:solidFill>
                    <w14:schemeClr w14:val="tx1">
                      <w14:alpha w14:val="100000"/>
                    </w14:schemeClr>
                  </w14:solidFill>
                </w14:textFill>
              </w:rPr>
              <w:t>|||</w:t>
            </w:r>
            <w:r w:rsidR="00255D1B" w:rsidRPr="00255D1B">
              <w:rPr>
                <w:rFonts w:ascii="Arial Narrow" w:hAnsi="Arial Narrow"/>
                <w:color w:val="000000" w:themeColor="text1"/>
                <w:spacing w:val="1"/>
                <w:sz w:val="20"/>
                <w:szCs w:val="20"/>
                <w:shd w:val="solid" w:color="000000" w:fill="000000"/>
                <w:fitText w:val="330" w:id="-606363387"/>
                <w14:textFill>
                  <w14:solidFill>
                    <w14:schemeClr w14:val="tx1">
                      <w14:alpha w14:val="100000"/>
                    </w14:schemeClr>
                  </w14:solidFill>
                </w14:textFill>
              </w:rPr>
              <w:t>|</w:t>
            </w:r>
          </w:p>
        </w:tc>
        <w:tc>
          <w:tcPr>
            <w:tcW w:w="0" w:type="pct"/>
            <w:noWrap/>
            <w:hideMark/>
          </w:tcPr>
          <w:p w14:paraId="46B4B90E" w14:textId="2D40682F" w:rsidR="004747FA" w:rsidRPr="00EE7708" w:rsidRDefault="004747FA" w:rsidP="004747FA">
            <w:pPr>
              <w:jc w:val="center"/>
              <w:rPr>
                <w:rFonts w:ascii="Arial Narrow" w:hAnsi="Arial Narrow"/>
                <w:color w:val="000000"/>
                <w:sz w:val="20"/>
                <w:szCs w:val="20"/>
              </w:rPr>
            </w:pPr>
            <w:r w:rsidRPr="2674AD9D">
              <w:rPr>
                <w:rFonts w:ascii="Arial Narrow" w:hAnsi="Arial Narrow"/>
                <w:color w:val="000000" w:themeColor="text1"/>
                <w:sz w:val="20"/>
                <w:szCs w:val="20"/>
              </w:rPr>
              <w:t>$</w:t>
            </w:r>
            <w:r w:rsidR="00255D1B" w:rsidRPr="00255D1B">
              <w:rPr>
                <w:rFonts w:ascii="Arial Narrow" w:hAnsi="Arial Narrow"/>
                <w:color w:val="000000" w:themeColor="text1"/>
                <w:spacing w:val="53"/>
                <w:sz w:val="20"/>
                <w:szCs w:val="20"/>
                <w:shd w:val="solid" w:color="000000" w:fill="000000"/>
                <w:fitText w:val="330" w:id="-606363386"/>
                <w14:textFill>
                  <w14:solidFill>
                    <w14:schemeClr w14:val="tx1">
                      <w14:alpha w14:val="100000"/>
                    </w14:schemeClr>
                  </w14:solidFill>
                </w14:textFill>
              </w:rPr>
              <w:t>|||</w:t>
            </w:r>
            <w:r w:rsidR="00255D1B" w:rsidRPr="00255D1B">
              <w:rPr>
                <w:rFonts w:ascii="Arial Narrow" w:hAnsi="Arial Narrow"/>
                <w:color w:val="000000" w:themeColor="text1"/>
                <w:spacing w:val="1"/>
                <w:sz w:val="20"/>
                <w:szCs w:val="20"/>
                <w:shd w:val="solid" w:color="000000" w:fill="000000"/>
                <w:fitText w:val="330" w:id="-606363386"/>
                <w14:textFill>
                  <w14:solidFill>
                    <w14:schemeClr w14:val="tx1">
                      <w14:alpha w14:val="100000"/>
                    </w14:schemeClr>
                  </w14:solidFill>
                </w14:textFill>
              </w:rPr>
              <w:t>|</w:t>
            </w:r>
          </w:p>
        </w:tc>
        <w:tc>
          <w:tcPr>
            <w:tcW w:w="0" w:type="pct"/>
            <w:noWrap/>
            <w:hideMark/>
          </w:tcPr>
          <w:p w14:paraId="1D1BD6C2" w14:textId="188F1C01" w:rsidR="004747FA" w:rsidRPr="00EE7708" w:rsidRDefault="00255D1B" w:rsidP="004747FA">
            <w:pPr>
              <w:jc w:val="center"/>
              <w:rPr>
                <w:rFonts w:ascii="Arial Narrow" w:hAnsi="Arial Narrow"/>
                <w:color w:val="000000"/>
                <w:sz w:val="20"/>
                <w:szCs w:val="20"/>
              </w:rPr>
            </w:pPr>
            <w:r w:rsidRPr="00255D1B">
              <w:rPr>
                <w:rFonts w:ascii="Arial Narrow" w:hAnsi="Arial Narrow"/>
                <w:color w:val="000000"/>
                <w:spacing w:val="53"/>
                <w:sz w:val="20"/>
                <w:szCs w:val="20"/>
                <w:shd w:val="solid" w:color="000000" w:fill="000000"/>
                <w:fitText w:val="330" w:id="-606363385"/>
                <w14:textFill>
                  <w14:solidFill>
                    <w14:srgbClr w14:val="000000">
                      <w14:alpha w14:val="100000"/>
                    </w14:srgbClr>
                  </w14:solidFill>
                </w14:textFill>
              </w:rPr>
              <w:t>|||</w:t>
            </w:r>
            <w:r w:rsidRPr="00255D1B">
              <w:rPr>
                <w:rFonts w:ascii="Arial Narrow" w:hAnsi="Arial Narrow"/>
                <w:color w:val="000000"/>
                <w:spacing w:val="1"/>
                <w:sz w:val="20"/>
                <w:szCs w:val="20"/>
                <w:shd w:val="solid" w:color="000000" w:fill="000000"/>
                <w:fitText w:val="330" w:id="-606363385"/>
                <w14:textFill>
                  <w14:solidFill>
                    <w14:srgbClr w14:val="000000">
                      <w14:alpha w14:val="100000"/>
                    </w14:srgbClr>
                  </w14:solidFill>
                </w14:textFill>
              </w:rPr>
              <w:t>|</w:t>
            </w:r>
            <w:r w:rsidR="004747FA" w:rsidRPr="00EE7708">
              <w:rPr>
                <w:rFonts w:ascii="Arial Narrow" w:hAnsi="Arial Narrow"/>
                <w:color w:val="000000"/>
                <w:sz w:val="20"/>
                <w:szCs w:val="20"/>
              </w:rPr>
              <w:t>%</w:t>
            </w:r>
          </w:p>
        </w:tc>
      </w:tr>
      <w:tr w:rsidR="004747FA" w:rsidRPr="00EE7708" w14:paraId="5326C99B" w14:textId="77777777" w:rsidTr="00033AB8">
        <w:trPr>
          <w:cnfStyle w:val="100000000000" w:firstRow="1" w:lastRow="0" w:firstColumn="0" w:lastColumn="0" w:oddVBand="0" w:evenVBand="0" w:oddHBand="0" w:evenHBand="0" w:firstRowFirstColumn="0" w:firstRowLastColumn="0" w:lastRowFirstColumn="0" w:lastRowLastColumn="0"/>
          <w:trHeight w:val="300"/>
          <w:tblHeader/>
        </w:trPr>
        <w:tc>
          <w:tcPr>
            <w:tcW w:w="0" w:type="pct"/>
            <w:noWrap/>
            <w:hideMark/>
          </w:tcPr>
          <w:p w14:paraId="4BC23D75" w14:textId="4B5E09AB" w:rsidR="004747FA" w:rsidRPr="00EE7708" w:rsidRDefault="004747FA" w:rsidP="004747FA">
            <w:pPr>
              <w:rPr>
                <w:rFonts w:ascii="Arial Narrow" w:eastAsiaTheme="minorHAnsi" w:hAnsi="Arial Narrow" w:cs="Aptos"/>
                <w:color w:val="000000"/>
                <w:sz w:val="20"/>
                <w:szCs w:val="20"/>
              </w:rPr>
            </w:pPr>
            <w:r w:rsidRPr="00EE7708">
              <w:rPr>
                <w:rFonts w:ascii="Arial Narrow" w:hAnsi="Arial Narrow"/>
                <w:color w:val="000000"/>
                <w:sz w:val="20"/>
                <w:szCs w:val="20"/>
              </w:rPr>
              <w:t>Year 2</w:t>
            </w:r>
            <w:r w:rsidR="006A1D4A">
              <w:rPr>
                <w:rFonts w:ascii="Arial Narrow" w:hAnsi="Arial Narrow"/>
                <w:color w:val="000000"/>
                <w:sz w:val="20"/>
                <w:szCs w:val="20"/>
              </w:rPr>
              <w:t xml:space="preserve"> </w:t>
            </w:r>
            <w:r w:rsidRPr="00EE7708">
              <w:rPr>
                <w:rFonts w:ascii="Arial Narrow" w:hAnsi="Arial Narrow"/>
                <w:color w:val="000000"/>
                <w:sz w:val="20"/>
                <w:szCs w:val="20"/>
              </w:rPr>
              <w:t>(June 25 -May 26)</w:t>
            </w:r>
          </w:p>
        </w:tc>
        <w:tc>
          <w:tcPr>
            <w:tcW w:w="0" w:type="pct"/>
          </w:tcPr>
          <w:p w14:paraId="4F4CF284" w14:textId="6C26B556" w:rsidR="004747FA" w:rsidRPr="00EE7708" w:rsidRDefault="004747FA" w:rsidP="004747FA">
            <w:pPr>
              <w:jc w:val="center"/>
              <w:rPr>
                <w:rFonts w:ascii="Arial Narrow" w:hAnsi="Arial Narrow"/>
                <w:color w:val="000000"/>
                <w:sz w:val="20"/>
                <w:szCs w:val="20"/>
              </w:rPr>
            </w:pPr>
            <w:r w:rsidRPr="61F047E1">
              <w:rPr>
                <w:rFonts w:ascii="Arial Narrow" w:hAnsi="Arial Narrow"/>
                <w:color w:val="000000" w:themeColor="text1"/>
                <w:sz w:val="20"/>
                <w:szCs w:val="20"/>
              </w:rPr>
              <w:t>$</w:t>
            </w:r>
            <w:r w:rsidR="00255D1B" w:rsidRPr="00255D1B">
              <w:rPr>
                <w:rFonts w:ascii="Arial Narrow" w:hAnsi="Arial Narrow"/>
                <w:color w:val="000000" w:themeColor="text1"/>
                <w:spacing w:val="53"/>
                <w:sz w:val="20"/>
                <w:szCs w:val="20"/>
                <w:shd w:val="solid" w:color="000000" w:fill="000000"/>
                <w:fitText w:val="330" w:id="-606363384"/>
                <w14:textFill>
                  <w14:solidFill>
                    <w14:schemeClr w14:val="tx1">
                      <w14:alpha w14:val="100000"/>
                    </w14:schemeClr>
                  </w14:solidFill>
                </w14:textFill>
              </w:rPr>
              <w:t>|||</w:t>
            </w:r>
            <w:r w:rsidR="00255D1B" w:rsidRPr="00255D1B">
              <w:rPr>
                <w:rFonts w:ascii="Arial Narrow" w:hAnsi="Arial Narrow"/>
                <w:color w:val="000000" w:themeColor="text1"/>
                <w:spacing w:val="1"/>
                <w:sz w:val="20"/>
                <w:szCs w:val="20"/>
                <w:shd w:val="solid" w:color="000000" w:fill="000000"/>
                <w:fitText w:val="330" w:id="-606363384"/>
                <w14:textFill>
                  <w14:solidFill>
                    <w14:schemeClr w14:val="tx1">
                      <w14:alpha w14:val="100000"/>
                    </w14:schemeClr>
                  </w14:solidFill>
                </w14:textFill>
              </w:rPr>
              <w:t>|</w:t>
            </w:r>
          </w:p>
        </w:tc>
        <w:tc>
          <w:tcPr>
            <w:tcW w:w="0" w:type="pct"/>
            <w:noWrap/>
            <w:hideMark/>
          </w:tcPr>
          <w:p w14:paraId="2DA22C79" w14:textId="65EE09F0" w:rsidR="004747FA" w:rsidRPr="00EE7708" w:rsidRDefault="004747FA" w:rsidP="004747FA">
            <w:pPr>
              <w:jc w:val="center"/>
              <w:rPr>
                <w:rFonts w:ascii="Arial Narrow" w:hAnsi="Arial Narrow"/>
                <w:color w:val="000000"/>
                <w:sz w:val="20"/>
                <w:szCs w:val="20"/>
              </w:rPr>
            </w:pPr>
            <w:r w:rsidRPr="00EE7708">
              <w:rPr>
                <w:rFonts w:ascii="Arial Narrow" w:hAnsi="Arial Narrow"/>
                <w:color w:val="000000"/>
                <w:sz w:val="20"/>
                <w:szCs w:val="20"/>
              </w:rPr>
              <w:t> </w:t>
            </w:r>
          </w:p>
        </w:tc>
        <w:tc>
          <w:tcPr>
            <w:tcW w:w="0" w:type="pct"/>
            <w:noWrap/>
            <w:hideMark/>
          </w:tcPr>
          <w:p w14:paraId="6C9CB709" w14:textId="77777777" w:rsidR="004747FA" w:rsidRPr="00EE7708" w:rsidRDefault="004747FA" w:rsidP="004747FA">
            <w:pPr>
              <w:jc w:val="center"/>
              <w:rPr>
                <w:rFonts w:ascii="Arial Narrow" w:hAnsi="Arial Narrow"/>
                <w:color w:val="000000"/>
                <w:sz w:val="20"/>
                <w:szCs w:val="20"/>
              </w:rPr>
            </w:pPr>
            <w:r w:rsidRPr="00EE7708">
              <w:rPr>
                <w:rFonts w:ascii="Arial Narrow" w:hAnsi="Arial Narrow"/>
                <w:color w:val="000000"/>
                <w:sz w:val="20"/>
                <w:szCs w:val="20"/>
              </w:rPr>
              <w:t> </w:t>
            </w:r>
          </w:p>
        </w:tc>
      </w:tr>
      <w:tr w:rsidR="004747FA" w:rsidRPr="00EE7708" w14:paraId="0FE161B3" w14:textId="77777777" w:rsidTr="00033AB8">
        <w:trPr>
          <w:cnfStyle w:val="100000000000" w:firstRow="1" w:lastRow="0" w:firstColumn="0" w:lastColumn="0" w:oddVBand="0" w:evenVBand="0" w:oddHBand="0" w:evenHBand="0" w:firstRowFirstColumn="0" w:firstRowLastColumn="0" w:lastRowFirstColumn="0" w:lastRowLastColumn="0"/>
          <w:trHeight w:val="300"/>
          <w:tblHeader/>
        </w:trPr>
        <w:tc>
          <w:tcPr>
            <w:tcW w:w="0" w:type="pct"/>
            <w:noWrap/>
            <w:hideMark/>
          </w:tcPr>
          <w:p w14:paraId="37997A79" w14:textId="21F9F443" w:rsidR="004747FA" w:rsidRPr="00EE7708" w:rsidRDefault="004747FA" w:rsidP="004747FA">
            <w:pPr>
              <w:rPr>
                <w:rFonts w:ascii="Arial Narrow" w:eastAsiaTheme="minorHAnsi" w:hAnsi="Arial Narrow" w:cs="Aptos"/>
                <w:color w:val="000000"/>
                <w:sz w:val="20"/>
                <w:szCs w:val="20"/>
              </w:rPr>
            </w:pPr>
            <w:r w:rsidRPr="00EE7708">
              <w:rPr>
                <w:rFonts w:ascii="Arial Narrow" w:hAnsi="Arial Narrow"/>
                <w:color w:val="000000"/>
                <w:sz w:val="20"/>
                <w:szCs w:val="20"/>
              </w:rPr>
              <w:t>Year 3</w:t>
            </w:r>
            <w:r w:rsidR="006A1D4A">
              <w:rPr>
                <w:rFonts w:ascii="Arial Narrow" w:hAnsi="Arial Narrow"/>
                <w:color w:val="000000"/>
                <w:sz w:val="20"/>
                <w:szCs w:val="20"/>
              </w:rPr>
              <w:t xml:space="preserve"> </w:t>
            </w:r>
            <w:r w:rsidRPr="00EE7708">
              <w:rPr>
                <w:rFonts w:ascii="Arial Narrow" w:hAnsi="Arial Narrow"/>
                <w:color w:val="000000"/>
                <w:sz w:val="20"/>
                <w:szCs w:val="20"/>
              </w:rPr>
              <w:t>(June 26 -May 27)</w:t>
            </w:r>
          </w:p>
        </w:tc>
        <w:tc>
          <w:tcPr>
            <w:tcW w:w="0" w:type="pct"/>
          </w:tcPr>
          <w:p w14:paraId="6FADD2B1" w14:textId="076FA56F" w:rsidR="004747FA" w:rsidRPr="00EE7708" w:rsidRDefault="004747FA" w:rsidP="004747FA">
            <w:pPr>
              <w:jc w:val="center"/>
              <w:rPr>
                <w:rFonts w:ascii="Arial Narrow" w:hAnsi="Arial Narrow"/>
                <w:color w:val="000000"/>
                <w:sz w:val="20"/>
                <w:szCs w:val="20"/>
              </w:rPr>
            </w:pPr>
            <w:r w:rsidRPr="61F047E1">
              <w:rPr>
                <w:rFonts w:ascii="Arial Narrow" w:hAnsi="Arial Narrow"/>
                <w:color w:val="000000" w:themeColor="text1"/>
                <w:sz w:val="20"/>
                <w:szCs w:val="20"/>
              </w:rPr>
              <w:t>$</w:t>
            </w:r>
            <w:r w:rsidR="00255D1B" w:rsidRPr="00255D1B">
              <w:rPr>
                <w:rFonts w:ascii="Arial Narrow" w:hAnsi="Arial Narrow"/>
                <w:color w:val="000000" w:themeColor="text1"/>
                <w:spacing w:val="53"/>
                <w:sz w:val="20"/>
                <w:szCs w:val="20"/>
                <w:shd w:val="solid" w:color="000000" w:fill="000000"/>
                <w:fitText w:val="330" w:id="-606363383"/>
                <w14:textFill>
                  <w14:solidFill>
                    <w14:schemeClr w14:val="tx1">
                      <w14:alpha w14:val="100000"/>
                    </w14:schemeClr>
                  </w14:solidFill>
                </w14:textFill>
              </w:rPr>
              <w:t>|||</w:t>
            </w:r>
            <w:r w:rsidR="00255D1B" w:rsidRPr="00255D1B">
              <w:rPr>
                <w:rFonts w:ascii="Arial Narrow" w:hAnsi="Arial Narrow"/>
                <w:color w:val="000000" w:themeColor="text1"/>
                <w:spacing w:val="1"/>
                <w:sz w:val="20"/>
                <w:szCs w:val="20"/>
                <w:shd w:val="solid" w:color="000000" w:fill="000000"/>
                <w:fitText w:val="330" w:id="-606363383"/>
                <w14:textFill>
                  <w14:solidFill>
                    <w14:schemeClr w14:val="tx1">
                      <w14:alpha w14:val="100000"/>
                    </w14:schemeClr>
                  </w14:solidFill>
                </w14:textFill>
              </w:rPr>
              <w:t>|</w:t>
            </w:r>
          </w:p>
        </w:tc>
        <w:tc>
          <w:tcPr>
            <w:tcW w:w="0" w:type="pct"/>
            <w:noWrap/>
            <w:hideMark/>
          </w:tcPr>
          <w:p w14:paraId="377980CB" w14:textId="46506208" w:rsidR="004747FA" w:rsidRPr="00EE7708" w:rsidRDefault="004747FA" w:rsidP="004747FA">
            <w:pPr>
              <w:jc w:val="center"/>
              <w:rPr>
                <w:rFonts w:ascii="Arial Narrow" w:hAnsi="Arial Narrow"/>
                <w:color w:val="000000"/>
                <w:sz w:val="20"/>
                <w:szCs w:val="20"/>
              </w:rPr>
            </w:pPr>
            <w:r w:rsidRPr="00EE7708">
              <w:rPr>
                <w:rFonts w:ascii="Arial Narrow" w:hAnsi="Arial Narrow"/>
                <w:color w:val="000000"/>
                <w:sz w:val="20"/>
                <w:szCs w:val="20"/>
              </w:rPr>
              <w:t> </w:t>
            </w:r>
          </w:p>
        </w:tc>
        <w:tc>
          <w:tcPr>
            <w:tcW w:w="0" w:type="pct"/>
            <w:noWrap/>
            <w:hideMark/>
          </w:tcPr>
          <w:p w14:paraId="2469F4CF" w14:textId="77777777" w:rsidR="004747FA" w:rsidRPr="00EE7708" w:rsidRDefault="004747FA" w:rsidP="004747FA">
            <w:pPr>
              <w:jc w:val="center"/>
              <w:rPr>
                <w:rFonts w:ascii="Arial Narrow" w:hAnsi="Arial Narrow"/>
                <w:color w:val="000000"/>
                <w:sz w:val="20"/>
                <w:szCs w:val="20"/>
              </w:rPr>
            </w:pPr>
            <w:r w:rsidRPr="00EE7708">
              <w:rPr>
                <w:rFonts w:ascii="Arial Narrow" w:hAnsi="Arial Narrow"/>
                <w:color w:val="000000"/>
                <w:sz w:val="20"/>
                <w:szCs w:val="20"/>
              </w:rPr>
              <w:t> </w:t>
            </w:r>
          </w:p>
        </w:tc>
      </w:tr>
      <w:tr w:rsidR="004747FA" w:rsidRPr="00EE7708" w14:paraId="3F32D035" w14:textId="77777777" w:rsidTr="00033AB8">
        <w:trPr>
          <w:cnfStyle w:val="100000000000" w:firstRow="1" w:lastRow="0" w:firstColumn="0" w:lastColumn="0" w:oddVBand="0" w:evenVBand="0" w:oddHBand="0" w:evenHBand="0" w:firstRowFirstColumn="0" w:firstRowLastColumn="0" w:lastRowFirstColumn="0" w:lastRowLastColumn="0"/>
          <w:trHeight w:val="300"/>
          <w:tblHeader/>
        </w:trPr>
        <w:tc>
          <w:tcPr>
            <w:tcW w:w="0" w:type="pct"/>
            <w:noWrap/>
            <w:hideMark/>
          </w:tcPr>
          <w:p w14:paraId="11B2C062" w14:textId="2E464C02" w:rsidR="004747FA" w:rsidRPr="00EE7708" w:rsidRDefault="004747FA" w:rsidP="004747FA">
            <w:pPr>
              <w:rPr>
                <w:rFonts w:ascii="Arial Narrow" w:eastAsiaTheme="minorHAnsi" w:hAnsi="Arial Narrow" w:cs="Aptos"/>
                <w:color w:val="000000"/>
                <w:sz w:val="20"/>
                <w:szCs w:val="20"/>
              </w:rPr>
            </w:pPr>
            <w:r w:rsidRPr="00EE7708">
              <w:rPr>
                <w:rFonts w:ascii="Arial Narrow" w:hAnsi="Arial Narrow"/>
                <w:color w:val="000000"/>
                <w:sz w:val="20"/>
                <w:szCs w:val="20"/>
              </w:rPr>
              <w:t>Year 4</w:t>
            </w:r>
            <w:r w:rsidR="006A1D4A">
              <w:rPr>
                <w:rFonts w:ascii="Arial Narrow" w:hAnsi="Arial Narrow"/>
                <w:color w:val="000000"/>
                <w:sz w:val="20"/>
                <w:szCs w:val="20"/>
              </w:rPr>
              <w:t xml:space="preserve"> </w:t>
            </w:r>
            <w:r w:rsidRPr="00EE7708">
              <w:rPr>
                <w:rFonts w:ascii="Arial Narrow" w:hAnsi="Arial Narrow"/>
                <w:color w:val="000000"/>
                <w:sz w:val="20"/>
                <w:szCs w:val="20"/>
              </w:rPr>
              <w:t>(June 27 -May 28)</w:t>
            </w:r>
          </w:p>
        </w:tc>
        <w:tc>
          <w:tcPr>
            <w:tcW w:w="0" w:type="pct"/>
          </w:tcPr>
          <w:p w14:paraId="5F7C83C2" w14:textId="46EC97CF" w:rsidR="004747FA" w:rsidRPr="00EE7708" w:rsidRDefault="004747FA" w:rsidP="004747FA">
            <w:pPr>
              <w:jc w:val="center"/>
              <w:rPr>
                <w:rFonts w:ascii="Arial Narrow" w:hAnsi="Arial Narrow"/>
                <w:color w:val="000000"/>
                <w:sz w:val="20"/>
                <w:szCs w:val="20"/>
              </w:rPr>
            </w:pPr>
            <w:r w:rsidRPr="61F047E1">
              <w:rPr>
                <w:rFonts w:ascii="Arial Narrow" w:hAnsi="Arial Narrow"/>
                <w:color w:val="000000" w:themeColor="text1"/>
                <w:sz w:val="20"/>
                <w:szCs w:val="20"/>
              </w:rPr>
              <w:t>$</w:t>
            </w:r>
            <w:r w:rsidR="00255D1B" w:rsidRPr="00255D1B">
              <w:rPr>
                <w:rFonts w:ascii="Arial Narrow" w:hAnsi="Arial Narrow"/>
                <w:color w:val="000000" w:themeColor="text1"/>
                <w:spacing w:val="53"/>
                <w:sz w:val="20"/>
                <w:szCs w:val="20"/>
                <w:shd w:val="solid" w:color="000000" w:fill="000000"/>
                <w:fitText w:val="330" w:id="-606363382"/>
                <w14:textFill>
                  <w14:solidFill>
                    <w14:schemeClr w14:val="tx1">
                      <w14:alpha w14:val="100000"/>
                    </w14:schemeClr>
                  </w14:solidFill>
                </w14:textFill>
              </w:rPr>
              <w:t>|||</w:t>
            </w:r>
            <w:r w:rsidR="00255D1B" w:rsidRPr="00255D1B">
              <w:rPr>
                <w:rFonts w:ascii="Arial Narrow" w:hAnsi="Arial Narrow"/>
                <w:color w:val="000000" w:themeColor="text1"/>
                <w:spacing w:val="1"/>
                <w:sz w:val="20"/>
                <w:szCs w:val="20"/>
                <w:shd w:val="solid" w:color="000000" w:fill="000000"/>
                <w:fitText w:val="330" w:id="-606363382"/>
                <w14:textFill>
                  <w14:solidFill>
                    <w14:schemeClr w14:val="tx1">
                      <w14:alpha w14:val="100000"/>
                    </w14:schemeClr>
                  </w14:solidFill>
                </w14:textFill>
              </w:rPr>
              <w:t>|</w:t>
            </w:r>
          </w:p>
        </w:tc>
        <w:tc>
          <w:tcPr>
            <w:tcW w:w="0" w:type="pct"/>
            <w:noWrap/>
            <w:hideMark/>
          </w:tcPr>
          <w:p w14:paraId="63A06C71" w14:textId="639A1EA8" w:rsidR="004747FA" w:rsidRPr="00EE7708" w:rsidRDefault="004747FA" w:rsidP="004747FA">
            <w:pPr>
              <w:jc w:val="center"/>
              <w:rPr>
                <w:rFonts w:ascii="Arial Narrow" w:hAnsi="Arial Narrow"/>
                <w:color w:val="000000"/>
                <w:sz w:val="20"/>
                <w:szCs w:val="20"/>
              </w:rPr>
            </w:pPr>
            <w:r w:rsidRPr="00EE7708">
              <w:rPr>
                <w:rFonts w:ascii="Arial Narrow" w:hAnsi="Arial Narrow"/>
                <w:color w:val="000000"/>
                <w:sz w:val="20"/>
                <w:szCs w:val="20"/>
              </w:rPr>
              <w:t> </w:t>
            </w:r>
          </w:p>
        </w:tc>
        <w:tc>
          <w:tcPr>
            <w:tcW w:w="0" w:type="pct"/>
            <w:noWrap/>
            <w:hideMark/>
          </w:tcPr>
          <w:p w14:paraId="22E4D101" w14:textId="77777777" w:rsidR="004747FA" w:rsidRPr="00EE7708" w:rsidRDefault="004747FA" w:rsidP="004747FA">
            <w:pPr>
              <w:jc w:val="center"/>
              <w:rPr>
                <w:rFonts w:ascii="Arial Narrow" w:hAnsi="Arial Narrow"/>
                <w:color w:val="000000"/>
                <w:sz w:val="20"/>
                <w:szCs w:val="20"/>
              </w:rPr>
            </w:pPr>
            <w:r w:rsidRPr="00EE7708">
              <w:rPr>
                <w:rFonts w:ascii="Arial Narrow" w:hAnsi="Arial Narrow"/>
                <w:color w:val="000000"/>
                <w:sz w:val="20"/>
                <w:szCs w:val="20"/>
              </w:rPr>
              <w:t> </w:t>
            </w:r>
          </w:p>
        </w:tc>
      </w:tr>
      <w:tr w:rsidR="004747FA" w:rsidRPr="00EE7708" w14:paraId="5FEF63C9" w14:textId="77777777" w:rsidTr="00033AB8">
        <w:trPr>
          <w:cnfStyle w:val="100000000000" w:firstRow="1" w:lastRow="0" w:firstColumn="0" w:lastColumn="0" w:oddVBand="0" w:evenVBand="0" w:oddHBand="0" w:evenHBand="0" w:firstRowFirstColumn="0" w:firstRowLastColumn="0" w:lastRowFirstColumn="0" w:lastRowLastColumn="0"/>
          <w:trHeight w:val="300"/>
          <w:tblHeader/>
        </w:trPr>
        <w:tc>
          <w:tcPr>
            <w:tcW w:w="0" w:type="pct"/>
            <w:noWrap/>
            <w:hideMark/>
          </w:tcPr>
          <w:p w14:paraId="574A1B04" w14:textId="77777777" w:rsidR="004747FA" w:rsidRPr="00EE7708" w:rsidRDefault="004747FA" w:rsidP="004747FA">
            <w:pPr>
              <w:rPr>
                <w:rFonts w:ascii="Arial Narrow" w:eastAsiaTheme="minorHAnsi" w:hAnsi="Arial Narrow" w:cs="Aptos"/>
                <w:color w:val="000000"/>
                <w:sz w:val="20"/>
                <w:szCs w:val="20"/>
              </w:rPr>
            </w:pPr>
            <w:r w:rsidRPr="00EE7708">
              <w:rPr>
                <w:rFonts w:ascii="Arial Narrow" w:hAnsi="Arial Narrow"/>
                <w:color w:val="000000"/>
                <w:sz w:val="20"/>
                <w:szCs w:val="20"/>
              </w:rPr>
              <w:t>Year 5 (June 28 -May 29)</w:t>
            </w:r>
          </w:p>
        </w:tc>
        <w:tc>
          <w:tcPr>
            <w:tcW w:w="0" w:type="pct"/>
          </w:tcPr>
          <w:p w14:paraId="266AEBBE" w14:textId="3320786F" w:rsidR="004747FA" w:rsidRPr="00EE7708" w:rsidRDefault="004747FA" w:rsidP="004747FA">
            <w:pPr>
              <w:jc w:val="center"/>
              <w:rPr>
                <w:rFonts w:ascii="Arial Narrow" w:hAnsi="Arial Narrow"/>
                <w:color w:val="000000"/>
                <w:sz w:val="20"/>
                <w:szCs w:val="20"/>
              </w:rPr>
            </w:pPr>
            <w:r w:rsidRPr="61F047E1">
              <w:rPr>
                <w:rFonts w:ascii="Arial Narrow" w:hAnsi="Arial Narrow"/>
                <w:color w:val="000000" w:themeColor="text1"/>
                <w:sz w:val="20"/>
                <w:szCs w:val="20"/>
              </w:rPr>
              <w:t>$</w:t>
            </w:r>
            <w:r w:rsidR="00255D1B" w:rsidRPr="00255D1B">
              <w:rPr>
                <w:rFonts w:ascii="Arial Narrow" w:hAnsi="Arial Narrow"/>
                <w:color w:val="000000" w:themeColor="text1"/>
                <w:spacing w:val="53"/>
                <w:sz w:val="20"/>
                <w:szCs w:val="20"/>
                <w:shd w:val="solid" w:color="000000" w:fill="000000"/>
                <w:fitText w:val="330" w:id="-606363381"/>
                <w14:textFill>
                  <w14:solidFill>
                    <w14:schemeClr w14:val="tx1">
                      <w14:alpha w14:val="100000"/>
                    </w14:schemeClr>
                  </w14:solidFill>
                </w14:textFill>
              </w:rPr>
              <w:t>|||</w:t>
            </w:r>
            <w:r w:rsidR="00255D1B" w:rsidRPr="00255D1B">
              <w:rPr>
                <w:rFonts w:ascii="Arial Narrow" w:hAnsi="Arial Narrow"/>
                <w:color w:val="000000" w:themeColor="text1"/>
                <w:spacing w:val="1"/>
                <w:sz w:val="20"/>
                <w:szCs w:val="20"/>
                <w:shd w:val="solid" w:color="000000" w:fill="000000"/>
                <w:fitText w:val="330" w:id="-606363381"/>
                <w14:textFill>
                  <w14:solidFill>
                    <w14:schemeClr w14:val="tx1">
                      <w14:alpha w14:val="100000"/>
                    </w14:schemeClr>
                  </w14:solidFill>
                </w14:textFill>
              </w:rPr>
              <w:t>|</w:t>
            </w:r>
          </w:p>
        </w:tc>
        <w:tc>
          <w:tcPr>
            <w:tcW w:w="0" w:type="pct"/>
            <w:noWrap/>
            <w:hideMark/>
          </w:tcPr>
          <w:p w14:paraId="359E456E" w14:textId="7F2D7F03" w:rsidR="004747FA" w:rsidRPr="00EE7708" w:rsidRDefault="004747FA" w:rsidP="004747FA">
            <w:pPr>
              <w:jc w:val="center"/>
              <w:rPr>
                <w:rFonts w:ascii="Arial Narrow" w:hAnsi="Arial Narrow"/>
                <w:color w:val="000000"/>
                <w:sz w:val="20"/>
                <w:szCs w:val="20"/>
              </w:rPr>
            </w:pPr>
            <w:r w:rsidRPr="00EE7708">
              <w:rPr>
                <w:rFonts w:ascii="Arial Narrow" w:hAnsi="Arial Narrow"/>
                <w:color w:val="000000"/>
                <w:sz w:val="20"/>
                <w:szCs w:val="20"/>
              </w:rPr>
              <w:t> </w:t>
            </w:r>
          </w:p>
        </w:tc>
        <w:tc>
          <w:tcPr>
            <w:tcW w:w="0" w:type="pct"/>
            <w:noWrap/>
            <w:hideMark/>
          </w:tcPr>
          <w:p w14:paraId="3DC8EB15" w14:textId="77777777" w:rsidR="004747FA" w:rsidRPr="00EE7708" w:rsidRDefault="004747FA" w:rsidP="004747FA">
            <w:pPr>
              <w:jc w:val="center"/>
              <w:rPr>
                <w:rFonts w:ascii="Arial Narrow" w:hAnsi="Arial Narrow"/>
                <w:color w:val="000000"/>
                <w:sz w:val="20"/>
                <w:szCs w:val="20"/>
              </w:rPr>
            </w:pPr>
            <w:r w:rsidRPr="00EE7708">
              <w:rPr>
                <w:rFonts w:ascii="Arial Narrow" w:hAnsi="Arial Narrow"/>
                <w:color w:val="000000"/>
                <w:sz w:val="20"/>
                <w:szCs w:val="20"/>
              </w:rPr>
              <w:t> </w:t>
            </w:r>
          </w:p>
        </w:tc>
      </w:tr>
    </w:tbl>
    <w:p w14:paraId="7372C6F8" w14:textId="1DB17CF0" w:rsidR="001A674E" w:rsidRPr="000E5E12" w:rsidRDefault="00EE7708" w:rsidP="000E5E12">
      <w:pPr>
        <w:spacing w:after="120"/>
        <w:rPr>
          <w:rFonts w:ascii="Arial Narrow" w:eastAsiaTheme="minorHAnsi" w:hAnsi="Arial Narrow" w:cs="Aptos"/>
          <w:sz w:val="18"/>
          <w:szCs w:val="18"/>
          <w:lang w:eastAsia="en-US"/>
          <w14:ligatures w14:val="standardContextual"/>
        </w:rPr>
      </w:pPr>
      <w:r w:rsidRPr="00EE7708">
        <w:rPr>
          <w:rFonts w:ascii="Arial Narrow" w:hAnsi="Arial Narrow"/>
          <w:sz w:val="18"/>
          <w:szCs w:val="18"/>
        </w:rPr>
        <w:t xml:space="preserve">a. </w:t>
      </w:r>
      <w:r w:rsidR="004747FA" w:rsidRPr="00EE7708">
        <w:rPr>
          <w:rFonts w:ascii="Arial Narrow" w:hAnsi="Arial Narrow"/>
          <w:sz w:val="18"/>
          <w:szCs w:val="18"/>
        </w:rPr>
        <w:t>Year 1 contains unadjusted data that is subject to change in the</w:t>
      </w:r>
      <w:r w:rsidR="009805DB">
        <w:rPr>
          <w:rFonts w:ascii="Arial Narrow" w:hAnsi="Arial Narrow"/>
          <w:sz w:val="18"/>
          <w:szCs w:val="18"/>
        </w:rPr>
        <w:t xml:space="preserve"> end of financial year</w:t>
      </w:r>
      <w:r w:rsidR="004747FA" w:rsidRPr="00EE7708">
        <w:rPr>
          <w:rFonts w:ascii="Arial Narrow" w:hAnsi="Arial Narrow"/>
          <w:sz w:val="18"/>
          <w:szCs w:val="18"/>
        </w:rPr>
        <w:t xml:space="preserve"> reconciliation process</w:t>
      </w:r>
    </w:p>
    <w:p w14:paraId="592C643B" w14:textId="7DB0C29C" w:rsidR="00E814FA" w:rsidRDefault="63CA985E" w:rsidP="003B7E62">
      <w:pPr>
        <w:pStyle w:val="3-BodyText"/>
      </w:pPr>
      <w:r>
        <w:t xml:space="preserve">The resubmission proposed </w:t>
      </w:r>
      <w:r w:rsidR="76A94992">
        <w:t xml:space="preserve">a revised RSA, </w:t>
      </w:r>
      <w:r w:rsidR="00004B94">
        <w:t xml:space="preserve">with an increase in the </w:t>
      </w:r>
      <w:r w:rsidR="007C4DB9">
        <w:t xml:space="preserve">current caps to account for increased use of </w:t>
      </w:r>
      <w:proofErr w:type="spellStart"/>
      <w:r w:rsidR="007C4DB9">
        <w:t>osimertinib</w:t>
      </w:r>
      <w:proofErr w:type="spellEnd"/>
      <w:r w:rsidR="007C4DB9">
        <w:t xml:space="preserve"> in the first line setting</w:t>
      </w:r>
      <w:r w:rsidR="00807ECF">
        <w:t xml:space="preserve"> with the listing of O</w:t>
      </w:r>
      <w:r w:rsidR="00F95688">
        <w:t> </w:t>
      </w:r>
      <w:r w:rsidR="00807ECF">
        <w:t>+</w:t>
      </w:r>
      <w:r w:rsidR="00F95688">
        <w:t> </w:t>
      </w:r>
      <w:r w:rsidR="00DE3A58">
        <w:t>C</w:t>
      </w:r>
      <w:r w:rsidR="00797F47">
        <w:t xml:space="preserve">. The resubmission also proposed that the rebate level for </w:t>
      </w:r>
      <w:r w:rsidR="00730A56">
        <w:t xml:space="preserve">use exceeding the caps </w:t>
      </w:r>
      <w:r w:rsidR="009420D4">
        <w:t>be</w:t>
      </w:r>
      <w:r w:rsidR="00730A56">
        <w:t xml:space="preserve"> reduced from </w:t>
      </w:r>
      <w:r w:rsidR="00255D1B" w:rsidRPr="00255D1B">
        <w:rPr>
          <w:color w:val="000000"/>
          <w:w w:val="61"/>
          <w:shd w:val="solid" w:color="000000" w:fill="000000"/>
          <w:fitText w:val="475" w:id="-606363380"/>
          <w14:textFill>
            <w14:solidFill>
              <w14:srgbClr w14:val="000000">
                <w14:alpha w14:val="100000"/>
              </w14:srgbClr>
            </w14:solidFill>
          </w14:textFill>
        </w:rPr>
        <w:t>||</w:t>
      </w:r>
      <w:proofErr w:type="gramStart"/>
      <w:r w:rsidR="00255D1B" w:rsidRPr="00255D1B">
        <w:rPr>
          <w:color w:val="000000"/>
          <w:w w:val="61"/>
          <w:shd w:val="solid" w:color="000000" w:fill="000000"/>
          <w:fitText w:val="475" w:id="-606363380"/>
          <w14:textFill>
            <w14:solidFill>
              <w14:srgbClr w14:val="000000">
                <w14:alpha w14:val="100000"/>
              </w14:srgbClr>
            </w14:solidFill>
          </w14:textFill>
        </w:rPr>
        <w:t>|  |</w:t>
      </w:r>
      <w:proofErr w:type="gramEnd"/>
      <w:r w:rsidR="00255D1B" w:rsidRPr="00255D1B">
        <w:rPr>
          <w:color w:val="000000"/>
          <w:w w:val="61"/>
          <w:shd w:val="solid" w:color="000000" w:fill="000000"/>
          <w:fitText w:val="475" w:id="-606363380"/>
          <w14:textFill>
            <w14:solidFill>
              <w14:srgbClr w14:val="000000">
                <w14:alpha w14:val="100000"/>
              </w14:srgbClr>
            </w14:solidFill>
          </w14:textFill>
        </w:rPr>
        <w:t>|</w:t>
      </w:r>
      <w:r w:rsidR="00255D1B" w:rsidRPr="00255D1B">
        <w:rPr>
          <w:color w:val="000000"/>
          <w:spacing w:val="5"/>
          <w:w w:val="61"/>
          <w:shd w:val="solid" w:color="000000" w:fill="000000"/>
          <w:fitText w:val="475" w:id="-606363380"/>
          <w14:textFill>
            <w14:solidFill>
              <w14:srgbClr w14:val="000000">
                <w14:alpha w14:val="100000"/>
              </w14:srgbClr>
            </w14:solidFill>
          </w14:textFill>
        </w:rPr>
        <w:t>|</w:t>
      </w:r>
      <w:r w:rsidR="00730A56">
        <w:t xml:space="preserve">% to </w:t>
      </w:r>
      <w:r w:rsidR="00255D1B" w:rsidRPr="00255D1B">
        <w:rPr>
          <w:color w:val="000000"/>
          <w:w w:val="59"/>
          <w:shd w:val="solid" w:color="000000" w:fill="000000"/>
          <w:fitText w:val="460" w:id="-606363379"/>
          <w14:textFill>
            <w14:solidFill>
              <w14:srgbClr w14:val="000000">
                <w14:alpha w14:val="100000"/>
              </w14:srgbClr>
            </w14:solidFill>
          </w14:textFill>
        </w:rPr>
        <w:t>||</w:t>
      </w:r>
      <w:proofErr w:type="gramStart"/>
      <w:r w:rsidR="00255D1B" w:rsidRPr="00255D1B">
        <w:rPr>
          <w:color w:val="000000"/>
          <w:w w:val="59"/>
          <w:shd w:val="solid" w:color="000000" w:fill="000000"/>
          <w:fitText w:val="460" w:id="-606363379"/>
          <w14:textFill>
            <w14:solidFill>
              <w14:srgbClr w14:val="000000">
                <w14:alpha w14:val="100000"/>
              </w14:srgbClr>
            </w14:solidFill>
          </w14:textFill>
        </w:rPr>
        <w:t>|  |</w:t>
      </w:r>
      <w:proofErr w:type="gramEnd"/>
      <w:r w:rsidR="00255D1B" w:rsidRPr="00255D1B">
        <w:rPr>
          <w:color w:val="000000"/>
          <w:w w:val="59"/>
          <w:shd w:val="solid" w:color="000000" w:fill="000000"/>
          <w:fitText w:val="460" w:id="-606363379"/>
          <w14:textFill>
            <w14:solidFill>
              <w14:srgbClr w14:val="000000">
                <w14:alpha w14:val="100000"/>
              </w14:srgbClr>
            </w14:solidFill>
          </w14:textFill>
        </w:rPr>
        <w:t>|</w:t>
      </w:r>
      <w:r w:rsidR="00255D1B" w:rsidRPr="00255D1B">
        <w:rPr>
          <w:color w:val="000000"/>
          <w:spacing w:val="5"/>
          <w:w w:val="59"/>
          <w:shd w:val="solid" w:color="000000" w:fill="000000"/>
          <w:fitText w:val="460" w:id="-606363379"/>
          <w14:textFill>
            <w14:solidFill>
              <w14:srgbClr w14:val="000000">
                <w14:alpha w14:val="100000"/>
              </w14:srgbClr>
            </w14:solidFill>
          </w14:textFill>
        </w:rPr>
        <w:t>|</w:t>
      </w:r>
      <w:r w:rsidR="00730A56">
        <w:t>%</w:t>
      </w:r>
      <w:r w:rsidR="00473742">
        <w:t xml:space="preserve">, </w:t>
      </w:r>
      <w:r w:rsidR="00E77018">
        <w:t xml:space="preserve">which it considered to be </w:t>
      </w:r>
      <w:r w:rsidR="00B51AF2">
        <w:t xml:space="preserve">equivalent to </w:t>
      </w:r>
      <w:r w:rsidR="00473742">
        <w:t xml:space="preserve">removing the </w:t>
      </w:r>
      <w:r w:rsidR="00B51AF2">
        <w:t>rebate</w:t>
      </w:r>
      <w:r w:rsidR="00473742">
        <w:t xml:space="preserve"> on the proportion of utilisation attributed to the </w:t>
      </w:r>
      <w:r w:rsidR="00F011F1">
        <w:t xml:space="preserve">O + </w:t>
      </w:r>
      <w:r w:rsidR="00700283">
        <w:t>C</w:t>
      </w:r>
      <w:r w:rsidR="00B56387" w:rsidRPr="00B56387">
        <w:rPr>
          <w:lang w:eastAsia="en-US"/>
        </w:rPr>
        <w:t xml:space="preserve"> </w:t>
      </w:r>
      <w:r w:rsidR="00F011F1">
        <w:t>listing</w:t>
      </w:r>
      <w:r w:rsidR="0060401F">
        <w:t>. Th</w:t>
      </w:r>
      <w:r w:rsidR="001B1763">
        <w:t>e resubmission considered this</w:t>
      </w:r>
      <w:r w:rsidR="0060401F">
        <w:t xml:space="preserve"> was justified based on</w:t>
      </w:r>
      <w:r w:rsidR="00F011F1">
        <w:t xml:space="preserve"> </w:t>
      </w:r>
      <w:r w:rsidR="00854960">
        <w:t xml:space="preserve">the O + </w:t>
      </w:r>
      <w:r w:rsidR="00700283">
        <w:t>C</w:t>
      </w:r>
      <w:r w:rsidR="00854960">
        <w:t xml:space="preserve"> listing</w:t>
      </w:r>
      <w:r w:rsidR="00F011F1">
        <w:t xml:space="preserve"> being</w:t>
      </w:r>
      <w:r w:rsidR="00473742">
        <w:t xml:space="preserve"> associated with greater certainty in expenditure </w:t>
      </w:r>
      <w:r w:rsidR="00854960">
        <w:t>due to</w:t>
      </w:r>
      <w:r w:rsidR="00473742">
        <w:t xml:space="preserve"> the reduced price, the number of patients, and extended treatment duration assumption</w:t>
      </w:r>
      <w:r w:rsidR="006651A2">
        <w:t xml:space="preserve">. </w:t>
      </w:r>
      <w:r w:rsidR="00B7433A">
        <w:t>The</w:t>
      </w:r>
      <w:r w:rsidR="00BF5A1C">
        <w:t xml:space="preserve"> </w:t>
      </w:r>
      <w:r w:rsidR="00B7433A">
        <w:t xml:space="preserve">proportion of O + </w:t>
      </w:r>
      <w:r w:rsidR="00700283">
        <w:t>C</w:t>
      </w:r>
      <w:r w:rsidR="00B7433A">
        <w:t xml:space="preserve"> use (</w:t>
      </w:r>
      <w:r w:rsidR="00255D1B" w:rsidRPr="00255D1B">
        <w:rPr>
          <w:color w:val="000000"/>
          <w:w w:val="61"/>
          <w:shd w:val="solid" w:color="000000" w:fill="000000"/>
          <w:fitText w:val="475" w:id="-606363378"/>
          <w14:textFill>
            <w14:solidFill>
              <w14:srgbClr w14:val="000000">
                <w14:alpha w14:val="100000"/>
              </w14:srgbClr>
            </w14:solidFill>
          </w14:textFill>
        </w:rPr>
        <w:t>||</w:t>
      </w:r>
      <w:proofErr w:type="gramStart"/>
      <w:r w:rsidR="00255D1B" w:rsidRPr="00255D1B">
        <w:rPr>
          <w:color w:val="000000"/>
          <w:w w:val="61"/>
          <w:shd w:val="solid" w:color="000000" w:fill="000000"/>
          <w:fitText w:val="475" w:id="-606363378"/>
          <w14:textFill>
            <w14:solidFill>
              <w14:srgbClr w14:val="000000">
                <w14:alpha w14:val="100000"/>
              </w14:srgbClr>
            </w14:solidFill>
          </w14:textFill>
        </w:rPr>
        <w:t>|  |</w:t>
      </w:r>
      <w:proofErr w:type="gramEnd"/>
      <w:r w:rsidR="00255D1B" w:rsidRPr="00255D1B">
        <w:rPr>
          <w:color w:val="000000"/>
          <w:w w:val="61"/>
          <w:shd w:val="solid" w:color="000000" w:fill="000000"/>
          <w:fitText w:val="475" w:id="-606363378"/>
          <w14:textFill>
            <w14:solidFill>
              <w14:srgbClr w14:val="000000">
                <w14:alpha w14:val="100000"/>
              </w14:srgbClr>
            </w14:solidFill>
          </w14:textFill>
        </w:rPr>
        <w:t>|</w:t>
      </w:r>
      <w:r w:rsidR="00255D1B" w:rsidRPr="00255D1B">
        <w:rPr>
          <w:color w:val="000000"/>
          <w:spacing w:val="5"/>
          <w:w w:val="61"/>
          <w:shd w:val="solid" w:color="000000" w:fill="000000"/>
          <w:fitText w:val="475" w:id="-606363378"/>
          <w14:textFill>
            <w14:solidFill>
              <w14:srgbClr w14:val="000000">
                <w14:alpha w14:val="100000"/>
              </w14:srgbClr>
            </w14:solidFill>
          </w14:textFill>
        </w:rPr>
        <w:t>|</w:t>
      </w:r>
      <w:r w:rsidR="001E6322">
        <w:t>%</w:t>
      </w:r>
      <w:r w:rsidR="00B7433A">
        <w:t xml:space="preserve">) was </w:t>
      </w:r>
      <w:r w:rsidR="005B637C">
        <w:t xml:space="preserve">based on 2024 PBS </w:t>
      </w:r>
      <w:r w:rsidR="00EC4BF5">
        <w:t xml:space="preserve">prescription </w:t>
      </w:r>
      <w:r w:rsidR="005B637C">
        <w:t xml:space="preserve">data </w:t>
      </w:r>
      <w:r w:rsidR="00B7433A">
        <w:t>in which</w:t>
      </w:r>
      <w:r w:rsidR="0079602D">
        <w:t xml:space="preserve"> </w:t>
      </w:r>
      <w:r w:rsidR="008D5C4F">
        <w:t xml:space="preserve">81% </w:t>
      </w:r>
      <w:r w:rsidR="0079602D">
        <w:t>of presc</w:t>
      </w:r>
      <w:r w:rsidR="00890618">
        <w:t xml:space="preserve">riptions were for </w:t>
      </w:r>
      <w:proofErr w:type="spellStart"/>
      <w:r w:rsidR="00255D5C">
        <w:t>o</w:t>
      </w:r>
      <w:r w:rsidR="008D5C4F">
        <w:t>simertinib</w:t>
      </w:r>
      <w:proofErr w:type="spellEnd"/>
      <w:r w:rsidR="008D5C4F">
        <w:t xml:space="preserve"> monotherapy</w:t>
      </w:r>
      <w:r w:rsidR="00255D5C">
        <w:t xml:space="preserve"> </w:t>
      </w:r>
      <w:r w:rsidR="00890618">
        <w:t>and</w:t>
      </w:r>
      <w:r w:rsidR="00255D5C">
        <w:t xml:space="preserve"> </w:t>
      </w:r>
      <w:r w:rsidR="000519D4">
        <w:t>the assumption that approximately</w:t>
      </w:r>
      <w:r w:rsidR="00255D5C">
        <w:t xml:space="preserve"> </w:t>
      </w:r>
      <w:r w:rsidR="00255D1B" w:rsidRPr="00255D1B">
        <w:rPr>
          <w:color w:val="000000"/>
          <w:w w:val="61"/>
          <w:shd w:val="solid" w:color="000000" w:fill="000000"/>
          <w:fitText w:val="475" w:id="-606363377"/>
          <w14:textFill>
            <w14:solidFill>
              <w14:srgbClr w14:val="000000">
                <w14:alpha w14:val="100000"/>
              </w14:srgbClr>
            </w14:solidFill>
          </w14:textFill>
        </w:rPr>
        <w:t>||</w:t>
      </w:r>
      <w:proofErr w:type="gramStart"/>
      <w:r w:rsidR="00255D1B" w:rsidRPr="00255D1B">
        <w:rPr>
          <w:color w:val="000000"/>
          <w:w w:val="61"/>
          <w:shd w:val="solid" w:color="000000" w:fill="000000"/>
          <w:fitText w:val="475" w:id="-606363377"/>
          <w14:textFill>
            <w14:solidFill>
              <w14:srgbClr w14:val="000000">
                <w14:alpha w14:val="100000"/>
              </w14:srgbClr>
            </w14:solidFill>
          </w14:textFill>
        </w:rPr>
        <w:t>|  |</w:t>
      </w:r>
      <w:proofErr w:type="gramEnd"/>
      <w:r w:rsidR="00255D1B" w:rsidRPr="00255D1B">
        <w:rPr>
          <w:color w:val="000000"/>
          <w:w w:val="61"/>
          <w:shd w:val="solid" w:color="000000" w:fill="000000"/>
          <w:fitText w:val="475" w:id="-606363377"/>
          <w14:textFill>
            <w14:solidFill>
              <w14:srgbClr w14:val="000000">
                <w14:alpha w14:val="100000"/>
              </w14:srgbClr>
            </w14:solidFill>
          </w14:textFill>
        </w:rPr>
        <w:t>|</w:t>
      </w:r>
      <w:r w:rsidR="00255D1B" w:rsidRPr="00255D1B">
        <w:rPr>
          <w:color w:val="000000"/>
          <w:spacing w:val="5"/>
          <w:w w:val="61"/>
          <w:shd w:val="solid" w:color="000000" w:fill="000000"/>
          <w:fitText w:val="475" w:id="-606363377"/>
          <w14:textFill>
            <w14:solidFill>
              <w14:srgbClr w14:val="000000">
                <w14:alpha w14:val="100000"/>
              </w14:srgbClr>
            </w14:solidFill>
          </w14:textFill>
        </w:rPr>
        <w:t>|</w:t>
      </w:r>
      <w:r w:rsidR="00255D5C">
        <w:t xml:space="preserve">% </w:t>
      </w:r>
      <w:r w:rsidR="00890618">
        <w:t xml:space="preserve">of these would </w:t>
      </w:r>
      <w:r w:rsidR="00B40A9E">
        <w:t xml:space="preserve">be replaced with </w:t>
      </w:r>
      <w:r w:rsidR="00720007">
        <w:t xml:space="preserve">O + </w:t>
      </w:r>
      <w:r w:rsidR="00700283">
        <w:t>C</w:t>
      </w:r>
      <w:r w:rsidR="00720007">
        <w:t xml:space="preserve"> </w:t>
      </w:r>
      <w:r w:rsidR="00810D16">
        <w:t>(</w:t>
      </w:r>
      <w:r w:rsidR="00720007">
        <w:t>i</w:t>
      </w:r>
      <w:r w:rsidR="00810D16">
        <w:t>.</w:t>
      </w:r>
      <w:r w:rsidR="00720007">
        <w:t>e</w:t>
      </w:r>
      <w:r w:rsidR="00810D16">
        <w:t>.</w:t>
      </w:r>
      <w:r w:rsidR="00720007">
        <w:t xml:space="preserve"> </w:t>
      </w:r>
      <w:r w:rsidR="00603D12">
        <w:t xml:space="preserve">0.81 x </w:t>
      </w:r>
      <w:r w:rsidR="00255D1B" w:rsidRPr="00255D1B">
        <w:rPr>
          <w:color w:val="000000"/>
          <w:w w:val="61"/>
          <w:shd w:val="solid" w:color="000000" w:fill="000000"/>
          <w:fitText w:val="475" w:id="-606363376"/>
          <w14:textFill>
            <w14:solidFill>
              <w14:srgbClr w14:val="000000">
                <w14:alpha w14:val="100000"/>
              </w14:srgbClr>
            </w14:solidFill>
          </w14:textFill>
        </w:rPr>
        <w:t>||</w:t>
      </w:r>
      <w:proofErr w:type="gramStart"/>
      <w:r w:rsidR="00255D1B" w:rsidRPr="00255D1B">
        <w:rPr>
          <w:color w:val="000000"/>
          <w:w w:val="61"/>
          <w:shd w:val="solid" w:color="000000" w:fill="000000"/>
          <w:fitText w:val="475" w:id="-606363376"/>
          <w14:textFill>
            <w14:solidFill>
              <w14:srgbClr w14:val="000000">
                <w14:alpha w14:val="100000"/>
              </w14:srgbClr>
            </w14:solidFill>
          </w14:textFill>
        </w:rPr>
        <w:t>|  |</w:t>
      </w:r>
      <w:proofErr w:type="gramEnd"/>
      <w:r w:rsidR="00255D1B" w:rsidRPr="00255D1B">
        <w:rPr>
          <w:color w:val="000000"/>
          <w:w w:val="61"/>
          <w:shd w:val="solid" w:color="000000" w:fill="000000"/>
          <w:fitText w:val="475" w:id="-606363376"/>
          <w14:textFill>
            <w14:solidFill>
              <w14:srgbClr w14:val="000000">
                <w14:alpha w14:val="100000"/>
              </w14:srgbClr>
            </w14:solidFill>
          </w14:textFill>
        </w:rPr>
        <w:t>|</w:t>
      </w:r>
      <w:r w:rsidR="00255D1B" w:rsidRPr="00255D1B">
        <w:rPr>
          <w:color w:val="000000"/>
          <w:spacing w:val="5"/>
          <w:w w:val="61"/>
          <w:shd w:val="solid" w:color="000000" w:fill="000000"/>
          <w:fitText w:val="475" w:id="-606363376"/>
          <w14:textFill>
            <w14:solidFill>
              <w14:srgbClr w14:val="000000">
                <w14:alpha w14:val="100000"/>
              </w14:srgbClr>
            </w14:solidFill>
          </w14:textFill>
        </w:rPr>
        <w:t>|</w:t>
      </w:r>
      <w:r w:rsidR="00603D12">
        <w:t xml:space="preserve"> </w:t>
      </w:r>
      <w:r w:rsidR="00A42DF4">
        <w:t>= ~</w:t>
      </w:r>
      <w:r w:rsidR="00255D1B" w:rsidRPr="00255D1B">
        <w:rPr>
          <w:color w:val="000000"/>
          <w:w w:val="61"/>
          <w:shd w:val="solid" w:color="000000" w:fill="000000"/>
          <w:fitText w:val="475" w:id="-606363392"/>
          <w14:textFill>
            <w14:solidFill>
              <w14:srgbClr w14:val="000000">
                <w14:alpha w14:val="100000"/>
              </w14:srgbClr>
            </w14:solidFill>
          </w14:textFill>
        </w:rPr>
        <w:t>||</w:t>
      </w:r>
      <w:proofErr w:type="gramStart"/>
      <w:r w:rsidR="00255D1B" w:rsidRPr="00255D1B">
        <w:rPr>
          <w:color w:val="000000"/>
          <w:w w:val="61"/>
          <w:shd w:val="solid" w:color="000000" w:fill="000000"/>
          <w:fitText w:val="475" w:id="-606363392"/>
          <w14:textFill>
            <w14:solidFill>
              <w14:srgbClr w14:val="000000">
                <w14:alpha w14:val="100000"/>
              </w14:srgbClr>
            </w14:solidFill>
          </w14:textFill>
        </w:rPr>
        <w:t>|  |</w:t>
      </w:r>
      <w:proofErr w:type="gramEnd"/>
      <w:r w:rsidR="00255D1B" w:rsidRPr="00255D1B">
        <w:rPr>
          <w:color w:val="000000"/>
          <w:w w:val="61"/>
          <w:shd w:val="solid" w:color="000000" w:fill="000000"/>
          <w:fitText w:val="475" w:id="-606363392"/>
          <w14:textFill>
            <w14:solidFill>
              <w14:srgbClr w14:val="000000">
                <w14:alpha w14:val="100000"/>
              </w14:srgbClr>
            </w14:solidFill>
          </w14:textFill>
        </w:rPr>
        <w:t>|</w:t>
      </w:r>
      <w:r w:rsidR="00255D1B" w:rsidRPr="00255D1B">
        <w:rPr>
          <w:color w:val="000000"/>
          <w:spacing w:val="5"/>
          <w:w w:val="61"/>
          <w:shd w:val="solid" w:color="000000" w:fill="000000"/>
          <w:fitText w:val="475" w:id="-606363392"/>
          <w14:textFill>
            <w14:solidFill>
              <w14:srgbClr w14:val="000000">
                <w14:alpha w14:val="100000"/>
              </w14:srgbClr>
            </w14:solidFill>
          </w14:textFill>
        </w:rPr>
        <w:t>|</w:t>
      </w:r>
      <w:r w:rsidR="00720007">
        <w:t>)</w:t>
      </w:r>
      <w:r w:rsidR="00403010">
        <w:t xml:space="preserve">. </w:t>
      </w:r>
    </w:p>
    <w:p w14:paraId="1A1DACE3" w14:textId="4081D342" w:rsidR="00730B37" w:rsidRPr="005F5CD9" w:rsidRDefault="00730B37" w:rsidP="002E52DC">
      <w:pPr>
        <w:pStyle w:val="3-BodyText"/>
      </w:pPr>
      <w:r w:rsidRPr="005F5CD9">
        <w:t xml:space="preserve">The Secretariat noted </w:t>
      </w:r>
      <w:r w:rsidR="00597975" w:rsidRPr="005F5CD9">
        <w:t xml:space="preserve">if additional certainty for the </w:t>
      </w:r>
      <w:r w:rsidR="00122902" w:rsidRPr="005F5CD9">
        <w:t xml:space="preserve">expenditure </w:t>
      </w:r>
      <w:r w:rsidR="003666AD" w:rsidRPr="005F5CD9">
        <w:t>for</w:t>
      </w:r>
      <w:r w:rsidR="00122902" w:rsidRPr="005F5CD9">
        <w:t xml:space="preserve"> the current </w:t>
      </w:r>
      <w:proofErr w:type="spellStart"/>
      <w:r w:rsidR="003666AD" w:rsidRPr="005F5CD9">
        <w:t>osimertinib</w:t>
      </w:r>
      <w:proofErr w:type="spellEnd"/>
      <w:r w:rsidR="003666AD" w:rsidRPr="005F5CD9">
        <w:t xml:space="preserve"> </w:t>
      </w:r>
      <w:r w:rsidR="00122902" w:rsidRPr="005F5CD9">
        <w:t>listings was prop</w:t>
      </w:r>
      <w:r w:rsidR="003666AD" w:rsidRPr="005F5CD9">
        <w:t>osed</w:t>
      </w:r>
      <w:r w:rsidR="00E16FD1" w:rsidRPr="005F5CD9">
        <w:t>,</w:t>
      </w:r>
      <w:r w:rsidR="003666AD" w:rsidRPr="005F5CD9">
        <w:t xml:space="preserve"> </w:t>
      </w:r>
      <w:r w:rsidR="00DF30C4" w:rsidRPr="005F5CD9">
        <w:t>and the weighted price reflected rebates currently being paid</w:t>
      </w:r>
      <w:r w:rsidR="00606496" w:rsidRPr="005F5CD9">
        <w:t>,</w:t>
      </w:r>
      <w:r w:rsidR="00DF30C4" w:rsidRPr="005F5CD9" w:rsidDel="00925E5F">
        <w:t xml:space="preserve"> </w:t>
      </w:r>
      <w:r w:rsidR="00925E5F" w:rsidRPr="005F5CD9">
        <w:t xml:space="preserve">the </w:t>
      </w:r>
      <w:r w:rsidRPr="005F5CD9">
        <w:t>RSA may no longer be required, particularly if a broad listing is implemented (see below)</w:t>
      </w:r>
      <w:r w:rsidR="00E109BE" w:rsidRPr="005F5CD9">
        <w:t>.</w:t>
      </w:r>
    </w:p>
    <w:p w14:paraId="77746DCD" w14:textId="685C4BB6" w:rsidR="00CC74A2" w:rsidRPr="001A787E" w:rsidRDefault="00177A0C" w:rsidP="007A307E">
      <w:pPr>
        <w:pStyle w:val="4-SubsectionHeading"/>
      </w:pPr>
      <w:r>
        <w:t>Single b</w:t>
      </w:r>
      <w:r w:rsidR="00CC74A2" w:rsidRPr="001A787E">
        <w:t xml:space="preserve">road listing </w:t>
      </w:r>
      <w:r w:rsidR="00CC74A2" w:rsidRPr="007A307E">
        <w:t>for</w:t>
      </w:r>
      <w:r w:rsidR="00CC74A2" w:rsidRPr="001A787E">
        <w:t xml:space="preserve"> </w:t>
      </w:r>
      <w:proofErr w:type="spellStart"/>
      <w:r w:rsidR="00CC74A2" w:rsidRPr="001A787E">
        <w:t>osimertinib</w:t>
      </w:r>
      <w:proofErr w:type="spellEnd"/>
    </w:p>
    <w:p w14:paraId="141BBB3F" w14:textId="76733FDA" w:rsidR="00135AB1" w:rsidRDefault="00CC74A2" w:rsidP="00CC74A2">
      <w:pPr>
        <w:pStyle w:val="3-BodyText"/>
        <w:rPr>
          <w:lang w:eastAsia="en-US"/>
        </w:rPr>
      </w:pPr>
      <w:bookmarkStart w:id="16" w:name="_Ref209683166"/>
      <w:r>
        <w:rPr>
          <w:lang w:eastAsia="en-US"/>
        </w:rPr>
        <w:t xml:space="preserve">At </w:t>
      </w:r>
      <w:r w:rsidR="000A4A8C">
        <w:rPr>
          <w:lang w:eastAsia="en-US"/>
        </w:rPr>
        <w:t xml:space="preserve">its </w:t>
      </w:r>
      <w:r>
        <w:rPr>
          <w:lang w:eastAsia="en-US"/>
        </w:rPr>
        <w:t xml:space="preserve">July 2025 meeting, the PBAC </w:t>
      </w:r>
      <w:r w:rsidR="00532EBB" w:rsidRPr="00532EBB">
        <w:rPr>
          <w:lang w:eastAsia="en-US"/>
        </w:rPr>
        <w:t xml:space="preserve">noted that it would be preferable to have a combined </w:t>
      </w:r>
      <w:r w:rsidR="009B6AA7">
        <w:rPr>
          <w:lang w:eastAsia="en-US"/>
        </w:rPr>
        <w:t>single</w:t>
      </w:r>
      <w:r w:rsidR="009B6AA7" w:rsidRPr="00532EBB">
        <w:rPr>
          <w:lang w:eastAsia="en-US"/>
        </w:rPr>
        <w:t xml:space="preserve"> </w:t>
      </w:r>
      <w:r w:rsidR="00532EBB" w:rsidRPr="00532EBB">
        <w:rPr>
          <w:lang w:eastAsia="en-US"/>
        </w:rPr>
        <w:t xml:space="preserve">restriction for </w:t>
      </w:r>
      <w:proofErr w:type="spellStart"/>
      <w:r w:rsidR="00532EBB" w:rsidRPr="00532EBB">
        <w:rPr>
          <w:lang w:eastAsia="en-US"/>
        </w:rPr>
        <w:t>osimertinib</w:t>
      </w:r>
      <w:proofErr w:type="spellEnd"/>
      <w:r w:rsidR="00532EBB" w:rsidRPr="00532EBB">
        <w:rPr>
          <w:lang w:eastAsia="en-US"/>
        </w:rPr>
        <w:t xml:space="preserve"> covering all the </w:t>
      </w:r>
      <w:r w:rsidR="00532EBB" w:rsidRPr="001A787E">
        <w:rPr>
          <w:i/>
          <w:iCs/>
          <w:lang w:eastAsia="en-US"/>
        </w:rPr>
        <w:t>EGFR</w:t>
      </w:r>
      <w:r w:rsidR="00532EBB" w:rsidRPr="00532EBB">
        <w:rPr>
          <w:lang w:eastAsia="en-US"/>
        </w:rPr>
        <w:t xml:space="preserve"> positive NSCLC patient populations: (1) adjuvant early stage resected; (2) unresectable locally advanced (Stage III); and (3) first- or second line locally advanced or metastatic. The PBAC noted this would require a single weighted price across all indications</w:t>
      </w:r>
      <w:r w:rsidR="00B54AFF">
        <w:rPr>
          <w:lang w:eastAsia="en-US"/>
        </w:rPr>
        <w:t xml:space="preserve"> (paragraph 74, </w:t>
      </w:r>
      <w:proofErr w:type="spellStart"/>
      <w:r w:rsidR="00B54AFF">
        <w:rPr>
          <w:lang w:eastAsia="en-US"/>
        </w:rPr>
        <w:t>osimertinib</w:t>
      </w:r>
      <w:proofErr w:type="spellEnd"/>
      <w:r w:rsidR="00B54AFF">
        <w:rPr>
          <w:lang w:eastAsia="en-US"/>
        </w:rPr>
        <w:t xml:space="preserve"> </w:t>
      </w:r>
      <w:r w:rsidR="000C55DE">
        <w:rPr>
          <w:lang w:eastAsia="en-US"/>
        </w:rPr>
        <w:t>PSD</w:t>
      </w:r>
      <w:r w:rsidR="00B54AFF">
        <w:rPr>
          <w:lang w:eastAsia="en-US"/>
        </w:rPr>
        <w:t>, July 2025 PBAC meeting)</w:t>
      </w:r>
      <w:r w:rsidR="00532EBB" w:rsidRPr="00532EBB">
        <w:rPr>
          <w:lang w:eastAsia="en-US"/>
        </w:rPr>
        <w:t>.</w:t>
      </w:r>
      <w:bookmarkEnd w:id="16"/>
      <w:r w:rsidR="006F3641">
        <w:rPr>
          <w:lang w:eastAsia="en-US"/>
        </w:rPr>
        <w:t xml:space="preserve"> </w:t>
      </w:r>
    </w:p>
    <w:p w14:paraId="078D823D" w14:textId="187ED099" w:rsidR="00E37DA5" w:rsidRDefault="00E37DA5" w:rsidP="00E37DA5">
      <w:pPr>
        <w:pStyle w:val="3-BodyText"/>
        <w:rPr>
          <w:lang w:eastAsia="en-US"/>
        </w:rPr>
      </w:pPr>
      <w:bookmarkStart w:id="17" w:name="_Ref210200165"/>
      <w:r>
        <w:rPr>
          <w:lang w:eastAsia="en-US"/>
        </w:rPr>
        <w:t xml:space="preserve">The pre-PBAC response </w:t>
      </w:r>
      <w:r w:rsidRPr="00A420D0">
        <w:rPr>
          <w:lang w:eastAsia="en-US"/>
        </w:rPr>
        <w:t xml:space="preserve">proposed an </w:t>
      </w:r>
      <w:r>
        <w:rPr>
          <w:lang w:eastAsia="en-US"/>
        </w:rPr>
        <w:t>ex-manufacturer price (</w:t>
      </w:r>
      <w:r w:rsidRPr="00A420D0">
        <w:rPr>
          <w:lang w:eastAsia="en-US"/>
        </w:rPr>
        <w:t>EMP</w:t>
      </w:r>
      <w:r>
        <w:rPr>
          <w:lang w:eastAsia="en-US"/>
        </w:rPr>
        <w:t>)</w:t>
      </w:r>
      <w:r w:rsidRPr="00A420D0">
        <w:rPr>
          <w:lang w:eastAsia="en-US"/>
        </w:rPr>
        <w:t xml:space="preserve"> of $</w:t>
      </w:r>
      <w:r w:rsidR="00255D1B" w:rsidRPr="00255D1B">
        <w:rPr>
          <w:color w:val="000000"/>
          <w:w w:val="61"/>
          <w:shd w:val="solid" w:color="000000" w:fill="000000"/>
          <w:fitText w:val="475" w:id="-606363391"/>
          <w:lang w:eastAsia="en-US"/>
          <w14:textFill>
            <w14:solidFill>
              <w14:srgbClr w14:val="000000">
                <w14:alpha w14:val="100000"/>
              </w14:srgbClr>
            </w14:solidFill>
          </w14:textFill>
        </w:rPr>
        <w:t>||</w:t>
      </w:r>
      <w:proofErr w:type="gramStart"/>
      <w:r w:rsidR="00255D1B" w:rsidRPr="00255D1B">
        <w:rPr>
          <w:color w:val="000000"/>
          <w:w w:val="61"/>
          <w:shd w:val="solid" w:color="000000" w:fill="000000"/>
          <w:fitText w:val="475" w:id="-606363391"/>
          <w:lang w:eastAsia="en-US"/>
          <w14:textFill>
            <w14:solidFill>
              <w14:srgbClr w14:val="000000">
                <w14:alpha w14:val="100000"/>
              </w14:srgbClr>
            </w14:solidFill>
          </w14:textFill>
        </w:rPr>
        <w:t>|  |</w:t>
      </w:r>
      <w:proofErr w:type="gramEnd"/>
      <w:r w:rsidR="00255D1B" w:rsidRPr="00255D1B">
        <w:rPr>
          <w:color w:val="000000"/>
          <w:w w:val="61"/>
          <w:shd w:val="solid" w:color="000000" w:fill="000000"/>
          <w:fitText w:val="475" w:id="-606363391"/>
          <w:lang w:eastAsia="en-US"/>
          <w14:textFill>
            <w14:solidFill>
              <w14:srgbClr w14:val="000000">
                <w14:alpha w14:val="100000"/>
              </w14:srgbClr>
            </w14:solidFill>
          </w14:textFill>
        </w:rPr>
        <w:t>|</w:t>
      </w:r>
      <w:r w:rsidR="00255D1B" w:rsidRPr="00255D1B">
        <w:rPr>
          <w:color w:val="000000"/>
          <w:spacing w:val="5"/>
          <w:w w:val="61"/>
          <w:shd w:val="solid" w:color="000000" w:fill="000000"/>
          <w:fitText w:val="475" w:id="-606363391"/>
          <w:lang w:eastAsia="en-US"/>
          <w14:textFill>
            <w14:solidFill>
              <w14:srgbClr w14:val="000000">
                <w14:alpha w14:val="100000"/>
              </w14:srgbClr>
            </w14:solidFill>
          </w14:textFill>
        </w:rPr>
        <w:t>|</w:t>
      </w:r>
      <w:r w:rsidRPr="00A420D0">
        <w:rPr>
          <w:lang w:eastAsia="en-US"/>
        </w:rPr>
        <w:t xml:space="preserve"> per pack </w:t>
      </w:r>
      <w:r>
        <w:rPr>
          <w:lang w:eastAsia="en-US"/>
        </w:rPr>
        <w:t>for Stage III unresectable NSCLC based on the parameters outlined in the July</w:t>
      </w:r>
      <w:r w:rsidR="000E5E12">
        <w:rPr>
          <w:lang w:eastAsia="en-US"/>
        </w:rPr>
        <w:t> </w:t>
      </w:r>
      <w:r>
        <w:rPr>
          <w:lang w:eastAsia="en-US"/>
        </w:rPr>
        <w:t xml:space="preserve">2025 PABC recommendation (paragraph 7.11, </w:t>
      </w:r>
      <w:proofErr w:type="spellStart"/>
      <w:r>
        <w:rPr>
          <w:lang w:eastAsia="en-US"/>
        </w:rPr>
        <w:t>osimertinib</w:t>
      </w:r>
      <w:proofErr w:type="spellEnd"/>
      <w:r>
        <w:rPr>
          <w:lang w:eastAsia="en-US"/>
        </w:rPr>
        <w:t xml:space="preserve"> </w:t>
      </w:r>
      <w:r w:rsidR="000C55DE">
        <w:rPr>
          <w:lang w:eastAsia="en-US"/>
        </w:rPr>
        <w:t>PSD</w:t>
      </w:r>
      <w:r>
        <w:rPr>
          <w:lang w:eastAsia="en-US"/>
        </w:rPr>
        <w:t xml:space="preserve">, July 2025 PBAC meeting).  </w:t>
      </w:r>
      <w:r>
        <w:rPr>
          <w:lang w:eastAsia="en-US"/>
        </w:rPr>
        <w:lastRenderedPageBreak/>
        <w:t xml:space="preserve">The pre-PBAC response disagreed with some of the parameters included in the economic and financial models (i.e., HR = 0.84 for OS, assumption that 64% of patients have no disease progression after chemoradiation therapy).  However, the pre-PBAC response stated that, despite concerns regarding the use of highly conservative assumptions, it would accept the requirements outlined by the PBAC </w:t>
      </w:r>
      <w:proofErr w:type="gramStart"/>
      <w:r>
        <w:rPr>
          <w:lang w:eastAsia="en-US"/>
        </w:rPr>
        <w:t>in order to</w:t>
      </w:r>
      <w:proofErr w:type="gramEnd"/>
      <w:r>
        <w:rPr>
          <w:lang w:eastAsia="en-US"/>
        </w:rPr>
        <w:t xml:space="preserve"> progress a single listing for </w:t>
      </w:r>
      <w:proofErr w:type="spellStart"/>
      <w:r>
        <w:rPr>
          <w:lang w:eastAsia="en-US"/>
        </w:rPr>
        <w:t>osimertinib</w:t>
      </w:r>
      <w:proofErr w:type="spellEnd"/>
      <w:r>
        <w:rPr>
          <w:lang w:eastAsia="en-US"/>
        </w:rPr>
        <w:t>.</w:t>
      </w:r>
      <w:bookmarkEnd w:id="17"/>
      <w:r>
        <w:rPr>
          <w:lang w:eastAsia="en-US"/>
        </w:rPr>
        <w:t xml:space="preserve">   </w:t>
      </w:r>
    </w:p>
    <w:p w14:paraId="76E53567" w14:textId="6931C8BA" w:rsidR="00D545FB" w:rsidRDefault="00666784" w:rsidP="00BC0041">
      <w:pPr>
        <w:pStyle w:val="3-BodyText"/>
        <w:rPr>
          <w:lang w:eastAsia="en-US"/>
        </w:rPr>
      </w:pPr>
      <w:r>
        <w:rPr>
          <w:lang w:eastAsia="en-US"/>
        </w:rPr>
        <w:t xml:space="preserve">The pre-PBAC response proposed a methodology </w:t>
      </w:r>
      <w:r w:rsidR="005B2458">
        <w:rPr>
          <w:lang w:eastAsia="en-US"/>
        </w:rPr>
        <w:t xml:space="preserve">to calculate a weighted price </w:t>
      </w:r>
      <w:r>
        <w:rPr>
          <w:lang w:eastAsia="en-US"/>
        </w:rPr>
        <w:t xml:space="preserve">based on </w:t>
      </w:r>
      <w:r w:rsidR="00524FD6">
        <w:rPr>
          <w:lang w:eastAsia="en-US"/>
        </w:rPr>
        <w:t xml:space="preserve">estimated script numbers for </w:t>
      </w:r>
      <w:proofErr w:type="spellStart"/>
      <w:r w:rsidR="005B2458">
        <w:rPr>
          <w:lang w:eastAsia="en-US"/>
        </w:rPr>
        <w:t>osimertinib</w:t>
      </w:r>
      <w:proofErr w:type="spellEnd"/>
      <w:r w:rsidR="00524FD6">
        <w:rPr>
          <w:lang w:eastAsia="en-US"/>
        </w:rPr>
        <w:t xml:space="preserve"> </w:t>
      </w:r>
      <w:r w:rsidR="00E65544">
        <w:rPr>
          <w:lang w:eastAsia="en-US"/>
        </w:rPr>
        <w:t xml:space="preserve">across the different </w:t>
      </w:r>
      <w:r w:rsidR="00B02466">
        <w:rPr>
          <w:lang w:eastAsia="en-US"/>
        </w:rPr>
        <w:t>t</w:t>
      </w:r>
      <w:r w:rsidR="005B2458">
        <w:rPr>
          <w:lang w:eastAsia="en-US"/>
        </w:rPr>
        <w:t xml:space="preserve">reatment settings. </w:t>
      </w:r>
      <w:r w:rsidR="00BC0041">
        <w:rPr>
          <w:lang w:eastAsia="en-US"/>
        </w:rPr>
        <w:t>Based on this methodology, the proposed weighted EMP was $</w:t>
      </w:r>
      <w:r w:rsidR="00255D1B" w:rsidRPr="00482C2F">
        <w:rPr>
          <w:color w:val="000000"/>
          <w:w w:val="59"/>
          <w:shd w:val="solid" w:color="000000" w:fill="000000"/>
          <w:fitText w:val="460" w:id="-606363390"/>
          <w:lang w:eastAsia="en-US"/>
          <w14:textFill>
            <w14:solidFill>
              <w14:srgbClr w14:val="000000">
                <w14:alpha w14:val="100000"/>
              </w14:srgbClr>
            </w14:solidFill>
          </w14:textFill>
        </w:rPr>
        <w:t>||</w:t>
      </w:r>
      <w:proofErr w:type="gramStart"/>
      <w:r w:rsidR="00255D1B" w:rsidRPr="00482C2F">
        <w:rPr>
          <w:color w:val="000000"/>
          <w:w w:val="59"/>
          <w:shd w:val="solid" w:color="000000" w:fill="000000"/>
          <w:fitText w:val="460" w:id="-606363390"/>
          <w:lang w:eastAsia="en-US"/>
          <w14:textFill>
            <w14:solidFill>
              <w14:srgbClr w14:val="000000">
                <w14:alpha w14:val="100000"/>
              </w14:srgbClr>
            </w14:solidFill>
          </w14:textFill>
        </w:rPr>
        <w:t>|  |</w:t>
      </w:r>
      <w:proofErr w:type="gramEnd"/>
      <w:r w:rsidR="00255D1B" w:rsidRPr="00482C2F">
        <w:rPr>
          <w:color w:val="000000"/>
          <w:w w:val="59"/>
          <w:shd w:val="solid" w:color="000000" w:fill="000000"/>
          <w:fitText w:val="460" w:id="-606363390"/>
          <w:lang w:eastAsia="en-US"/>
          <w14:textFill>
            <w14:solidFill>
              <w14:srgbClr w14:val="000000">
                <w14:alpha w14:val="100000"/>
              </w14:srgbClr>
            </w14:solidFill>
          </w14:textFill>
        </w:rPr>
        <w:t>|</w:t>
      </w:r>
      <w:r w:rsidR="00255D1B" w:rsidRPr="00482C2F">
        <w:rPr>
          <w:color w:val="000000"/>
          <w:spacing w:val="5"/>
          <w:w w:val="59"/>
          <w:shd w:val="solid" w:color="000000" w:fill="000000"/>
          <w:fitText w:val="460" w:id="-606363390"/>
          <w:lang w:eastAsia="en-US"/>
          <w14:textFill>
            <w14:solidFill>
              <w14:srgbClr w14:val="000000">
                <w14:alpha w14:val="100000"/>
              </w14:srgbClr>
            </w14:solidFill>
          </w14:textFill>
        </w:rPr>
        <w:t>|</w:t>
      </w:r>
      <w:r w:rsidR="00BC0041">
        <w:rPr>
          <w:lang w:eastAsia="en-US"/>
        </w:rPr>
        <w:t xml:space="preserve"> per pack</w:t>
      </w:r>
      <w:r w:rsidR="00C0229B">
        <w:rPr>
          <w:lang w:eastAsia="en-US"/>
        </w:rPr>
        <w:t xml:space="preserve"> (</w:t>
      </w:r>
      <w:r w:rsidR="00B00252">
        <w:rPr>
          <w:lang w:eastAsia="en-US"/>
        </w:rPr>
        <w:fldChar w:fldCharType="begin"/>
      </w:r>
      <w:r w:rsidR="00B00252">
        <w:rPr>
          <w:lang w:eastAsia="en-US"/>
        </w:rPr>
        <w:instrText xml:space="preserve"> REF _Ref209615777 \h </w:instrText>
      </w:r>
      <w:r w:rsidR="00B00252">
        <w:rPr>
          <w:lang w:eastAsia="en-US"/>
        </w:rPr>
      </w:r>
      <w:r w:rsidR="00B00252">
        <w:rPr>
          <w:lang w:eastAsia="en-US"/>
        </w:rPr>
        <w:fldChar w:fldCharType="separate"/>
      </w:r>
      <w:r w:rsidR="0055339A">
        <w:t xml:space="preserve">Table </w:t>
      </w:r>
      <w:r w:rsidR="0055339A">
        <w:rPr>
          <w:noProof/>
        </w:rPr>
        <w:t>9</w:t>
      </w:r>
      <w:r w:rsidR="00B00252">
        <w:rPr>
          <w:lang w:eastAsia="en-US"/>
        </w:rPr>
        <w:fldChar w:fldCharType="end"/>
      </w:r>
      <w:r w:rsidR="00C0229B">
        <w:rPr>
          <w:lang w:eastAsia="en-US"/>
        </w:rPr>
        <w:t>)</w:t>
      </w:r>
      <w:r w:rsidR="00BC0041">
        <w:rPr>
          <w:lang w:eastAsia="en-US"/>
        </w:rPr>
        <w:t>.</w:t>
      </w:r>
      <w:r w:rsidR="009D77A1">
        <w:rPr>
          <w:lang w:eastAsia="en-US"/>
        </w:rPr>
        <w:t xml:space="preserve"> </w:t>
      </w:r>
      <w:r w:rsidR="000B0FA5">
        <w:rPr>
          <w:lang w:eastAsia="en-US"/>
        </w:rPr>
        <w:t>At this price, t</w:t>
      </w:r>
      <w:r w:rsidR="009D77A1">
        <w:rPr>
          <w:lang w:eastAsia="en-US"/>
        </w:rPr>
        <w:t>he pre-PBAC response</w:t>
      </w:r>
      <w:r w:rsidR="00887DF0">
        <w:rPr>
          <w:lang w:eastAsia="en-US"/>
        </w:rPr>
        <w:t xml:space="preserve"> proposed a </w:t>
      </w:r>
      <w:r w:rsidR="00255D1B" w:rsidRPr="00482C2F">
        <w:rPr>
          <w:color w:val="000000"/>
          <w:w w:val="61"/>
          <w:shd w:val="solid" w:color="000000" w:fill="000000"/>
          <w:fitText w:val="475" w:id="-606363389"/>
          <w:lang w:eastAsia="en-US"/>
          <w14:textFill>
            <w14:solidFill>
              <w14:srgbClr w14:val="000000">
                <w14:alpha w14:val="100000"/>
              </w14:srgbClr>
            </w14:solidFill>
          </w14:textFill>
        </w:rPr>
        <w:t>||</w:t>
      </w:r>
      <w:proofErr w:type="gramStart"/>
      <w:r w:rsidR="00255D1B" w:rsidRPr="00482C2F">
        <w:rPr>
          <w:color w:val="000000"/>
          <w:w w:val="61"/>
          <w:shd w:val="solid" w:color="000000" w:fill="000000"/>
          <w:fitText w:val="475" w:id="-606363389"/>
          <w:lang w:eastAsia="en-US"/>
          <w14:textFill>
            <w14:solidFill>
              <w14:srgbClr w14:val="000000">
                <w14:alpha w14:val="100000"/>
              </w14:srgbClr>
            </w14:solidFill>
          </w14:textFill>
        </w:rPr>
        <w:t>|  |</w:t>
      </w:r>
      <w:proofErr w:type="gramEnd"/>
      <w:r w:rsidR="00255D1B" w:rsidRPr="00482C2F">
        <w:rPr>
          <w:color w:val="000000"/>
          <w:w w:val="61"/>
          <w:shd w:val="solid" w:color="000000" w:fill="000000"/>
          <w:fitText w:val="475" w:id="-606363389"/>
          <w:lang w:eastAsia="en-US"/>
          <w14:textFill>
            <w14:solidFill>
              <w14:srgbClr w14:val="000000">
                <w14:alpha w14:val="100000"/>
              </w14:srgbClr>
            </w14:solidFill>
          </w14:textFill>
        </w:rPr>
        <w:t>|</w:t>
      </w:r>
      <w:r w:rsidR="00255D1B" w:rsidRPr="00482C2F">
        <w:rPr>
          <w:color w:val="000000"/>
          <w:spacing w:val="5"/>
          <w:w w:val="61"/>
          <w:shd w:val="solid" w:color="000000" w:fill="000000"/>
          <w:fitText w:val="475" w:id="-606363389"/>
          <w:lang w:eastAsia="en-US"/>
          <w14:textFill>
            <w14:solidFill>
              <w14:srgbClr w14:val="000000">
                <w14:alpha w14:val="100000"/>
              </w14:srgbClr>
            </w14:solidFill>
          </w14:textFill>
        </w:rPr>
        <w:t>|</w:t>
      </w:r>
      <w:r w:rsidR="00D27E78">
        <w:rPr>
          <w:lang w:eastAsia="en-US"/>
        </w:rPr>
        <w:t xml:space="preserve">% rebate for any spend over expenditure caps. </w:t>
      </w:r>
      <w:r w:rsidR="009D77A1">
        <w:rPr>
          <w:lang w:eastAsia="en-US"/>
        </w:rPr>
        <w:t xml:space="preserve"> </w:t>
      </w:r>
      <w:r w:rsidR="000B0FA5">
        <w:rPr>
          <w:lang w:eastAsia="en-US"/>
        </w:rPr>
        <w:t xml:space="preserve">To facilitate a broad listing with no expenditure caps, the pre-PBAC response proposed a weighted average price </w:t>
      </w:r>
      <w:r w:rsidR="00255D1B" w:rsidRPr="00482C2F">
        <w:rPr>
          <w:color w:val="000000"/>
          <w:w w:val="61"/>
          <w:shd w:val="solid" w:color="000000" w:fill="000000"/>
          <w:fitText w:val="475" w:id="-606363388"/>
          <w:lang w:eastAsia="en-US"/>
          <w14:textFill>
            <w14:solidFill>
              <w14:srgbClr w14:val="000000">
                <w14:alpha w14:val="100000"/>
              </w14:srgbClr>
            </w14:solidFill>
          </w14:textFill>
        </w:rPr>
        <w:t>||</w:t>
      </w:r>
      <w:proofErr w:type="gramStart"/>
      <w:r w:rsidR="00255D1B" w:rsidRPr="00482C2F">
        <w:rPr>
          <w:color w:val="000000"/>
          <w:w w:val="61"/>
          <w:shd w:val="solid" w:color="000000" w:fill="000000"/>
          <w:fitText w:val="475" w:id="-606363388"/>
          <w:lang w:eastAsia="en-US"/>
          <w14:textFill>
            <w14:solidFill>
              <w14:srgbClr w14:val="000000">
                <w14:alpha w14:val="100000"/>
              </w14:srgbClr>
            </w14:solidFill>
          </w14:textFill>
        </w:rPr>
        <w:t>|  |</w:t>
      </w:r>
      <w:proofErr w:type="gramEnd"/>
      <w:r w:rsidR="00255D1B" w:rsidRPr="00482C2F">
        <w:rPr>
          <w:color w:val="000000"/>
          <w:w w:val="61"/>
          <w:shd w:val="solid" w:color="000000" w:fill="000000"/>
          <w:fitText w:val="475" w:id="-606363388"/>
          <w:lang w:eastAsia="en-US"/>
          <w14:textFill>
            <w14:solidFill>
              <w14:srgbClr w14:val="000000">
                <w14:alpha w14:val="100000"/>
              </w14:srgbClr>
            </w14:solidFill>
          </w14:textFill>
        </w:rPr>
        <w:t>|</w:t>
      </w:r>
      <w:r w:rsidR="00255D1B" w:rsidRPr="00482C2F">
        <w:rPr>
          <w:color w:val="000000"/>
          <w:spacing w:val="5"/>
          <w:w w:val="61"/>
          <w:shd w:val="solid" w:color="000000" w:fill="000000"/>
          <w:fitText w:val="475" w:id="-606363388"/>
          <w:lang w:eastAsia="en-US"/>
          <w14:textFill>
            <w14:solidFill>
              <w14:srgbClr w14:val="000000">
                <w14:alpha w14:val="100000"/>
              </w14:srgbClr>
            </w14:solidFill>
          </w14:textFill>
        </w:rPr>
        <w:t>|</w:t>
      </w:r>
      <w:r w:rsidR="00BA53DE">
        <w:rPr>
          <w:lang w:eastAsia="en-US"/>
        </w:rPr>
        <w:t xml:space="preserve">% lower (i.e., </w:t>
      </w:r>
      <w:r w:rsidR="000B0FA5">
        <w:rPr>
          <w:lang w:eastAsia="en-US"/>
        </w:rPr>
        <w:t>$</w:t>
      </w:r>
      <w:r w:rsidR="00255D1B" w:rsidRPr="00482C2F">
        <w:rPr>
          <w:color w:val="000000"/>
          <w:w w:val="61"/>
          <w:shd w:val="solid" w:color="000000" w:fill="000000"/>
          <w:fitText w:val="475" w:id="-606363387"/>
          <w:lang w:eastAsia="en-US"/>
          <w14:textFill>
            <w14:solidFill>
              <w14:srgbClr w14:val="000000">
                <w14:alpha w14:val="100000"/>
              </w14:srgbClr>
            </w14:solidFill>
          </w14:textFill>
        </w:rPr>
        <w:t>||</w:t>
      </w:r>
      <w:proofErr w:type="gramStart"/>
      <w:r w:rsidR="00255D1B" w:rsidRPr="00482C2F">
        <w:rPr>
          <w:color w:val="000000"/>
          <w:w w:val="61"/>
          <w:shd w:val="solid" w:color="000000" w:fill="000000"/>
          <w:fitText w:val="475" w:id="-606363387"/>
          <w:lang w:eastAsia="en-US"/>
          <w14:textFill>
            <w14:solidFill>
              <w14:srgbClr w14:val="000000">
                <w14:alpha w14:val="100000"/>
              </w14:srgbClr>
            </w14:solidFill>
          </w14:textFill>
        </w:rPr>
        <w:t>|  |</w:t>
      </w:r>
      <w:proofErr w:type="gramEnd"/>
      <w:r w:rsidR="00255D1B" w:rsidRPr="00482C2F">
        <w:rPr>
          <w:color w:val="000000"/>
          <w:w w:val="61"/>
          <w:shd w:val="solid" w:color="000000" w:fill="000000"/>
          <w:fitText w:val="475" w:id="-606363387"/>
          <w:lang w:eastAsia="en-US"/>
          <w14:textFill>
            <w14:solidFill>
              <w14:srgbClr w14:val="000000">
                <w14:alpha w14:val="100000"/>
              </w14:srgbClr>
            </w14:solidFill>
          </w14:textFill>
        </w:rPr>
        <w:t>|</w:t>
      </w:r>
      <w:r w:rsidR="00255D1B" w:rsidRPr="00482C2F">
        <w:rPr>
          <w:color w:val="000000"/>
          <w:spacing w:val="5"/>
          <w:w w:val="61"/>
          <w:shd w:val="solid" w:color="000000" w:fill="000000"/>
          <w:fitText w:val="475" w:id="-606363387"/>
          <w:lang w:eastAsia="en-US"/>
          <w14:textFill>
            <w14:solidFill>
              <w14:srgbClr w14:val="000000">
                <w14:alpha w14:val="100000"/>
              </w14:srgbClr>
            </w14:solidFill>
          </w14:textFill>
        </w:rPr>
        <w:t>|</w:t>
      </w:r>
      <w:r w:rsidR="000B0FA5">
        <w:rPr>
          <w:lang w:eastAsia="en-US"/>
        </w:rPr>
        <w:t xml:space="preserve"> per pack</w:t>
      </w:r>
      <w:r w:rsidR="00BA53DE">
        <w:rPr>
          <w:lang w:eastAsia="en-US"/>
        </w:rPr>
        <w:t>)</w:t>
      </w:r>
      <w:r w:rsidR="000B0FA5">
        <w:rPr>
          <w:lang w:eastAsia="en-US"/>
        </w:rPr>
        <w:t>.</w:t>
      </w:r>
    </w:p>
    <w:p w14:paraId="4D22A9EC" w14:textId="4A8DE8B8" w:rsidR="00D545FB" w:rsidRDefault="00FC01A4" w:rsidP="00C37E2A">
      <w:pPr>
        <w:pStyle w:val="Caption"/>
      </w:pPr>
      <w:bookmarkStart w:id="18" w:name="_Ref209615777"/>
      <w:r>
        <w:t xml:space="preserve">Table </w:t>
      </w:r>
      <w:r w:rsidR="00913498">
        <w:fldChar w:fldCharType="begin"/>
      </w:r>
      <w:r w:rsidR="00913498">
        <w:instrText xml:space="preserve"> SEQ Table \* ARABIC </w:instrText>
      </w:r>
      <w:r w:rsidR="00913498">
        <w:fldChar w:fldCharType="separate"/>
      </w:r>
      <w:r w:rsidR="0055339A">
        <w:rPr>
          <w:noProof/>
        </w:rPr>
        <w:t>9</w:t>
      </w:r>
      <w:r w:rsidR="00913498">
        <w:rPr>
          <w:noProof/>
        </w:rPr>
        <w:fldChar w:fldCharType="end"/>
      </w:r>
      <w:bookmarkEnd w:id="18"/>
      <w:r w:rsidRPr="004747FA">
        <w:t xml:space="preserve">: </w:t>
      </w:r>
      <w:r>
        <w:t>Weighted avera</w:t>
      </w:r>
      <w:r w:rsidR="00C51179">
        <w:t>ge price methodology proposed in pre-PBAC response</w:t>
      </w:r>
      <w:r w:rsidR="00C51179">
        <w:tab/>
      </w:r>
      <w:r w:rsidR="00C51179">
        <w:tab/>
      </w:r>
      <w:r w:rsidR="00C51179">
        <w:tab/>
      </w:r>
      <w:r w:rsidR="00C51179">
        <w:tab/>
      </w:r>
    </w:p>
    <w:tbl>
      <w:tblPr>
        <w:tblStyle w:val="TableGrid"/>
        <w:tblW w:w="0" w:type="auto"/>
        <w:tblLook w:val="04A0" w:firstRow="1" w:lastRow="0" w:firstColumn="1" w:lastColumn="0" w:noHBand="0" w:noVBand="1"/>
        <w:tblCaption w:val="Weighted average price methodology proposed in pre-PBAC response"/>
      </w:tblPr>
      <w:tblGrid>
        <w:gridCol w:w="2368"/>
        <w:gridCol w:w="2292"/>
        <w:gridCol w:w="2218"/>
        <w:gridCol w:w="2138"/>
      </w:tblGrid>
      <w:tr w:rsidR="00FC01A4" w:rsidRPr="00FC01A4" w14:paraId="3593017E" w14:textId="494440BD" w:rsidTr="00255D1B">
        <w:tc>
          <w:tcPr>
            <w:tcW w:w="2368" w:type="dxa"/>
          </w:tcPr>
          <w:p w14:paraId="73EA79B1" w14:textId="27A4862B" w:rsidR="00FC01A4" w:rsidRPr="00753FAA" w:rsidRDefault="00FC01A4" w:rsidP="00C37E2A">
            <w:pPr>
              <w:pStyle w:val="3-BodyText"/>
              <w:keepNext/>
              <w:keepLines/>
              <w:numPr>
                <w:ilvl w:val="0"/>
                <w:numId w:val="0"/>
              </w:numPr>
              <w:spacing w:after="0"/>
              <w:rPr>
                <w:rFonts w:ascii="Arial Narrow" w:hAnsi="Arial Narrow"/>
                <w:b/>
                <w:bCs/>
                <w:sz w:val="20"/>
                <w:szCs w:val="18"/>
                <w:lang w:eastAsia="en-US"/>
              </w:rPr>
            </w:pPr>
            <w:r w:rsidRPr="00753FAA">
              <w:rPr>
                <w:rFonts w:ascii="Arial Narrow" w:hAnsi="Arial Narrow"/>
                <w:b/>
                <w:bCs/>
                <w:sz w:val="20"/>
                <w:szCs w:val="18"/>
                <w:lang w:eastAsia="en-US"/>
              </w:rPr>
              <w:t>Treatment setting</w:t>
            </w:r>
          </w:p>
        </w:tc>
        <w:tc>
          <w:tcPr>
            <w:tcW w:w="2292" w:type="dxa"/>
          </w:tcPr>
          <w:p w14:paraId="4E78A5A1" w14:textId="41454EB8" w:rsidR="00B02466" w:rsidRDefault="00B00252" w:rsidP="00C37E2A">
            <w:pPr>
              <w:pStyle w:val="3-BodyText"/>
              <w:keepNext/>
              <w:keepLines/>
              <w:numPr>
                <w:ilvl w:val="0"/>
                <w:numId w:val="0"/>
              </w:numPr>
              <w:spacing w:after="0"/>
              <w:rPr>
                <w:rFonts w:ascii="Arial Narrow" w:hAnsi="Arial Narrow"/>
                <w:b/>
                <w:bCs/>
                <w:sz w:val="20"/>
                <w:szCs w:val="18"/>
                <w:lang w:eastAsia="en-US"/>
              </w:rPr>
            </w:pPr>
            <w:r>
              <w:rPr>
                <w:rFonts w:ascii="Arial Narrow" w:hAnsi="Arial Narrow"/>
                <w:b/>
                <w:bCs/>
                <w:sz w:val="20"/>
                <w:szCs w:val="18"/>
                <w:lang w:eastAsia="en-US"/>
              </w:rPr>
              <w:t>Estimated s</w:t>
            </w:r>
            <w:r w:rsidR="00FC01A4" w:rsidRPr="00753FAA">
              <w:rPr>
                <w:rFonts w:ascii="Arial Narrow" w:hAnsi="Arial Narrow"/>
                <w:b/>
                <w:bCs/>
                <w:sz w:val="20"/>
                <w:szCs w:val="18"/>
                <w:lang w:eastAsia="en-US"/>
              </w:rPr>
              <w:t>cript</w:t>
            </w:r>
            <w:r w:rsidR="00B02466">
              <w:rPr>
                <w:rFonts w:ascii="Arial Narrow" w:hAnsi="Arial Narrow"/>
                <w:b/>
                <w:bCs/>
                <w:sz w:val="20"/>
                <w:szCs w:val="18"/>
                <w:lang w:eastAsia="en-US"/>
              </w:rPr>
              <w:t xml:space="preserve"> number</w:t>
            </w:r>
            <w:r>
              <w:rPr>
                <w:rFonts w:ascii="Arial Narrow" w:hAnsi="Arial Narrow"/>
                <w:b/>
                <w:bCs/>
                <w:sz w:val="20"/>
                <w:szCs w:val="18"/>
                <w:lang w:eastAsia="en-US"/>
              </w:rPr>
              <w:t>s</w:t>
            </w:r>
            <w:r w:rsidR="00FC01A4" w:rsidRPr="00753FAA">
              <w:rPr>
                <w:rFonts w:ascii="Arial Narrow" w:hAnsi="Arial Narrow"/>
                <w:b/>
                <w:bCs/>
                <w:sz w:val="20"/>
                <w:szCs w:val="18"/>
                <w:lang w:eastAsia="en-US"/>
              </w:rPr>
              <w:t xml:space="preserve"> </w:t>
            </w:r>
          </w:p>
          <w:p w14:paraId="054B6E2B" w14:textId="231096DF" w:rsidR="00FC01A4" w:rsidRPr="00753FAA" w:rsidRDefault="00FC01A4" w:rsidP="00C37E2A">
            <w:pPr>
              <w:pStyle w:val="3-BodyText"/>
              <w:keepNext/>
              <w:keepLines/>
              <w:numPr>
                <w:ilvl w:val="0"/>
                <w:numId w:val="0"/>
              </w:numPr>
              <w:spacing w:after="0"/>
              <w:rPr>
                <w:rFonts w:ascii="Arial Narrow" w:hAnsi="Arial Narrow"/>
                <w:b/>
                <w:bCs/>
                <w:sz w:val="20"/>
                <w:szCs w:val="18"/>
                <w:lang w:eastAsia="en-US"/>
              </w:rPr>
            </w:pPr>
            <w:r w:rsidRPr="00753FAA">
              <w:rPr>
                <w:rFonts w:ascii="Arial Narrow" w:hAnsi="Arial Narrow"/>
                <w:b/>
                <w:bCs/>
                <w:sz w:val="20"/>
                <w:szCs w:val="18"/>
                <w:lang w:eastAsia="en-US"/>
              </w:rPr>
              <w:t>2026 to 2029</w:t>
            </w:r>
          </w:p>
        </w:tc>
        <w:tc>
          <w:tcPr>
            <w:tcW w:w="2218" w:type="dxa"/>
          </w:tcPr>
          <w:p w14:paraId="39CE2CA1" w14:textId="1EB7D727" w:rsidR="00FC01A4" w:rsidRPr="00753FAA" w:rsidRDefault="00FC01A4" w:rsidP="00C37E2A">
            <w:pPr>
              <w:pStyle w:val="3-BodyText"/>
              <w:keepNext/>
              <w:keepLines/>
              <w:numPr>
                <w:ilvl w:val="0"/>
                <w:numId w:val="0"/>
              </w:numPr>
              <w:spacing w:after="0"/>
              <w:rPr>
                <w:rFonts w:ascii="Arial Narrow" w:hAnsi="Arial Narrow"/>
                <w:b/>
                <w:bCs/>
                <w:sz w:val="20"/>
                <w:szCs w:val="18"/>
                <w:lang w:eastAsia="en-US"/>
              </w:rPr>
            </w:pPr>
            <w:r w:rsidRPr="00753FAA">
              <w:rPr>
                <w:rFonts w:ascii="Arial Narrow" w:hAnsi="Arial Narrow"/>
                <w:b/>
                <w:bCs/>
                <w:sz w:val="20"/>
                <w:szCs w:val="18"/>
                <w:lang w:eastAsia="en-US"/>
              </w:rPr>
              <w:t>% use</w:t>
            </w:r>
          </w:p>
        </w:tc>
        <w:tc>
          <w:tcPr>
            <w:tcW w:w="2138" w:type="dxa"/>
            <w:tcBorders>
              <w:bottom w:val="single" w:sz="4" w:space="0" w:color="auto"/>
            </w:tcBorders>
          </w:tcPr>
          <w:p w14:paraId="5A747FAE" w14:textId="4296A09C" w:rsidR="00FC01A4" w:rsidRPr="00753FAA" w:rsidRDefault="00C51179" w:rsidP="00C37E2A">
            <w:pPr>
              <w:pStyle w:val="3-BodyText"/>
              <w:keepNext/>
              <w:keepLines/>
              <w:numPr>
                <w:ilvl w:val="0"/>
                <w:numId w:val="0"/>
              </w:numPr>
              <w:spacing w:after="0"/>
              <w:rPr>
                <w:rFonts w:ascii="Arial Narrow" w:hAnsi="Arial Narrow"/>
                <w:b/>
                <w:bCs/>
                <w:sz w:val="20"/>
                <w:szCs w:val="18"/>
                <w:lang w:eastAsia="en-US"/>
              </w:rPr>
            </w:pPr>
            <w:r w:rsidRPr="00753FAA">
              <w:rPr>
                <w:rFonts w:ascii="Arial Narrow" w:hAnsi="Arial Narrow"/>
                <w:b/>
                <w:bCs/>
                <w:sz w:val="20"/>
                <w:szCs w:val="18"/>
                <w:lang w:eastAsia="en-US"/>
              </w:rPr>
              <w:t>EMP</w:t>
            </w:r>
            <w:r w:rsidR="00821F8E">
              <w:rPr>
                <w:rFonts w:ascii="Arial Narrow" w:hAnsi="Arial Narrow"/>
                <w:b/>
                <w:bCs/>
                <w:sz w:val="20"/>
                <w:szCs w:val="18"/>
                <w:lang w:eastAsia="en-US"/>
              </w:rPr>
              <w:t xml:space="preserve"> ($)</w:t>
            </w:r>
          </w:p>
        </w:tc>
      </w:tr>
      <w:tr w:rsidR="00E65544" w:rsidRPr="00FC01A4" w14:paraId="48B1C454" w14:textId="77777777" w:rsidTr="00255D1B">
        <w:tc>
          <w:tcPr>
            <w:tcW w:w="2368" w:type="dxa"/>
          </w:tcPr>
          <w:p w14:paraId="07943C23" w14:textId="4038A88A" w:rsidR="00E65544" w:rsidRDefault="00770718" w:rsidP="00C37E2A">
            <w:pPr>
              <w:pStyle w:val="3-BodyText"/>
              <w:keepNext/>
              <w:keepLines/>
              <w:numPr>
                <w:ilvl w:val="0"/>
                <w:numId w:val="0"/>
              </w:numPr>
              <w:spacing w:after="0"/>
              <w:rPr>
                <w:rFonts w:ascii="Arial Narrow" w:hAnsi="Arial Narrow"/>
                <w:sz w:val="20"/>
                <w:szCs w:val="18"/>
                <w:lang w:eastAsia="en-US"/>
              </w:rPr>
            </w:pPr>
            <w:r>
              <w:rPr>
                <w:rFonts w:ascii="Arial Narrow" w:hAnsi="Arial Narrow"/>
                <w:sz w:val="20"/>
                <w:szCs w:val="18"/>
                <w:lang w:eastAsia="en-US"/>
              </w:rPr>
              <w:t>Adjuvant</w:t>
            </w:r>
          </w:p>
        </w:tc>
        <w:tc>
          <w:tcPr>
            <w:tcW w:w="2292" w:type="dxa"/>
          </w:tcPr>
          <w:p w14:paraId="5CD3CDA0" w14:textId="2EBCBADC" w:rsidR="00E65544" w:rsidRPr="00033AB8" w:rsidRDefault="00255D1B" w:rsidP="00C37E2A">
            <w:pPr>
              <w:pStyle w:val="3-BodyText"/>
              <w:keepNext/>
              <w:keepLines/>
              <w:numPr>
                <w:ilvl w:val="0"/>
                <w:numId w:val="0"/>
              </w:numPr>
              <w:spacing w:after="0"/>
              <w:rPr>
                <w:rFonts w:ascii="Arial Narrow" w:hAnsi="Arial Narrow"/>
                <w:sz w:val="20"/>
                <w:szCs w:val="18"/>
                <w:highlight w:val="darkGray"/>
                <w:lang w:eastAsia="en-US"/>
              </w:rPr>
            </w:pPr>
            <w:r>
              <w:rPr>
                <w:rFonts w:ascii="Arial Narrow" w:hAnsi="Arial Narrow"/>
                <w:color w:val="000000"/>
                <w:spacing w:val="9"/>
                <w:sz w:val="20"/>
                <w:szCs w:val="18"/>
                <w:shd w:val="solid" w:color="000000" w:fill="000000"/>
                <w:fitText w:val="310" w:id="-606363386"/>
                <w:lang w:eastAsia="en-US"/>
                <w14:textFill>
                  <w14:solidFill>
                    <w14:srgbClr w14:val="000000">
                      <w14:alpha w14:val="100000"/>
                    </w14:srgbClr>
                  </w14:solidFill>
                </w14:textFill>
              </w:rPr>
              <w:t>|</w:t>
            </w:r>
            <w:proofErr w:type="gramStart"/>
            <w:r>
              <w:rPr>
                <w:rFonts w:ascii="Arial Narrow" w:hAnsi="Arial Narrow"/>
                <w:color w:val="000000"/>
                <w:spacing w:val="9"/>
                <w:sz w:val="20"/>
                <w:szCs w:val="18"/>
                <w:shd w:val="solid" w:color="000000" w:fill="000000"/>
                <w:fitText w:val="310" w:id="-606363386"/>
                <w:lang w:eastAsia="en-US"/>
                <w14:textFill>
                  <w14:solidFill>
                    <w14:srgbClr w14:val="000000">
                      <w14:alpha w14:val="100000"/>
                    </w14:srgbClr>
                  </w14:solidFill>
                </w14:textFill>
              </w:rPr>
              <w:t>|  |</w:t>
            </w:r>
            <w:proofErr w:type="gramEnd"/>
            <w:r>
              <w:rPr>
                <w:rFonts w:ascii="Arial Narrow" w:hAnsi="Arial Narrow"/>
                <w:color w:val="000000"/>
                <w:spacing w:val="1"/>
                <w:sz w:val="20"/>
                <w:szCs w:val="18"/>
                <w:shd w:val="solid" w:color="000000" w:fill="000000"/>
                <w:fitText w:val="310" w:id="-606363386"/>
                <w:lang w:eastAsia="en-US"/>
                <w14:textFill>
                  <w14:solidFill>
                    <w14:srgbClr w14:val="000000">
                      <w14:alpha w14:val="100000"/>
                    </w14:srgbClr>
                  </w14:solidFill>
                </w14:textFill>
              </w:rPr>
              <w:t>|</w:t>
            </w:r>
            <w:r w:rsidR="006E09D9" w:rsidRPr="00033AB8">
              <w:rPr>
                <w:rFonts w:ascii="Arial Narrow" w:hAnsi="Arial Narrow"/>
                <w:sz w:val="20"/>
                <w:szCs w:val="18"/>
                <w:vertAlign w:val="superscript"/>
                <w:lang w:eastAsia="en-US"/>
              </w:rPr>
              <w:t>1</w:t>
            </w:r>
          </w:p>
        </w:tc>
        <w:tc>
          <w:tcPr>
            <w:tcW w:w="2218" w:type="dxa"/>
          </w:tcPr>
          <w:p w14:paraId="448454D5" w14:textId="0EBC5335" w:rsidR="00E65544" w:rsidRDefault="00CE330E" w:rsidP="00C37E2A">
            <w:pPr>
              <w:pStyle w:val="3-BodyText"/>
              <w:keepNext/>
              <w:keepLines/>
              <w:numPr>
                <w:ilvl w:val="0"/>
                <w:numId w:val="0"/>
              </w:numPr>
              <w:spacing w:after="0"/>
              <w:rPr>
                <w:rFonts w:ascii="Arial Narrow" w:hAnsi="Arial Narrow"/>
                <w:sz w:val="20"/>
                <w:szCs w:val="18"/>
                <w:lang w:eastAsia="en-US"/>
              </w:rPr>
            </w:pPr>
            <w:r>
              <w:rPr>
                <w:rFonts w:ascii="Arial Narrow" w:hAnsi="Arial Narrow"/>
                <w:sz w:val="20"/>
                <w:szCs w:val="18"/>
                <w:lang w:eastAsia="en-US"/>
              </w:rPr>
              <w:t>34%</w:t>
            </w:r>
          </w:p>
        </w:tc>
        <w:tc>
          <w:tcPr>
            <w:tcW w:w="2138" w:type="dxa"/>
            <w:shd w:val="solid" w:color="000000" w:fill="000000"/>
          </w:tcPr>
          <w:p w14:paraId="23B743D3" w14:textId="726FF97D" w:rsidR="00E65544" w:rsidRPr="00033AB8" w:rsidRDefault="00255D1B" w:rsidP="00C37E2A">
            <w:pPr>
              <w:keepNext/>
              <w:keepLines/>
              <w:rPr>
                <w:rFonts w:ascii="Arial Narrow" w:hAnsi="Arial Narrow"/>
                <w:color w:val="000000"/>
                <w:sz w:val="20"/>
                <w:szCs w:val="20"/>
                <w:highlight w:val="darkGray"/>
              </w:rPr>
            </w:pPr>
            <w:r>
              <w:rPr>
                <w:rFonts w:ascii="Arial Narrow" w:hAnsi="Arial Narrow"/>
                <w:color w:val="000000"/>
                <w:spacing w:val="9"/>
                <w:sz w:val="20"/>
                <w:szCs w:val="20"/>
                <w:fitText w:val="310" w:id="-606363385"/>
                <w14:textFill>
                  <w14:solidFill>
                    <w14:srgbClr w14:val="000000">
                      <w14:alpha w14:val="100000"/>
                    </w14:srgbClr>
                  </w14:solidFill>
                </w14:textFill>
              </w:rPr>
              <w:t>||  |</w:t>
            </w:r>
            <w:r>
              <w:rPr>
                <w:rFonts w:ascii="Arial Narrow" w:hAnsi="Arial Narrow"/>
                <w:color w:val="000000"/>
                <w:spacing w:val="1"/>
                <w:sz w:val="20"/>
                <w:szCs w:val="20"/>
                <w:fitText w:val="310" w:id="-606363385"/>
                <w14:textFill>
                  <w14:solidFill>
                    <w14:srgbClr w14:val="000000">
                      <w14:alpha w14:val="100000"/>
                    </w14:srgbClr>
                  </w14:solidFill>
                </w14:textFill>
              </w:rPr>
              <w:t>|</w:t>
            </w:r>
          </w:p>
        </w:tc>
      </w:tr>
      <w:tr w:rsidR="00E65544" w:rsidRPr="00FC01A4" w14:paraId="074232E9" w14:textId="77777777" w:rsidTr="00255D1B">
        <w:tc>
          <w:tcPr>
            <w:tcW w:w="2368" w:type="dxa"/>
          </w:tcPr>
          <w:p w14:paraId="1A9D4772" w14:textId="54784C9B" w:rsidR="00E65544" w:rsidRDefault="00770718" w:rsidP="00C37E2A">
            <w:pPr>
              <w:pStyle w:val="3-BodyText"/>
              <w:keepNext/>
              <w:keepLines/>
              <w:numPr>
                <w:ilvl w:val="0"/>
                <w:numId w:val="0"/>
              </w:numPr>
              <w:spacing w:after="0"/>
              <w:rPr>
                <w:rFonts w:ascii="Arial Narrow" w:hAnsi="Arial Narrow"/>
                <w:sz w:val="20"/>
                <w:szCs w:val="18"/>
                <w:lang w:eastAsia="en-US"/>
              </w:rPr>
            </w:pPr>
            <w:r>
              <w:rPr>
                <w:rFonts w:ascii="Arial Narrow" w:hAnsi="Arial Narrow"/>
                <w:sz w:val="20"/>
                <w:szCs w:val="18"/>
                <w:lang w:eastAsia="en-US"/>
              </w:rPr>
              <w:t>Stage III unresectable</w:t>
            </w:r>
          </w:p>
        </w:tc>
        <w:tc>
          <w:tcPr>
            <w:tcW w:w="2292" w:type="dxa"/>
          </w:tcPr>
          <w:p w14:paraId="1ECA9551" w14:textId="09E937D7" w:rsidR="00E65544" w:rsidRPr="00033AB8" w:rsidRDefault="00255D1B" w:rsidP="00C37E2A">
            <w:pPr>
              <w:pStyle w:val="3-BodyText"/>
              <w:keepNext/>
              <w:keepLines/>
              <w:numPr>
                <w:ilvl w:val="0"/>
                <w:numId w:val="0"/>
              </w:numPr>
              <w:spacing w:after="0"/>
              <w:rPr>
                <w:rFonts w:ascii="Arial Narrow" w:hAnsi="Arial Narrow"/>
                <w:sz w:val="20"/>
                <w:szCs w:val="18"/>
                <w:highlight w:val="darkGray"/>
                <w:lang w:eastAsia="en-US"/>
              </w:rPr>
            </w:pPr>
            <w:r>
              <w:rPr>
                <w:rFonts w:ascii="Arial Narrow" w:hAnsi="Arial Narrow"/>
                <w:color w:val="000000"/>
                <w:spacing w:val="9"/>
                <w:sz w:val="20"/>
                <w:szCs w:val="18"/>
                <w:shd w:val="solid" w:color="000000" w:fill="000000"/>
                <w:fitText w:val="310" w:id="-606363384"/>
                <w:lang w:eastAsia="en-US"/>
                <w14:textFill>
                  <w14:solidFill>
                    <w14:srgbClr w14:val="000000">
                      <w14:alpha w14:val="100000"/>
                    </w14:srgbClr>
                  </w14:solidFill>
                </w14:textFill>
              </w:rPr>
              <w:t>|</w:t>
            </w:r>
            <w:proofErr w:type="gramStart"/>
            <w:r>
              <w:rPr>
                <w:rFonts w:ascii="Arial Narrow" w:hAnsi="Arial Narrow"/>
                <w:color w:val="000000"/>
                <w:spacing w:val="9"/>
                <w:sz w:val="20"/>
                <w:szCs w:val="18"/>
                <w:shd w:val="solid" w:color="000000" w:fill="000000"/>
                <w:fitText w:val="310" w:id="-606363384"/>
                <w:lang w:eastAsia="en-US"/>
                <w14:textFill>
                  <w14:solidFill>
                    <w14:srgbClr w14:val="000000">
                      <w14:alpha w14:val="100000"/>
                    </w14:srgbClr>
                  </w14:solidFill>
                </w14:textFill>
              </w:rPr>
              <w:t>|  |</w:t>
            </w:r>
            <w:proofErr w:type="gramEnd"/>
            <w:r>
              <w:rPr>
                <w:rFonts w:ascii="Arial Narrow" w:hAnsi="Arial Narrow"/>
                <w:color w:val="000000"/>
                <w:spacing w:val="1"/>
                <w:sz w:val="20"/>
                <w:szCs w:val="18"/>
                <w:shd w:val="solid" w:color="000000" w:fill="000000"/>
                <w:fitText w:val="310" w:id="-606363384"/>
                <w:lang w:eastAsia="en-US"/>
                <w14:textFill>
                  <w14:solidFill>
                    <w14:srgbClr w14:val="000000">
                      <w14:alpha w14:val="100000"/>
                    </w14:srgbClr>
                  </w14:solidFill>
                </w14:textFill>
              </w:rPr>
              <w:t>|</w:t>
            </w:r>
            <w:r w:rsidR="00224451" w:rsidRPr="00033AB8">
              <w:rPr>
                <w:rFonts w:ascii="Arial Narrow" w:hAnsi="Arial Narrow"/>
                <w:sz w:val="20"/>
                <w:szCs w:val="18"/>
                <w:vertAlign w:val="superscript"/>
                <w:lang w:eastAsia="en-US"/>
              </w:rPr>
              <w:t>2</w:t>
            </w:r>
          </w:p>
        </w:tc>
        <w:tc>
          <w:tcPr>
            <w:tcW w:w="2218" w:type="dxa"/>
          </w:tcPr>
          <w:p w14:paraId="5CCF010B" w14:textId="5375E8C1" w:rsidR="00E65544" w:rsidRDefault="00CE330E" w:rsidP="00C37E2A">
            <w:pPr>
              <w:pStyle w:val="3-BodyText"/>
              <w:keepNext/>
              <w:keepLines/>
              <w:numPr>
                <w:ilvl w:val="0"/>
                <w:numId w:val="0"/>
              </w:numPr>
              <w:spacing w:after="0"/>
              <w:rPr>
                <w:rFonts w:ascii="Arial Narrow" w:hAnsi="Arial Narrow"/>
                <w:sz w:val="20"/>
                <w:szCs w:val="18"/>
                <w:lang w:eastAsia="en-US"/>
              </w:rPr>
            </w:pPr>
            <w:r>
              <w:rPr>
                <w:rFonts w:ascii="Arial Narrow" w:hAnsi="Arial Narrow"/>
                <w:sz w:val="20"/>
                <w:szCs w:val="18"/>
                <w:lang w:eastAsia="en-US"/>
              </w:rPr>
              <w:t>14%</w:t>
            </w:r>
          </w:p>
        </w:tc>
        <w:tc>
          <w:tcPr>
            <w:tcW w:w="2138" w:type="dxa"/>
            <w:tcBorders>
              <w:bottom w:val="single" w:sz="4" w:space="0" w:color="auto"/>
            </w:tcBorders>
          </w:tcPr>
          <w:p w14:paraId="0C67DAD1" w14:textId="25F1307E" w:rsidR="00E65544" w:rsidRPr="00033AB8" w:rsidRDefault="00255D1B" w:rsidP="00C37E2A">
            <w:pPr>
              <w:keepNext/>
              <w:keepLines/>
              <w:rPr>
                <w:rFonts w:ascii="Arial Narrow" w:hAnsi="Arial Narrow"/>
                <w:color w:val="000000"/>
                <w:sz w:val="20"/>
                <w:szCs w:val="20"/>
                <w:highlight w:val="darkGray"/>
              </w:rPr>
            </w:pPr>
            <w:r>
              <w:rPr>
                <w:rFonts w:ascii="Arial Narrow" w:hAnsi="Arial Narrow"/>
                <w:color w:val="000000"/>
                <w:spacing w:val="9"/>
                <w:sz w:val="20"/>
                <w:szCs w:val="20"/>
                <w:shd w:val="solid" w:color="000000" w:fill="000000"/>
                <w:fitText w:val="310" w:id="-606363383"/>
                <w14:textFill>
                  <w14:solidFill>
                    <w14:srgbClr w14:val="000000">
                      <w14:alpha w14:val="100000"/>
                    </w14:srgbClr>
                  </w14:solidFill>
                </w14:textFill>
              </w:rPr>
              <w:t>|</w:t>
            </w:r>
            <w:proofErr w:type="gramStart"/>
            <w:r>
              <w:rPr>
                <w:rFonts w:ascii="Arial Narrow" w:hAnsi="Arial Narrow"/>
                <w:color w:val="000000"/>
                <w:spacing w:val="9"/>
                <w:sz w:val="20"/>
                <w:szCs w:val="20"/>
                <w:shd w:val="solid" w:color="000000" w:fill="000000"/>
                <w:fitText w:val="310" w:id="-606363383"/>
                <w14:textFill>
                  <w14:solidFill>
                    <w14:srgbClr w14:val="000000">
                      <w14:alpha w14:val="100000"/>
                    </w14:srgbClr>
                  </w14:solidFill>
                </w14:textFill>
              </w:rPr>
              <w:t>|  |</w:t>
            </w:r>
            <w:proofErr w:type="gramEnd"/>
            <w:r>
              <w:rPr>
                <w:rFonts w:ascii="Arial Narrow" w:hAnsi="Arial Narrow"/>
                <w:color w:val="000000"/>
                <w:spacing w:val="1"/>
                <w:sz w:val="20"/>
                <w:szCs w:val="20"/>
                <w:shd w:val="solid" w:color="000000" w:fill="000000"/>
                <w:fitText w:val="310" w:id="-606363383"/>
                <w14:textFill>
                  <w14:solidFill>
                    <w14:srgbClr w14:val="000000">
                      <w14:alpha w14:val="100000"/>
                    </w14:srgbClr>
                  </w14:solidFill>
                </w14:textFill>
              </w:rPr>
              <w:t>|</w:t>
            </w:r>
            <w:r w:rsidR="00BD72CE" w:rsidRPr="001B12D4">
              <w:rPr>
                <w:rFonts w:ascii="Arial Narrow" w:hAnsi="Arial Narrow"/>
                <w:color w:val="000000"/>
                <w:sz w:val="20"/>
                <w:szCs w:val="20"/>
                <w:vertAlign w:val="superscript"/>
              </w:rPr>
              <w:t>a</w:t>
            </w:r>
          </w:p>
        </w:tc>
      </w:tr>
      <w:tr w:rsidR="00C51179" w:rsidRPr="00FC01A4" w14:paraId="455F46A8" w14:textId="77777777" w:rsidTr="00255D1B">
        <w:tc>
          <w:tcPr>
            <w:tcW w:w="2368" w:type="dxa"/>
          </w:tcPr>
          <w:p w14:paraId="198088DC" w14:textId="1316E451" w:rsidR="00C51179" w:rsidRDefault="00E65544" w:rsidP="00C37E2A">
            <w:pPr>
              <w:pStyle w:val="3-BodyText"/>
              <w:keepNext/>
              <w:keepLines/>
              <w:numPr>
                <w:ilvl w:val="0"/>
                <w:numId w:val="0"/>
              </w:numPr>
              <w:spacing w:after="0"/>
              <w:rPr>
                <w:rFonts w:ascii="Arial Narrow" w:hAnsi="Arial Narrow"/>
                <w:sz w:val="20"/>
                <w:szCs w:val="18"/>
                <w:lang w:eastAsia="en-US"/>
              </w:rPr>
            </w:pPr>
            <w:r>
              <w:rPr>
                <w:rFonts w:ascii="Arial Narrow" w:hAnsi="Arial Narrow"/>
                <w:sz w:val="20"/>
                <w:szCs w:val="18"/>
                <w:lang w:eastAsia="en-US"/>
              </w:rPr>
              <w:t>First line, monotherapy</w:t>
            </w:r>
          </w:p>
        </w:tc>
        <w:tc>
          <w:tcPr>
            <w:tcW w:w="2292" w:type="dxa"/>
          </w:tcPr>
          <w:p w14:paraId="730F114C" w14:textId="61CCFF86" w:rsidR="00C51179" w:rsidRPr="00C51B47" w:rsidRDefault="00255D1B" w:rsidP="00C37E2A">
            <w:pPr>
              <w:pStyle w:val="3-BodyText"/>
              <w:keepNext/>
              <w:keepLines/>
              <w:numPr>
                <w:ilvl w:val="0"/>
                <w:numId w:val="0"/>
              </w:numPr>
              <w:spacing w:after="0"/>
              <w:rPr>
                <w:rFonts w:ascii="Arial Narrow" w:hAnsi="Arial Narrow"/>
                <w:sz w:val="20"/>
                <w:szCs w:val="18"/>
                <w:highlight w:val="darkGray"/>
                <w:lang w:eastAsia="en-US"/>
              </w:rPr>
            </w:pPr>
            <w:r>
              <w:rPr>
                <w:rFonts w:ascii="Arial Narrow" w:hAnsi="Arial Narrow"/>
                <w:color w:val="000000"/>
                <w:spacing w:val="9"/>
                <w:sz w:val="20"/>
                <w:szCs w:val="18"/>
                <w:shd w:val="solid" w:color="000000" w:fill="000000"/>
                <w:fitText w:val="310" w:id="-606363382"/>
                <w:lang w:eastAsia="en-US"/>
                <w14:textFill>
                  <w14:solidFill>
                    <w14:srgbClr w14:val="000000">
                      <w14:alpha w14:val="100000"/>
                    </w14:srgbClr>
                  </w14:solidFill>
                </w14:textFill>
              </w:rPr>
              <w:t>|</w:t>
            </w:r>
            <w:proofErr w:type="gramStart"/>
            <w:r>
              <w:rPr>
                <w:rFonts w:ascii="Arial Narrow" w:hAnsi="Arial Narrow"/>
                <w:color w:val="000000"/>
                <w:spacing w:val="9"/>
                <w:sz w:val="20"/>
                <w:szCs w:val="18"/>
                <w:shd w:val="solid" w:color="000000" w:fill="000000"/>
                <w:fitText w:val="310" w:id="-606363382"/>
                <w:lang w:eastAsia="en-US"/>
                <w14:textFill>
                  <w14:solidFill>
                    <w14:srgbClr w14:val="000000">
                      <w14:alpha w14:val="100000"/>
                    </w14:srgbClr>
                  </w14:solidFill>
                </w14:textFill>
              </w:rPr>
              <w:t>|  |</w:t>
            </w:r>
            <w:proofErr w:type="gramEnd"/>
            <w:r>
              <w:rPr>
                <w:rFonts w:ascii="Arial Narrow" w:hAnsi="Arial Narrow"/>
                <w:color w:val="000000"/>
                <w:spacing w:val="1"/>
                <w:sz w:val="20"/>
                <w:szCs w:val="18"/>
                <w:shd w:val="solid" w:color="000000" w:fill="000000"/>
                <w:fitText w:val="310" w:id="-606363382"/>
                <w:lang w:eastAsia="en-US"/>
                <w14:textFill>
                  <w14:solidFill>
                    <w14:srgbClr w14:val="000000">
                      <w14:alpha w14:val="100000"/>
                    </w14:srgbClr>
                  </w14:solidFill>
                </w14:textFill>
              </w:rPr>
              <w:t>|</w:t>
            </w:r>
            <w:r w:rsidR="00C51B47">
              <w:rPr>
                <w:rFonts w:ascii="Arial Narrow" w:hAnsi="Arial Narrow"/>
                <w:sz w:val="20"/>
                <w:szCs w:val="18"/>
                <w:vertAlign w:val="superscript"/>
                <w:lang w:eastAsia="en-US"/>
              </w:rPr>
              <w:t>1</w:t>
            </w:r>
          </w:p>
        </w:tc>
        <w:tc>
          <w:tcPr>
            <w:tcW w:w="2218" w:type="dxa"/>
          </w:tcPr>
          <w:p w14:paraId="2417855A" w14:textId="78DF105D" w:rsidR="00C51179" w:rsidRDefault="00CE330E" w:rsidP="00C37E2A">
            <w:pPr>
              <w:pStyle w:val="3-BodyText"/>
              <w:keepNext/>
              <w:keepLines/>
              <w:numPr>
                <w:ilvl w:val="0"/>
                <w:numId w:val="0"/>
              </w:numPr>
              <w:spacing w:after="0"/>
              <w:rPr>
                <w:rFonts w:ascii="Arial Narrow" w:hAnsi="Arial Narrow"/>
                <w:sz w:val="20"/>
                <w:szCs w:val="18"/>
                <w:lang w:eastAsia="en-US"/>
              </w:rPr>
            </w:pPr>
            <w:r>
              <w:rPr>
                <w:rFonts w:ascii="Arial Narrow" w:hAnsi="Arial Narrow"/>
                <w:sz w:val="20"/>
                <w:szCs w:val="18"/>
                <w:lang w:eastAsia="en-US"/>
              </w:rPr>
              <w:t>26%</w:t>
            </w:r>
          </w:p>
        </w:tc>
        <w:tc>
          <w:tcPr>
            <w:tcW w:w="2138" w:type="dxa"/>
            <w:tcBorders>
              <w:bottom w:val="single" w:sz="4" w:space="0" w:color="auto"/>
            </w:tcBorders>
            <w:shd w:val="solid" w:color="000000" w:fill="000000"/>
          </w:tcPr>
          <w:p w14:paraId="3563812C" w14:textId="0A2A1E57" w:rsidR="00C51179" w:rsidRPr="00C51B47" w:rsidRDefault="00255D1B" w:rsidP="00C37E2A">
            <w:pPr>
              <w:keepNext/>
              <w:keepLines/>
              <w:rPr>
                <w:rFonts w:ascii="Arial Narrow" w:hAnsi="Arial Narrow"/>
                <w:color w:val="000000"/>
                <w:sz w:val="20"/>
                <w:szCs w:val="20"/>
                <w:highlight w:val="darkGray"/>
              </w:rPr>
            </w:pPr>
            <w:r>
              <w:rPr>
                <w:rFonts w:ascii="Arial Narrow" w:hAnsi="Arial Narrow"/>
                <w:color w:val="000000"/>
                <w:spacing w:val="9"/>
                <w:sz w:val="20"/>
                <w:szCs w:val="20"/>
                <w:fitText w:val="310" w:id="-606363381"/>
                <w14:textFill>
                  <w14:solidFill>
                    <w14:srgbClr w14:val="000000">
                      <w14:alpha w14:val="100000"/>
                    </w14:srgbClr>
                  </w14:solidFill>
                </w14:textFill>
              </w:rPr>
              <w:t>||  |</w:t>
            </w:r>
            <w:r>
              <w:rPr>
                <w:rFonts w:ascii="Arial Narrow" w:hAnsi="Arial Narrow"/>
                <w:color w:val="000000"/>
                <w:spacing w:val="1"/>
                <w:sz w:val="20"/>
                <w:szCs w:val="20"/>
                <w:fitText w:val="310" w:id="-606363381"/>
                <w14:textFill>
                  <w14:solidFill>
                    <w14:srgbClr w14:val="000000">
                      <w14:alpha w14:val="100000"/>
                    </w14:srgbClr>
                  </w14:solidFill>
                </w14:textFill>
              </w:rPr>
              <w:t>|</w:t>
            </w:r>
          </w:p>
        </w:tc>
      </w:tr>
      <w:tr w:rsidR="00C51179" w:rsidRPr="00FC01A4" w14:paraId="10A611A0" w14:textId="77777777" w:rsidTr="00255D1B">
        <w:tc>
          <w:tcPr>
            <w:tcW w:w="2368" w:type="dxa"/>
          </w:tcPr>
          <w:p w14:paraId="77CEEDF6" w14:textId="5B64B3C8" w:rsidR="00C51179" w:rsidRDefault="00770718" w:rsidP="00C37E2A">
            <w:pPr>
              <w:pStyle w:val="3-BodyText"/>
              <w:keepNext/>
              <w:keepLines/>
              <w:numPr>
                <w:ilvl w:val="0"/>
                <w:numId w:val="0"/>
              </w:numPr>
              <w:spacing w:after="0"/>
              <w:rPr>
                <w:rFonts w:ascii="Arial Narrow" w:hAnsi="Arial Narrow"/>
                <w:sz w:val="20"/>
                <w:szCs w:val="18"/>
                <w:lang w:eastAsia="en-US"/>
              </w:rPr>
            </w:pPr>
            <w:r>
              <w:rPr>
                <w:rFonts w:ascii="Arial Narrow" w:hAnsi="Arial Narrow"/>
                <w:sz w:val="20"/>
                <w:szCs w:val="18"/>
                <w:lang w:eastAsia="en-US"/>
              </w:rPr>
              <w:t>First line, combination</w:t>
            </w:r>
          </w:p>
        </w:tc>
        <w:tc>
          <w:tcPr>
            <w:tcW w:w="2292" w:type="dxa"/>
          </w:tcPr>
          <w:p w14:paraId="588BE316" w14:textId="2A435ABF" w:rsidR="00C51179" w:rsidRPr="00033AB8" w:rsidRDefault="00255D1B" w:rsidP="00C37E2A">
            <w:pPr>
              <w:pStyle w:val="3-BodyText"/>
              <w:keepNext/>
              <w:keepLines/>
              <w:numPr>
                <w:ilvl w:val="0"/>
                <w:numId w:val="0"/>
              </w:numPr>
              <w:spacing w:after="0"/>
              <w:rPr>
                <w:rFonts w:ascii="Arial Narrow" w:hAnsi="Arial Narrow"/>
                <w:sz w:val="20"/>
                <w:szCs w:val="18"/>
                <w:highlight w:val="darkGray"/>
                <w:lang w:eastAsia="en-US"/>
              </w:rPr>
            </w:pPr>
            <w:r>
              <w:rPr>
                <w:rFonts w:ascii="Arial Narrow" w:hAnsi="Arial Narrow"/>
                <w:color w:val="000000"/>
                <w:spacing w:val="9"/>
                <w:sz w:val="20"/>
                <w:szCs w:val="18"/>
                <w:shd w:val="solid" w:color="000000" w:fill="000000"/>
                <w:fitText w:val="310" w:id="-606363380"/>
                <w:lang w:eastAsia="en-US"/>
                <w14:textFill>
                  <w14:solidFill>
                    <w14:srgbClr w14:val="000000">
                      <w14:alpha w14:val="100000"/>
                    </w14:srgbClr>
                  </w14:solidFill>
                </w14:textFill>
              </w:rPr>
              <w:t>|</w:t>
            </w:r>
            <w:proofErr w:type="gramStart"/>
            <w:r>
              <w:rPr>
                <w:rFonts w:ascii="Arial Narrow" w:hAnsi="Arial Narrow"/>
                <w:color w:val="000000"/>
                <w:spacing w:val="9"/>
                <w:sz w:val="20"/>
                <w:szCs w:val="18"/>
                <w:shd w:val="solid" w:color="000000" w:fill="000000"/>
                <w:fitText w:val="310" w:id="-606363380"/>
                <w:lang w:eastAsia="en-US"/>
                <w14:textFill>
                  <w14:solidFill>
                    <w14:srgbClr w14:val="000000">
                      <w14:alpha w14:val="100000"/>
                    </w14:srgbClr>
                  </w14:solidFill>
                </w14:textFill>
              </w:rPr>
              <w:t>|  |</w:t>
            </w:r>
            <w:proofErr w:type="gramEnd"/>
            <w:r>
              <w:rPr>
                <w:rFonts w:ascii="Arial Narrow" w:hAnsi="Arial Narrow"/>
                <w:color w:val="000000"/>
                <w:spacing w:val="1"/>
                <w:sz w:val="20"/>
                <w:szCs w:val="18"/>
                <w:shd w:val="solid" w:color="000000" w:fill="000000"/>
                <w:fitText w:val="310" w:id="-606363380"/>
                <w:lang w:eastAsia="en-US"/>
                <w14:textFill>
                  <w14:solidFill>
                    <w14:srgbClr w14:val="000000">
                      <w14:alpha w14:val="100000"/>
                    </w14:srgbClr>
                  </w14:solidFill>
                </w14:textFill>
              </w:rPr>
              <w:t>|</w:t>
            </w:r>
            <w:r w:rsidR="00D92BF5" w:rsidRPr="00033AB8">
              <w:rPr>
                <w:rFonts w:ascii="Arial Narrow" w:hAnsi="Arial Narrow"/>
                <w:sz w:val="20"/>
                <w:szCs w:val="18"/>
                <w:vertAlign w:val="superscript"/>
                <w:lang w:eastAsia="en-US"/>
              </w:rPr>
              <w:t>3</w:t>
            </w:r>
          </w:p>
        </w:tc>
        <w:tc>
          <w:tcPr>
            <w:tcW w:w="2218" w:type="dxa"/>
          </w:tcPr>
          <w:p w14:paraId="0993B26A" w14:textId="76B3541B" w:rsidR="00C51179" w:rsidRDefault="008D5910" w:rsidP="00C37E2A">
            <w:pPr>
              <w:pStyle w:val="3-BodyText"/>
              <w:keepNext/>
              <w:keepLines/>
              <w:numPr>
                <w:ilvl w:val="0"/>
                <w:numId w:val="0"/>
              </w:numPr>
              <w:spacing w:after="0"/>
              <w:rPr>
                <w:rFonts w:ascii="Arial Narrow" w:hAnsi="Arial Narrow"/>
                <w:sz w:val="20"/>
                <w:szCs w:val="18"/>
                <w:lang w:eastAsia="en-US"/>
              </w:rPr>
            </w:pPr>
            <w:r>
              <w:rPr>
                <w:rFonts w:ascii="Arial Narrow" w:hAnsi="Arial Narrow"/>
                <w:sz w:val="20"/>
                <w:szCs w:val="18"/>
                <w:lang w:eastAsia="en-US"/>
              </w:rPr>
              <w:t>18%</w:t>
            </w:r>
          </w:p>
        </w:tc>
        <w:tc>
          <w:tcPr>
            <w:tcW w:w="2138" w:type="dxa"/>
            <w:tcBorders>
              <w:bottom w:val="single" w:sz="4" w:space="0" w:color="auto"/>
            </w:tcBorders>
            <w:shd w:val="solid" w:color="000000" w:fill="000000"/>
          </w:tcPr>
          <w:p w14:paraId="023043CF" w14:textId="72158024" w:rsidR="00C51179" w:rsidRPr="00033AB8" w:rsidRDefault="00255D1B" w:rsidP="00C37E2A">
            <w:pPr>
              <w:keepNext/>
              <w:keepLines/>
              <w:rPr>
                <w:rFonts w:ascii="Arial Narrow" w:hAnsi="Arial Narrow"/>
                <w:color w:val="000000"/>
                <w:sz w:val="20"/>
                <w:szCs w:val="20"/>
                <w:highlight w:val="darkGray"/>
              </w:rPr>
            </w:pPr>
            <w:r>
              <w:rPr>
                <w:rFonts w:ascii="Arial Narrow" w:hAnsi="Arial Narrow"/>
                <w:color w:val="000000"/>
                <w:spacing w:val="9"/>
                <w:sz w:val="20"/>
                <w:szCs w:val="20"/>
                <w:fitText w:val="310" w:id="-606363379"/>
                <w14:textFill>
                  <w14:solidFill>
                    <w14:srgbClr w14:val="000000">
                      <w14:alpha w14:val="100000"/>
                    </w14:srgbClr>
                  </w14:solidFill>
                </w14:textFill>
              </w:rPr>
              <w:t>||  |</w:t>
            </w:r>
            <w:r>
              <w:rPr>
                <w:rFonts w:ascii="Arial Narrow" w:hAnsi="Arial Narrow"/>
                <w:color w:val="000000"/>
                <w:spacing w:val="1"/>
                <w:sz w:val="20"/>
                <w:szCs w:val="20"/>
                <w:fitText w:val="310" w:id="-606363379"/>
                <w14:textFill>
                  <w14:solidFill>
                    <w14:srgbClr w14:val="000000">
                      <w14:alpha w14:val="100000"/>
                    </w14:srgbClr>
                  </w14:solidFill>
                </w14:textFill>
              </w:rPr>
              <w:t>|</w:t>
            </w:r>
          </w:p>
        </w:tc>
      </w:tr>
      <w:tr w:rsidR="00C51179" w:rsidRPr="00FC01A4" w14:paraId="05DB530A" w14:textId="77777777" w:rsidTr="00255D1B">
        <w:tc>
          <w:tcPr>
            <w:tcW w:w="2368" w:type="dxa"/>
          </w:tcPr>
          <w:p w14:paraId="22922E5F" w14:textId="62175822" w:rsidR="00C51179" w:rsidRDefault="00770718" w:rsidP="00C37E2A">
            <w:pPr>
              <w:pStyle w:val="3-BodyText"/>
              <w:keepNext/>
              <w:keepLines/>
              <w:numPr>
                <w:ilvl w:val="0"/>
                <w:numId w:val="0"/>
              </w:numPr>
              <w:spacing w:after="0"/>
              <w:rPr>
                <w:rFonts w:ascii="Arial Narrow" w:hAnsi="Arial Narrow"/>
                <w:sz w:val="20"/>
                <w:szCs w:val="18"/>
                <w:lang w:eastAsia="en-US"/>
              </w:rPr>
            </w:pPr>
            <w:r>
              <w:rPr>
                <w:rFonts w:ascii="Arial Narrow" w:hAnsi="Arial Narrow"/>
                <w:sz w:val="20"/>
                <w:szCs w:val="18"/>
                <w:lang w:eastAsia="en-US"/>
              </w:rPr>
              <w:t>Second line</w:t>
            </w:r>
          </w:p>
        </w:tc>
        <w:tc>
          <w:tcPr>
            <w:tcW w:w="2292" w:type="dxa"/>
          </w:tcPr>
          <w:p w14:paraId="5D09BE30" w14:textId="596C2A28" w:rsidR="00C51179" w:rsidRPr="00033AB8" w:rsidRDefault="00255D1B" w:rsidP="00C37E2A">
            <w:pPr>
              <w:pStyle w:val="3-BodyText"/>
              <w:keepNext/>
              <w:keepLines/>
              <w:numPr>
                <w:ilvl w:val="0"/>
                <w:numId w:val="0"/>
              </w:numPr>
              <w:spacing w:after="0"/>
              <w:rPr>
                <w:rFonts w:ascii="Arial Narrow" w:hAnsi="Arial Narrow"/>
                <w:sz w:val="20"/>
                <w:szCs w:val="18"/>
                <w:highlight w:val="darkGray"/>
                <w:lang w:eastAsia="en-US"/>
              </w:rPr>
            </w:pPr>
            <w:r>
              <w:rPr>
                <w:rFonts w:ascii="Arial Narrow" w:hAnsi="Arial Narrow"/>
                <w:color w:val="000000"/>
                <w:spacing w:val="9"/>
                <w:sz w:val="20"/>
                <w:szCs w:val="18"/>
                <w:shd w:val="solid" w:color="000000" w:fill="000000"/>
                <w:fitText w:val="310" w:id="-606363378"/>
                <w:lang w:eastAsia="en-US"/>
                <w14:textFill>
                  <w14:solidFill>
                    <w14:srgbClr w14:val="000000">
                      <w14:alpha w14:val="100000"/>
                    </w14:srgbClr>
                  </w14:solidFill>
                </w14:textFill>
              </w:rPr>
              <w:t>|</w:t>
            </w:r>
            <w:proofErr w:type="gramStart"/>
            <w:r>
              <w:rPr>
                <w:rFonts w:ascii="Arial Narrow" w:hAnsi="Arial Narrow"/>
                <w:color w:val="000000"/>
                <w:spacing w:val="9"/>
                <w:sz w:val="20"/>
                <w:szCs w:val="18"/>
                <w:shd w:val="solid" w:color="000000" w:fill="000000"/>
                <w:fitText w:val="310" w:id="-606363378"/>
                <w:lang w:eastAsia="en-US"/>
                <w14:textFill>
                  <w14:solidFill>
                    <w14:srgbClr w14:val="000000">
                      <w14:alpha w14:val="100000"/>
                    </w14:srgbClr>
                  </w14:solidFill>
                </w14:textFill>
              </w:rPr>
              <w:t>|  |</w:t>
            </w:r>
            <w:proofErr w:type="gramEnd"/>
            <w:r>
              <w:rPr>
                <w:rFonts w:ascii="Arial Narrow" w:hAnsi="Arial Narrow"/>
                <w:color w:val="000000"/>
                <w:spacing w:val="1"/>
                <w:sz w:val="20"/>
                <w:szCs w:val="18"/>
                <w:shd w:val="solid" w:color="000000" w:fill="000000"/>
                <w:fitText w:val="310" w:id="-606363378"/>
                <w:lang w:eastAsia="en-US"/>
                <w14:textFill>
                  <w14:solidFill>
                    <w14:srgbClr w14:val="000000">
                      <w14:alpha w14:val="100000"/>
                    </w14:srgbClr>
                  </w14:solidFill>
                </w14:textFill>
              </w:rPr>
              <w:t>|</w:t>
            </w:r>
            <w:r w:rsidR="00623F10" w:rsidRPr="00033AB8">
              <w:rPr>
                <w:rFonts w:ascii="Arial Narrow" w:hAnsi="Arial Narrow"/>
                <w:sz w:val="20"/>
                <w:szCs w:val="18"/>
                <w:vertAlign w:val="superscript"/>
                <w:lang w:eastAsia="en-US"/>
              </w:rPr>
              <w:t>4</w:t>
            </w:r>
          </w:p>
        </w:tc>
        <w:tc>
          <w:tcPr>
            <w:tcW w:w="2218" w:type="dxa"/>
          </w:tcPr>
          <w:p w14:paraId="59D222CF" w14:textId="41D89734" w:rsidR="00C51179" w:rsidRDefault="3BD413EA" w:rsidP="00C37E2A">
            <w:pPr>
              <w:pStyle w:val="3-BodyText"/>
              <w:keepNext/>
              <w:keepLines/>
              <w:numPr>
                <w:ilvl w:val="0"/>
                <w:numId w:val="0"/>
              </w:numPr>
              <w:spacing w:after="0"/>
              <w:rPr>
                <w:rFonts w:ascii="Arial Narrow" w:hAnsi="Arial Narrow"/>
                <w:sz w:val="20"/>
                <w:szCs w:val="20"/>
                <w:lang w:eastAsia="en-US"/>
              </w:rPr>
            </w:pPr>
            <w:r w:rsidRPr="59BA094A">
              <w:rPr>
                <w:rFonts w:ascii="Arial Narrow" w:hAnsi="Arial Narrow"/>
                <w:sz w:val="20"/>
                <w:szCs w:val="20"/>
                <w:lang w:eastAsia="en-US"/>
              </w:rPr>
              <w:t>8%</w:t>
            </w:r>
          </w:p>
        </w:tc>
        <w:tc>
          <w:tcPr>
            <w:tcW w:w="2138" w:type="dxa"/>
            <w:tcBorders>
              <w:bottom w:val="single" w:sz="4" w:space="0" w:color="auto"/>
            </w:tcBorders>
            <w:shd w:val="solid" w:color="000000" w:fill="000000"/>
          </w:tcPr>
          <w:p w14:paraId="6D8E4433" w14:textId="1B63821C" w:rsidR="00C51179" w:rsidRPr="00033AB8" w:rsidRDefault="00255D1B" w:rsidP="00C37E2A">
            <w:pPr>
              <w:keepNext/>
              <w:keepLines/>
              <w:rPr>
                <w:rFonts w:ascii="Arial Narrow" w:hAnsi="Arial Narrow"/>
                <w:color w:val="000000"/>
                <w:sz w:val="20"/>
                <w:szCs w:val="20"/>
                <w:highlight w:val="darkGray"/>
              </w:rPr>
            </w:pPr>
            <w:r>
              <w:rPr>
                <w:rFonts w:ascii="Arial Narrow" w:hAnsi="Arial Narrow"/>
                <w:color w:val="000000"/>
                <w:spacing w:val="9"/>
                <w:sz w:val="20"/>
                <w:szCs w:val="20"/>
                <w:fitText w:val="310" w:id="-606363377"/>
                <w14:textFill>
                  <w14:solidFill>
                    <w14:srgbClr w14:val="000000">
                      <w14:alpha w14:val="100000"/>
                    </w14:srgbClr>
                  </w14:solidFill>
                </w14:textFill>
              </w:rPr>
              <w:t>||  |</w:t>
            </w:r>
            <w:r>
              <w:rPr>
                <w:rFonts w:ascii="Arial Narrow" w:hAnsi="Arial Narrow"/>
                <w:color w:val="000000"/>
                <w:spacing w:val="1"/>
                <w:sz w:val="20"/>
                <w:szCs w:val="20"/>
                <w:fitText w:val="310" w:id="-606363377"/>
                <w14:textFill>
                  <w14:solidFill>
                    <w14:srgbClr w14:val="000000">
                      <w14:alpha w14:val="100000"/>
                    </w14:srgbClr>
                  </w14:solidFill>
                </w14:textFill>
              </w:rPr>
              <w:t>|</w:t>
            </w:r>
          </w:p>
        </w:tc>
      </w:tr>
      <w:tr w:rsidR="00C51179" w:rsidRPr="00FC01A4" w14:paraId="3625774F" w14:textId="77777777" w:rsidTr="00255D1B">
        <w:tc>
          <w:tcPr>
            <w:tcW w:w="2368" w:type="dxa"/>
          </w:tcPr>
          <w:p w14:paraId="0C4B097C" w14:textId="62D0C86E" w:rsidR="00C51179" w:rsidRDefault="00753FAA" w:rsidP="00C37E2A">
            <w:pPr>
              <w:pStyle w:val="3-BodyText"/>
              <w:keepNext/>
              <w:keepLines/>
              <w:numPr>
                <w:ilvl w:val="0"/>
                <w:numId w:val="0"/>
              </w:numPr>
              <w:spacing w:after="0"/>
              <w:rPr>
                <w:rFonts w:ascii="Arial Narrow" w:hAnsi="Arial Narrow"/>
                <w:sz w:val="20"/>
                <w:szCs w:val="18"/>
                <w:lang w:eastAsia="en-US"/>
              </w:rPr>
            </w:pPr>
            <w:r>
              <w:rPr>
                <w:rFonts w:ascii="Arial Narrow" w:hAnsi="Arial Narrow"/>
                <w:sz w:val="20"/>
                <w:szCs w:val="18"/>
                <w:lang w:eastAsia="en-US"/>
              </w:rPr>
              <w:t>Weighted EMP</w:t>
            </w:r>
          </w:p>
        </w:tc>
        <w:tc>
          <w:tcPr>
            <w:tcW w:w="2292" w:type="dxa"/>
          </w:tcPr>
          <w:p w14:paraId="35B78A9A" w14:textId="77777777" w:rsidR="00C51179" w:rsidRDefault="00C51179" w:rsidP="00C37E2A">
            <w:pPr>
              <w:pStyle w:val="3-BodyText"/>
              <w:keepNext/>
              <w:keepLines/>
              <w:numPr>
                <w:ilvl w:val="0"/>
                <w:numId w:val="0"/>
              </w:numPr>
              <w:spacing w:after="0"/>
              <w:rPr>
                <w:rFonts w:ascii="Arial Narrow" w:hAnsi="Arial Narrow"/>
                <w:sz w:val="20"/>
                <w:szCs w:val="18"/>
                <w:lang w:eastAsia="en-US"/>
              </w:rPr>
            </w:pPr>
          </w:p>
        </w:tc>
        <w:tc>
          <w:tcPr>
            <w:tcW w:w="2218" w:type="dxa"/>
          </w:tcPr>
          <w:p w14:paraId="5D4D0465" w14:textId="77777777" w:rsidR="00C51179" w:rsidRDefault="00C51179" w:rsidP="00C37E2A">
            <w:pPr>
              <w:pStyle w:val="3-BodyText"/>
              <w:keepNext/>
              <w:keepLines/>
              <w:numPr>
                <w:ilvl w:val="0"/>
                <w:numId w:val="0"/>
              </w:numPr>
              <w:spacing w:after="0"/>
              <w:rPr>
                <w:rFonts w:ascii="Arial Narrow" w:hAnsi="Arial Narrow"/>
                <w:sz w:val="20"/>
                <w:szCs w:val="18"/>
                <w:lang w:eastAsia="en-US"/>
              </w:rPr>
            </w:pPr>
          </w:p>
        </w:tc>
        <w:tc>
          <w:tcPr>
            <w:tcW w:w="2138" w:type="dxa"/>
            <w:shd w:val="solid" w:color="000000" w:fill="000000"/>
          </w:tcPr>
          <w:p w14:paraId="6EAE7759" w14:textId="5BE28116" w:rsidR="00C51179" w:rsidRPr="00033AB8" w:rsidRDefault="00255D1B" w:rsidP="00C37E2A">
            <w:pPr>
              <w:pStyle w:val="3-BodyText"/>
              <w:keepNext/>
              <w:keepLines/>
              <w:numPr>
                <w:ilvl w:val="0"/>
                <w:numId w:val="0"/>
              </w:numPr>
              <w:spacing w:after="0"/>
              <w:rPr>
                <w:rFonts w:ascii="Arial Narrow" w:hAnsi="Arial Narrow"/>
                <w:sz w:val="20"/>
                <w:szCs w:val="18"/>
                <w:highlight w:val="darkGray"/>
                <w:lang w:eastAsia="en-US"/>
              </w:rPr>
            </w:pPr>
            <w:r>
              <w:rPr>
                <w:rFonts w:ascii="Arial Narrow" w:hAnsi="Arial Narrow"/>
                <w:color w:val="000000"/>
                <w:spacing w:val="9"/>
                <w:sz w:val="20"/>
                <w:szCs w:val="18"/>
                <w:fitText w:val="310" w:id="-606363376"/>
                <w:lang w:eastAsia="en-US"/>
                <w14:textFill>
                  <w14:solidFill>
                    <w14:srgbClr w14:val="000000">
                      <w14:alpha w14:val="100000"/>
                    </w14:srgbClr>
                  </w14:solidFill>
                </w14:textFill>
              </w:rPr>
              <w:t>||  |</w:t>
            </w:r>
            <w:r>
              <w:rPr>
                <w:rFonts w:ascii="Arial Narrow" w:hAnsi="Arial Narrow"/>
                <w:color w:val="000000"/>
                <w:spacing w:val="1"/>
                <w:sz w:val="20"/>
                <w:szCs w:val="18"/>
                <w:fitText w:val="310" w:id="-606363376"/>
                <w:lang w:eastAsia="en-US"/>
                <w14:textFill>
                  <w14:solidFill>
                    <w14:srgbClr w14:val="000000">
                      <w14:alpha w14:val="100000"/>
                    </w14:srgbClr>
                  </w14:solidFill>
                </w14:textFill>
              </w:rPr>
              <w:t>|</w:t>
            </w:r>
          </w:p>
        </w:tc>
      </w:tr>
    </w:tbl>
    <w:p w14:paraId="261EED93" w14:textId="32E3BED6" w:rsidR="006E09D9" w:rsidRPr="00423B9F" w:rsidRDefault="00423B9F" w:rsidP="00033AB8">
      <w:pPr>
        <w:pStyle w:val="TableFigureFooter"/>
        <w:rPr>
          <w:i/>
        </w:rPr>
      </w:pPr>
      <w:r w:rsidRPr="00423B9F">
        <w:rPr>
          <w:lang w:eastAsia="en-US"/>
        </w:rPr>
        <w:t xml:space="preserve"> </w:t>
      </w:r>
      <w:proofErr w:type="spellStart"/>
      <w:proofErr w:type="gramStart"/>
      <w:r w:rsidR="001B12D4" w:rsidRPr="00033AB8">
        <w:rPr>
          <w:vertAlign w:val="superscript"/>
          <w:lang w:eastAsia="en-US"/>
        </w:rPr>
        <w:t>a</w:t>
      </w:r>
      <w:proofErr w:type="spellEnd"/>
      <w:proofErr w:type="gramEnd"/>
      <w:r w:rsidR="001B12D4">
        <w:rPr>
          <w:lang w:eastAsia="en-US"/>
        </w:rPr>
        <w:t xml:space="preserve"> </w:t>
      </w:r>
      <w:r w:rsidR="00BD72CE" w:rsidRPr="00423B9F">
        <w:rPr>
          <w:lang w:eastAsia="en-US"/>
        </w:rPr>
        <w:t xml:space="preserve">Estimated price based on </w:t>
      </w:r>
      <w:r w:rsidR="00BD72CE" w:rsidRPr="00423B9F">
        <w:t xml:space="preserve">PBAC outcome for </w:t>
      </w:r>
      <w:proofErr w:type="spellStart"/>
      <w:r w:rsidR="00BD72CE" w:rsidRPr="00423B9F">
        <w:t>osimertinib</w:t>
      </w:r>
      <w:proofErr w:type="spellEnd"/>
      <w:r w:rsidR="00BD72CE" w:rsidRPr="00423B9F">
        <w:t xml:space="preserve"> Stage III unresectable indication at the July 2025 PBAC meeting</w:t>
      </w:r>
      <w:r w:rsidR="00EE3527" w:rsidRPr="00423B9F">
        <w:t xml:space="preserve">, see paragraph </w:t>
      </w:r>
      <w:r w:rsidR="00C37E2A" w:rsidRPr="00423B9F">
        <w:fldChar w:fldCharType="begin"/>
      </w:r>
      <w:r w:rsidR="00C37E2A" w:rsidRPr="00423B9F">
        <w:instrText xml:space="preserve"> REF _Ref210200165 \r \h </w:instrText>
      </w:r>
      <w:r>
        <w:instrText xml:space="preserve"> \* MERGEFORMAT </w:instrText>
      </w:r>
      <w:r w:rsidR="00C37E2A" w:rsidRPr="00423B9F">
        <w:fldChar w:fldCharType="separate"/>
      </w:r>
      <w:r w:rsidR="0055339A">
        <w:t>4.15</w:t>
      </w:r>
      <w:r w:rsidR="00C37E2A" w:rsidRPr="00423B9F">
        <w:fldChar w:fldCharType="end"/>
      </w:r>
      <w:r w:rsidR="006E09D9" w:rsidRPr="00423B9F">
        <w:rPr>
          <w:i/>
        </w:rPr>
        <w:t xml:space="preserve"> </w:t>
      </w:r>
    </w:p>
    <w:p w14:paraId="2334C192" w14:textId="5F718F13" w:rsidR="00423B9F" w:rsidRPr="00033AB8" w:rsidRDefault="00423B9F" w:rsidP="00033AB8">
      <w:pPr>
        <w:pStyle w:val="TableFigureFooter"/>
        <w:rPr>
          <w:i/>
        </w:rPr>
      </w:pPr>
    </w:p>
    <w:p w14:paraId="08DA68AB" w14:textId="5B24996E" w:rsidR="006E09D9" w:rsidRDefault="006E09D9" w:rsidP="00033AB8">
      <w:pPr>
        <w:pStyle w:val="TableFigureFooter"/>
        <w:rPr>
          <w:i/>
        </w:rPr>
      </w:pPr>
      <w:r w:rsidRPr="00500068">
        <w:rPr>
          <w:i/>
        </w:rPr>
        <w:t>The redacted values correspond to the following ranges</w:t>
      </w:r>
    </w:p>
    <w:p w14:paraId="006395D5" w14:textId="77777777" w:rsidR="00AC0937" w:rsidRDefault="006E09D9" w:rsidP="00033AB8">
      <w:pPr>
        <w:pStyle w:val="TableFigureFooter"/>
        <w:rPr>
          <w:i/>
        </w:rPr>
      </w:pPr>
      <w:r w:rsidRPr="003420C3">
        <w:rPr>
          <w:i/>
          <w:vertAlign w:val="superscript"/>
        </w:rPr>
        <w:t>1</w:t>
      </w:r>
      <w:r w:rsidRPr="007F4AB4">
        <w:rPr>
          <w:i/>
        </w:rPr>
        <w:t xml:space="preserve"> </w:t>
      </w:r>
      <w:r w:rsidR="00AC0937" w:rsidRPr="00AC0937">
        <w:rPr>
          <w:i/>
        </w:rPr>
        <w:t>30,000 to &lt; 40,000</w:t>
      </w:r>
    </w:p>
    <w:p w14:paraId="776437E3" w14:textId="77777777" w:rsidR="001F7B0C" w:rsidRDefault="006E09D9" w:rsidP="00033AB8">
      <w:pPr>
        <w:pStyle w:val="TableFigureFooter"/>
        <w:rPr>
          <w:i/>
        </w:rPr>
      </w:pPr>
      <w:r w:rsidRPr="003420C3">
        <w:rPr>
          <w:i/>
          <w:vertAlign w:val="superscript"/>
        </w:rPr>
        <w:t>2</w:t>
      </w:r>
      <w:r w:rsidRPr="00480163">
        <w:rPr>
          <w:i/>
        </w:rPr>
        <w:t xml:space="preserve"> 10,000 to &lt; 20,000</w:t>
      </w:r>
      <w:r w:rsidR="001F7B0C">
        <w:rPr>
          <w:i/>
        </w:rPr>
        <w:t xml:space="preserve"> </w:t>
      </w:r>
    </w:p>
    <w:p w14:paraId="1C9A4621" w14:textId="77777777" w:rsidR="009436D5" w:rsidRDefault="001F7B0C" w:rsidP="00033AB8">
      <w:pPr>
        <w:pStyle w:val="TableFigureFooter"/>
        <w:rPr>
          <w:i/>
        </w:rPr>
      </w:pPr>
      <w:r w:rsidRPr="00033AB8">
        <w:rPr>
          <w:i/>
          <w:vertAlign w:val="superscript"/>
        </w:rPr>
        <w:t>3</w:t>
      </w:r>
      <w:r>
        <w:rPr>
          <w:i/>
        </w:rPr>
        <w:t xml:space="preserve"> </w:t>
      </w:r>
      <w:r w:rsidRPr="001F7B0C">
        <w:rPr>
          <w:i/>
        </w:rPr>
        <w:t>20,000 to &lt; 30,000</w:t>
      </w:r>
      <w:r w:rsidR="00813BC9">
        <w:rPr>
          <w:i/>
        </w:rPr>
        <w:t xml:space="preserve"> </w:t>
      </w:r>
    </w:p>
    <w:p w14:paraId="70F0A1E9" w14:textId="572E0C4A" w:rsidR="006E09D9" w:rsidRDefault="00813BC9" w:rsidP="00033AB8">
      <w:pPr>
        <w:pStyle w:val="TableFigureFooter"/>
        <w:rPr>
          <w:i/>
        </w:rPr>
      </w:pPr>
      <w:r w:rsidRPr="00033AB8">
        <w:rPr>
          <w:i/>
          <w:vertAlign w:val="superscript"/>
        </w:rPr>
        <w:t>4</w:t>
      </w:r>
      <w:r>
        <w:rPr>
          <w:i/>
        </w:rPr>
        <w:t xml:space="preserve"> </w:t>
      </w:r>
      <w:r w:rsidRPr="00813BC9">
        <w:rPr>
          <w:i/>
        </w:rPr>
        <w:t>500 to &lt; 5,000</w:t>
      </w:r>
    </w:p>
    <w:p w14:paraId="29869200" w14:textId="5A804D9F" w:rsidR="0095042C" w:rsidRPr="00BD72CE" w:rsidRDefault="0095042C" w:rsidP="00033AB8">
      <w:pPr>
        <w:pStyle w:val="TableFigureFooter"/>
        <w:rPr>
          <w:lang w:eastAsia="en-US"/>
        </w:rPr>
      </w:pPr>
    </w:p>
    <w:p w14:paraId="6F6E8B76" w14:textId="55760638" w:rsidR="00D5621A" w:rsidRDefault="00D5621A" w:rsidP="00BF704B">
      <w:pPr>
        <w:pStyle w:val="3-BodyText"/>
        <w:rPr>
          <w:lang w:eastAsia="en-US"/>
        </w:rPr>
      </w:pPr>
      <w:bookmarkStart w:id="19" w:name="_Ref209776069"/>
      <w:r>
        <w:rPr>
          <w:lang w:eastAsia="en-US"/>
        </w:rPr>
        <w:t xml:space="preserve">The PBAC noted the net effective price paid for </w:t>
      </w:r>
      <w:r w:rsidR="00416B0E">
        <w:rPr>
          <w:lang w:eastAsia="en-US"/>
        </w:rPr>
        <w:t>the currently listed indications (adjuvant</w:t>
      </w:r>
      <w:r w:rsidR="00F926A1">
        <w:rPr>
          <w:lang w:eastAsia="en-US"/>
        </w:rPr>
        <w:t xml:space="preserve"> use</w:t>
      </w:r>
      <w:r w:rsidR="00416B0E">
        <w:rPr>
          <w:lang w:eastAsia="en-US"/>
        </w:rPr>
        <w:t xml:space="preserve">, first line </w:t>
      </w:r>
      <w:r w:rsidR="000D3435">
        <w:rPr>
          <w:lang w:eastAsia="en-US"/>
        </w:rPr>
        <w:t xml:space="preserve">metastatic </w:t>
      </w:r>
      <w:r w:rsidR="00F926A1">
        <w:rPr>
          <w:lang w:eastAsia="en-US"/>
        </w:rPr>
        <w:t xml:space="preserve">disease as </w:t>
      </w:r>
      <w:r w:rsidR="00416B0E">
        <w:rPr>
          <w:lang w:eastAsia="en-US"/>
        </w:rPr>
        <w:t>monotherapy and second line</w:t>
      </w:r>
      <w:r w:rsidR="00F926A1">
        <w:rPr>
          <w:lang w:eastAsia="en-US"/>
        </w:rPr>
        <w:t xml:space="preserve"> metastatic disease</w:t>
      </w:r>
      <w:r w:rsidR="00416B0E" w:rsidRPr="00E63F7E">
        <w:rPr>
          <w:lang w:eastAsia="en-US"/>
        </w:rPr>
        <w:t>)</w:t>
      </w:r>
      <w:r w:rsidR="00BF704B" w:rsidRPr="00E63F7E">
        <w:rPr>
          <w:lang w:eastAsia="en-US"/>
        </w:rPr>
        <w:t>, incorporating</w:t>
      </w:r>
      <w:r w:rsidR="00BF704B">
        <w:rPr>
          <w:lang w:eastAsia="en-US"/>
        </w:rPr>
        <w:t xml:space="preserve"> the </w:t>
      </w:r>
      <w:r w:rsidR="004714A7">
        <w:rPr>
          <w:lang w:eastAsia="en-US"/>
        </w:rPr>
        <w:t xml:space="preserve">estimated RSA </w:t>
      </w:r>
      <w:r w:rsidR="00BF704B">
        <w:rPr>
          <w:lang w:eastAsia="en-US"/>
        </w:rPr>
        <w:t>rebates,</w:t>
      </w:r>
      <w:r w:rsidR="00416B0E">
        <w:rPr>
          <w:lang w:eastAsia="en-US"/>
        </w:rPr>
        <w:t xml:space="preserve"> </w:t>
      </w:r>
      <w:r w:rsidR="00416B0E" w:rsidRPr="00E63F7E">
        <w:rPr>
          <w:lang w:eastAsia="en-US"/>
        </w:rPr>
        <w:t>w</w:t>
      </w:r>
      <w:r w:rsidR="00F926A1">
        <w:rPr>
          <w:lang w:eastAsia="en-US"/>
        </w:rPr>
        <w:t>ould be</w:t>
      </w:r>
      <w:r w:rsidR="00416B0E">
        <w:rPr>
          <w:lang w:eastAsia="en-US"/>
        </w:rPr>
        <w:t xml:space="preserve"> </w:t>
      </w:r>
      <w:r w:rsidR="00255D1B" w:rsidRPr="00482C2F">
        <w:rPr>
          <w:color w:val="000000"/>
          <w:w w:val="59"/>
          <w:shd w:val="solid" w:color="000000" w:fill="000000"/>
          <w:fitText w:val="460" w:id="-606363392"/>
          <w:lang w:eastAsia="en-US"/>
          <w14:textFill>
            <w14:solidFill>
              <w14:srgbClr w14:val="000000">
                <w14:alpha w14:val="100000"/>
              </w14:srgbClr>
            </w14:solidFill>
          </w14:textFill>
        </w:rPr>
        <w:t>|||  ||</w:t>
      </w:r>
      <w:r w:rsidR="00255D1B" w:rsidRPr="00482C2F">
        <w:rPr>
          <w:color w:val="000000"/>
          <w:spacing w:val="5"/>
          <w:w w:val="59"/>
          <w:shd w:val="solid" w:color="000000" w:fill="000000"/>
          <w:fitText w:val="460" w:id="-606363392"/>
          <w:lang w:eastAsia="en-US"/>
          <w14:textFill>
            <w14:solidFill>
              <w14:srgbClr w14:val="000000">
                <w14:alpha w14:val="100000"/>
              </w14:srgbClr>
            </w14:solidFill>
          </w14:textFill>
        </w:rPr>
        <w:t>|</w:t>
      </w:r>
      <w:r w:rsidR="00B64BB4">
        <w:rPr>
          <w:lang w:eastAsia="en-US"/>
        </w:rPr>
        <w:t xml:space="preserve">% lower than presented in </w:t>
      </w:r>
      <w:r w:rsidR="000B0FA5" w:rsidRPr="00E63F7E">
        <w:rPr>
          <w:lang w:eastAsia="en-US"/>
        </w:rPr>
        <w:fldChar w:fldCharType="begin"/>
      </w:r>
      <w:r w:rsidR="000B0FA5" w:rsidRPr="00E63F7E">
        <w:rPr>
          <w:lang w:eastAsia="en-US"/>
        </w:rPr>
        <w:instrText xml:space="preserve"> REF _Ref209615777 \h </w:instrText>
      </w:r>
      <w:r w:rsidR="00E63F7E" w:rsidRPr="00E63F7E">
        <w:rPr>
          <w:lang w:eastAsia="en-US"/>
        </w:rPr>
        <w:instrText xml:space="preserve"> \* MERGEFORMAT </w:instrText>
      </w:r>
      <w:r w:rsidR="000B0FA5" w:rsidRPr="00E63F7E">
        <w:rPr>
          <w:lang w:eastAsia="en-US"/>
        </w:rPr>
      </w:r>
      <w:r w:rsidR="000B0FA5" w:rsidRPr="00E63F7E">
        <w:rPr>
          <w:lang w:eastAsia="en-US"/>
        </w:rPr>
        <w:fldChar w:fldCharType="separate"/>
      </w:r>
      <w:r w:rsidR="0055339A">
        <w:t xml:space="preserve">Table </w:t>
      </w:r>
      <w:r w:rsidR="0055339A">
        <w:rPr>
          <w:noProof/>
        </w:rPr>
        <w:t>9</w:t>
      </w:r>
      <w:r w:rsidR="000B0FA5" w:rsidRPr="00E63F7E">
        <w:rPr>
          <w:lang w:eastAsia="en-US"/>
        </w:rPr>
        <w:fldChar w:fldCharType="end"/>
      </w:r>
      <w:r w:rsidR="00B64BB4" w:rsidRPr="008B242C">
        <w:rPr>
          <w:rStyle w:val="FootnoteReference"/>
          <w:lang w:eastAsia="en-US"/>
        </w:rPr>
        <w:footnoteReference w:id="3"/>
      </w:r>
      <w:r w:rsidR="00B64BB4" w:rsidRPr="008B242C">
        <w:rPr>
          <w:lang w:eastAsia="en-US"/>
        </w:rPr>
        <w:t xml:space="preserve">.  </w:t>
      </w:r>
      <w:r w:rsidR="009D0C67" w:rsidRPr="008B242C">
        <w:rPr>
          <w:lang w:eastAsia="en-US"/>
        </w:rPr>
        <w:t xml:space="preserve">The PBAC noted incorporating this into the weighted price calculations would </w:t>
      </w:r>
      <w:r w:rsidR="00E63F7E" w:rsidRPr="00E63F7E">
        <w:rPr>
          <w:lang w:eastAsia="en-US"/>
        </w:rPr>
        <w:t>result in a lower price than proposed in the pre-PBAC response.</w:t>
      </w:r>
      <w:bookmarkEnd w:id="19"/>
      <w:r w:rsidR="00017C45" w:rsidRPr="00783C56">
        <w:rPr>
          <w:lang w:eastAsia="en-US"/>
        </w:rPr>
        <w:t xml:space="preserve">  </w:t>
      </w:r>
    </w:p>
    <w:p w14:paraId="43B05B60" w14:textId="2262C7D1" w:rsidR="00396DB4" w:rsidRPr="00783C56" w:rsidRDefault="00396DB4" w:rsidP="00396DB4">
      <w:pPr>
        <w:pStyle w:val="3-BodyText"/>
        <w:numPr>
          <w:ilvl w:val="0"/>
          <w:numId w:val="0"/>
        </w:numPr>
        <w:ind w:left="720"/>
        <w:rPr>
          <w:lang w:eastAsia="en-US"/>
        </w:rPr>
      </w:pPr>
      <w:r>
        <w:rPr>
          <w:i/>
          <w:iCs/>
        </w:rPr>
        <w:t>F</w:t>
      </w:r>
      <w:r w:rsidRPr="003B7582">
        <w:rPr>
          <w:i/>
          <w:iCs/>
        </w:rPr>
        <w:t xml:space="preserve">or more detail on PBAC’s view, see section </w:t>
      </w:r>
      <w:r>
        <w:rPr>
          <w:i/>
          <w:iCs/>
        </w:rPr>
        <w:t>5</w:t>
      </w:r>
      <w:r w:rsidRPr="003B7582">
        <w:rPr>
          <w:i/>
          <w:iCs/>
        </w:rPr>
        <w:t xml:space="preserve"> PBAC outcome</w:t>
      </w:r>
      <w:r>
        <w:rPr>
          <w:i/>
          <w:iCs/>
        </w:rPr>
        <w:t>.</w:t>
      </w:r>
    </w:p>
    <w:p w14:paraId="38910043" w14:textId="0534049C" w:rsidR="00FD7ACB" w:rsidRDefault="000D6F1C" w:rsidP="000D6F1C">
      <w:pPr>
        <w:pStyle w:val="2-SectionHeading"/>
      </w:pPr>
      <w:r w:rsidRPr="000D6F1C">
        <w:t>PBAC outcome</w:t>
      </w:r>
    </w:p>
    <w:p w14:paraId="4CC5F275" w14:textId="382257EE" w:rsidR="000D6F1C" w:rsidRDefault="000D6F1C" w:rsidP="000D6F1C">
      <w:pPr>
        <w:pStyle w:val="3-BodyText"/>
      </w:pPr>
      <w:r>
        <w:t>The PBA</w:t>
      </w:r>
      <w:r w:rsidR="00FC3E81">
        <w:t>C recommended the</w:t>
      </w:r>
      <w:r w:rsidR="00FC3E81" w:rsidRPr="00491884">
        <w:t xml:space="preserve"> listing </w:t>
      </w:r>
      <w:r w:rsidR="00D4557D">
        <w:t xml:space="preserve">of </w:t>
      </w:r>
      <w:proofErr w:type="spellStart"/>
      <w:r w:rsidR="00FC3E81" w:rsidRPr="00464ACE">
        <w:t>osimertinib</w:t>
      </w:r>
      <w:proofErr w:type="spellEnd"/>
      <w:r w:rsidR="00FC3E81" w:rsidRPr="00491884">
        <w:t xml:space="preserve"> in combination with cisplatin or carboplatin, and pemetrexed for the first-line treatment of patients with locally </w:t>
      </w:r>
      <w:r w:rsidR="00FC3E81" w:rsidRPr="00491884">
        <w:lastRenderedPageBreak/>
        <w:t>advanced or metastatic non-small cell lung cancer (NSCLC) with evidence in tumour material of an activating epidermal growth factor receptor mutation (</w:t>
      </w:r>
      <w:r w:rsidR="00FC3E81" w:rsidRPr="008B68AD">
        <w:rPr>
          <w:i/>
          <w:iCs/>
        </w:rPr>
        <w:t>EGFRm</w:t>
      </w:r>
      <w:r w:rsidR="00FC3E81" w:rsidRPr="00491884">
        <w:t xml:space="preserve">) known to confer sensitivity to </w:t>
      </w:r>
      <w:r w:rsidR="00FC3E81" w:rsidRPr="003465A3">
        <w:t>EGFR</w:t>
      </w:r>
      <w:r w:rsidR="00FC3E81" w:rsidRPr="00491884">
        <w:t xml:space="preserve"> tyrosine kinase inhibitors (TKIs)</w:t>
      </w:r>
      <w:r w:rsidR="00FC3E81" w:rsidRPr="002C633F">
        <w:t>.</w:t>
      </w:r>
      <w:r w:rsidR="00D4557D">
        <w:t xml:space="preserve"> The PBAC considered </w:t>
      </w:r>
      <w:r w:rsidR="00FD70C7">
        <w:t xml:space="preserve">the early re-entry resubmission had </w:t>
      </w:r>
      <w:r w:rsidR="009A5076">
        <w:t xml:space="preserve">addressed the outstanding issues </w:t>
      </w:r>
      <w:r w:rsidR="00C477FD">
        <w:t>from its May</w:t>
      </w:r>
      <w:r w:rsidR="000E5E12">
        <w:t> </w:t>
      </w:r>
      <w:r w:rsidR="00C477FD">
        <w:t xml:space="preserve">2025 consideration. The PBAC considered a </w:t>
      </w:r>
      <w:r w:rsidR="00F633F9">
        <w:t>single,</w:t>
      </w:r>
      <w:r w:rsidR="00C477FD">
        <w:t xml:space="preserve"> broad listing for </w:t>
      </w:r>
      <w:r w:rsidR="00C477FD" w:rsidRPr="003D1190">
        <w:rPr>
          <w:i/>
          <w:iCs/>
        </w:rPr>
        <w:t>EGFRm</w:t>
      </w:r>
      <w:r w:rsidR="00C477FD">
        <w:t xml:space="preserve"> NSCLC </w:t>
      </w:r>
      <w:r w:rsidR="002F7974">
        <w:t xml:space="preserve">would be </w:t>
      </w:r>
      <w:r w:rsidR="009646D1">
        <w:t>appropriate</w:t>
      </w:r>
      <w:r w:rsidR="002F7974">
        <w:t xml:space="preserve"> </w:t>
      </w:r>
      <w:r w:rsidR="00442DB6">
        <w:t xml:space="preserve">and the methodology for calculating a weighted price proposed in the pre-PBAC response was </w:t>
      </w:r>
      <w:r w:rsidR="00082CDE">
        <w:t>reasonable.</w:t>
      </w:r>
    </w:p>
    <w:p w14:paraId="47057EAB" w14:textId="74C9C80A" w:rsidR="00EB0181" w:rsidRDefault="00EB0181" w:rsidP="00EB0181">
      <w:pPr>
        <w:pStyle w:val="3-BodyText"/>
      </w:pPr>
      <w:r>
        <w:t xml:space="preserve">The PBAC considered it would be appropriate for </w:t>
      </w:r>
      <w:proofErr w:type="spellStart"/>
      <w:r>
        <w:t>osimertinib</w:t>
      </w:r>
      <w:proofErr w:type="spellEnd"/>
      <w:r>
        <w:t xml:space="preserve"> to be listed with a </w:t>
      </w:r>
      <w:r w:rsidR="00021D95">
        <w:t xml:space="preserve">single </w:t>
      </w:r>
      <w:r>
        <w:t>restriction covering all EGFR</w:t>
      </w:r>
      <w:r w:rsidR="00665213">
        <w:t>m</w:t>
      </w:r>
      <w:r>
        <w:t xml:space="preserve"> NSCLC patient populations</w:t>
      </w:r>
      <w:r w:rsidR="002944B3">
        <w:t xml:space="preserve"> and noted </w:t>
      </w:r>
      <w:r w:rsidR="00A51A45">
        <w:t xml:space="preserve">this approach had been accepted in the </w:t>
      </w:r>
      <w:r w:rsidR="002944B3">
        <w:t xml:space="preserve">pre-PBAC </w:t>
      </w:r>
      <w:r w:rsidR="00A51A45">
        <w:t>response</w:t>
      </w:r>
      <w:r>
        <w:t xml:space="preserve">. </w:t>
      </w:r>
      <w:r w:rsidR="00DE29FE">
        <w:t xml:space="preserve">The PBAC noted </w:t>
      </w:r>
      <w:r w:rsidR="00DD1434">
        <w:t xml:space="preserve">a </w:t>
      </w:r>
      <w:r w:rsidR="00834559">
        <w:t xml:space="preserve">single </w:t>
      </w:r>
      <w:r w:rsidR="00DD1434">
        <w:t xml:space="preserve">listing </w:t>
      </w:r>
      <w:r w:rsidR="00DE29FE">
        <w:t xml:space="preserve">would require a single weighted price for </w:t>
      </w:r>
      <w:proofErr w:type="spellStart"/>
      <w:r w:rsidR="00DE29FE">
        <w:t>osimertinib</w:t>
      </w:r>
      <w:proofErr w:type="spellEnd"/>
      <w:r w:rsidR="00DD1434">
        <w:t xml:space="preserve"> across the current</w:t>
      </w:r>
      <w:r w:rsidR="0029571F">
        <w:t xml:space="preserve"> indications</w:t>
      </w:r>
      <w:r w:rsidR="00DD1434">
        <w:t xml:space="preserve"> (adjuvant use, first line metastatic disease as monotherapy</w:t>
      </w:r>
      <w:r w:rsidR="00255807">
        <w:t>, second line metastatic disease</w:t>
      </w:r>
      <w:r w:rsidR="00DD1434">
        <w:t>) and recommended indications (first</w:t>
      </w:r>
      <w:r w:rsidR="004714A7">
        <w:t>-</w:t>
      </w:r>
      <w:r w:rsidR="00DD1434">
        <w:t>line metastatic disease in combination with chemotherapy recommended herein</w:t>
      </w:r>
      <w:r w:rsidR="00255807">
        <w:t xml:space="preserve"> and </w:t>
      </w:r>
      <w:r w:rsidR="00DD1434">
        <w:t>use in unresectable Stage III disease recommended July 2025)</w:t>
      </w:r>
      <w:r w:rsidR="00DE29FE">
        <w:t xml:space="preserve">. </w:t>
      </w:r>
    </w:p>
    <w:p w14:paraId="3C4B67EC" w14:textId="36BF8244" w:rsidR="00784EC7" w:rsidRDefault="00EB0181" w:rsidP="000D6F1C">
      <w:pPr>
        <w:pStyle w:val="3-BodyText"/>
      </w:pPr>
      <w:bookmarkStart w:id="20" w:name="_Ref209711113"/>
      <w:r>
        <w:t>W</w:t>
      </w:r>
      <w:r w:rsidR="00646C0F">
        <w:t xml:space="preserve">ith regards to the </w:t>
      </w:r>
      <w:r>
        <w:t>first</w:t>
      </w:r>
      <w:r w:rsidR="004714A7">
        <w:t>-</w:t>
      </w:r>
      <w:r>
        <w:t>line listing</w:t>
      </w:r>
      <w:r w:rsidR="00784EC7">
        <w:t xml:space="preserve"> in combination with chemotherapy</w:t>
      </w:r>
      <w:r>
        <w:t xml:space="preserve">, </w:t>
      </w:r>
      <w:r w:rsidR="00B411FF">
        <w:t xml:space="preserve">the </w:t>
      </w:r>
      <w:r>
        <w:t xml:space="preserve">PBAC </w:t>
      </w:r>
      <w:r w:rsidR="0028224D">
        <w:t>considered that</w:t>
      </w:r>
      <w:r w:rsidR="00255440">
        <w:t xml:space="preserve"> </w:t>
      </w:r>
      <w:proofErr w:type="spellStart"/>
      <w:r w:rsidR="00255440">
        <w:t>osimertinib</w:t>
      </w:r>
      <w:proofErr w:type="spellEnd"/>
      <w:r w:rsidR="00255440">
        <w:t xml:space="preserve"> would be cost effective for this population at the price</w:t>
      </w:r>
      <w:r w:rsidR="00BD764D">
        <w:t xml:space="preserve"> proposed </w:t>
      </w:r>
      <w:r w:rsidR="00B841F3">
        <w:t>(EMP $</w:t>
      </w:r>
      <w:r w:rsidR="00255D1B" w:rsidRPr="00255D1B">
        <w:rPr>
          <w:color w:val="000000"/>
          <w:w w:val="61"/>
          <w:shd w:val="solid" w:color="000000" w:fill="000000"/>
          <w:fitText w:val="475" w:id="-606363391"/>
          <w14:textFill>
            <w14:solidFill>
              <w14:srgbClr w14:val="000000">
                <w14:alpha w14:val="100000"/>
              </w14:srgbClr>
            </w14:solidFill>
          </w14:textFill>
        </w:rPr>
        <w:t>||</w:t>
      </w:r>
      <w:proofErr w:type="gramStart"/>
      <w:r w:rsidR="00255D1B" w:rsidRPr="00255D1B">
        <w:rPr>
          <w:color w:val="000000"/>
          <w:w w:val="61"/>
          <w:shd w:val="solid" w:color="000000" w:fill="000000"/>
          <w:fitText w:val="475" w:id="-606363391"/>
          <w14:textFill>
            <w14:solidFill>
              <w14:srgbClr w14:val="000000">
                <w14:alpha w14:val="100000"/>
              </w14:srgbClr>
            </w14:solidFill>
          </w14:textFill>
        </w:rPr>
        <w:t>|  |</w:t>
      </w:r>
      <w:proofErr w:type="gramEnd"/>
      <w:r w:rsidR="00255D1B" w:rsidRPr="00255D1B">
        <w:rPr>
          <w:color w:val="000000"/>
          <w:w w:val="61"/>
          <w:shd w:val="solid" w:color="000000" w:fill="000000"/>
          <w:fitText w:val="475" w:id="-606363391"/>
          <w14:textFill>
            <w14:solidFill>
              <w14:srgbClr w14:val="000000">
                <w14:alpha w14:val="100000"/>
              </w14:srgbClr>
            </w14:solidFill>
          </w14:textFill>
        </w:rPr>
        <w:t>|</w:t>
      </w:r>
      <w:r w:rsidR="00255D1B" w:rsidRPr="00255D1B">
        <w:rPr>
          <w:color w:val="000000"/>
          <w:spacing w:val="5"/>
          <w:w w:val="61"/>
          <w:shd w:val="solid" w:color="000000" w:fill="000000"/>
          <w:fitText w:val="475" w:id="-606363391"/>
          <w14:textFill>
            <w14:solidFill>
              <w14:srgbClr w14:val="000000">
                <w14:alpha w14:val="100000"/>
              </w14:srgbClr>
            </w14:solidFill>
          </w14:textFill>
        </w:rPr>
        <w:t>|</w:t>
      </w:r>
      <w:r w:rsidR="00B841F3">
        <w:t xml:space="preserve"> per pack) </w:t>
      </w:r>
      <w:r w:rsidR="0028224D">
        <w:t>and</w:t>
      </w:r>
      <w:r w:rsidR="00C44961">
        <w:t xml:space="preserve"> </w:t>
      </w:r>
      <w:r w:rsidR="004714A7">
        <w:t xml:space="preserve">that </w:t>
      </w:r>
      <w:r w:rsidR="00C44961">
        <w:t>the utilisation estimates provided in the resubmission were reasonable.</w:t>
      </w:r>
      <w:bookmarkEnd w:id="20"/>
      <w:r w:rsidR="00C44961">
        <w:t xml:space="preserve">  </w:t>
      </w:r>
    </w:p>
    <w:p w14:paraId="3C406C58" w14:textId="52816BAC" w:rsidR="00E30814" w:rsidRDefault="006D23F4" w:rsidP="000D6F1C">
      <w:pPr>
        <w:pStyle w:val="3-BodyText"/>
      </w:pPr>
      <w:r>
        <w:t xml:space="preserve">The PBAC considered the </w:t>
      </w:r>
      <w:r w:rsidR="00BC4C8E">
        <w:t xml:space="preserve">single </w:t>
      </w:r>
      <w:r>
        <w:t xml:space="preserve">listing criteria proposed by the Secretariat in paragraph </w:t>
      </w:r>
      <w:r>
        <w:fldChar w:fldCharType="begin"/>
      </w:r>
      <w:r>
        <w:instrText xml:space="preserve"> REF _Ref209684252 \r \h </w:instrText>
      </w:r>
      <w:r>
        <w:fldChar w:fldCharType="separate"/>
      </w:r>
      <w:r w:rsidR="0055339A">
        <w:t>3.2</w:t>
      </w:r>
      <w:r>
        <w:fldChar w:fldCharType="end"/>
      </w:r>
      <w:r>
        <w:t xml:space="preserve"> would be reasonable with the following amendments:</w:t>
      </w:r>
    </w:p>
    <w:p w14:paraId="221FF650" w14:textId="2DDB9D71" w:rsidR="006D23F4" w:rsidRDefault="00871A4C" w:rsidP="00033AB8">
      <w:pPr>
        <w:pStyle w:val="3-BodyText"/>
        <w:numPr>
          <w:ilvl w:val="0"/>
          <w:numId w:val="31"/>
        </w:numPr>
        <w:ind w:left="1134"/>
      </w:pPr>
      <w:r>
        <w:t xml:space="preserve">It would be appropriate </w:t>
      </w:r>
      <w:r w:rsidR="004215EA">
        <w:t>to remain silent on specific mutation types in the criteria. The PB</w:t>
      </w:r>
      <w:r w:rsidR="00521D19">
        <w:t>A</w:t>
      </w:r>
      <w:r w:rsidR="004215EA">
        <w:t xml:space="preserve">C advised </w:t>
      </w:r>
      <w:r w:rsidR="00521D19">
        <w:t>this could be achieved by deleting reference to mutation</w:t>
      </w:r>
      <w:r w:rsidR="006E6480">
        <w:t xml:space="preserve"> type</w:t>
      </w:r>
      <w:r w:rsidR="00521D19">
        <w:t xml:space="preserve"> in </w:t>
      </w:r>
      <w:r w:rsidR="004215EA">
        <w:t>the Prescribing Information: ‘</w:t>
      </w:r>
      <w:r w:rsidRPr="00871A4C">
        <w:t xml:space="preserve">Prescribers must refer to this drug's approved Therapeutic Goods Administration (TGA) Product Information (PI) for the relevant dosing regimens, treatment duration and </w:t>
      </w:r>
      <w:r w:rsidRPr="007C60E3">
        <w:t>mutation type</w:t>
      </w:r>
      <w:r w:rsidRPr="00871A4C">
        <w:t xml:space="preserve"> for the specific stage of NSCLC</w:t>
      </w:r>
      <w:r w:rsidR="004215EA">
        <w:t>’</w:t>
      </w:r>
      <w:r w:rsidR="00521D19">
        <w:t>.</w:t>
      </w:r>
    </w:p>
    <w:p w14:paraId="32D550F3" w14:textId="31F29215" w:rsidR="006D23F4" w:rsidRDefault="006E24FF" w:rsidP="00033AB8">
      <w:pPr>
        <w:pStyle w:val="3-BodyText"/>
        <w:numPr>
          <w:ilvl w:val="0"/>
          <w:numId w:val="31"/>
        </w:numPr>
        <w:ind w:left="1134"/>
      </w:pPr>
      <w:r>
        <w:t xml:space="preserve">The </w:t>
      </w:r>
      <w:r w:rsidRPr="006E24FF">
        <w:t>clinical criteria</w:t>
      </w:r>
      <w:r w:rsidR="00FE2AE9">
        <w:t xml:space="preserve">: </w:t>
      </w:r>
      <w:r w:rsidRPr="006E24FF">
        <w:t>‘Patient must not have received previous PBS-subsidised treatment with another epidermal growth factor receptor (EGFR) tyrosine kinase inhibitor (TKI) OR Patient must have developed intolerance to another epidermal growth factor receptor (EGFR) tyrosine kinase inhibitor (TKI) of a severity necessitating permanent treatment withdrawal</w:t>
      </w:r>
      <w:r>
        <w:t xml:space="preserve">’ </w:t>
      </w:r>
      <w:r w:rsidR="00C349E4">
        <w:t xml:space="preserve">should </w:t>
      </w:r>
      <w:r>
        <w:t xml:space="preserve">be deleted to allow </w:t>
      </w:r>
      <w:r w:rsidR="00A07303">
        <w:t xml:space="preserve">use of </w:t>
      </w:r>
      <w:proofErr w:type="spellStart"/>
      <w:r w:rsidR="00A07303">
        <w:t>osimertinib</w:t>
      </w:r>
      <w:proofErr w:type="spellEnd"/>
      <w:r w:rsidR="00A07303">
        <w:t xml:space="preserve"> after other TKIs</w:t>
      </w:r>
      <w:r w:rsidR="0004412E">
        <w:t xml:space="preserve"> in the second line setting</w:t>
      </w:r>
      <w:r w:rsidR="00A07303">
        <w:t xml:space="preserve">.  </w:t>
      </w:r>
    </w:p>
    <w:p w14:paraId="1615EAB3" w14:textId="620656FA" w:rsidR="00E30814" w:rsidRPr="006D076E" w:rsidRDefault="00C92872" w:rsidP="000D6F1C">
      <w:pPr>
        <w:pStyle w:val="3-BodyText"/>
      </w:pPr>
      <w:r>
        <w:t xml:space="preserve">The PBAC noted the pre-PBAC response </w:t>
      </w:r>
      <w:r w:rsidR="007B1DFF">
        <w:t xml:space="preserve">proposed </w:t>
      </w:r>
      <w:r w:rsidR="00E843F1">
        <w:t>calculat</w:t>
      </w:r>
      <w:r w:rsidR="007B1DFF">
        <w:t xml:space="preserve">ing </w:t>
      </w:r>
      <w:r w:rsidR="00E843F1">
        <w:t xml:space="preserve">a weighted price for the </w:t>
      </w:r>
      <w:r w:rsidR="0015269C">
        <w:t xml:space="preserve">single </w:t>
      </w:r>
      <w:r w:rsidR="00E843F1">
        <w:t>listing based on script use across the i</w:t>
      </w:r>
      <w:r w:rsidR="00E448C5">
        <w:t>n</w:t>
      </w:r>
      <w:r w:rsidR="00E843F1">
        <w:t>dications</w:t>
      </w:r>
      <w:r w:rsidR="00722894">
        <w:t xml:space="preserve"> and considered the methodology </w:t>
      </w:r>
      <w:r w:rsidR="001E1850">
        <w:t xml:space="preserve">and proportion of use across each indication </w:t>
      </w:r>
      <w:r w:rsidR="00722894">
        <w:t>was reasonable</w:t>
      </w:r>
      <w:r w:rsidR="001F5996">
        <w:t xml:space="preserve"> (see </w:t>
      </w:r>
      <w:r w:rsidR="001F5996">
        <w:fldChar w:fldCharType="begin"/>
      </w:r>
      <w:r w:rsidR="001F5996">
        <w:instrText xml:space="preserve"> REF _Ref209615777 \h </w:instrText>
      </w:r>
      <w:r w:rsidR="001F5996">
        <w:fldChar w:fldCharType="separate"/>
      </w:r>
      <w:r w:rsidR="0055339A">
        <w:t xml:space="preserve">Table </w:t>
      </w:r>
      <w:r w:rsidR="0055339A">
        <w:rPr>
          <w:noProof/>
        </w:rPr>
        <w:t>9</w:t>
      </w:r>
      <w:r w:rsidR="001F5996">
        <w:fldChar w:fldCharType="end"/>
      </w:r>
      <w:r w:rsidR="001F5996">
        <w:t>)</w:t>
      </w:r>
      <w:r w:rsidR="00722894">
        <w:t xml:space="preserve">. </w:t>
      </w:r>
      <w:r w:rsidR="00B841F3">
        <w:t xml:space="preserve">The PBAC noted the calculation incorporated </w:t>
      </w:r>
      <w:r w:rsidR="00D57E15">
        <w:t xml:space="preserve">the </w:t>
      </w:r>
      <w:r w:rsidR="00B12695">
        <w:t xml:space="preserve">price for </w:t>
      </w:r>
      <w:r w:rsidR="00D57E15">
        <w:t xml:space="preserve">first line use in combination with chemotherapy (as per paragraph </w:t>
      </w:r>
      <w:r w:rsidR="00D57E15">
        <w:fldChar w:fldCharType="begin"/>
      </w:r>
      <w:r w:rsidR="00D57E15">
        <w:instrText xml:space="preserve"> REF _Ref209711113 \r \h </w:instrText>
      </w:r>
      <w:r w:rsidR="00D57E15">
        <w:fldChar w:fldCharType="separate"/>
      </w:r>
      <w:r w:rsidR="0055339A">
        <w:t>5.3</w:t>
      </w:r>
      <w:r w:rsidR="00D57E15">
        <w:fldChar w:fldCharType="end"/>
      </w:r>
      <w:r w:rsidR="00D57E15">
        <w:t>) and a</w:t>
      </w:r>
      <w:r w:rsidR="00FE5779">
        <w:t xml:space="preserve"> price for use in patients with Stage III unresectable disease consistent with the July 2025 PBAC recommendation. </w:t>
      </w:r>
      <w:r w:rsidR="007F7BF5">
        <w:t xml:space="preserve">The calculation incorporated the existing prices for the PBS listed </w:t>
      </w:r>
      <w:r w:rsidR="007F7BF5">
        <w:lastRenderedPageBreak/>
        <w:t xml:space="preserve">indications, however the PBAC recalled that the prices for the first line metastatic </w:t>
      </w:r>
      <w:r w:rsidR="007F7BF5" w:rsidRPr="006D076E">
        <w:t>setting (as monotherapy) and second line metastatic setting reflected an artificially low treatment duration and the cost-effective prices were to be achieved though expected rebates as part of the RSA</w:t>
      </w:r>
      <w:r w:rsidR="001F5996" w:rsidRPr="006D076E">
        <w:t>.</w:t>
      </w:r>
    </w:p>
    <w:p w14:paraId="2448E76B" w14:textId="2856AD6A" w:rsidR="002F0447" w:rsidRPr="006D076E" w:rsidRDefault="00525ADF" w:rsidP="002F0447">
      <w:pPr>
        <w:pStyle w:val="3-BodyText"/>
      </w:pPr>
      <w:r w:rsidRPr="006D076E">
        <w:t xml:space="preserve">The </w:t>
      </w:r>
      <w:r w:rsidR="00842839" w:rsidRPr="006D076E">
        <w:t>PBAC noted the pre-PBAC response</w:t>
      </w:r>
      <w:r w:rsidR="005C68B1" w:rsidRPr="006D076E">
        <w:t xml:space="preserve"> proposed two options</w:t>
      </w:r>
      <w:r w:rsidR="00055E27" w:rsidRPr="006D076E">
        <w:t xml:space="preserve"> </w:t>
      </w:r>
      <w:r w:rsidR="005C68B1" w:rsidRPr="006D076E">
        <w:t>(</w:t>
      </w:r>
      <w:proofErr w:type="spellStart"/>
      <w:r w:rsidR="005C68B1" w:rsidRPr="006D076E">
        <w:t>i</w:t>
      </w:r>
      <w:proofErr w:type="spellEnd"/>
      <w:r w:rsidR="005C68B1" w:rsidRPr="006D076E">
        <w:t>)</w:t>
      </w:r>
      <w:r w:rsidR="001B5ADA" w:rsidRPr="006D076E">
        <w:t xml:space="preserve"> a weighted price of $</w:t>
      </w:r>
      <w:r w:rsidR="00255D1B" w:rsidRPr="00255D1B">
        <w:rPr>
          <w:color w:val="000000"/>
          <w:w w:val="61"/>
          <w:shd w:val="solid" w:color="000000" w:fill="000000"/>
          <w:fitText w:val="475" w:id="-606363390"/>
          <w14:textFill>
            <w14:solidFill>
              <w14:srgbClr w14:val="000000">
                <w14:alpha w14:val="100000"/>
              </w14:srgbClr>
            </w14:solidFill>
          </w14:textFill>
        </w:rPr>
        <w:t>|||  ||</w:t>
      </w:r>
      <w:r w:rsidR="00255D1B" w:rsidRPr="00255D1B">
        <w:rPr>
          <w:color w:val="000000"/>
          <w:spacing w:val="5"/>
          <w:w w:val="61"/>
          <w:shd w:val="solid" w:color="000000" w:fill="000000"/>
          <w:fitText w:val="475" w:id="-606363390"/>
          <w14:textFill>
            <w14:solidFill>
              <w14:srgbClr w14:val="000000">
                <w14:alpha w14:val="100000"/>
              </w14:srgbClr>
            </w14:solidFill>
          </w14:textFill>
        </w:rPr>
        <w:t>|</w:t>
      </w:r>
      <w:r w:rsidR="00960DDF" w:rsidRPr="006D076E">
        <w:t xml:space="preserve"> per pack, retention of current RSA (with increase in expenditure caps to account for the two new indications) </w:t>
      </w:r>
      <w:r w:rsidR="00795D11" w:rsidRPr="006D076E">
        <w:t xml:space="preserve">with </w:t>
      </w:r>
      <w:r w:rsidR="00960DDF" w:rsidRPr="006D076E">
        <w:t>a</w:t>
      </w:r>
      <w:r w:rsidR="005C68B1" w:rsidRPr="006D076E">
        <w:t xml:space="preserve"> </w:t>
      </w:r>
      <w:r w:rsidR="00255D1B" w:rsidRPr="00255D1B">
        <w:rPr>
          <w:color w:val="000000"/>
          <w:w w:val="61"/>
          <w:shd w:val="solid" w:color="000000" w:fill="000000"/>
          <w:fitText w:val="475" w:id="-606363389"/>
          <w14:textFill>
            <w14:solidFill>
              <w14:srgbClr w14:val="000000">
                <w14:alpha w14:val="100000"/>
              </w14:srgbClr>
            </w14:solidFill>
          </w14:textFill>
        </w:rPr>
        <w:t>|||  ||</w:t>
      </w:r>
      <w:r w:rsidR="00255D1B" w:rsidRPr="00255D1B">
        <w:rPr>
          <w:color w:val="000000"/>
          <w:spacing w:val="5"/>
          <w:w w:val="61"/>
          <w:shd w:val="solid" w:color="000000" w:fill="000000"/>
          <w:fitText w:val="475" w:id="-606363389"/>
          <w14:textFill>
            <w14:solidFill>
              <w14:srgbClr w14:val="000000">
                <w14:alpha w14:val="100000"/>
              </w14:srgbClr>
            </w14:solidFill>
          </w14:textFill>
        </w:rPr>
        <w:t>|</w:t>
      </w:r>
      <w:r w:rsidR="00960DDF" w:rsidRPr="006D076E">
        <w:t xml:space="preserve">% rebate </w:t>
      </w:r>
      <w:r w:rsidR="00102CD1" w:rsidRPr="006D076E">
        <w:t xml:space="preserve">of </w:t>
      </w:r>
      <w:r w:rsidR="00960DDF" w:rsidRPr="006D076E">
        <w:t xml:space="preserve">any </w:t>
      </w:r>
      <w:r w:rsidR="002F29DA" w:rsidRPr="006D076E">
        <w:t xml:space="preserve">use </w:t>
      </w:r>
      <w:r w:rsidR="00960DDF" w:rsidRPr="006D076E">
        <w:t>over the caps and (ii) a weighted price of $</w:t>
      </w:r>
      <w:r w:rsidR="00255D1B" w:rsidRPr="00255D1B">
        <w:rPr>
          <w:color w:val="000000"/>
          <w:w w:val="61"/>
          <w:shd w:val="solid" w:color="000000" w:fill="000000"/>
          <w:fitText w:val="475" w:id="-606363136"/>
          <w14:textFill>
            <w14:solidFill>
              <w14:srgbClr w14:val="000000">
                <w14:alpha w14:val="100000"/>
              </w14:srgbClr>
            </w14:solidFill>
          </w14:textFill>
        </w:rPr>
        <w:t>|||  ||</w:t>
      </w:r>
      <w:r w:rsidR="00255D1B" w:rsidRPr="00255D1B">
        <w:rPr>
          <w:color w:val="000000"/>
          <w:spacing w:val="5"/>
          <w:w w:val="61"/>
          <w:shd w:val="solid" w:color="000000" w:fill="000000"/>
          <w:fitText w:val="475" w:id="-606363136"/>
          <w14:textFill>
            <w14:solidFill>
              <w14:srgbClr w14:val="000000">
                <w14:alpha w14:val="100000"/>
              </w14:srgbClr>
            </w14:solidFill>
          </w14:textFill>
        </w:rPr>
        <w:t>|</w:t>
      </w:r>
      <w:r w:rsidR="00960DDF" w:rsidRPr="006D076E">
        <w:t xml:space="preserve"> per pack (a </w:t>
      </w:r>
      <w:r w:rsidR="00255D1B" w:rsidRPr="00255D1B">
        <w:rPr>
          <w:color w:val="000000"/>
          <w:w w:val="59"/>
          <w:shd w:val="solid" w:color="000000" w:fill="000000"/>
          <w:fitText w:val="460" w:id="-606363135"/>
          <w14:textFill>
            <w14:solidFill>
              <w14:srgbClr w14:val="000000">
                <w14:alpha w14:val="100000"/>
              </w14:srgbClr>
            </w14:solidFill>
          </w14:textFill>
        </w:rPr>
        <w:t>|||  ||</w:t>
      </w:r>
      <w:r w:rsidR="00255D1B" w:rsidRPr="00255D1B">
        <w:rPr>
          <w:color w:val="000000"/>
          <w:spacing w:val="5"/>
          <w:w w:val="59"/>
          <w:shd w:val="solid" w:color="000000" w:fill="000000"/>
          <w:fitText w:val="460" w:id="-606363135"/>
          <w14:textFill>
            <w14:solidFill>
              <w14:srgbClr w14:val="000000">
                <w14:alpha w14:val="100000"/>
              </w14:srgbClr>
            </w14:solidFill>
          </w14:textFill>
        </w:rPr>
        <w:t>|</w:t>
      </w:r>
      <w:r w:rsidR="00960DDF" w:rsidRPr="006D076E">
        <w:t xml:space="preserve">% price reduction) with no RSA. </w:t>
      </w:r>
      <w:r w:rsidR="008B15F1" w:rsidRPr="006D076E">
        <w:t xml:space="preserve">The PBAC considered that </w:t>
      </w:r>
      <w:r w:rsidR="00775F61" w:rsidRPr="006D076E">
        <w:t>an RSA may not be required</w:t>
      </w:r>
      <w:r w:rsidR="008B15F1" w:rsidRPr="006D076E">
        <w:t xml:space="preserve"> with a single listing </w:t>
      </w:r>
      <w:proofErr w:type="gramStart"/>
      <w:r w:rsidR="008B15F1" w:rsidRPr="006D076E">
        <w:t>criteria</w:t>
      </w:r>
      <w:proofErr w:type="gramEnd"/>
      <w:r w:rsidR="008B15F1" w:rsidRPr="006D076E">
        <w:t xml:space="preserve"> for all </w:t>
      </w:r>
      <w:proofErr w:type="spellStart"/>
      <w:r w:rsidR="008B15F1" w:rsidRPr="006D076E">
        <w:t>EFGRm</w:t>
      </w:r>
      <w:proofErr w:type="spellEnd"/>
      <w:r w:rsidR="008B15F1" w:rsidRPr="006D076E">
        <w:t xml:space="preserve"> populations.</w:t>
      </w:r>
      <w:r w:rsidR="009D120B" w:rsidRPr="006D076E">
        <w:t xml:space="preserve"> </w:t>
      </w:r>
      <w:r w:rsidR="00F7728B" w:rsidRPr="006D076E">
        <w:t>However, the PBAC noted that the weighted price did not account for rebates being realised for expenditure over the current RSA caps. The PBAC advised a price reduction was appropriate to minimise any additional expenditure in relation to the current listed indications.</w:t>
      </w:r>
      <w:r w:rsidR="00306353" w:rsidRPr="006D076E">
        <w:t xml:space="preserve"> </w:t>
      </w:r>
    </w:p>
    <w:p w14:paraId="708CA5C3" w14:textId="199326D1" w:rsidR="00427C42" w:rsidRDefault="00427C42" w:rsidP="00427C42">
      <w:pPr>
        <w:pStyle w:val="3-BodyText"/>
      </w:pPr>
      <w:r w:rsidRPr="006D076E">
        <w:t xml:space="preserve">The PBAC found that the criteria prescribed by the </w:t>
      </w:r>
      <w:bookmarkStart w:id="21" w:name="_Hlk104208947"/>
      <w:r w:rsidRPr="006D076E">
        <w:rPr>
          <w:i/>
        </w:rPr>
        <w:t>National Health (Pharmaceuticals</w:t>
      </w:r>
      <w:r w:rsidRPr="00427C42">
        <w:rPr>
          <w:i/>
        </w:rPr>
        <w:t xml:space="preserve"> and Vaccines – Cost Recovery) Regulations 2022</w:t>
      </w:r>
      <w:r w:rsidRPr="00427C42">
        <w:t xml:space="preserve"> </w:t>
      </w:r>
      <w:bookmarkEnd w:id="21"/>
      <w:r w:rsidRPr="00427C42">
        <w:t xml:space="preserve">for Pricing Pathway A were not met. </w:t>
      </w:r>
      <w:proofErr w:type="gramStart"/>
      <w:r w:rsidRPr="00427C42">
        <w:t>Specifically</w:t>
      </w:r>
      <w:proofErr w:type="gramEnd"/>
      <w:r w:rsidRPr="00427C42">
        <w:t xml:space="preserve"> the PBAC found that in the circumstances of its recommendation for </w:t>
      </w:r>
      <w:proofErr w:type="spellStart"/>
      <w:r w:rsidR="00FE2D5D">
        <w:t>osimertinib</w:t>
      </w:r>
      <w:proofErr w:type="spellEnd"/>
      <w:r w:rsidRPr="00427C42">
        <w:t>:</w:t>
      </w:r>
    </w:p>
    <w:p w14:paraId="3BD7D507" w14:textId="76D9978E" w:rsidR="00427C42" w:rsidRDefault="00427C42" w:rsidP="00427C42">
      <w:pPr>
        <w:pStyle w:val="3-BodyText"/>
        <w:numPr>
          <w:ilvl w:val="0"/>
          <w:numId w:val="30"/>
        </w:numPr>
      </w:pPr>
      <w:r w:rsidRPr="00427C42">
        <w:t xml:space="preserve">The treatment is </w:t>
      </w:r>
      <w:r w:rsidR="00525D72">
        <w:t xml:space="preserve">not </w:t>
      </w:r>
      <w:r w:rsidRPr="00427C42">
        <w:t>expected to provide a substantial and clinically relevant improvement in efficacy</w:t>
      </w:r>
      <w:r w:rsidR="00FE2D5D">
        <w:t xml:space="preserve"> </w:t>
      </w:r>
      <w:r w:rsidRPr="00427C42">
        <w:t xml:space="preserve">over alternative therapies, </w:t>
      </w:r>
      <w:r w:rsidR="00525D72">
        <w:t xml:space="preserve">as the </w:t>
      </w:r>
      <w:r w:rsidR="00D83973">
        <w:t xml:space="preserve">improvement in PFS was moderate and magnitude of benefit in OS was uncertain due to immaturity of </w:t>
      </w:r>
      <w:r w:rsidR="002E5D44">
        <w:t xml:space="preserve">the </w:t>
      </w:r>
      <w:proofErr w:type="gramStart"/>
      <w:r w:rsidR="002E5D44">
        <w:t>dat</w:t>
      </w:r>
      <w:r w:rsidR="00EF41A7">
        <w:t>a</w:t>
      </w:r>
      <w:r w:rsidRPr="00427C42">
        <w:t>;</w:t>
      </w:r>
      <w:proofErr w:type="gramEnd"/>
      <w:r w:rsidRPr="00427C42">
        <w:t xml:space="preserve"> </w:t>
      </w:r>
    </w:p>
    <w:p w14:paraId="67C7308E" w14:textId="571CA6C2" w:rsidR="002C1676" w:rsidRDefault="00427C42" w:rsidP="00427C42">
      <w:pPr>
        <w:pStyle w:val="3-BodyText"/>
        <w:numPr>
          <w:ilvl w:val="0"/>
          <w:numId w:val="30"/>
        </w:numPr>
      </w:pPr>
      <w:r w:rsidRPr="00427C42">
        <w:t>The treatment</w:t>
      </w:r>
      <w:r w:rsidR="00525D72">
        <w:t xml:space="preserve"> i</w:t>
      </w:r>
      <w:r w:rsidRPr="00427C42">
        <w:t xml:space="preserve">s not expected to address a high and urgent unmet clinical need </w:t>
      </w:r>
      <w:r w:rsidR="00525D72">
        <w:t xml:space="preserve">because </w:t>
      </w:r>
      <w:proofErr w:type="spellStart"/>
      <w:r w:rsidR="00525D72">
        <w:t>osimertinib</w:t>
      </w:r>
      <w:proofErr w:type="spellEnd"/>
      <w:r w:rsidR="00525D72">
        <w:t xml:space="preserve"> is already available on the PBS; and</w:t>
      </w:r>
    </w:p>
    <w:p w14:paraId="35337E64" w14:textId="0A4C5741" w:rsidR="00427C42" w:rsidRDefault="00FE2D5D" w:rsidP="00FE2D5D">
      <w:pPr>
        <w:pStyle w:val="3-BodyText"/>
        <w:numPr>
          <w:ilvl w:val="0"/>
          <w:numId w:val="30"/>
        </w:numPr>
      </w:pPr>
      <w:r w:rsidRPr="00FE2D5D">
        <w:t>It was not necessary to make a finding in relation to whether it would be in the public interest for the subsequent pricing application to be progressed under Pricing Pathway A because one or more of the preceding tests had failed</w:t>
      </w:r>
      <w:r w:rsidR="00525D72">
        <w:t>.</w:t>
      </w:r>
    </w:p>
    <w:p w14:paraId="5BE1FFB5" w14:textId="71B93D2C" w:rsidR="00113903" w:rsidRPr="00113903" w:rsidRDefault="00113903" w:rsidP="00113903">
      <w:pPr>
        <w:pStyle w:val="3-BodyText"/>
      </w:pPr>
      <w:r w:rsidRPr="00113903">
        <w:rPr>
          <w:bCs/>
          <w:snapToGrid w:val="0"/>
        </w:rPr>
        <w:t>The PBAC noted that this submission is not eligible for an Independent Review as it received a positive PBAC recommendation.</w:t>
      </w:r>
    </w:p>
    <w:p w14:paraId="13FC4CB7" w14:textId="441B5555" w:rsidR="000D6F1C" w:rsidRPr="00055EC7" w:rsidRDefault="000D6F1C" w:rsidP="00437FC8">
      <w:pPr>
        <w:pStyle w:val="3-BodyText"/>
        <w:numPr>
          <w:ilvl w:val="0"/>
          <w:numId w:val="0"/>
        </w:numPr>
        <w:spacing w:after="0"/>
        <w:rPr>
          <w:b/>
          <w:bCs/>
        </w:rPr>
      </w:pPr>
      <w:r w:rsidRPr="00055EC7">
        <w:rPr>
          <w:b/>
          <w:bCs/>
        </w:rPr>
        <w:t>Outcome:</w:t>
      </w:r>
    </w:p>
    <w:p w14:paraId="2D692005" w14:textId="2F28AF94" w:rsidR="00282063" w:rsidRDefault="00282063" w:rsidP="000D6F1C">
      <w:pPr>
        <w:pStyle w:val="3-BodyText"/>
        <w:numPr>
          <w:ilvl w:val="0"/>
          <w:numId w:val="0"/>
        </w:numPr>
      </w:pPr>
      <w:r>
        <w:t>Recommended</w:t>
      </w:r>
    </w:p>
    <w:p w14:paraId="780D5DCB" w14:textId="2506065F" w:rsidR="000D6F1C" w:rsidRDefault="000D6F1C" w:rsidP="000D6F1C">
      <w:pPr>
        <w:pStyle w:val="2-SectionHeading"/>
      </w:pPr>
      <w:r>
        <w:t>Recommended listing</w:t>
      </w:r>
    </w:p>
    <w:p w14:paraId="74924291" w14:textId="6B72EED5" w:rsidR="000D6F1C" w:rsidRPr="00533706" w:rsidRDefault="000D6F1C" w:rsidP="000D6F1C">
      <w:pPr>
        <w:pStyle w:val="3-BodyText"/>
      </w:pPr>
      <w:r w:rsidRPr="00533706">
        <w:t>Add new item</w:t>
      </w:r>
      <w:r w:rsidR="00533706">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3939"/>
        <w:gridCol w:w="811"/>
        <w:gridCol w:w="812"/>
        <w:gridCol w:w="811"/>
        <w:gridCol w:w="812"/>
        <w:gridCol w:w="1831"/>
      </w:tblGrid>
      <w:tr w:rsidR="00D81847" w:rsidRPr="00471D80" w14:paraId="7916B6CB" w14:textId="77777777" w:rsidTr="289B87D2">
        <w:trPr>
          <w:cantSplit/>
          <w:trHeight w:val="20"/>
        </w:trPr>
        <w:tc>
          <w:tcPr>
            <w:tcW w:w="3939" w:type="dxa"/>
            <w:vAlign w:val="center"/>
          </w:tcPr>
          <w:p w14:paraId="0CBAA35B" w14:textId="77777777" w:rsidR="00D81847" w:rsidRPr="00471D80" w:rsidRDefault="00D81847" w:rsidP="002B0C54">
            <w:pPr>
              <w:keepNext/>
              <w:keepLines/>
              <w:rPr>
                <w:rFonts w:ascii="Arial Narrow" w:hAnsi="Arial Narrow"/>
                <w:b/>
                <w:bCs/>
                <w:sz w:val="20"/>
                <w:szCs w:val="20"/>
              </w:rPr>
            </w:pPr>
            <w:r w:rsidRPr="00471D80">
              <w:rPr>
                <w:rFonts w:ascii="Arial Narrow" w:hAnsi="Arial Narrow"/>
                <w:b/>
                <w:bCs/>
                <w:sz w:val="20"/>
                <w:szCs w:val="20"/>
              </w:rPr>
              <w:lastRenderedPageBreak/>
              <w:t>MEDICINAL PRODUCT</w:t>
            </w:r>
          </w:p>
          <w:p w14:paraId="6F198D62" w14:textId="77777777" w:rsidR="00D81847" w:rsidRPr="00471D80" w:rsidRDefault="00D81847" w:rsidP="002B0C54">
            <w:pPr>
              <w:keepNext/>
              <w:keepLines/>
              <w:rPr>
                <w:rFonts w:ascii="Arial Narrow" w:hAnsi="Arial Narrow"/>
                <w:b/>
                <w:sz w:val="20"/>
                <w:szCs w:val="20"/>
              </w:rPr>
            </w:pPr>
            <w:r w:rsidRPr="00471D80">
              <w:rPr>
                <w:rFonts w:ascii="Arial Narrow" w:hAnsi="Arial Narrow"/>
                <w:b/>
                <w:bCs/>
                <w:sz w:val="20"/>
                <w:szCs w:val="20"/>
              </w:rPr>
              <w:t>medicinal product pack</w:t>
            </w:r>
          </w:p>
        </w:tc>
        <w:tc>
          <w:tcPr>
            <w:tcW w:w="811" w:type="dxa"/>
            <w:vAlign w:val="center"/>
          </w:tcPr>
          <w:p w14:paraId="4251D2B3" w14:textId="77777777" w:rsidR="00D81847" w:rsidRPr="00471D80" w:rsidRDefault="00D81847" w:rsidP="002B0C54">
            <w:pPr>
              <w:keepNext/>
              <w:keepLines/>
              <w:jc w:val="center"/>
              <w:rPr>
                <w:rFonts w:ascii="Arial Narrow" w:hAnsi="Arial Narrow"/>
                <w:b/>
                <w:sz w:val="20"/>
                <w:szCs w:val="20"/>
              </w:rPr>
            </w:pPr>
            <w:r w:rsidRPr="00471D80">
              <w:rPr>
                <w:rFonts w:ascii="Arial Narrow" w:hAnsi="Arial Narrow"/>
                <w:b/>
                <w:sz w:val="20"/>
                <w:szCs w:val="20"/>
              </w:rPr>
              <w:t>PBS item code</w:t>
            </w:r>
          </w:p>
        </w:tc>
        <w:tc>
          <w:tcPr>
            <w:tcW w:w="812" w:type="dxa"/>
            <w:vAlign w:val="center"/>
          </w:tcPr>
          <w:p w14:paraId="580CFEA8" w14:textId="77777777" w:rsidR="00D81847" w:rsidRPr="00471D80" w:rsidRDefault="00D81847" w:rsidP="002B0C54">
            <w:pPr>
              <w:keepNext/>
              <w:keepLines/>
              <w:jc w:val="center"/>
              <w:rPr>
                <w:rFonts w:ascii="Arial Narrow" w:hAnsi="Arial Narrow"/>
                <w:b/>
                <w:sz w:val="20"/>
                <w:szCs w:val="20"/>
              </w:rPr>
            </w:pPr>
            <w:r w:rsidRPr="00471D80">
              <w:rPr>
                <w:rFonts w:ascii="Arial Narrow" w:hAnsi="Arial Narrow"/>
                <w:b/>
                <w:sz w:val="20"/>
                <w:szCs w:val="20"/>
              </w:rPr>
              <w:t>Max. qty packs</w:t>
            </w:r>
          </w:p>
        </w:tc>
        <w:tc>
          <w:tcPr>
            <w:tcW w:w="811" w:type="dxa"/>
            <w:vAlign w:val="center"/>
          </w:tcPr>
          <w:p w14:paraId="059266E0" w14:textId="77777777" w:rsidR="00D81847" w:rsidRPr="00471D80" w:rsidRDefault="00D81847" w:rsidP="002B0C54">
            <w:pPr>
              <w:keepNext/>
              <w:keepLines/>
              <w:jc w:val="center"/>
              <w:rPr>
                <w:rFonts w:ascii="Arial Narrow" w:hAnsi="Arial Narrow"/>
                <w:b/>
                <w:sz w:val="20"/>
                <w:szCs w:val="20"/>
              </w:rPr>
            </w:pPr>
            <w:r w:rsidRPr="00471D80">
              <w:rPr>
                <w:rFonts w:ascii="Arial Narrow" w:hAnsi="Arial Narrow"/>
                <w:b/>
                <w:sz w:val="20"/>
                <w:szCs w:val="20"/>
              </w:rPr>
              <w:t>Max. qty units</w:t>
            </w:r>
          </w:p>
        </w:tc>
        <w:tc>
          <w:tcPr>
            <w:tcW w:w="812" w:type="dxa"/>
            <w:vAlign w:val="center"/>
          </w:tcPr>
          <w:p w14:paraId="5C814BCE" w14:textId="77777777" w:rsidR="00D81847" w:rsidRPr="00471D80" w:rsidRDefault="00D81847" w:rsidP="002B0C54">
            <w:pPr>
              <w:keepNext/>
              <w:keepLines/>
              <w:jc w:val="center"/>
              <w:rPr>
                <w:rFonts w:ascii="Arial Narrow" w:hAnsi="Arial Narrow"/>
                <w:b/>
                <w:sz w:val="20"/>
                <w:szCs w:val="20"/>
              </w:rPr>
            </w:pPr>
            <w:proofErr w:type="gramStart"/>
            <w:r w:rsidRPr="00471D80">
              <w:rPr>
                <w:rFonts w:ascii="Arial Narrow" w:hAnsi="Arial Narrow"/>
                <w:b/>
                <w:sz w:val="20"/>
                <w:szCs w:val="20"/>
              </w:rPr>
              <w:t>№.of</w:t>
            </w:r>
            <w:proofErr w:type="gramEnd"/>
          </w:p>
          <w:p w14:paraId="67461306" w14:textId="77777777" w:rsidR="00D81847" w:rsidRPr="00471D80" w:rsidRDefault="00D81847" w:rsidP="002B0C54">
            <w:pPr>
              <w:keepNext/>
              <w:keepLines/>
              <w:jc w:val="center"/>
              <w:rPr>
                <w:rFonts w:ascii="Arial Narrow" w:hAnsi="Arial Narrow"/>
                <w:b/>
                <w:sz w:val="20"/>
                <w:szCs w:val="20"/>
              </w:rPr>
            </w:pPr>
            <w:proofErr w:type="spellStart"/>
            <w:r w:rsidRPr="00471D80">
              <w:rPr>
                <w:rFonts w:ascii="Arial Narrow" w:hAnsi="Arial Narrow"/>
                <w:b/>
                <w:sz w:val="20"/>
                <w:szCs w:val="20"/>
              </w:rPr>
              <w:t>Rpts</w:t>
            </w:r>
            <w:proofErr w:type="spellEnd"/>
          </w:p>
        </w:tc>
        <w:tc>
          <w:tcPr>
            <w:tcW w:w="1831" w:type="dxa"/>
            <w:vAlign w:val="center"/>
          </w:tcPr>
          <w:p w14:paraId="0654AA52" w14:textId="77777777" w:rsidR="00D81847" w:rsidRPr="00471D80" w:rsidRDefault="00D81847" w:rsidP="002B0C54">
            <w:pPr>
              <w:keepNext/>
              <w:keepLines/>
              <w:rPr>
                <w:rFonts w:ascii="Arial Narrow" w:hAnsi="Arial Narrow"/>
                <w:b/>
                <w:sz w:val="20"/>
                <w:szCs w:val="20"/>
                <w:lang w:val="fr-FR"/>
              </w:rPr>
            </w:pPr>
            <w:r w:rsidRPr="00471D80">
              <w:rPr>
                <w:rFonts w:ascii="Arial Narrow" w:hAnsi="Arial Narrow"/>
                <w:b/>
                <w:sz w:val="20"/>
                <w:szCs w:val="20"/>
              </w:rPr>
              <w:t>Available brands</w:t>
            </w:r>
          </w:p>
        </w:tc>
      </w:tr>
      <w:tr w:rsidR="00D81847" w:rsidRPr="00471D80" w14:paraId="0E8D2FB3" w14:textId="77777777" w:rsidTr="289B87D2">
        <w:trPr>
          <w:cantSplit/>
          <w:trHeight w:val="20"/>
        </w:trPr>
        <w:tc>
          <w:tcPr>
            <w:tcW w:w="9016" w:type="dxa"/>
            <w:gridSpan w:val="6"/>
            <w:vAlign w:val="center"/>
          </w:tcPr>
          <w:p w14:paraId="776F93FC" w14:textId="77777777" w:rsidR="00D81847" w:rsidRPr="00471D80" w:rsidRDefault="00D81847" w:rsidP="002B0C54">
            <w:pPr>
              <w:keepNext/>
              <w:keepLines/>
              <w:rPr>
                <w:rFonts w:ascii="Arial Narrow" w:hAnsi="Arial Narrow"/>
                <w:sz w:val="20"/>
                <w:szCs w:val="20"/>
              </w:rPr>
            </w:pPr>
            <w:r w:rsidRPr="00471D80">
              <w:rPr>
                <w:rFonts w:ascii="Arial Narrow" w:hAnsi="Arial Narrow"/>
                <w:sz w:val="20"/>
                <w:szCs w:val="20"/>
              </w:rPr>
              <w:t>OSIMERTINIB</w:t>
            </w:r>
          </w:p>
        </w:tc>
      </w:tr>
      <w:tr w:rsidR="00D81847" w:rsidRPr="00471D80" w14:paraId="6D621804" w14:textId="77777777" w:rsidTr="289B87D2">
        <w:trPr>
          <w:cantSplit/>
          <w:trHeight w:val="20"/>
        </w:trPr>
        <w:tc>
          <w:tcPr>
            <w:tcW w:w="3939" w:type="dxa"/>
            <w:vAlign w:val="center"/>
          </w:tcPr>
          <w:p w14:paraId="596B90F6" w14:textId="77777777" w:rsidR="00D81847" w:rsidRPr="00471D80" w:rsidRDefault="00D81847" w:rsidP="002B0C54">
            <w:pPr>
              <w:keepNext/>
              <w:keepLines/>
              <w:rPr>
                <w:rFonts w:ascii="Arial Narrow" w:hAnsi="Arial Narrow"/>
                <w:sz w:val="20"/>
                <w:szCs w:val="20"/>
              </w:rPr>
            </w:pPr>
            <w:proofErr w:type="spellStart"/>
            <w:r w:rsidRPr="00471D80">
              <w:rPr>
                <w:rFonts w:ascii="Arial Narrow" w:hAnsi="Arial Narrow"/>
                <w:sz w:val="20"/>
                <w:szCs w:val="20"/>
              </w:rPr>
              <w:t>osimertinib</w:t>
            </w:r>
            <w:proofErr w:type="spellEnd"/>
            <w:r w:rsidRPr="00471D80">
              <w:rPr>
                <w:rFonts w:ascii="Arial Narrow" w:hAnsi="Arial Narrow"/>
                <w:sz w:val="20"/>
                <w:szCs w:val="20"/>
              </w:rPr>
              <w:t xml:space="preserve"> </w:t>
            </w:r>
            <w:r w:rsidRPr="008B5C46">
              <w:rPr>
                <w:rFonts w:ascii="Arial Narrow" w:hAnsi="Arial Narrow"/>
                <w:sz w:val="20"/>
                <w:szCs w:val="20"/>
              </w:rPr>
              <w:t>4</w:t>
            </w:r>
            <w:r w:rsidRPr="00471D80">
              <w:rPr>
                <w:rFonts w:ascii="Arial Narrow" w:hAnsi="Arial Narrow"/>
                <w:sz w:val="20"/>
                <w:szCs w:val="20"/>
              </w:rPr>
              <w:t xml:space="preserve">0 mg tablet, 30 </w:t>
            </w:r>
          </w:p>
        </w:tc>
        <w:tc>
          <w:tcPr>
            <w:tcW w:w="811" w:type="dxa"/>
            <w:vAlign w:val="center"/>
          </w:tcPr>
          <w:p w14:paraId="0EA50A48" w14:textId="77777777" w:rsidR="00D81847" w:rsidRPr="00471D80" w:rsidRDefault="00D81847" w:rsidP="002B0C54">
            <w:pPr>
              <w:keepNext/>
              <w:keepLines/>
              <w:jc w:val="center"/>
              <w:rPr>
                <w:rFonts w:ascii="Arial Narrow" w:hAnsi="Arial Narrow"/>
                <w:sz w:val="20"/>
                <w:szCs w:val="20"/>
              </w:rPr>
            </w:pPr>
            <w:r>
              <w:rPr>
                <w:rFonts w:ascii="Arial Narrow" w:hAnsi="Arial Narrow"/>
                <w:sz w:val="20"/>
                <w:szCs w:val="20"/>
              </w:rPr>
              <w:t>NEW</w:t>
            </w:r>
          </w:p>
        </w:tc>
        <w:tc>
          <w:tcPr>
            <w:tcW w:w="812" w:type="dxa"/>
            <w:vAlign w:val="center"/>
          </w:tcPr>
          <w:p w14:paraId="6C88289F" w14:textId="77777777" w:rsidR="00D81847" w:rsidRPr="00471D80" w:rsidRDefault="00D81847" w:rsidP="002B0C54">
            <w:pPr>
              <w:keepNext/>
              <w:keepLines/>
              <w:jc w:val="center"/>
              <w:rPr>
                <w:rFonts w:ascii="Arial Narrow" w:hAnsi="Arial Narrow"/>
                <w:sz w:val="20"/>
                <w:szCs w:val="20"/>
              </w:rPr>
            </w:pPr>
            <w:r w:rsidRPr="00471D80">
              <w:rPr>
                <w:rFonts w:ascii="Arial Narrow" w:hAnsi="Arial Narrow"/>
                <w:sz w:val="20"/>
                <w:szCs w:val="20"/>
              </w:rPr>
              <w:t>1</w:t>
            </w:r>
          </w:p>
        </w:tc>
        <w:tc>
          <w:tcPr>
            <w:tcW w:w="811" w:type="dxa"/>
            <w:vAlign w:val="center"/>
          </w:tcPr>
          <w:p w14:paraId="3E8B4C01" w14:textId="77777777" w:rsidR="00D81847" w:rsidRPr="00471D80" w:rsidRDefault="00D81847" w:rsidP="002B0C54">
            <w:pPr>
              <w:keepNext/>
              <w:keepLines/>
              <w:jc w:val="center"/>
              <w:rPr>
                <w:rFonts w:ascii="Arial Narrow" w:hAnsi="Arial Narrow"/>
                <w:sz w:val="20"/>
                <w:szCs w:val="20"/>
              </w:rPr>
            </w:pPr>
            <w:r w:rsidRPr="00471D80">
              <w:rPr>
                <w:rFonts w:ascii="Arial Narrow" w:hAnsi="Arial Narrow"/>
                <w:sz w:val="20"/>
                <w:szCs w:val="20"/>
              </w:rPr>
              <w:t>30</w:t>
            </w:r>
          </w:p>
        </w:tc>
        <w:tc>
          <w:tcPr>
            <w:tcW w:w="812" w:type="dxa"/>
            <w:vAlign w:val="center"/>
          </w:tcPr>
          <w:p w14:paraId="00EFA01A" w14:textId="77777777" w:rsidR="00D81847" w:rsidRPr="00471D80" w:rsidRDefault="00D81847" w:rsidP="002B0C54">
            <w:pPr>
              <w:keepNext/>
              <w:keepLines/>
              <w:jc w:val="center"/>
              <w:rPr>
                <w:rFonts w:ascii="Arial Narrow" w:hAnsi="Arial Narrow"/>
                <w:sz w:val="20"/>
                <w:szCs w:val="20"/>
              </w:rPr>
            </w:pPr>
            <w:r w:rsidRPr="00471D80">
              <w:rPr>
                <w:rFonts w:ascii="Arial Narrow" w:hAnsi="Arial Narrow"/>
                <w:sz w:val="20"/>
                <w:szCs w:val="20"/>
              </w:rPr>
              <w:t>5</w:t>
            </w:r>
          </w:p>
        </w:tc>
        <w:tc>
          <w:tcPr>
            <w:tcW w:w="1831" w:type="dxa"/>
            <w:vMerge w:val="restart"/>
            <w:vAlign w:val="center"/>
          </w:tcPr>
          <w:p w14:paraId="03DDC1D7" w14:textId="77777777" w:rsidR="00D81847" w:rsidRPr="00471D80" w:rsidRDefault="00D81847" w:rsidP="002B0C54">
            <w:pPr>
              <w:keepNext/>
              <w:keepLines/>
              <w:jc w:val="center"/>
              <w:rPr>
                <w:rFonts w:ascii="Arial Narrow" w:hAnsi="Arial Narrow"/>
                <w:sz w:val="20"/>
                <w:szCs w:val="20"/>
              </w:rPr>
            </w:pPr>
            <w:proofErr w:type="spellStart"/>
            <w:r w:rsidRPr="00471D80">
              <w:rPr>
                <w:rFonts w:ascii="Arial Narrow" w:hAnsi="Arial Narrow"/>
                <w:sz w:val="20"/>
                <w:szCs w:val="20"/>
              </w:rPr>
              <w:t>Tagrisso</w:t>
            </w:r>
            <w:proofErr w:type="spellEnd"/>
          </w:p>
        </w:tc>
      </w:tr>
      <w:tr w:rsidR="00D81847" w:rsidRPr="00471D80" w14:paraId="6DA3A322" w14:textId="77777777" w:rsidTr="289B87D2">
        <w:trPr>
          <w:cantSplit/>
          <w:trHeight w:val="20"/>
        </w:trPr>
        <w:tc>
          <w:tcPr>
            <w:tcW w:w="3939" w:type="dxa"/>
            <w:vAlign w:val="center"/>
          </w:tcPr>
          <w:p w14:paraId="67403EA8" w14:textId="77777777" w:rsidR="00D81847" w:rsidRPr="00471D80" w:rsidRDefault="00D81847" w:rsidP="002B0C54">
            <w:pPr>
              <w:keepNext/>
              <w:keepLines/>
              <w:rPr>
                <w:rFonts w:ascii="Arial Narrow" w:hAnsi="Arial Narrow"/>
                <w:sz w:val="20"/>
                <w:szCs w:val="20"/>
              </w:rPr>
            </w:pPr>
            <w:proofErr w:type="spellStart"/>
            <w:r w:rsidRPr="00471D80">
              <w:rPr>
                <w:rFonts w:ascii="Arial Narrow" w:hAnsi="Arial Narrow"/>
                <w:sz w:val="20"/>
                <w:szCs w:val="20"/>
              </w:rPr>
              <w:t>osimertinib</w:t>
            </w:r>
            <w:proofErr w:type="spellEnd"/>
            <w:r w:rsidRPr="00471D80">
              <w:rPr>
                <w:rFonts w:ascii="Arial Narrow" w:hAnsi="Arial Narrow"/>
                <w:sz w:val="20"/>
                <w:szCs w:val="20"/>
              </w:rPr>
              <w:t xml:space="preserve"> 80 mg tablet, 30</w:t>
            </w:r>
          </w:p>
        </w:tc>
        <w:tc>
          <w:tcPr>
            <w:tcW w:w="811" w:type="dxa"/>
            <w:vAlign w:val="center"/>
          </w:tcPr>
          <w:p w14:paraId="26B08E85" w14:textId="77777777" w:rsidR="00D81847" w:rsidRPr="00471D80" w:rsidRDefault="00D81847" w:rsidP="002B0C54">
            <w:pPr>
              <w:keepNext/>
              <w:keepLines/>
              <w:jc w:val="center"/>
              <w:rPr>
                <w:rFonts w:ascii="Arial Narrow" w:hAnsi="Arial Narrow"/>
                <w:sz w:val="20"/>
                <w:szCs w:val="20"/>
              </w:rPr>
            </w:pPr>
            <w:r>
              <w:rPr>
                <w:rFonts w:ascii="Arial Narrow" w:hAnsi="Arial Narrow"/>
                <w:sz w:val="20"/>
                <w:szCs w:val="20"/>
              </w:rPr>
              <w:t>NEW</w:t>
            </w:r>
          </w:p>
        </w:tc>
        <w:tc>
          <w:tcPr>
            <w:tcW w:w="812" w:type="dxa"/>
            <w:vAlign w:val="center"/>
          </w:tcPr>
          <w:p w14:paraId="5E5855D6" w14:textId="77777777" w:rsidR="00D81847" w:rsidRPr="00471D80" w:rsidRDefault="00D81847" w:rsidP="002B0C54">
            <w:pPr>
              <w:keepNext/>
              <w:keepLines/>
              <w:jc w:val="center"/>
              <w:rPr>
                <w:rFonts w:ascii="Arial Narrow" w:hAnsi="Arial Narrow"/>
                <w:sz w:val="20"/>
                <w:szCs w:val="20"/>
              </w:rPr>
            </w:pPr>
            <w:r w:rsidRPr="00471D80">
              <w:rPr>
                <w:rFonts w:ascii="Arial Narrow" w:hAnsi="Arial Narrow"/>
                <w:sz w:val="20"/>
                <w:szCs w:val="20"/>
              </w:rPr>
              <w:t>1</w:t>
            </w:r>
          </w:p>
        </w:tc>
        <w:tc>
          <w:tcPr>
            <w:tcW w:w="811" w:type="dxa"/>
            <w:vAlign w:val="center"/>
          </w:tcPr>
          <w:p w14:paraId="7DE1E48E" w14:textId="77777777" w:rsidR="00D81847" w:rsidRPr="00471D80" w:rsidRDefault="00D81847" w:rsidP="002B0C54">
            <w:pPr>
              <w:keepNext/>
              <w:keepLines/>
              <w:jc w:val="center"/>
              <w:rPr>
                <w:rFonts w:ascii="Arial Narrow" w:hAnsi="Arial Narrow"/>
                <w:sz w:val="20"/>
                <w:szCs w:val="20"/>
              </w:rPr>
            </w:pPr>
            <w:r w:rsidRPr="00471D80">
              <w:rPr>
                <w:rFonts w:ascii="Arial Narrow" w:hAnsi="Arial Narrow"/>
                <w:sz w:val="20"/>
                <w:szCs w:val="20"/>
              </w:rPr>
              <w:t>30</w:t>
            </w:r>
          </w:p>
        </w:tc>
        <w:tc>
          <w:tcPr>
            <w:tcW w:w="812" w:type="dxa"/>
            <w:vAlign w:val="center"/>
          </w:tcPr>
          <w:p w14:paraId="5E0A186A" w14:textId="77777777" w:rsidR="00D81847" w:rsidRPr="00471D80" w:rsidRDefault="00D81847" w:rsidP="002B0C54">
            <w:pPr>
              <w:keepNext/>
              <w:keepLines/>
              <w:jc w:val="center"/>
              <w:rPr>
                <w:rFonts w:ascii="Arial Narrow" w:hAnsi="Arial Narrow"/>
                <w:sz w:val="20"/>
                <w:szCs w:val="20"/>
              </w:rPr>
            </w:pPr>
            <w:r w:rsidRPr="00471D80">
              <w:rPr>
                <w:rFonts w:ascii="Arial Narrow" w:hAnsi="Arial Narrow"/>
                <w:sz w:val="20"/>
                <w:szCs w:val="20"/>
              </w:rPr>
              <w:t>5</w:t>
            </w:r>
          </w:p>
        </w:tc>
        <w:tc>
          <w:tcPr>
            <w:tcW w:w="1831" w:type="dxa"/>
            <w:vMerge/>
            <w:vAlign w:val="center"/>
          </w:tcPr>
          <w:p w14:paraId="44578C06" w14:textId="77777777" w:rsidR="00D81847" w:rsidRPr="00471D80" w:rsidRDefault="00D81847" w:rsidP="002B0C54">
            <w:pPr>
              <w:keepNext/>
              <w:keepLines/>
              <w:jc w:val="center"/>
              <w:rPr>
                <w:rFonts w:ascii="Arial Narrow" w:hAnsi="Arial Narrow"/>
                <w:sz w:val="20"/>
                <w:szCs w:val="20"/>
              </w:rPr>
            </w:pPr>
          </w:p>
        </w:tc>
      </w:tr>
      <w:tr w:rsidR="00D81847" w:rsidRPr="00471D80" w14:paraId="2256097D" w14:textId="77777777" w:rsidTr="289B87D2">
        <w:tblPrEx>
          <w:tblCellMar>
            <w:top w:w="15" w:type="dxa"/>
            <w:bottom w:w="15" w:type="dxa"/>
          </w:tblCellMar>
          <w:tblLook w:val="04A0" w:firstRow="1" w:lastRow="0" w:firstColumn="1" w:lastColumn="0" w:noHBand="0" w:noVBand="1"/>
        </w:tblPrEx>
        <w:trPr>
          <w:trHeight w:val="20"/>
        </w:trPr>
        <w:tc>
          <w:tcPr>
            <w:tcW w:w="9016" w:type="dxa"/>
            <w:gridSpan w:val="6"/>
            <w:tcBorders>
              <w:top w:val="single" w:sz="4" w:space="0" w:color="auto"/>
              <w:left w:val="single" w:sz="4" w:space="0" w:color="auto"/>
              <w:right w:val="single" w:sz="4" w:space="0" w:color="auto"/>
            </w:tcBorders>
            <w:vAlign w:val="center"/>
          </w:tcPr>
          <w:p w14:paraId="39B65134" w14:textId="77777777" w:rsidR="00D81847" w:rsidRPr="00471D80" w:rsidRDefault="00D81847" w:rsidP="002B0C54">
            <w:pPr>
              <w:keepNext/>
              <w:keepLines/>
              <w:rPr>
                <w:rFonts w:ascii="Arial Narrow" w:hAnsi="Arial Narrow"/>
                <w:sz w:val="20"/>
                <w:szCs w:val="20"/>
              </w:rPr>
            </w:pPr>
          </w:p>
        </w:tc>
      </w:tr>
      <w:tr w:rsidR="00D22C9A" w:rsidRPr="00471D80" w14:paraId="0D7E7AC8" w14:textId="77777777" w:rsidTr="00033AB8">
        <w:tblPrEx>
          <w:tblCellMar>
            <w:top w:w="15" w:type="dxa"/>
            <w:bottom w:w="15" w:type="dxa"/>
          </w:tblCellMar>
        </w:tblPrEx>
        <w:trPr>
          <w:trHeight w:val="20"/>
        </w:trPr>
        <w:tc>
          <w:tcPr>
            <w:tcW w:w="9014" w:type="dxa"/>
            <w:gridSpan w:val="6"/>
            <w:tcBorders>
              <w:top w:val="single" w:sz="4" w:space="0" w:color="auto"/>
              <w:left w:val="single" w:sz="4" w:space="0" w:color="auto"/>
              <w:bottom w:val="single" w:sz="4" w:space="0" w:color="auto"/>
              <w:right w:val="single" w:sz="4" w:space="0" w:color="auto"/>
            </w:tcBorders>
            <w:vAlign w:val="center"/>
          </w:tcPr>
          <w:p w14:paraId="360C35F3" w14:textId="4F6A07BA" w:rsidR="00D22C9A" w:rsidRPr="00471D80" w:rsidRDefault="00D22C9A" w:rsidP="002B0C54">
            <w:pPr>
              <w:keepLines/>
              <w:rPr>
                <w:rFonts w:ascii="Arial Narrow" w:hAnsi="Arial Narrow"/>
                <w:sz w:val="20"/>
                <w:szCs w:val="20"/>
              </w:rPr>
            </w:pPr>
            <w:r w:rsidRPr="00471D80">
              <w:rPr>
                <w:rFonts w:ascii="Arial Narrow" w:hAnsi="Arial Narrow"/>
                <w:b/>
                <w:sz w:val="20"/>
                <w:szCs w:val="20"/>
              </w:rPr>
              <w:t>Category / Program:</w:t>
            </w:r>
            <w:r w:rsidRPr="00471D80">
              <w:rPr>
                <w:rFonts w:ascii="Arial Narrow" w:hAnsi="Arial Narrow"/>
                <w:sz w:val="20"/>
                <w:szCs w:val="20"/>
              </w:rPr>
              <w:t xml:space="preserve"> </w:t>
            </w:r>
            <w:r w:rsidRPr="00471D80">
              <w:rPr>
                <w:rFonts w:ascii="Arial Narrow" w:hAnsi="Arial Narrow"/>
                <w:sz w:val="20"/>
                <w:szCs w:val="20"/>
              </w:rPr>
              <w:fldChar w:fldCharType="begin">
                <w:ffData>
                  <w:name w:val=""/>
                  <w:enabled/>
                  <w:calcOnExit w:val="0"/>
                  <w:checkBox>
                    <w:sizeAuto/>
                    <w:default w:val="1"/>
                  </w:checkBox>
                </w:ffData>
              </w:fldChar>
            </w:r>
            <w:r w:rsidRPr="00471D80">
              <w:rPr>
                <w:rFonts w:ascii="Arial Narrow" w:hAnsi="Arial Narrow"/>
                <w:sz w:val="20"/>
                <w:szCs w:val="20"/>
              </w:rPr>
              <w:instrText xml:space="preserve"> FORMCHECKBOX </w:instrText>
            </w:r>
            <w:r w:rsidRPr="00471D80">
              <w:rPr>
                <w:rFonts w:ascii="Arial Narrow" w:hAnsi="Arial Narrow"/>
                <w:sz w:val="20"/>
                <w:szCs w:val="20"/>
              </w:rPr>
            </w:r>
            <w:r w:rsidRPr="00471D80">
              <w:rPr>
                <w:rFonts w:ascii="Arial Narrow" w:hAnsi="Arial Narrow"/>
                <w:sz w:val="20"/>
                <w:szCs w:val="20"/>
              </w:rPr>
              <w:fldChar w:fldCharType="separate"/>
            </w:r>
            <w:r w:rsidRPr="00471D80">
              <w:rPr>
                <w:rFonts w:ascii="Arial Narrow" w:hAnsi="Arial Narrow"/>
                <w:sz w:val="20"/>
                <w:szCs w:val="20"/>
              </w:rPr>
              <w:fldChar w:fldCharType="end"/>
            </w:r>
            <w:r w:rsidRPr="00471D80">
              <w:rPr>
                <w:rFonts w:ascii="Arial Narrow" w:hAnsi="Arial Narrow"/>
                <w:sz w:val="20"/>
                <w:szCs w:val="20"/>
              </w:rPr>
              <w:t xml:space="preserve"> </w:t>
            </w:r>
            <w:r w:rsidRPr="00471D80">
              <w:rPr>
                <w:rFonts w:ascii="Arial Narrow" w:eastAsia="Calibri" w:hAnsi="Arial Narrow"/>
                <w:sz w:val="20"/>
                <w:szCs w:val="20"/>
              </w:rPr>
              <w:t>GENERAL - General Schedule (Code GE)</w:t>
            </w:r>
          </w:p>
        </w:tc>
      </w:tr>
      <w:tr w:rsidR="00D22C9A" w:rsidRPr="00471D80" w14:paraId="4A3C0934" w14:textId="77777777" w:rsidTr="00033AB8">
        <w:tblPrEx>
          <w:tblCellMar>
            <w:top w:w="15" w:type="dxa"/>
            <w:bottom w:w="15" w:type="dxa"/>
          </w:tblCellMar>
        </w:tblPrEx>
        <w:trPr>
          <w:trHeight w:val="20"/>
        </w:trPr>
        <w:tc>
          <w:tcPr>
            <w:tcW w:w="9014" w:type="dxa"/>
            <w:gridSpan w:val="6"/>
            <w:tcBorders>
              <w:top w:val="single" w:sz="4" w:space="0" w:color="auto"/>
              <w:left w:val="single" w:sz="4" w:space="0" w:color="auto"/>
              <w:bottom w:val="single" w:sz="4" w:space="0" w:color="auto"/>
              <w:right w:val="single" w:sz="4" w:space="0" w:color="auto"/>
            </w:tcBorders>
            <w:vAlign w:val="center"/>
          </w:tcPr>
          <w:p w14:paraId="4BDF2284" w14:textId="77777777" w:rsidR="00D22C9A" w:rsidRPr="00471D80" w:rsidRDefault="00D22C9A" w:rsidP="002B0C54">
            <w:pPr>
              <w:keepLines/>
              <w:rPr>
                <w:rFonts w:ascii="Arial Narrow" w:hAnsi="Arial Narrow"/>
                <w:b/>
                <w:sz w:val="20"/>
                <w:szCs w:val="20"/>
              </w:rPr>
            </w:pPr>
            <w:r w:rsidRPr="00471D80">
              <w:rPr>
                <w:rFonts w:ascii="Arial Narrow" w:hAnsi="Arial Narrow"/>
                <w:b/>
                <w:sz w:val="20"/>
                <w:szCs w:val="20"/>
              </w:rPr>
              <w:t xml:space="preserve">Prescriber type: </w:t>
            </w:r>
            <w:r w:rsidRPr="00471D80">
              <w:rPr>
                <w:rFonts w:ascii="Arial Narrow" w:hAnsi="Arial Narrow"/>
                <w:sz w:val="20"/>
                <w:szCs w:val="20"/>
              </w:rPr>
              <w:fldChar w:fldCharType="begin">
                <w:ffData>
                  <w:name w:val=""/>
                  <w:enabled/>
                  <w:calcOnExit w:val="0"/>
                  <w:checkBox>
                    <w:sizeAuto/>
                    <w:default w:val="1"/>
                  </w:checkBox>
                </w:ffData>
              </w:fldChar>
            </w:r>
            <w:r w:rsidRPr="00471D80">
              <w:rPr>
                <w:rFonts w:ascii="Arial Narrow" w:hAnsi="Arial Narrow"/>
                <w:sz w:val="20"/>
                <w:szCs w:val="20"/>
              </w:rPr>
              <w:instrText xml:space="preserve"> FORMCHECKBOX </w:instrText>
            </w:r>
            <w:r w:rsidRPr="00471D80">
              <w:rPr>
                <w:rFonts w:ascii="Arial Narrow" w:hAnsi="Arial Narrow"/>
                <w:sz w:val="20"/>
                <w:szCs w:val="20"/>
              </w:rPr>
            </w:r>
            <w:r w:rsidRPr="00471D80">
              <w:rPr>
                <w:rFonts w:ascii="Arial Narrow" w:hAnsi="Arial Narrow"/>
                <w:sz w:val="20"/>
                <w:szCs w:val="20"/>
              </w:rPr>
              <w:fldChar w:fldCharType="separate"/>
            </w:r>
            <w:r w:rsidRPr="00471D80">
              <w:rPr>
                <w:rFonts w:ascii="Arial Narrow" w:hAnsi="Arial Narrow"/>
                <w:sz w:val="20"/>
                <w:szCs w:val="20"/>
              </w:rPr>
              <w:fldChar w:fldCharType="end"/>
            </w:r>
            <w:r w:rsidRPr="00471D80">
              <w:rPr>
                <w:rFonts w:ascii="Arial Narrow" w:hAnsi="Arial Narrow"/>
                <w:sz w:val="20"/>
                <w:szCs w:val="20"/>
              </w:rPr>
              <w:t xml:space="preserve"> Medical Practitioners </w:t>
            </w:r>
          </w:p>
        </w:tc>
      </w:tr>
      <w:tr w:rsidR="00D22C9A" w:rsidRPr="00471D80" w14:paraId="00BCD2DD" w14:textId="77777777" w:rsidTr="00033AB8">
        <w:tblPrEx>
          <w:tblCellMar>
            <w:top w:w="15" w:type="dxa"/>
            <w:bottom w:w="15" w:type="dxa"/>
          </w:tblCellMar>
        </w:tblPrEx>
        <w:trPr>
          <w:trHeight w:val="20"/>
        </w:trPr>
        <w:tc>
          <w:tcPr>
            <w:tcW w:w="9014" w:type="dxa"/>
            <w:gridSpan w:val="6"/>
            <w:tcBorders>
              <w:top w:val="single" w:sz="4" w:space="0" w:color="auto"/>
              <w:left w:val="single" w:sz="4" w:space="0" w:color="auto"/>
              <w:bottom w:val="single" w:sz="4" w:space="0" w:color="auto"/>
              <w:right w:val="single" w:sz="4" w:space="0" w:color="auto"/>
            </w:tcBorders>
            <w:vAlign w:val="center"/>
          </w:tcPr>
          <w:p w14:paraId="568328B0" w14:textId="77777777" w:rsidR="00D22C9A" w:rsidRPr="00471D80" w:rsidRDefault="00D22C9A" w:rsidP="002B0C54">
            <w:pPr>
              <w:keepLines/>
              <w:rPr>
                <w:rFonts w:ascii="Arial Narrow" w:eastAsia="Calibri" w:hAnsi="Arial Narrow"/>
                <w:sz w:val="20"/>
                <w:szCs w:val="20"/>
              </w:rPr>
            </w:pPr>
            <w:r w:rsidRPr="00471D80">
              <w:rPr>
                <w:rFonts w:ascii="Arial Narrow" w:hAnsi="Arial Narrow"/>
                <w:b/>
                <w:sz w:val="20"/>
                <w:szCs w:val="20"/>
              </w:rPr>
              <w:t>Benefit type:</w:t>
            </w:r>
            <w:r w:rsidRPr="00471D80">
              <w:rPr>
                <w:rFonts w:ascii="Arial Narrow" w:hAnsi="Arial Narrow"/>
                <w:sz w:val="20"/>
                <w:szCs w:val="20"/>
              </w:rPr>
              <w:fldChar w:fldCharType="begin">
                <w:ffData>
                  <w:name w:val=""/>
                  <w:enabled/>
                  <w:calcOnExit w:val="0"/>
                  <w:checkBox>
                    <w:sizeAuto/>
                    <w:default w:val="1"/>
                  </w:checkBox>
                </w:ffData>
              </w:fldChar>
            </w:r>
            <w:r w:rsidRPr="00471D80">
              <w:rPr>
                <w:rFonts w:ascii="Arial Narrow" w:hAnsi="Arial Narrow"/>
                <w:sz w:val="20"/>
                <w:szCs w:val="20"/>
              </w:rPr>
              <w:instrText xml:space="preserve"> FORMCHECKBOX </w:instrText>
            </w:r>
            <w:r w:rsidRPr="00471D80">
              <w:rPr>
                <w:rFonts w:ascii="Arial Narrow" w:hAnsi="Arial Narrow"/>
                <w:sz w:val="20"/>
                <w:szCs w:val="20"/>
              </w:rPr>
            </w:r>
            <w:r w:rsidRPr="00471D80">
              <w:rPr>
                <w:rFonts w:ascii="Arial Narrow" w:hAnsi="Arial Narrow"/>
                <w:sz w:val="20"/>
                <w:szCs w:val="20"/>
              </w:rPr>
              <w:fldChar w:fldCharType="separate"/>
            </w:r>
            <w:r w:rsidRPr="00471D80">
              <w:rPr>
                <w:rFonts w:ascii="Arial Narrow" w:hAnsi="Arial Narrow"/>
                <w:sz w:val="20"/>
                <w:szCs w:val="20"/>
              </w:rPr>
              <w:fldChar w:fldCharType="end"/>
            </w:r>
            <w:r w:rsidRPr="00471D80">
              <w:rPr>
                <w:rFonts w:ascii="Arial Narrow" w:hAnsi="Arial Narrow"/>
                <w:sz w:val="20"/>
                <w:szCs w:val="20"/>
              </w:rPr>
              <w:t xml:space="preserve"> </w:t>
            </w:r>
            <w:r w:rsidRPr="00471D80">
              <w:rPr>
                <w:rFonts w:ascii="Arial Narrow" w:eastAsia="Calibri" w:hAnsi="Arial Narrow"/>
                <w:sz w:val="20"/>
                <w:szCs w:val="20"/>
              </w:rPr>
              <w:t>Authority Required (</w:t>
            </w:r>
            <w:r>
              <w:rPr>
                <w:rFonts w:ascii="Arial Narrow" w:eastAsia="Calibri" w:hAnsi="Arial Narrow"/>
                <w:sz w:val="20"/>
                <w:szCs w:val="20"/>
              </w:rPr>
              <w:t>T</w:t>
            </w:r>
            <w:r w:rsidRPr="00471D80">
              <w:rPr>
                <w:rFonts w:ascii="Arial Narrow" w:eastAsia="Calibri" w:hAnsi="Arial Narrow"/>
                <w:sz w:val="20"/>
                <w:szCs w:val="20"/>
              </w:rPr>
              <w:t>elephone/</w:t>
            </w:r>
            <w:r>
              <w:rPr>
                <w:rFonts w:ascii="Arial Narrow" w:eastAsia="Calibri" w:hAnsi="Arial Narrow"/>
                <w:sz w:val="20"/>
                <w:szCs w:val="20"/>
              </w:rPr>
              <w:t>Online PBS Authorities System</w:t>
            </w:r>
            <w:r w:rsidRPr="00471D80">
              <w:rPr>
                <w:rFonts w:ascii="Arial Narrow" w:eastAsia="Calibri" w:hAnsi="Arial Narrow"/>
                <w:sz w:val="20"/>
                <w:szCs w:val="20"/>
              </w:rPr>
              <w:t xml:space="preserve">) </w:t>
            </w:r>
          </w:p>
        </w:tc>
      </w:tr>
      <w:tr w:rsidR="00D22C9A" w:rsidRPr="00471D80" w14:paraId="4C3CF62E" w14:textId="77777777" w:rsidTr="00033AB8">
        <w:tblPrEx>
          <w:tblCellMar>
            <w:top w:w="15" w:type="dxa"/>
            <w:bottom w:w="15" w:type="dxa"/>
          </w:tblCellMar>
        </w:tblPrEx>
        <w:trPr>
          <w:trHeight w:val="186"/>
        </w:trPr>
        <w:tc>
          <w:tcPr>
            <w:tcW w:w="9014" w:type="dxa"/>
            <w:gridSpan w:val="6"/>
            <w:tcBorders>
              <w:top w:val="single" w:sz="4" w:space="0" w:color="auto"/>
              <w:left w:val="single" w:sz="4" w:space="0" w:color="auto"/>
              <w:bottom w:val="single" w:sz="4" w:space="0" w:color="auto"/>
              <w:right w:val="single" w:sz="4" w:space="0" w:color="auto"/>
            </w:tcBorders>
            <w:vAlign w:val="center"/>
          </w:tcPr>
          <w:p w14:paraId="7247EC31" w14:textId="77777777" w:rsidR="00D22C9A" w:rsidRPr="00471D80" w:rsidRDefault="00D22C9A" w:rsidP="002B0C54">
            <w:pPr>
              <w:rPr>
                <w:rFonts w:ascii="Arial Narrow" w:hAnsi="Arial Narrow"/>
                <w:b/>
                <w:sz w:val="20"/>
                <w:szCs w:val="20"/>
              </w:rPr>
            </w:pPr>
            <w:r w:rsidRPr="00471D80">
              <w:rPr>
                <w:rFonts w:ascii="Arial Narrow" w:hAnsi="Arial Narrow"/>
                <w:b/>
                <w:sz w:val="20"/>
                <w:szCs w:val="20"/>
              </w:rPr>
              <w:t xml:space="preserve">Prescribing rule level: </w:t>
            </w:r>
          </w:p>
        </w:tc>
      </w:tr>
      <w:tr w:rsidR="00D22C9A" w:rsidRPr="00471D80" w14:paraId="3F1B85DB" w14:textId="77777777" w:rsidTr="00033AB8">
        <w:tblPrEx>
          <w:tblCellMar>
            <w:top w:w="15" w:type="dxa"/>
            <w:bottom w:w="15" w:type="dxa"/>
          </w:tblCellMar>
        </w:tblPrEx>
        <w:trPr>
          <w:trHeight w:val="186"/>
        </w:trPr>
        <w:tc>
          <w:tcPr>
            <w:tcW w:w="9014" w:type="dxa"/>
            <w:gridSpan w:val="6"/>
            <w:tcBorders>
              <w:top w:val="single" w:sz="4" w:space="0" w:color="auto"/>
              <w:left w:val="single" w:sz="4" w:space="0" w:color="auto"/>
              <w:bottom w:val="single" w:sz="4" w:space="0" w:color="auto"/>
              <w:right w:val="single" w:sz="4" w:space="0" w:color="auto"/>
            </w:tcBorders>
            <w:vAlign w:val="center"/>
          </w:tcPr>
          <w:p w14:paraId="49D73E0C" w14:textId="77777777" w:rsidR="00D22C9A" w:rsidRPr="00471D80" w:rsidRDefault="00D22C9A" w:rsidP="002B0C54">
            <w:pPr>
              <w:rPr>
                <w:rFonts w:ascii="Arial Narrow" w:hAnsi="Arial Narrow"/>
                <w:b/>
                <w:sz w:val="20"/>
                <w:szCs w:val="20"/>
              </w:rPr>
            </w:pPr>
            <w:r w:rsidRPr="00471D80">
              <w:rPr>
                <w:rFonts w:ascii="Arial Narrow" w:hAnsi="Arial Narrow"/>
                <w:b/>
                <w:sz w:val="20"/>
                <w:szCs w:val="20"/>
              </w:rPr>
              <w:t>Administrative advice:</w:t>
            </w:r>
          </w:p>
          <w:p w14:paraId="617420CF" w14:textId="77777777" w:rsidR="00D22C9A" w:rsidRPr="00471D80" w:rsidRDefault="00D22C9A" w:rsidP="002B0C54">
            <w:pPr>
              <w:rPr>
                <w:rFonts w:ascii="Arial Narrow" w:hAnsi="Arial Narrow"/>
                <w:bCs/>
                <w:sz w:val="20"/>
                <w:szCs w:val="20"/>
              </w:rPr>
            </w:pPr>
            <w:r w:rsidRPr="00471D80">
              <w:rPr>
                <w:rFonts w:ascii="Arial Narrow" w:hAnsi="Arial Narrow"/>
                <w:bCs/>
                <w:sz w:val="20"/>
                <w:szCs w:val="20"/>
              </w:rPr>
              <w:t>No increase in the maximum quantity or number of units may be authorised.</w:t>
            </w:r>
          </w:p>
        </w:tc>
      </w:tr>
      <w:tr w:rsidR="00D22C9A" w:rsidRPr="00471D80" w14:paraId="67509A70" w14:textId="77777777" w:rsidTr="00033AB8">
        <w:tblPrEx>
          <w:tblCellMar>
            <w:top w:w="15" w:type="dxa"/>
            <w:bottom w:w="15" w:type="dxa"/>
          </w:tblCellMar>
        </w:tblPrEx>
        <w:trPr>
          <w:trHeight w:val="186"/>
        </w:trPr>
        <w:tc>
          <w:tcPr>
            <w:tcW w:w="9014" w:type="dxa"/>
            <w:gridSpan w:val="6"/>
            <w:tcBorders>
              <w:top w:val="single" w:sz="4" w:space="0" w:color="auto"/>
              <w:left w:val="single" w:sz="4" w:space="0" w:color="auto"/>
              <w:bottom w:val="single" w:sz="4" w:space="0" w:color="auto"/>
              <w:right w:val="single" w:sz="4" w:space="0" w:color="auto"/>
            </w:tcBorders>
            <w:vAlign w:val="center"/>
          </w:tcPr>
          <w:p w14:paraId="5CB351C6" w14:textId="77777777" w:rsidR="00D22C9A" w:rsidRPr="00471D80" w:rsidRDefault="00D22C9A" w:rsidP="002B0C54">
            <w:pPr>
              <w:rPr>
                <w:rFonts w:ascii="Arial Narrow" w:hAnsi="Arial Narrow"/>
                <w:b/>
                <w:sz w:val="20"/>
                <w:szCs w:val="20"/>
              </w:rPr>
            </w:pPr>
            <w:r w:rsidRPr="00471D80">
              <w:rPr>
                <w:rFonts w:ascii="Arial Narrow" w:hAnsi="Arial Narrow"/>
                <w:b/>
                <w:sz w:val="20"/>
                <w:szCs w:val="20"/>
              </w:rPr>
              <w:t>Administrative advice:</w:t>
            </w:r>
          </w:p>
          <w:p w14:paraId="6655093F" w14:textId="77777777" w:rsidR="00D22C9A" w:rsidRPr="00471D80" w:rsidRDefault="00D22C9A" w:rsidP="002B0C54">
            <w:pPr>
              <w:rPr>
                <w:rFonts w:ascii="Arial Narrow" w:hAnsi="Arial Narrow"/>
                <w:bCs/>
                <w:sz w:val="20"/>
                <w:szCs w:val="20"/>
              </w:rPr>
            </w:pPr>
            <w:r w:rsidRPr="00471D80">
              <w:rPr>
                <w:rFonts w:ascii="Arial Narrow" w:hAnsi="Arial Narrow"/>
                <w:bCs/>
                <w:sz w:val="20"/>
                <w:szCs w:val="20"/>
              </w:rPr>
              <w:t>No increase in the maximum number of repeats may be authorised.</w:t>
            </w:r>
          </w:p>
        </w:tc>
      </w:tr>
      <w:tr w:rsidR="00D22C9A" w:rsidRPr="00471D80" w14:paraId="5B05C950" w14:textId="77777777" w:rsidTr="00033AB8">
        <w:tblPrEx>
          <w:tblCellMar>
            <w:top w:w="15" w:type="dxa"/>
            <w:bottom w:w="15" w:type="dxa"/>
          </w:tblCellMar>
        </w:tblPrEx>
        <w:trPr>
          <w:trHeight w:val="186"/>
        </w:trPr>
        <w:tc>
          <w:tcPr>
            <w:tcW w:w="9014" w:type="dxa"/>
            <w:gridSpan w:val="6"/>
            <w:tcBorders>
              <w:top w:val="single" w:sz="4" w:space="0" w:color="auto"/>
              <w:left w:val="single" w:sz="4" w:space="0" w:color="auto"/>
              <w:bottom w:val="single" w:sz="4" w:space="0" w:color="auto"/>
              <w:right w:val="single" w:sz="4" w:space="0" w:color="auto"/>
            </w:tcBorders>
            <w:vAlign w:val="center"/>
          </w:tcPr>
          <w:p w14:paraId="654CDE47" w14:textId="77777777" w:rsidR="00D22C9A" w:rsidRPr="00471D80" w:rsidRDefault="00D22C9A" w:rsidP="002B0C54">
            <w:pPr>
              <w:rPr>
                <w:rFonts w:ascii="Arial Narrow" w:hAnsi="Arial Narrow"/>
                <w:b/>
                <w:sz w:val="20"/>
                <w:szCs w:val="20"/>
              </w:rPr>
            </w:pPr>
            <w:r w:rsidRPr="00471D80">
              <w:rPr>
                <w:rFonts w:ascii="Arial Narrow" w:hAnsi="Arial Narrow"/>
                <w:b/>
                <w:sz w:val="20"/>
                <w:szCs w:val="20"/>
              </w:rPr>
              <w:t>Administrative advice:</w:t>
            </w:r>
          </w:p>
          <w:p w14:paraId="50F8273A" w14:textId="77777777" w:rsidR="00D22C9A" w:rsidRPr="00471D80" w:rsidRDefault="00D22C9A" w:rsidP="002B0C54">
            <w:pPr>
              <w:rPr>
                <w:rFonts w:ascii="Arial Narrow" w:hAnsi="Arial Narrow"/>
                <w:bCs/>
                <w:sz w:val="20"/>
                <w:szCs w:val="20"/>
              </w:rPr>
            </w:pPr>
            <w:r w:rsidRPr="00471D80">
              <w:rPr>
                <w:rFonts w:ascii="Arial Narrow" w:hAnsi="Arial Narrow"/>
                <w:bCs/>
                <w:sz w:val="20"/>
                <w:szCs w:val="20"/>
              </w:rPr>
              <w:t>Special Pricing Arrangements apply.</w:t>
            </w:r>
          </w:p>
        </w:tc>
      </w:tr>
      <w:tr w:rsidR="00D22C9A" w:rsidRPr="00471D80" w14:paraId="7A88757D" w14:textId="77777777" w:rsidTr="00033AB8">
        <w:tblPrEx>
          <w:tblCellMar>
            <w:top w:w="15" w:type="dxa"/>
            <w:bottom w:w="15" w:type="dxa"/>
          </w:tblCellMar>
        </w:tblPrEx>
        <w:trPr>
          <w:trHeight w:val="186"/>
        </w:trPr>
        <w:tc>
          <w:tcPr>
            <w:tcW w:w="9014" w:type="dxa"/>
            <w:gridSpan w:val="6"/>
            <w:tcBorders>
              <w:top w:val="single" w:sz="4" w:space="0" w:color="auto"/>
              <w:left w:val="single" w:sz="4" w:space="0" w:color="auto"/>
              <w:bottom w:val="single" w:sz="4" w:space="0" w:color="auto"/>
              <w:right w:val="single" w:sz="4" w:space="0" w:color="auto"/>
            </w:tcBorders>
            <w:vAlign w:val="center"/>
          </w:tcPr>
          <w:p w14:paraId="5BB1877F" w14:textId="77777777" w:rsidR="00D22C9A" w:rsidRPr="00471D80" w:rsidRDefault="00D22C9A" w:rsidP="002B0C54">
            <w:pPr>
              <w:rPr>
                <w:rFonts w:ascii="Arial Narrow" w:hAnsi="Arial Narrow"/>
                <w:b/>
                <w:sz w:val="20"/>
                <w:szCs w:val="20"/>
              </w:rPr>
            </w:pPr>
            <w:r w:rsidRPr="00471D80">
              <w:rPr>
                <w:rFonts w:ascii="Arial Narrow" w:hAnsi="Arial Narrow"/>
                <w:b/>
                <w:sz w:val="20"/>
                <w:szCs w:val="20"/>
              </w:rPr>
              <w:t>Administrative advice:</w:t>
            </w:r>
          </w:p>
          <w:p w14:paraId="44A7F5AB" w14:textId="77777777" w:rsidR="00D22C9A" w:rsidRPr="00471D80" w:rsidRDefault="00D22C9A" w:rsidP="002B0C54">
            <w:pPr>
              <w:rPr>
                <w:rFonts w:ascii="Arial Narrow" w:hAnsi="Arial Narrow"/>
                <w:b/>
                <w:sz w:val="20"/>
                <w:szCs w:val="20"/>
              </w:rPr>
            </w:pPr>
            <w:r w:rsidRPr="00471D80">
              <w:rPr>
                <w:rFonts w:ascii="Arial Narrow" w:hAnsi="Arial Narrow"/>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D22C9A" w:rsidRPr="00471D80" w14:paraId="4AE9D379" w14:textId="77777777" w:rsidTr="00033AB8">
        <w:tblPrEx>
          <w:tblCellMar>
            <w:top w:w="15" w:type="dxa"/>
            <w:bottom w:w="15" w:type="dxa"/>
          </w:tblCellMar>
        </w:tblPrEx>
        <w:trPr>
          <w:trHeight w:val="20"/>
        </w:trPr>
        <w:tc>
          <w:tcPr>
            <w:tcW w:w="9014"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3A8414" w14:textId="77777777" w:rsidR="00D22C9A" w:rsidRPr="00471D80" w:rsidRDefault="00D22C9A" w:rsidP="002B0C54">
            <w:pPr>
              <w:keepLines/>
              <w:rPr>
                <w:rFonts w:ascii="Arial Narrow" w:hAnsi="Arial Narrow"/>
                <w:b/>
                <w:bCs/>
                <w:color w:val="333333"/>
                <w:sz w:val="20"/>
                <w:szCs w:val="20"/>
              </w:rPr>
            </w:pPr>
            <w:r w:rsidRPr="00471D80">
              <w:rPr>
                <w:rFonts w:ascii="Arial Narrow" w:hAnsi="Arial Narrow"/>
                <w:b/>
                <w:sz w:val="20"/>
                <w:szCs w:val="20"/>
              </w:rPr>
              <w:t>Restriction Summary [new1] / Treatment of Concept: [new1A]</w:t>
            </w:r>
          </w:p>
        </w:tc>
      </w:tr>
      <w:tr w:rsidR="00D22C9A" w:rsidRPr="00471D80" w14:paraId="5E92F65C" w14:textId="77777777" w:rsidTr="00033AB8">
        <w:tblPrEx>
          <w:tblCellMar>
            <w:top w:w="15" w:type="dxa"/>
            <w:bottom w:w="15" w:type="dxa"/>
          </w:tblCellMar>
        </w:tblPrEx>
        <w:trPr>
          <w:cantSplit/>
          <w:trHeight w:val="78"/>
        </w:trPr>
        <w:tc>
          <w:tcPr>
            <w:tcW w:w="9014" w:type="dxa"/>
            <w:gridSpan w:val="6"/>
            <w:vAlign w:val="center"/>
            <w:hideMark/>
          </w:tcPr>
          <w:p w14:paraId="6F59AEC7" w14:textId="60973F65" w:rsidR="00D22C9A" w:rsidRPr="00471D80" w:rsidRDefault="00D22C9A" w:rsidP="002B0C54">
            <w:pPr>
              <w:keepLines/>
              <w:rPr>
                <w:rFonts w:ascii="Arial Narrow" w:hAnsi="Arial Narrow"/>
                <w:sz w:val="20"/>
                <w:szCs w:val="20"/>
              </w:rPr>
            </w:pPr>
            <w:r w:rsidRPr="00471D80">
              <w:rPr>
                <w:rFonts w:ascii="Arial Narrow" w:hAnsi="Arial Narrow"/>
                <w:b/>
                <w:bCs/>
                <w:sz w:val="20"/>
                <w:szCs w:val="20"/>
              </w:rPr>
              <w:t>Indication:</w:t>
            </w:r>
            <w:r w:rsidRPr="00471D80">
              <w:rPr>
                <w:rFonts w:ascii="Arial Narrow" w:hAnsi="Arial Narrow"/>
                <w:sz w:val="20"/>
                <w:szCs w:val="20"/>
              </w:rPr>
              <w:t xml:space="preserve"> </w:t>
            </w:r>
            <w:r>
              <w:rPr>
                <w:rFonts w:ascii="Arial Narrow" w:hAnsi="Arial Narrow"/>
                <w:sz w:val="20"/>
                <w:szCs w:val="20"/>
              </w:rPr>
              <w:t xml:space="preserve">Non-small cell lung cancer (NSCLC) </w:t>
            </w:r>
            <w:r w:rsidRPr="00471D80">
              <w:rPr>
                <w:rFonts w:ascii="Arial Narrow" w:hAnsi="Arial Narrow"/>
                <w:sz w:val="20"/>
                <w:szCs w:val="20"/>
              </w:rPr>
              <w:t xml:space="preserve"> </w:t>
            </w:r>
          </w:p>
        </w:tc>
      </w:tr>
      <w:tr w:rsidR="00D22C9A" w:rsidRPr="00FA707A" w14:paraId="527F36E7" w14:textId="77777777" w:rsidTr="00033AB8">
        <w:tblPrEx>
          <w:tblCellMar>
            <w:top w:w="15" w:type="dxa"/>
            <w:bottom w:w="15" w:type="dxa"/>
          </w:tblCellMar>
        </w:tblPrEx>
        <w:trPr>
          <w:cantSplit/>
          <w:trHeight w:val="20"/>
        </w:trPr>
        <w:tc>
          <w:tcPr>
            <w:tcW w:w="9014" w:type="dxa"/>
            <w:gridSpan w:val="6"/>
            <w:vAlign w:val="center"/>
          </w:tcPr>
          <w:p w14:paraId="37BFC1EB" w14:textId="77777777" w:rsidR="00D22C9A" w:rsidRPr="00FA707A" w:rsidRDefault="00D22C9A" w:rsidP="002B0C54">
            <w:pPr>
              <w:rPr>
                <w:rFonts w:ascii="Arial Narrow" w:hAnsi="Arial Narrow"/>
                <w:b/>
                <w:bCs/>
                <w:sz w:val="20"/>
                <w:szCs w:val="20"/>
              </w:rPr>
            </w:pPr>
            <w:r>
              <w:rPr>
                <w:rFonts w:ascii="Arial Narrow" w:hAnsi="Arial Narrow"/>
                <w:b/>
                <w:bCs/>
                <w:sz w:val="20"/>
                <w:szCs w:val="20"/>
              </w:rPr>
              <w:t xml:space="preserve">Clinical criteria: </w:t>
            </w:r>
          </w:p>
        </w:tc>
      </w:tr>
      <w:tr w:rsidR="00D22C9A" w:rsidRPr="00FA707A" w14:paraId="6BD9AA40" w14:textId="77777777" w:rsidTr="00033AB8">
        <w:tblPrEx>
          <w:tblCellMar>
            <w:top w:w="15" w:type="dxa"/>
            <w:bottom w:w="15" w:type="dxa"/>
          </w:tblCellMar>
        </w:tblPrEx>
        <w:trPr>
          <w:cantSplit/>
          <w:trHeight w:val="20"/>
        </w:trPr>
        <w:tc>
          <w:tcPr>
            <w:tcW w:w="9014" w:type="dxa"/>
            <w:gridSpan w:val="6"/>
            <w:vAlign w:val="center"/>
          </w:tcPr>
          <w:p w14:paraId="00FFAE98" w14:textId="77777777" w:rsidR="00D22C9A" w:rsidRPr="00FA707A" w:rsidRDefault="00D22C9A" w:rsidP="002B0C54">
            <w:pPr>
              <w:rPr>
                <w:rFonts w:ascii="Arial Narrow" w:hAnsi="Arial Narrow"/>
                <w:sz w:val="20"/>
                <w:szCs w:val="20"/>
              </w:rPr>
            </w:pPr>
            <w:r>
              <w:rPr>
                <w:rFonts w:ascii="Arial Narrow" w:hAnsi="Arial Narrow"/>
                <w:sz w:val="20"/>
                <w:szCs w:val="20"/>
              </w:rPr>
              <w:t>Patient must be each of: (</w:t>
            </w:r>
            <w:proofErr w:type="spellStart"/>
            <w:r>
              <w:rPr>
                <w:rFonts w:ascii="Arial Narrow" w:hAnsi="Arial Narrow"/>
                <w:sz w:val="20"/>
                <w:szCs w:val="20"/>
              </w:rPr>
              <w:t>i</w:t>
            </w:r>
            <w:proofErr w:type="spellEnd"/>
            <w:r>
              <w:rPr>
                <w:rFonts w:ascii="Arial Narrow" w:hAnsi="Arial Narrow"/>
                <w:sz w:val="20"/>
                <w:szCs w:val="20"/>
              </w:rPr>
              <w:t>) initiating treatment with this drug; (ii) have not previously received PBS-subsidised treatment with this drug for this condition; or</w:t>
            </w:r>
          </w:p>
        </w:tc>
      </w:tr>
      <w:tr w:rsidR="00D22C9A" w:rsidRPr="00566B72" w14:paraId="644679B9" w14:textId="77777777" w:rsidTr="00033AB8">
        <w:tblPrEx>
          <w:tblCellMar>
            <w:top w:w="15" w:type="dxa"/>
            <w:bottom w:w="15" w:type="dxa"/>
          </w:tblCellMar>
        </w:tblPrEx>
        <w:trPr>
          <w:cantSplit/>
          <w:trHeight w:val="20"/>
        </w:trPr>
        <w:tc>
          <w:tcPr>
            <w:tcW w:w="9014" w:type="dxa"/>
            <w:gridSpan w:val="6"/>
            <w:vAlign w:val="center"/>
          </w:tcPr>
          <w:p w14:paraId="7E5A2B92" w14:textId="77777777" w:rsidR="00D22C9A" w:rsidRPr="00566B72" w:rsidRDefault="00D22C9A" w:rsidP="002B0C54">
            <w:pPr>
              <w:rPr>
                <w:rFonts w:ascii="Arial Narrow" w:hAnsi="Arial Narrow"/>
                <w:sz w:val="20"/>
                <w:szCs w:val="20"/>
              </w:rPr>
            </w:pPr>
            <w:r w:rsidRPr="00566B72">
              <w:rPr>
                <w:rFonts w:ascii="Arial Narrow" w:hAnsi="Arial Narrow"/>
                <w:sz w:val="20"/>
                <w:szCs w:val="20"/>
              </w:rPr>
              <w:t>Patient must be continuing treatment with this drug</w:t>
            </w:r>
            <w:r>
              <w:rPr>
                <w:rFonts w:ascii="Arial Narrow" w:hAnsi="Arial Narrow"/>
                <w:sz w:val="20"/>
                <w:szCs w:val="20"/>
              </w:rPr>
              <w:t xml:space="preserve"> for this condition</w:t>
            </w:r>
            <w:r w:rsidRPr="00566B72">
              <w:rPr>
                <w:rFonts w:ascii="Arial Narrow" w:hAnsi="Arial Narrow"/>
                <w:sz w:val="20"/>
                <w:szCs w:val="20"/>
              </w:rPr>
              <w:t>, with an absence of further disease progression while being treated with this drug.</w:t>
            </w:r>
          </w:p>
        </w:tc>
      </w:tr>
      <w:tr w:rsidR="00D22C9A" w:rsidRPr="00471D80" w14:paraId="44CED712" w14:textId="77777777" w:rsidTr="00033AB8">
        <w:tblPrEx>
          <w:tblCellMar>
            <w:top w:w="15" w:type="dxa"/>
            <w:bottom w:w="15" w:type="dxa"/>
          </w:tblCellMar>
        </w:tblPrEx>
        <w:trPr>
          <w:cantSplit/>
          <w:trHeight w:val="20"/>
        </w:trPr>
        <w:tc>
          <w:tcPr>
            <w:tcW w:w="9014" w:type="dxa"/>
            <w:gridSpan w:val="6"/>
            <w:vAlign w:val="center"/>
          </w:tcPr>
          <w:p w14:paraId="43483966" w14:textId="77777777" w:rsidR="00D22C9A" w:rsidRPr="00471D80" w:rsidRDefault="00D22C9A" w:rsidP="002B0C54">
            <w:pPr>
              <w:rPr>
                <w:rFonts w:ascii="Arial Narrow" w:hAnsi="Arial Narrow"/>
                <w:b/>
                <w:bCs/>
                <w:sz w:val="20"/>
                <w:szCs w:val="20"/>
              </w:rPr>
            </w:pPr>
            <w:r w:rsidRPr="00471D80">
              <w:rPr>
                <w:rFonts w:ascii="Arial Narrow" w:hAnsi="Arial Narrow"/>
                <w:b/>
                <w:bCs/>
                <w:sz w:val="20"/>
              </w:rPr>
              <w:t>AND</w:t>
            </w:r>
          </w:p>
        </w:tc>
      </w:tr>
      <w:tr w:rsidR="00D22C9A" w:rsidRPr="00471D80" w14:paraId="5059E8D7" w14:textId="77777777" w:rsidTr="00033AB8">
        <w:tblPrEx>
          <w:tblCellMar>
            <w:top w:w="15" w:type="dxa"/>
            <w:bottom w:w="15" w:type="dxa"/>
          </w:tblCellMar>
        </w:tblPrEx>
        <w:trPr>
          <w:cantSplit/>
          <w:trHeight w:val="20"/>
        </w:trPr>
        <w:tc>
          <w:tcPr>
            <w:tcW w:w="9014" w:type="dxa"/>
            <w:gridSpan w:val="6"/>
            <w:vAlign w:val="center"/>
          </w:tcPr>
          <w:p w14:paraId="617493E0" w14:textId="77777777" w:rsidR="00D22C9A" w:rsidRPr="00471D80" w:rsidRDefault="00D22C9A" w:rsidP="002B0C54">
            <w:pPr>
              <w:rPr>
                <w:rFonts w:ascii="Arial Narrow" w:hAnsi="Arial Narrow"/>
                <w:b/>
                <w:bCs/>
                <w:sz w:val="20"/>
                <w:szCs w:val="20"/>
              </w:rPr>
            </w:pPr>
            <w:r w:rsidRPr="00471D80">
              <w:rPr>
                <w:rFonts w:ascii="Arial Narrow" w:hAnsi="Arial Narrow"/>
                <w:b/>
                <w:bCs/>
                <w:color w:val="333333"/>
                <w:sz w:val="20"/>
                <w:szCs w:val="20"/>
              </w:rPr>
              <w:t>Clinical criteria:</w:t>
            </w:r>
          </w:p>
        </w:tc>
      </w:tr>
      <w:tr w:rsidR="00D22C9A" w:rsidRPr="00471D80" w14:paraId="4F84EBE9" w14:textId="77777777" w:rsidTr="00033AB8">
        <w:tblPrEx>
          <w:tblCellMar>
            <w:top w:w="15" w:type="dxa"/>
            <w:bottom w:w="15" w:type="dxa"/>
          </w:tblCellMar>
        </w:tblPrEx>
        <w:trPr>
          <w:cantSplit/>
          <w:trHeight w:val="20"/>
        </w:trPr>
        <w:tc>
          <w:tcPr>
            <w:tcW w:w="9014" w:type="dxa"/>
            <w:gridSpan w:val="6"/>
            <w:vAlign w:val="center"/>
          </w:tcPr>
          <w:p w14:paraId="3DA7200A" w14:textId="77777777" w:rsidR="00D22C9A" w:rsidRPr="00471D80" w:rsidRDefault="00D22C9A" w:rsidP="002B0C54">
            <w:pPr>
              <w:rPr>
                <w:rFonts w:ascii="Arial Narrow" w:hAnsi="Arial Narrow"/>
                <w:b/>
                <w:bCs/>
                <w:sz w:val="20"/>
                <w:szCs w:val="20"/>
              </w:rPr>
            </w:pPr>
            <w:r w:rsidRPr="00C722AD">
              <w:rPr>
                <w:rFonts w:ascii="Arial Narrow" w:hAnsi="Arial Narrow" w:cs="Arial Narrow"/>
                <w:iCs/>
                <w:sz w:val="20"/>
                <w:szCs w:val="20"/>
              </w:rPr>
              <w:t>Patient must have/have had a WHO performance status score of no greater than 2 at treatment initiation with this drug for this condition.</w:t>
            </w:r>
          </w:p>
        </w:tc>
      </w:tr>
      <w:tr w:rsidR="00D22C9A" w:rsidRPr="00471D80" w14:paraId="3C72EE43" w14:textId="77777777" w:rsidTr="00033AB8">
        <w:tblPrEx>
          <w:tblCellMar>
            <w:top w:w="15" w:type="dxa"/>
            <w:bottom w:w="15" w:type="dxa"/>
          </w:tblCellMar>
        </w:tblPrEx>
        <w:trPr>
          <w:cantSplit/>
          <w:trHeight w:val="20"/>
        </w:trPr>
        <w:tc>
          <w:tcPr>
            <w:tcW w:w="9014" w:type="dxa"/>
            <w:gridSpan w:val="6"/>
            <w:vAlign w:val="center"/>
          </w:tcPr>
          <w:p w14:paraId="77E8E3AA" w14:textId="77777777" w:rsidR="00D22C9A" w:rsidRPr="00471D80" w:rsidRDefault="00D22C9A" w:rsidP="002B0C54">
            <w:pPr>
              <w:rPr>
                <w:rFonts w:ascii="Arial Narrow" w:hAnsi="Arial Narrow"/>
                <w:b/>
                <w:bCs/>
                <w:sz w:val="20"/>
                <w:szCs w:val="20"/>
              </w:rPr>
            </w:pPr>
            <w:r w:rsidRPr="00471D80">
              <w:rPr>
                <w:rFonts w:ascii="Arial Narrow" w:hAnsi="Arial Narrow"/>
                <w:b/>
                <w:bCs/>
                <w:sz w:val="20"/>
              </w:rPr>
              <w:t>AND</w:t>
            </w:r>
          </w:p>
        </w:tc>
      </w:tr>
      <w:tr w:rsidR="00D22C9A" w:rsidRPr="00471D80" w14:paraId="6AF942FE" w14:textId="77777777" w:rsidTr="00033AB8">
        <w:tblPrEx>
          <w:tblCellMar>
            <w:top w:w="15" w:type="dxa"/>
            <w:bottom w:w="15" w:type="dxa"/>
          </w:tblCellMar>
        </w:tblPrEx>
        <w:trPr>
          <w:cantSplit/>
          <w:trHeight w:val="20"/>
        </w:trPr>
        <w:tc>
          <w:tcPr>
            <w:tcW w:w="9014" w:type="dxa"/>
            <w:gridSpan w:val="6"/>
            <w:vAlign w:val="center"/>
          </w:tcPr>
          <w:p w14:paraId="3B9F57D4" w14:textId="77777777" w:rsidR="00D22C9A" w:rsidRPr="00471D80" w:rsidRDefault="00D22C9A" w:rsidP="002B0C54">
            <w:pPr>
              <w:rPr>
                <w:rFonts w:ascii="Arial Narrow" w:hAnsi="Arial Narrow"/>
                <w:b/>
                <w:bCs/>
                <w:sz w:val="20"/>
                <w:szCs w:val="20"/>
              </w:rPr>
            </w:pPr>
            <w:r w:rsidRPr="00471D80">
              <w:rPr>
                <w:rFonts w:ascii="Arial Narrow" w:hAnsi="Arial Narrow"/>
                <w:b/>
                <w:bCs/>
                <w:color w:val="333333"/>
                <w:sz w:val="20"/>
                <w:szCs w:val="20"/>
              </w:rPr>
              <w:t>Clinical criteria:</w:t>
            </w:r>
          </w:p>
        </w:tc>
      </w:tr>
      <w:tr w:rsidR="00D22C9A" w:rsidRPr="00471D80" w14:paraId="281DADB1" w14:textId="77777777" w:rsidTr="00033AB8">
        <w:tblPrEx>
          <w:tblCellMar>
            <w:top w:w="15" w:type="dxa"/>
            <w:bottom w:w="15" w:type="dxa"/>
          </w:tblCellMar>
        </w:tblPrEx>
        <w:trPr>
          <w:cantSplit/>
          <w:trHeight w:val="20"/>
        </w:trPr>
        <w:tc>
          <w:tcPr>
            <w:tcW w:w="9014" w:type="dxa"/>
            <w:gridSpan w:val="6"/>
            <w:vAlign w:val="center"/>
          </w:tcPr>
          <w:p w14:paraId="522D1F7C" w14:textId="62A31E43" w:rsidR="00D22C9A" w:rsidRPr="00081EEE" w:rsidRDefault="00D22C9A" w:rsidP="289B87D2">
            <w:pPr>
              <w:rPr>
                <w:rFonts w:ascii="Arial Narrow" w:eastAsiaTheme="majorEastAsia" w:hAnsi="Arial Narrow" w:cstheme="majorBidi"/>
                <w:sz w:val="20"/>
                <w:szCs w:val="20"/>
              </w:rPr>
            </w:pPr>
            <w:r w:rsidRPr="00081EEE">
              <w:rPr>
                <w:rFonts w:ascii="Arial Narrow" w:eastAsiaTheme="majorEastAsia" w:hAnsi="Arial Narrow" w:cstheme="majorBidi"/>
                <w:sz w:val="20"/>
                <w:szCs w:val="20"/>
              </w:rPr>
              <w:t>Patient must have evidence of an activating epidermal growth factor receptor (EGFR) gene mutation known to confer sensitivity to treatment with EGFR tyrosine kinase inhibitors in tumour material</w:t>
            </w:r>
          </w:p>
        </w:tc>
      </w:tr>
      <w:tr w:rsidR="00D22C9A" w14:paraId="3E686A48" w14:textId="77777777" w:rsidTr="00033AB8">
        <w:tblPrEx>
          <w:tblCellMar>
            <w:top w:w="15" w:type="dxa"/>
            <w:bottom w:w="15" w:type="dxa"/>
          </w:tblCellMar>
        </w:tblPrEx>
        <w:trPr>
          <w:cantSplit/>
          <w:trHeight w:val="20"/>
        </w:trPr>
        <w:tc>
          <w:tcPr>
            <w:tcW w:w="9014" w:type="dxa"/>
            <w:gridSpan w:val="6"/>
            <w:vAlign w:val="center"/>
          </w:tcPr>
          <w:p w14:paraId="677E70DF" w14:textId="5D22D8F1" w:rsidR="00D22C9A" w:rsidRDefault="00D22C9A" w:rsidP="0061176C">
            <w:pPr>
              <w:pStyle w:val="TableText"/>
              <w:rPr>
                <w:b/>
              </w:rPr>
            </w:pPr>
            <w:r w:rsidRPr="66E11A3C">
              <w:rPr>
                <w:b/>
              </w:rPr>
              <w:t>AND</w:t>
            </w:r>
          </w:p>
        </w:tc>
      </w:tr>
      <w:tr w:rsidR="00D22C9A" w14:paraId="47272B2C" w14:textId="77777777" w:rsidTr="00033AB8">
        <w:tblPrEx>
          <w:tblCellMar>
            <w:top w:w="15" w:type="dxa"/>
            <w:bottom w:w="15" w:type="dxa"/>
          </w:tblCellMar>
        </w:tblPrEx>
        <w:trPr>
          <w:cantSplit/>
          <w:trHeight w:val="20"/>
        </w:trPr>
        <w:tc>
          <w:tcPr>
            <w:tcW w:w="9014" w:type="dxa"/>
            <w:gridSpan w:val="6"/>
            <w:vAlign w:val="center"/>
          </w:tcPr>
          <w:p w14:paraId="7EC36D57" w14:textId="4614E12B" w:rsidR="00D22C9A" w:rsidRDefault="00D22C9A" w:rsidP="289B87D2">
            <w:pPr>
              <w:rPr>
                <w:rFonts w:ascii="Arial Narrow" w:eastAsiaTheme="majorEastAsia" w:hAnsi="Arial Narrow"/>
                <w:b/>
                <w:sz w:val="20"/>
                <w:szCs w:val="20"/>
              </w:rPr>
            </w:pPr>
            <w:r w:rsidRPr="00081EEE">
              <w:rPr>
                <w:rFonts w:ascii="Arial Narrow" w:eastAsiaTheme="majorEastAsia" w:hAnsi="Arial Narrow" w:cstheme="majorBidi"/>
                <w:b/>
                <w:bCs/>
                <w:sz w:val="20"/>
                <w:szCs w:val="20"/>
              </w:rPr>
              <w:t>Clinical criteria:</w:t>
            </w:r>
          </w:p>
        </w:tc>
      </w:tr>
      <w:tr w:rsidR="00D22C9A" w14:paraId="36E9D1C5" w14:textId="77777777" w:rsidTr="00033AB8">
        <w:tblPrEx>
          <w:tblCellMar>
            <w:top w:w="15" w:type="dxa"/>
            <w:bottom w:w="15" w:type="dxa"/>
          </w:tblCellMar>
        </w:tblPrEx>
        <w:trPr>
          <w:cantSplit/>
          <w:trHeight w:val="20"/>
        </w:trPr>
        <w:tc>
          <w:tcPr>
            <w:tcW w:w="9014" w:type="dxa"/>
            <w:gridSpan w:val="6"/>
            <w:vAlign w:val="center"/>
          </w:tcPr>
          <w:p w14:paraId="33FFDF17" w14:textId="43659DA8" w:rsidR="00D22C9A" w:rsidRPr="00081EEE" w:rsidRDefault="00D22C9A" w:rsidP="289B87D2">
            <w:pPr>
              <w:rPr>
                <w:rFonts w:ascii="Arial Narrow" w:eastAsiaTheme="majorEastAsia" w:hAnsi="Arial Narrow" w:cstheme="majorBidi"/>
                <w:sz w:val="20"/>
                <w:szCs w:val="20"/>
              </w:rPr>
            </w:pPr>
            <w:r w:rsidRPr="00081EEE">
              <w:rPr>
                <w:rFonts w:ascii="Arial Narrow" w:eastAsiaTheme="majorEastAsia" w:hAnsi="Arial Narrow" w:cstheme="majorBidi"/>
                <w:sz w:val="20"/>
                <w:szCs w:val="20"/>
              </w:rPr>
              <w:t>Patient must not have evidence in tumour material of an activating epidermal growth factor receptor (EGFR) exon 20 insertion mutation</w:t>
            </w:r>
          </w:p>
        </w:tc>
      </w:tr>
      <w:tr w:rsidR="00D22C9A" w:rsidRPr="00471D80" w14:paraId="55D5C15B" w14:textId="77777777" w:rsidTr="00033AB8">
        <w:tblPrEx>
          <w:tblCellMar>
            <w:top w:w="15" w:type="dxa"/>
            <w:bottom w:w="15" w:type="dxa"/>
          </w:tblCellMar>
        </w:tblPrEx>
        <w:trPr>
          <w:cantSplit/>
          <w:trHeight w:val="20"/>
        </w:trPr>
        <w:tc>
          <w:tcPr>
            <w:tcW w:w="9014" w:type="dxa"/>
            <w:gridSpan w:val="6"/>
            <w:vAlign w:val="center"/>
          </w:tcPr>
          <w:p w14:paraId="496FA53A" w14:textId="77777777" w:rsidR="00D22C9A" w:rsidRPr="00471D80" w:rsidRDefault="00D22C9A" w:rsidP="002B0C54">
            <w:pPr>
              <w:rPr>
                <w:rFonts w:ascii="Arial Narrow" w:hAnsi="Arial Narrow"/>
                <w:b/>
                <w:bCs/>
                <w:sz w:val="20"/>
                <w:szCs w:val="20"/>
                <w:lang w:bidi="en-US"/>
              </w:rPr>
            </w:pPr>
            <w:r w:rsidRPr="00471D80">
              <w:rPr>
                <w:rFonts w:ascii="Arial Narrow" w:hAnsi="Arial Narrow"/>
                <w:b/>
                <w:bCs/>
                <w:sz w:val="20"/>
                <w:szCs w:val="20"/>
                <w:lang w:bidi="en-US"/>
              </w:rPr>
              <w:t>Prescribing Instruction:</w:t>
            </w:r>
          </w:p>
          <w:p w14:paraId="5B2281AD" w14:textId="106BDC35" w:rsidR="00D22C9A" w:rsidRPr="00471D80" w:rsidRDefault="00D22C9A" w:rsidP="002B0C54">
            <w:pPr>
              <w:rPr>
                <w:rFonts w:ascii="Arial Narrow" w:hAnsi="Arial Narrow"/>
                <w:sz w:val="20"/>
                <w:szCs w:val="20"/>
                <w:lang w:bidi="en-US"/>
              </w:rPr>
            </w:pPr>
            <w:r w:rsidRPr="00471D80">
              <w:rPr>
                <w:rFonts w:ascii="Arial Narrow" w:hAnsi="Arial Narrow"/>
                <w:sz w:val="20"/>
                <w:szCs w:val="20"/>
                <w:lang w:bidi="en-US"/>
              </w:rPr>
              <w:t xml:space="preserve">PBS-subsidised treatment with this drug is restricted to </w:t>
            </w:r>
            <w:r w:rsidRPr="003D26B2">
              <w:rPr>
                <w:rFonts w:ascii="Arial Narrow" w:eastAsiaTheme="majorEastAsia" w:hAnsi="Arial Narrow"/>
                <w:sz w:val="20"/>
                <w:szCs w:val="20"/>
                <w:lang w:bidi="en-US"/>
              </w:rPr>
              <w:t>once per lifetime</w:t>
            </w:r>
            <w:r w:rsidRPr="00C722AD">
              <w:rPr>
                <w:rFonts w:ascii="Arial Narrow" w:eastAsiaTheme="majorEastAsia" w:hAnsi="Arial Narrow"/>
                <w:i/>
                <w:iCs/>
                <w:sz w:val="20"/>
                <w:szCs w:val="20"/>
                <w:lang w:bidi="en-US"/>
              </w:rPr>
              <w:t xml:space="preserve"> </w:t>
            </w:r>
            <w:r w:rsidRPr="00471D80">
              <w:rPr>
                <w:rFonts w:ascii="Arial Narrow" w:hAnsi="Arial Narrow"/>
                <w:sz w:val="20"/>
                <w:szCs w:val="20"/>
                <w:lang w:bidi="en-US"/>
              </w:rPr>
              <w:t>at any disease stag</w:t>
            </w:r>
            <w:r>
              <w:rPr>
                <w:rFonts w:ascii="Arial Narrow" w:hAnsi="Arial Narrow"/>
                <w:sz w:val="20"/>
                <w:szCs w:val="20"/>
                <w:lang w:bidi="en-US"/>
              </w:rPr>
              <w:t>e</w:t>
            </w:r>
            <w:r w:rsidRPr="00471D80">
              <w:rPr>
                <w:rFonts w:ascii="Arial Narrow" w:hAnsi="Arial Narrow"/>
                <w:sz w:val="20"/>
                <w:szCs w:val="20"/>
                <w:lang w:bidi="en-US"/>
              </w:rPr>
              <w:t xml:space="preserve"> for NSCLC (i.e. if therapy has been prescribed for early disease, subsidy under locally advanced or metastatic disease is no longer available).</w:t>
            </w:r>
            <w:r>
              <w:rPr>
                <w:rFonts w:ascii="Arial Narrow" w:hAnsi="Arial Narrow"/>
                <w:sz w:val="20"/>
                <w:szCs w:val="20"/>
                <w:lang w:bidi="en-US"/>
              </w:rPr>
              <w:t xml:space="preserve"> </w:t>
            </w:r>
          </w:p>
        </w:tc>
      </w:tr>
      <w:tr w:rsidR="00D22C9A" w:rsidRPr="00471D80" w14:paraId="28293DE5" w14:textId="77777777" w:rsidTr="00033AB8">
        <w:tblPrEx>
          <w:tblCellMar>
            <w:top w:w="15" w:type="dxa"/>
            <w:bottom w:w="15" w:type="dxa"/>
          </w:tblCellMar>
        </w:tblPrEx>
        <w:trPr>
          <w:cantSplit/>
          <w:trHeight w:val="20"/>
        </w:trPr>
        <w:tc>
          <w:tcPr>
            <w:tcW w:w="9014" w:type="dxa"/>
            <w:gridSpan w:val="6"/>
            <w:vAlign w:val="center"/>
          </w:tcPr>
          <w:p w14:paraId="19A6CEC4" w14:textId="77777777" w:rsidR="00D22C9A" w:rsidRPr="00471D80" w:rsidRDefault="00D22C9A" w:rsidP="002B0C54">
            <w:pPr>
              <w:rPr>
                <w:rFonts w:ascii="Arial Narrow" w:hAnsi="Arial Narrow"/>
                <w:b/>
                <w:bCs/>
                <w:sz w:val="20"/>
                <w:szCs w:val="20"/>
                <w:lang w:bidi="en-US"/>
              </w:rPr>
            </w:pPr>
            <w:r w:rsidRPr="00471D80">
              <w:rPr>
                <w:rFonts w:ascii="Arial Narrow" w:hAnsi="Arial Narrow"/>
                <w:b/>
                <w:bCs/>
                <w:sz w:val="20"/>
                <w:szCs w:val="20"/>
                <w:lang w:bidi="en-US"/>
              </w:rPr>
              <w:t>Prescribing Instruction:</w:t>
            </w:r>
          </w:p>
          <w:p w14:paraId="2F56FE56" w14:textId="439FF3F7" w:rsidR="00D22C9A" w:rsidRDefault="00D22C9A" w:rsidP="002B0C54">
            <w:pPr>
              <w:rPr>
                <w:rFonts w:ascii="Arial Narrow" w:hAnsi="Arial Narrow"/>
                <w:sz w:val="20"/>
                <w:szCs w:val="20"/>
                <w:lang w:bidi="en-US"/>
              </w:rPr>
            </w:pPr>
            <w:r w:rsidRPr="4EBD9F6C">
              <w:rPr>
                <w:rFonts w:ascii="Arial Narrow" w:hAnsi="Arial Narrow"/>
                <w:sz w:val="20"/>
                <w:szCs w:val="20"/>
                <w:lang w:bidi="en-US"/>
              </w:rPr>
              <w:t>Prescribers must refer to this drug's approved Therapeutic Goods Administration (TGA) Product Information (PI) for the relevant dosing regimens</w:t>
            </w:r>
            <w:r>
              <w:rPr>
                <w:rFonts w:ascii="Arial Narrow" w:hAnsi="Arial Narrow"/>
                <w:sz w:val="20"/>
                <w:szCs w:val="20"/>
                <w:lang w:bidi="en-US"/>
              </w:rPr>
              <w:t xml:space="preserve"> and</w:t>
            </w:r>
            <w:r w:rsidRPr="4EBD9F6C">
              <w:rPr>
                <w:rFonts w:ascii="Arial Narrow" w:hAnsi="Arial Narrow"/>
                <w:sz w:val="20"/>
                <w:szCs w:val="20"/>
                <w:lang w:bidi="en-US"/>
              </w:rPr>
              <w:t xml:space="preserve"> treatment duration for the specific stage of NSCLC. </w:t>
            </w:r>
          </w:p>
          <w:p w14:paraId="3767E782" w14:textId="4C127ED5" w:rsidR="00D22C9A" w:rsidRPr="00471D80" w:rsidRDefault="00D22C9A" w:rsidP="002B0C54">
            <w:pPr>
              <w:rPr>
                <w:rFonts w:ascii="Arial Narrow" w:hAnsi="Arial Narrow"/>
                <w:b/>
                <w:bCs/>
                <w:sz w:val="20"/>
                <w:szCs w:val="20"/>
                <w:lang w:bidi="en-US"/>
              </w:rPr>
            </w:pPr>
            <w:r w:rsidRPr="00CF6053">
              <w:rPr>
                <w:rFonts w:ascii="Arial Narrow" w:hAnsi="Arial Narrow"/>
                <w:sz w:val="20"/>
                <w:szCs w:val="20"/>
                <w:lang w:bidi="en-US"/>
              </w:rPr>
              <w:t xml:space="preserve">For </w:t>
            </w:r>
            <w:r w:rsidRPr="00CF6053">
              <w:rPr>
                <w:rFonts w:ascii="Arial Narrow" w:hAnsi="Arial Narrow"/>
                <w:sz w:val="20"/>
                <w:szCs w:val="20"/>
              </w:rPr>
              <w:t xml:space="preserve">patients receiving treatment with this drug as adjuvant therapy, treatment must cease upon disease progression, or after the completion of three years from the first administered dose, whatever comes first. </w:t>
            </w:r>
          </w:p>
        </w:tc>
      </w:tr>
    </w:tbl>
    <w:p w14:paraId="5A732EEF" w14:textId="554E866E" w:rsidR="00027941" w:rsidRDefault="00027941" w:rsidP="00437FC8">
      <w:pPr>
        <w:pStyle w:val="3-BodyText"/>
        <w:spacing w:before="120"/>
      </w:pPr>
      <w:bookmarkStart w:id="22" w:name="_Hlk209683539"/>
      <w:r>
        <w:lastRenderedPageBreak/>
        <w:t xml:space="preserve">The following </w:t>
      </w:r>
      <w:proofErr w:type="spellStart"/>
      <w:r>
        <w:t>osimertinib</w:t>
      </w:r>
      <w:proofErr w:type="spellEnd"/>
      <w:r>
        <w:t xml:space="preserve"> item codes may be delisted with </w:t>
      </w:r>
      <w:r w:rsidR="00747113">
        <w:t xml:space="preserve">a </w:t>
      </w:r>
      <w:r>
        <w:t>supply only period of 6</w:t>
      </w:r>
      <w:r w:rsidR="00437FC8">
        <w:t> </w:t>
      </w:r>
      <w:r>
        <w:t>months:</w:t>
      </w:r>
    </w:p>
    <w:bookmarkEnd w:id="22"/>
    <w:p w14:paraId="7A40F21D" w14:textId="0352B3E3" w:rsidR="00D22C9A" w:rsidRDefault="00027941" w:rsidP="00033AB8">
      <w:pPr>
        <w:pStyle w:val="3-BodyText"/>
        <w:numPr>
          <w:ilvl w:val="0"/>
          <w:numId w:val="37"/>
        </w:numPr>
        <w:spacing w:before="120"/>
        <w:ind w:left="1134"/>
      </w:pPr>
      <w:proofErr w:type="spellStart"/>
      <w:r>
        <w:t>osimertinib</w:t>
      </w:r>
      <w:proofErr w:type="spellEnd"/>
      <w:r>
        <w:t xml:space="preserve"> 40 mg listings: </w:t>
      </w:r>
      <w:hyperlink r:id="rId11" w:tooltip="11620n" w:history="1">
        <w:r w:rsidRPr="00F82A11">
          <w:rPr>
            <w:rStyle w:val="Hyperlink"/>
          </w:rPr>
          <w:t>11620N</w:t>
        </w:r>
      </w:hyperlink>
      <w:r>
        <w:t xml:space="preserve">, </w:t>
      </w:r>
      <w:hyperlink r:id="rId12" w:tooltip="12233w" w:history="1">
        <w:r w:rsidRPr="00241082">
          <w:rPr>
            <w:rStyle w:val="Hyperlink"/>
          </w:rPr>
          <w:t>12233W</w:t>
        </w:r>
      </w:hyperlink>
      <w:r>
        <w:t xml:space="preserve">, </w:t>
      </w:r>
      <w:hyperlink r:id="rId13" w:tooltip="14162j" w:history="1">
        <w:r w:rsidRPr="007B603F">
          <w:rPr>
            <w:rStyle w:val="Hyperlink"/>
          </w:rPr>
          <w:t>14162J</w:t>
        </w:r>
      </w:hyperlink>
    </w:p>
    <w:p w14:paraId="3A8B6BE5" w14:textId="16CBAFE2" w:rsidR="00892DAE" w:rsidRDefault="00027941" w:rsidP="00033AB8">
      <w:pPr>
        <w:pStyle w:val="3-BodyText"/>
        <w:numPr>
          <w:ilvl w:val="0"/>
          <w:numId w:val="37"/>
        </w:numPr>
        <w:spacing w:before="120"/>
        <w:ind w:left="1134"/>
      </w:pPr>
      <w:proofErr w:type="spellStart"/>
      <w:r>
        <w:t>osimertinib</w:t>
      </w:r>
      <w:proofErr w:type="spellEnd"/>
      <w:r>
        <w:t xml:space="preserve"> 80mg listings: </w:t>
      </w:r>
      <w:hyperlink r:id="rId14" w:tooltip="11622q" w:history="1">
        <w:r w:rsidRPr="006759EC">
          <w:rPr>
            <w:rStyle w:val="Hyperlink"/>
          </w:rPr>
          <w:t>11622Q</w:t>
        </w:r>
      </w:hyperlink>
      <w:r>
        <w:t xml:space="preserve">, </w:t>
      </w:r>
      <w:hyperlink r:id="rId15" w:tooltip="12232t" w:history="1">
        <w:r w:rsidRPr="00A35FC9">
          <w:rPr>
            <w:rStyle w:val="Hyperlink"/>
          </w:rPr>
          <w:t>12232T</w:t>
        </w:r>
      </w:hyperlink>
      <w:r>
        <w:t xml:space="preserve">, </w:t>
      </w:r>
      <w:hyperlink r:id="rId16" w:tooltip="14168q" w:history="1">
        <w:r w:rsidRPr="002C47B7">
          <w:rPr>
            <w:rStyle w:val="Hyperlink"/>
          </w:rPr>
          <w:t>14168Q</w:t>
        </w:r>
      </w:hyperlink>
    </w:p>
    <w:p w14:paraId="21A942B1" w14:textId="2EC067A9" w:rsidR="003B02DE" w:rsidRDefault="00892DAE">
      <w:pPr>
        <w:jc w:val="left"/>
        <w:rPr>
          <w:b/>
          <w:i/>
          <w:iCs/>
          <w:snapToGrid w:val="0"/>
          <w:lang w:val="en-GB"/>
        </w:rPr>
      </w:pPr>
      <w:r w:rsidRPr="00907671">
        <w:rPr>
          <w:b/>
          <w:i/>
          <w:iCs/>
          <w:snapToGrid w:val="0"/>
          <w:lang w:val="en-GB"/>
        </w:rPr>
        <w:t>These restrictions may be subject to further review. Should there be any changes made to the restriction the sponsor will be informed.</w:t>
      </w:r>
    </w:p>
    <w:p w14:paraId="352FD070" w14:textId="77777777" w:rsidR="00A31C3A" w:rsidRPr="00A31C3A" w:rsidRDefault="00A31C3A" w:rsidP="00033AB8">
      <w:pPr>
        <w:pStyle w:val="2-SectionHeading"/>
        <w:rPr>
          <w:bCs/>
        </w:rPr>
      </w:pPr>
      <w:r w:rsidRPr="00A31C3A">
        <w:t>Context for Decision</w:t>
      </w:r>
    </w:p>
    <w:p w14:paraId="065C24BE" w14:textId="77777777" w:rsidR="00A31C3A" w:rsidRPr="00A31C3A" w:rsidRDefault="00A31C3A" w:rsidP="00A31C3A">
      <w:pPr>
        <w:spacing w:after="120"/>
        <w:ind w:left="720"/>
        <w:rPr>
          <w:rFonts w:asciiTheme="minorHAnsi" w:hAnsiTheme="minorHAnsi" w:cs="Arial"/>
          <w:bCs/>
        </w:rPr>
      </w:pPr>
      <w:r w:rsidRPr="00A31C3A">
        <w:rPr>
          <w:rFonts w:asciiTheme="minorHAnsi" w:hAnsiTheme="minorHAnsi" w:cs="Arial"/>
          <w:bC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7FA4E83" w14:textId="77777777" w:rsidR="00A31C3A" w:rsidRPr="00A31C3A" w:rsidRDefault="00A31C3A" w:rsidP="00033AB8">
      <w:pPr>
        <w:pStyle w:val="2-SectionHeading"/>
      </w:pPr>
      <w:r w:rsidRPr="00A31C3A">
        <w:t>Sponsor’s Comment</w:t>
      </w:r>
    </w:p>
    <w:p w14:paraId="54B8A270" w14:textId="2F460BB8" w:rsidR="00A31C3A" w:rsidRPr="00437FC8" w:rsidRDefault="00A31C3A" w:rsidP="00033AB8">
      <w:pPr>
        <w:spacing w:after="120"/>
        <w:ind w:left="720"/>
        <w:rPr>
          <w:b/>
          <w:i/>
          <w:iCs/>
          <w:snapToGrid w:val="0"/>
          <w:lang w:val="en-GB"/>
        </w:rPr>
      </w:pPr>
      <w:r w:rsidRPr="00A31C3A">
        <w:rPr>
          <w:rFonts w:asciiTheme="minorHAnsi" w:hAnsiTheme="minorHAnsi" w:cs="Arial"/>
          <w:bCs/>
        </w:rPr>
        <w:t>The sponsor had no comment.</w:t>
      </w:r>
    </w:p>
    <w:sectPr w:rsidR="00A31C3A" w:rsidRPr="00437FC8" w:rsidSect="00C27B58">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73CA1" w14:textId="77777777" w:rsidR="00163097" w:rsidRDefault="00163097">
      <w:r>
        <w:separator/>
      </w:r>
    </w:p>
    <w:p w14:paraId="5B5DC940" w14:textId="77777777" w:rsidR="00163097" w:rsidRDefault="00163097"/>
    <w:p w14:paraId="37FE7125" w14:textId="77777777" w:rsidR="00163097" w:rsidRDefault="00163097"/>
  </w:endnote>
  <w:endnote w:type="continuationSeparator" w:id="0">
    <w:p w14:paraId="49CFF326" w14:textId="77777777" w:rsidR="00163097" w:rsidRDefault="00163097">
      <w:r>
        <w:continuationSeparator/>
      </w:r>
    </w:p>
    <w:p w14:paraId="49AFD4AB" w14:textId="77777777" w:rsidR="00163097" w:rsidRDefault="00163097"/>
    <w:p w14:paraId="797E721E" w14:textId="77777777" w:rsidR="00163097" w:rsidRDefault="00163097"/>
  </w:endnote>
  <w:endnote w:type="continuationNotice" w:id="1">
    <w:p w14:paraId="5638B64C" w14:textId="77777777" w:rsidR="00163097" w:rsidRDefault="00163097"/>
    <w:p w14:paraId="58B6615E" w14:textId="77777777" w:rsidR="00163097" w:rsidRDefault="001630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09135" w14:textId="02CFE96A" w:rsidR="00255D1B" w:rsidRDefault="009E5642">
    <w:pPr>
      <w:pStyle w:val="Footer"/>
    </w:pPr>
    <w:r>
      <w:rPr>
        <w:noProof/>
      </w:rPr>
      <mc:AlternateContent>
        <mc:Choice Requires="wps">
          <w:drawing>
            <wp:anchor distT="0" distB="0" distL="0" distR="0" simplePos="0" relativeHeight="251658244" behindDoc="0" locked="0" layoutInCell="1" allowOverlap="1" wp14:anchorId="7D3A2879" wp14:editId="0DFF63C4">
              <wp:simplePos x="635" y="635"/>
              <wp:positionH relativeFrom="page">
                <wp:align>center</wp:align>
              </wp:positionH>
              <wp:positionV relativeFrom="page">
                <wp:align>bottom</wp:align>
              </wp:positionV>
              <wp:extent cx="622300" cy="376555"/>
              <wp:effectExtent l="0" t="0" r="6350" b="0"/>
              <wp:wrapNone/>
              <wp:docPr id="170245367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8EA58BD" w14:textId="215B0ABA" w:rsidR="009E5642" w:rsidRPr="009E5642" w:rsidRDefault="009E5642" w:rsidP="009E5642">
                          <w:pPr>
                            <w:rPr>
                              <w:rFonts w:ascii="Aptos" w:eastAsia="Aptos" w:hAnsi="Aptos" w:cs="Aptos"/>
                              <w:noProof/>
                              <w:color w:val="FF0000"/>
                            </w:rPr>
                          </w:pPr>
                          <w:r w:rsidRPr="009E5642">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3A2879"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08EA58BD" w14:textId="215B0ABA" w:rsidR="009E5642" w:rsidRPr="009E5642" w:rsidRDefault="009E5642" w:rsidP="009E5642">
                    <w:pPr>
                      <w:rPr>
                        <w:rFonts w:ascii="Aptos" w:eastAsia="Aptos" w:hAnsi="Aptos" w:cs="Aptos"/>
                        <w:noProof/>
                        <w:color w:val="FF0000"/>
                      </w:rPr>
                    </w:pPr>
                    <w:r w:rsidRPr="009E5642">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EC73" w14:textId="1F60C241" w:rsidR="00E92234" w:rsidRDefault="009E5642">
    <w:pPr>
      <w:pStyle w:val="Footer"/>
    </w:pPr>
    <w:r>
      <w:rPr>
        <w:noProof/>
      </w:rPr>
      <mc:AlternateContent>
        <mc:Choice Requires="wps">
          <w:drawing>
            <wp:anchor distT="0" distB="0" distL="0" distR="0" simplePos="0" relativeHeight="251658245" behindDoc="0" locked="0" layoutInCell="1" allowOverlap="1" wp14:anchorId="5E09040A" wp14:editId="69E55350">
              <wp:simplePos x="635" y="635"/>
              <wp:positionH relativeFrom="page">
                <wp:align>center</wp:align>
              </wp:positionH>
              <wp:positionV relativeFrom="page">
                <wp:align>bottom</wp:align>
              </wp:positionV>
              <wp:extent cx="622300" cy="376555"/>
              <wp:effectExtent l="0" t="0" r="6350" b="0"/>
              <wp:wrapNone/>
              <wp:docPr id="165188706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63D1E92" w14:textId="31CAA35A" w:rsidR="009E5642" w:rsidRPr="009E5642" w:rsidRDefault="009E5642" w:rsidP="009E5642">
                          <w:pPr>
                            <w:rPr>
                              <w:rFonts w:ascii="Aptos" w:eastAsia="Aptos" w:hAnsi="Aptos" w:cs="Aptos"/>
                              <w:noProof/>
                              <w:color w:val="FF0000"/>
                            </w:rPr>
                          </w:pPr>
                          <w:r w:rsidRPr="009E5642">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09040A"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463D1E92" w14:textId="31CAA35A" w:rsidR="009E5642" w:rsidRPr="009E5642" w:rsidRDefault="009E5642" w:rsidP="009E5642">
                    <w:pPr>
                      <w:rPr>
                        <w:rFonts w:ascii="Aptos" w:eastAsia="Aptos" w:hAnsi="Aptos" w:cs="Aptos"/>
                        <w:noProof/>
                        <w:color w:val="FF0000"/>
                      </w:rPr>
                    </w:pPr>
                    <w:r w:rsidRPr="009E5642">
                      <w:rPr>
                        <w:rFonts w:ascii="Aptos" w:eastAsia="Aptos" w:hAnsi="Aptos" w:cs="Aptos"/>
                        <w:noProof/>
                        <w:color w:val="FF0000"/>
                      </w:rPr>
                      <w:t>OFFICIAL</w:t>
                    </w:r>
                  </w:p>
                </w:txbxContent>
              </v:textbox>
              <w10:wrap anchorx="page" anchory="page"/>
            </v:shape>
          </w:pict>
        </mc:Fallback>
      </mc:AlternateContent>
    </w:r>
  </w:p>
  <w:sdt>
    <w:sdtPr>
      <w:id w:val="348608451"/>
      <w:docPartObj>
        <w:docPartGallery w:val="Page Numbers (Bottom of Page)"/>
        <w:docPartUnique/>
      </w:docPartObj>
    </w:sdtPr>
    <w:sdtEndPr>
      <w:rPr>
        <w:b/>
        <w:bCs/>
      </w:rPr>
    </w:sdtEndPr>
    <w:sdtContent>
      <w:p w14:paraId="17F47F1F" w14:textId="5220B6E9" w:rsidR="00E92234" w:rsidRDefault="00E92234">
        <w:pPr>
          <w:pStyle w:val="Footer"/>
        </w:pPr>
        <w:r w:rsidRPr="00033AB8">
          <w:rPr>
            <w:b/>
            <w:bCs/>
          </w:rPr>
          <w:fldChar w:fldCharType="begin"/>
        </w:r>
        <w:r w:rsidRPr="00033AB8">
          <w:rPr>
            <w:b/>
            <w:bCs/>
          </w:rPr>
          <w:instrText>PAGE   \* MERGEFORMAT</w:instrText>
        </w:r>
        <w:r w:rsidRPr="00033AB8">
          <w:rPr>
            <w:b/>
            <w:bCs/>
          </w:rPr>
          <w:fldChar w:fldCharType="separate"/>
        </w:r>
        <w:r w:rsidRPr="00033AB8">
          <w:rPr>
            <w:b/>
            <w:bCs/>
            <w:lang w:val="en-GB"/>
          </w:rPr>
          <w:t>2</w:t>
        </w:r>
        <w:r w:rsidRPr="00033AB8">
          <w:rPr>
            <w:b/>
            <w:bCs/>
          </w:rPr>
          <w:fldChar w:fldCharType="end"/>
        </w:r>
      </w:p>
    </w:sdtContent>
  </w:sdt>
  <w:p w14:paraId="07DAAF98" w14:textId="4B63EBBC" w:rsidR="00CF066B" w:rsidRPr="00FC33EF" w:rsidRDefault="00CF066B" w:rsidP="00FC33EF">
    <w:pPr>
      <w:pStyle w:val="Footer"/>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4B2B" w14:textId="4F164470" w:rsidR="00255D1B" w:rsidRDefault="009E5642">
    <w:pPr>
      <w:pStyle w:val="Footer"/>
    </w:pPr>
    <w:r>
      <w:rPr>
        <w:noProof/>
      </w:rPr>
      <mc:AlternateContent>
        <mc:Choice Requires="wps">
          <w:drawing>
            <wp:anchor distT="0" distB="0" distL="0" distR="0" simplePos="0" relativeHeight="251658243" behindDoc="0" locked="0" layoutInCell="1" allowOverlap="1" wp14:anchorId="244C6AE9" wp14:editId="3DCB7F07">
              <wp:simplePos x="635" y="635"/>
              <wp:positionH relativeFrom="page">
                <wp:align>center</wp:align>
              </wp:positionH>
              <wp:positionV relativeFrom="page">
                <wp:align>bottom</wp:align>
              </wp:positionV>
              <wp:extent cx="622300" cy="376555"/>
              <wp:effectExtent l="0" t="0" r="6350" b="0"/>
              <wp:wrapNone/>
              <wp:docPr id="206185891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59E9B63" w14:textId="40BC1848" w:rsidR="009E5642" w:rsidRPr="009E5642" w:rsidRDefault="009E5642" w:rsidP="009E5642">
                          <w:pPr>
                            <w:rPr>
                              <w:rFonts w:ascii="Aptos" w:eastAsia="Aptos" w:hAnsi="Aptos" w:cs="Aptos"/>
                              <w:noProof/>
                              <w:color w:val="FF0000"/>
                            </w:rPr>
                          </w:pPr>
                          <w:r w:rsidRPr="009E5642">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4C6AE9"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559E9B63" w14:textId="40BC1848" w:rsidR="009E5642" w:rsidRPr="009E5642" w:rsidRDefault="009E5642" w:rsidP="009E5642">
                    <w:pPr>
                      <w:rPr>
                        <w:rFonts w:ascii="Aptos" w:eastAsia="Aptos" w:hAnsi="Aptos" w:cs="Aptos"/>
                        <w:noProof/>
                        <w:color w:val="FF0000"/>
                      </w:rPr>
                    </w:pPr>
                    <w:r w:rsidRPr="009E5642">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DDF3F" w14:textId="77777777" w:rsidR="00163097" w:rsidRDefault="00163097">
      <w:r>
        <w:separator/>
      </w:r>
    </w:p>
    <w:p w14:paraId="117A53DF" w14:textId="77777777" w:rsidR="00163097" w:rsidRDefault="00163097"/>
    <w:p w14:paraId="1CF05FA4" w14:textId="77777777" w:rsidR="00163097" w:rsidRDefault="00163097"/>
  </w:footnote>
  <w:footnote w:type="continuationSeparator" w:id="0">
    <w:p w14:paraId="1109C0DD" w14:textId="77777777" w:rsidR="00163097" w:rsidRDefault="00163097">
      <w:r>
        <w:continuationSeparator/>
      </w:r>
    </w:p>
    <w:p w14:paraId="3E3895CF" w14:textId="77777777" w:rsidR="00163097" w:rsidRDefault="00163097"/>
    <w:p w14:paraId="1BD7F088" w14:textId="77777777" w:rsidR="00163097" w:rsidRDefault="00163097"/>
  </w:footnote>
  <w:footnote w:type="continuationNotice" w:id="1">
    <w:p w14:paraId="38FA575C" w14:textId="77777777" w:rsidR="00163097" w:rsidRDefault="00163097"/>
    <w:p w14:paraId="76F631D2" w14:textId="77777777" w:rsidR="00163097" w:rsidRDefault="00163097"/>
  </w:footnote>
  <w:footnote w:id="2">
    <w:p w14:paraId="3F8FEC55" w14:textId="10801F08" w:rsidR="00C0476A" w:rsidRDefault="00C0476A">
      <w:pPr>
        <w:pStyle w:val="FootnoteText"/>
      </w:pPr>
      <w:r>
        <w:rPr>
          <w:rStyle w:val="FootnoteReference"/>
        </w:rPr>
        <w:footnoteRef/>
      </w:r>
      <w:r>
        <w:t xml:space="preserve"> </w:t>
      </w:r>
      <w:r w:rsidRPr="00C0476A">
        <w:t>https://www.pbs.gov.au/industry/listing/elements/pbac-meetings/psd/2025-05/files/osimertinib-psd-may-2025.pdf</w:t>
      </w:r>
    </w:p>
  </w:footnote>
  <w:footnote w:id="3">
    <w:p w14:paraId="55DC385E" w14:textId="0197DFDC" w:rsidR="00B64BB4" w:rsidRDefault="00B64BB4">
      <w:pPr>
        <w:pStyle w:val="FootnoteText"/>
      </w:pPr>
      <w:r>
        <w:rPr>
          <w:rStyle w:val="FootnoteReference"/>
        </w:rPr>
        <w:footnoteRef/>
      </w:r>
      <w:r>
        <w:t xml:space="preserve"> Calculated as </w:t>
      </w:r>
      <w:r w:rsidR="00845A41">
        <w:t>(</w:t>
      </w:r>
      <w:r>
        <w:t>$</w:t>
      </w:r>
      <w:r w:rsidR="00255D1B" w:rsidRPr="00773AAE">
        <w:rPr>
          <w:color w:val="000000"/>
          <w:w w:val="62"/>
          <w:shd w:val="solid" w:color="000000" w:fill="000000"/>
          <w:fitText w:val="400" w:id="-606363134"/>
          <w14:textFill>
            <w14:solidFill>
              <w14:srgbClr w14:val="000000">
                <w14:alpha w14:val="100000"/>
              </w14:srgbClr>
            </w14:solidFill>
          </w14:textFill>
        </w:rPr>
        <w:t>||</w:t>
      </w:r>
      <w:proofErr w:type="gramStart"/>
      <w:r w:rsidR="00255D1B" w:rsidRPr="00773AAE">
        <w:rPr>
          <w:color w:val="000000"/>
          <w:w w:val="62"/>
          <w:shd w:val="solid" w:color="000000" w:fill="000000"/>
          <w:fitText w:val="400" w:id="-606363134"/>
          <w14:textFill>
            <w14:solidFill>
              <w14:srgbClr w14:val="000000">
                <w14:alpha w14:val="100000"/>
              </w14:srgbClr>
            </w14:solidFill>
          </w14:textFill>
        </w:rPr>
        <w:t>|  |</w:t>
      </w:r>
      <w:proofErr w:type="gramEnd"/>
      <w:r w:rsidR="00255D1B" w:rsidRPr="00773AAE">
        <w:rPr>
          <w:color w:val="000000"/>
          <w:w w:val="62"/>
          <w:shd w:val="solid" w:color="000000" w:fill="000000"/>
          <w:fitText w:val="400" w:id="-606363134"/>
          <w14:textFill>
            <w14:solidFill>
              <w14:srgbClr w14:val="000000">
                <w14:alpha w14:val="100000"/>
              </w14:srgbClr>
            </w14:solidFill>
          </w14:textFill>
        </w:rPr>
        <w:t>|</w:t>
      </w:r>
      <w:r w:rsidR="00255D1B" w:rsidRPr="00773AAE">
        <w:rPr>
          <w:color w:val="000000"/>
          <w:spacing w:val="1"/>
          <w:w w:val="62"/>
          <w:shd w:val="solid" w:color="000000" w:fill="000000"/>
          <w:fitText w:val="400" w:id="-606363134"/>
          <w14:textFill>
            <w14:solidFill>
              <w14:srgbClr w14:val="000000">
                <w14:alpha w14:val="100000"/>
              </w14:srgbClr>
            </w14:solidFill>
          </w14:textFill>
        </w:rPr>
        <w:t>|</w:t>
      </w:r>
      <w:r w:rsidR="00845A41">
        <w:t xml:space="preserve"> - $</w:t>
      </w:r>
      <w:r w:rsidR="00255D1B" w:rsidRPr="00773AAE">
        <w:rPr>
          <w:color w:val="000000"/>
          <w:w w:val="83"/>
          <w:shd w:val="solid" w:color="000000" w:fill="000000"/>
          <w:fitText w:val="385" w:id="-606363133"/>
          <w14:textFill>
            <w14:solidFill>
              <w14:srgbClr w14:val="000000">
                <w14:alpha w14:val="100000"/>
              </w14:srgbClr>
            </w14:solidFill>
          </w14:textFill>
        </w:rPr>
        <w:t>|</w:t>
      </w:r>
      <w:proofErr w:type="gramStart"/>
      <w:r w:rsidR="00255D1B" w:rsidRPr="00773AAE">
        <w:rPr>
          <w:color w:val="000000"/>
          <w:w w:val="83"/>
          <w:shd w:val="solid" w:color="000000" w:fill="000000"/>
          <w:fitText w:val="385" w:id="-606363133"/>
          <w14:textFill>
            <w14:solidFill>
              <w14:srgbClr w14:val="000000">
                <w14:alpha w14:val="100000"/>
              </w14:srgbClr>
            </w14:solidFill>
          </w14:textFill>
        </w:rPr>
        <w:t>|  |</w:t>
      </w:r>
      <w:proofErr w:type="gramEnd"/>
      <w:r w:rsidR="00255D1B" w:rsidRPr="00773AAE">
        <w:rPr>
          <w:color w:val="000000"/>
          <w:spacing w:val="4"/>
          <w:w w:val="83"/>
          <w:shd w:val="solid" w:color="000000" w:fill="000000"/>
          <w:fitText w:val="385" w:id="-606363133"/>
          <w14:textFill>
            <w14:solidFill>
              <w14:srgbClr w14:val="000000">
                <w14:alpha w14:val="100000"/>
              </w14:srgbClr>
            </w14:solidFill>
          </w14:textFill>
        </w:rPr>
        <w:t>|</w:t>
      </w:r>
      <w:r w:rsidR="00845A41">
        <w:t>)/$</w:t>
      </w:r>
      <w:r w:rsidR="00255D1B" w:rsidRPr="00773AAE">
        <w:rPr>
          <w:color w:val="000000"/>
          <w:w w:val="62"/>
          <w:shd w:val="solid" w:color="000000" w:fill="000000"/>
          <w:fitText w:val="400" w:id="-606363132"/>
          <w14:textFill>
            <w14:solidFill>
              <w14:srgbClr w14:val="000000">
                <w14:alpha w14:val="100000"/>
              </w14:srgbClr>
            </w14:solidFill>
          </w14:textFill>
        </w:rPr>
        <w:t>||</w:t>
      </w:r>
      <w:proofErr w:type="gramStart"/>
      <w:r w:rsidR="00255D1B" w:rsidRPr="00773AAE">
        <w:rPr>
          <w:color w:val="000000"/>
          <w:w w:val="62"/>
          <w:shd w:val="solid" w:color="000000" w:fill="000000"/>
          <w:fitText w:val="400" w:id="-606363132"/>
          <w14:textFill>
            <w14:solidFill>
              <w14:srgbClr w14:val="000000">
                <w14:alpha w14:val="100000"/>
              </w14:srgbClr>
            </w14:solidFill>
          </w14:textFill>
        </w:rPr>
        <w:t>|  |</w:t>
      </w:r>
      <w:proofErr w:type="gramEnd"/>
      <w:r w:rsidR="00255D1B" w:rsidRPr="00773AAE">
        <w:rPr>
          <w:color w:val="000000"/>
          <w:w w:val="62"/>
          <w:shd w:val="solid" w:color="000000" w:fill="000000"/>
          <w:fitText w:val="400" w:id="-606363132"/>
          <w14:textFill>
            <w14:solidFill>
              <w14:srgbClr w14:val="000000">
                <w14:alpha w14:val="100000"/>
              </w14:srgbClr>
            </w14:solidFill>
          </w14:textFill>
        </w:rPr>
        <w:t>|</w:t>
      </w:r>
      <w:r w:rsidR="00255D1B" w:rsidRPr="00773AAE">
        <w:rPr>
          <w:color w:val="000000"/>
          <w:spacing w:val="1"/>
          <w:w w:val="62"/>
          <w:shd w:val="solid" w:color="000000" w:fill="000000"/>
          <w:fitText w:val="400" w:id="-606363132"/>
          <w14:textFill>
            <w14:solidFill>
              <w14:srgbClr w14:val="000000">
                <w14:alpha w14:val="100000"/>
              </w14:srgbClr>
            </w14:solidFill>
          </w14:textFill>
        </w:rPr>
        <w:t>|</w:t>
      </w:r>
      <w:r w:rsidR="00845A41">
        <w:t xml:space="preserve"> from </w:t>
      </w:r>
      <w:r w:rsidR="00613CEE">
        <w:fldChar w:fldCharType="begin"/>
      </w:r>
      <w:r w:rsidR="00613CEE">
        <w:instrText xml:space="preserve"> REF _Ref206150009 \h </w:instrText>
      </w:r>
      <w:r w:rsidR="00613CEE">
        <w:fldChar w:fldCharType="separate"/>
      </w:r>
      <w:r w:rsidR="0055339A">
        <w:t xml:space="preserve">Table </w:t>
      </w:r>
      <w:r w:rsidR="0055339A">
        <w:rPr>
          <w:noProof/>
        </w:rPr>
        <w:t>8</w:t>
      </w:r>
      <w:r w:rsidR="00613CEE">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165ED" w14:textId="6191CE2C" w:rsidR="00255D1B" w:rsidRDefault="009E5642">
    <w:pPr>
      <w:pStyle w:val="Header"/>
    </w:pPr>
    <w:r>
      <w:rPr>
        <w:noProof/>
      </w:rPr>
      <mc:AlternateContent>
        <mc:Choice Requires="wps">
          <w:drawing>
            <wp:anchor distT="0" distB="0" distL="0" distR="0" simplePos="0" relativeHeight="251658241" behindDoc="0" locked="0" layoutInCell="1" allowOverlap="1" wp14:anchorId="319F48B9" wp14:editId="013B785D">
              <wp:simplePos x="635" y="635"/>
              <wp:positionH relativeFrom="page">
                <wp:align>center</wp:align>
              </wp:positionH>
              <wp:positionV relativeFrom="page">
                <wp:align>top</wp:align>
              </wp:positionV>
              <wp:extent cx="622300" cy="376555"/>
              <wp:effectExtent l="0" t="0" r="6350" b="4445"/>
              <wp:wrapNone/>
              <wp:docPr id="100246239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CE33D27" w14:textId="34ADEF63" w:rsidR="009E5642" w:rsidRPr="009E5642" w:rsidRDefault="009E5642" w:rsidP="009E5642">
                          <w:pPr>
                            <w:rPr>
                              <w:rFonts w:ascii="Aptos" w:eastAsia="Aptos" w:hAnsi="Aptos" w:cs="Aptos"/>
                              <w:noProof/>
                              <w:color w:val="FF0000"/>
                            </w:rPr>
                          </w:pPr>
                          <w:r w:rsidRPr="009E5642">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9F48B9"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7CE33D27" w14:textId="34ADEF63" w:rsidR="009E5642" w:rsidRPr="009E5642" w:rsidRDefault="009E5642" w:rsidP="009E5642">
                    <w:pPr>
                      <w:rPr>
                        <w:rFonts w:ascii="Aptos" w:eastAsia="Aptos" w:hAnsi="Aptos" w:cs="Aptos"/>
                        <w:noProof/>
                        <w:color w:val="FF0000"/>
                      </w:rPr>
                    </w:pPr>
                    <w:r w:rsidRPr="009E5642">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60575" w14:textId="4FA1069D" w:rsidR="00E92234" w:rsidRPr="00C56D78" w:rsidRDefault="009E5642" w:rsidP="00E92234">
    <w:pPr>
      <w:keepNext/>
      <w:tabs>
        <w:tab w:val="center" w:pos="4513"/>
        <w:tab w:val="right" w:pos="9026"/>
      </w:tabs>
      <w:jc w:val="center"/>
      <w:rPr>
        <w:rFonts w:asciiTheme="minorHAnsi" w:eastAsiaTheme="minorEastAsia" w:hAnsiTheme="minorHAnsi" w:cstheme="minorHAnsi"/>
        <w:i/>
        <w:color w:val="808080"/>
      </w:rPr>
    </w:pPr>
    <w:bookmarkStart w:id="23" w:name="_Hlk175733429"/>
    <w:r>
      <w:rPr>
        <w:rFonts w:asciiTheme="minorHAnsi" w:eastAsiaTheme="minorEastAsia" w:hAnsiTheme="minorHAnsi" w:cstheme="minorHAnsi"/>
        <w:i/>
        <w:noProof/>
        <w:color w:val="808080"/>
      </w:rPr>
      <mc:AlternateContent>
        <mc:Choice Requires="wps">
          <w:drawing>
            <wp:anchor distT="0" distB="0" distL="0" distR="0" simplePos="0" relativeHeight="251658242" behindDoc="0" locked="0" layoutInCell="1" allowOverlap="1" wp14:anchorId="6F87A739" wp14:editId="0F91E9D1">
              <wp:simplePos x="635" y="635"/>
              <wp:positionH relativeFrom="page">
                <wp:align>center</wp:align>
              </wp:positionH>
              <wp:positionV relativeFrom="page">
                <wp:align>top</wp:align>
              </wp:positionV>
              <wp:extent cx="622300" cy="376555"/>
              <wp:effectExtent l="0" t="0" r="6350" b="4445"/>
              <wp:wrapNone/>
              <wp:docPr id="4293559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DF6B7BE" w14:textId="5CF3E889" w:rsidR="009E5642" w:rsidRPr="009E5642" w:rsidRDefault="009E5642" w:rsidP="009E5642">
                          <w:pPr>
                            <w:rPr>
                              <w:rFonts w:ascii="Aptos" w:eastAsia="Aptos" w:hAnsi="Aptos" w:cs="Aptos"/>
                              <w:noProof/>
                              <w:color w:val="FF0000"/>
                            </w:rPr>
                          </w:pPr>
                          <w:r w:rsidRPr="009E5642">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87A739"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5DF6B7BE" w14:textId="5CF3E889" w:rsidR="009E5642" w:rsidRPr="009E5642" w:rsidRDefault="009E5642" w:rsidP="009E5642">
                    <w:pPr>
                      <w:rPr>
                        <w:rFonts w:ascii="Aptos" w:eastAsia="Aptos" w:hAnsi="Aptos" w:cs="Aptos"/>
                        <w:noProof/>
                        <w:color w:val="FF0000"/>
                      </w:rPr>
                    </w:pPr>
                    <w:r w:rsidRPr="009E5642">
                      <w:rPr>
                        <w:rFonts w:ascii="Aptos" w:eastAsia="Aptos" w:hAnsi="Aptos" w:cs="Aptos"/>
                        <w:noProof/>
                        <w:color w:val="FF0000"/>
                      </w:rPr>
                      <w:t>OFFICIAL</w:t>
                    </w:r>
                  </w:p>
                </w:txbxContent>
              </v:textbox>
              <w10:wrap anchorx="page" anchory="page"/>
            </v:shape>
          </w:pict>
        </mc:Fallback>
      </mc:AlternateContent>
    </w:r>
    <w:r w:rsidR="00E92234" w:rsidRPr="00F8602C">
      <w:rPr>
        <w:rFonts w:asciiTheme="minorHAnsi" w:eastAsiaTheme="minorEastAsia" w:hAnsiTheme="minorHAnsi" w:cstheme="minorHAnsi"/>
        <w:i/>
        <w:color w:val="808080"/>
      </w:rPr>
      <w:t xml:space="preserve">Public Summary Document </w:t>
    </w:r>
    <w:r w:rsidR="00E92234">
      <w:rPr>
        <w:rFonts w:asciiTheme="minorHAnsi" w:eastAsiaTheme="minorEastAsia" w:hAnsiTheme="minorHAnsi" w:cstheme="minorHAnsi"/>
        <w:i/>
        <w:color w:val="808080"/>
      </w:rPr>
      <w:t>– September 2025</w:t>
    </w:r>
    <w:r w:rsidR="00E92234" w:rsidRPr="00C56D78">
      <w:rPr>
        <w:rFonts w:asciiTheme="minorHAnsi" w:eastAsiaTheme="minorEastAsia" w:hAnsiTheme="minorHAnsi" w:cstheme="minorHAnsi"/>
        <w:i/>
        <w:color w:val="808080"/>
      </w:rPr>
      <w:t xml:space="preserve"> PBAC Meeting</w:t>
    </w:r>
  </w:p>
  <w:bookmarkEnd w:id="23"/>
  <w:p w14:paraId="74A766A4" w14:textId="77777777" w:rsidR="00240165" w:rsidRDefault="00240165" w:rsidP="007744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9DDE" w14:textId="6CB39D7A" w:rsidR="00255D1B" w:rsidRDefault="009E5642">
    <w:pPr>
      <w:pStyle w:val="Header"/>
    </w:pPr>
    <w:r>
      <w:rPr>
        <w:noProof/>
      </w:rPr>
      <mc:AlternateContent>
        <mc:Choice Requires="wps">
          <w:drawing>
            <wp:anchor distT="0" distB="0" distL="0" distR="0" simplePos="0" relativeHeight="251658240" behindDoc="0" locked="0" layoutInCell="1" allowOverlap="1" wp14:anchorId="41AD4ED3" wp14:editId="234F350E">
              <wp:simplePos x="635" y="635"/>
              <wp:positionH relativeFrom="page">
                <wp:align>center</wp:align>
              </wp:positionH>
              <wp:positionV relativeFrom="page">
                <wp:align>top</wp:align>
              </wp:positionV>
              <wp:extent cx="622300" cy="376555"/>
              <wp:effectExtent l="0" t="0" r="6350" b="4445"/>
              <wp:wrapNone/>
              <wp:docPr id="117538815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73DA5CE" w14:textId="130ECE05" w:rsidR="009E5642" w:rsidRPr="009E5642" w:rsidRDefault="009E5642" w:rsidP="009E5642">
                          <w:pPr>
                            <w:rPr>
                              <w:rFonts w:ascii="Aptos" w:eastAsia="Aptos" w:hAnsi="Aptos" w:cs="Aptos"/>
                              <w:noProof/>
                              <w:color w:val="FF0000"/>
                            </w:rPr>
                          </w:pPr>
                          <w:r w:rsidRPr="009E5642">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AD4ED3"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773DA5CE" w14:textId="130ECE05" w:rsidR="009E5642" w:rsidRPr="009E5642" w:rsidRDefault="009E5642" w:rsidP="009E5642">
                    <w:pPr>
                      <w:rPr>
                        <w:rFonts w:ascii="Aptos" w:eastAsia="Aptos" w:hAnsi="Aptos" w:cs="Aptos"/>
                        <w:noProof/>
                        <w:color w:val="FF0000"/>
                      </w:rPr>
                    </w:pPr>
                    <w:r w:rsidRPr="009E5642">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C2302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2" w15:restartNumberingAfterBreak="0">
    <w:nsid w:val="FFFFFF89"/>
    <w:multiLevelType w:val="hybridMultilevel"/>
    <w:tmpl w:val="CCF096A6"/>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3" w15:restartNumberingAfterBreak="0">
    <w:nsid w:val="0820590D"/>
    <w:multiLevelType w:val="hybridMultilevel"/>
    <w:tmpl w:val="1E805D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8D7559F"/>
    <w:multiLevelType w:val="hybridMultilevel"/>
    <w:tmpl w:val="D6B687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22E66C7"/>
    <w:multiLevelType w:val="hybridMultilevel"/>
    <w:tmpl w:val="C71CF692"/>
    <w:lvl w:ilvl="0" w:tplc="02969626">
      <w:start w:val="1"/>
      <w:numFmt w:val="bullet"/>
      <w:pStyle w:val="ListBulletlvl2"/>
      <w:lvlText w:val=""/>
      <w:lvlJc w:val="left"/>
      <w:pPr>
        <w:ind w:left="717" w:hanging="360"/>
      </w:pPr>
      <w:rPr>
        <w:rFonts w:ascii="Symbol" w:hAnsi="Symbol" w:hint="default"/>
      </w:rPr>
    </w:lvl>
    <w:lvl w:ilvl="1" w:tplc="B0A097FE">
      <w:start w:val="1"/>
      <w:numFmt w:val="bullet"/>
      <w:pStyle w:val="ListBulletlvl2"/>
      <w:lvlText w:val="o"/>
      <w:lvlJc w:val="left"/>
      <w:pPr>
        <w:ind w:left="1440" w:hanging="360"/>
      </w:pPr>
      <w:rPr>
        <w:rFonts w:ascii="Courier New" w:hAnsi="Courier New" w:cs="Courier New" w:hint="default"/>
      </w:rPr>
    </w:lvl>
    <w:lvl w:ilvl="2" w:tplc="D29405D6">
      <w:start w:val="1"/>
      <w:numFmt w:val="bullet"/>
      <w:lvlText w:val=""/>
      <w:lvlJc w:val="left"/>
      <w:pPr>
        <w:ind w:left="2160" w:hanging="360"/>
      </w:pPr>
      <w:rPr>
        <w:rFonts w:ascii="Wingdings" w:hAnsi="Wingdings" w:hint="default"/>
      </w:rPr>
    </w:lvl>
    <w:lvl w:ilvl="3" w:tplc="E382A41C">
      <w:start w:val="1"/>
      <w:numFmt w:val="bullet"/>
      <w:lvlText w:val=""/>
      <w:lvlJc w:val="left"/>
      <w:pPr>
        <w:ind w:left="2880" w:hanging="360"/>
      </w:pPr>
      <w:rPr>
        <w:rFonts w:ascii="Symbol" w:hAnsi="Symbol" w:hint="default"/>
      </w:rPr>
    </w:lvl>
    <w:lvl w:ilvl="4" w:tplc="9CB8CFEE">
      <w:start w:val="1"/>
      <w:numFmt w:val="bullet"/>
      <w:lvlText w:val="o"/>
      <w:lvlJc w:val="left"/>
      <w:pPr>
        <w:ind w:left="3600" w:hanging="360"/>
      </w:pPr>
      <w:rPr>
        <w:rFonts w:ascii="Courier New" w:hAnsi="Courier New" w:cs="Courier New" w:hint="default"/>
      </w:rPr>
    </w:lvl>
    <w:lvl w:ilvl="5" w:tplc="E3EA1444">
      <w:start w:val="1"/>
      <w:numFmt w:val="bullet"/>
      <w:lvlText w:val=""/>
      <w:lvlJc w:val="left"/>
      <w:pPr>
        <w:ind w:left="4320" w:hanging="360"/>
      </w:pPr>
      <w:rPr>
        <w:rFonts w:ascii="Wingdings" w:hAnsi="Wingdings" w:hint="default"/>
      </w:rPr>
    </w:lvl>
    <w:lvl w:ilvl="6" w:tplc="CE6475DA">
      <w:start w:val="1"/>
      <w:numFmt w:val="bullet"/>
      <w:lvlText w:val=""/>
      <w:lvlJc w:val="left"/>
      <w:pPr>
        <w:ind w:left="5040" w:hanging="360"/>
      </w:pPr>
      <w:rPr>
        <w:rFonts w:ascii="Symbol" w:hAnsi="Symbol" w:hint="default"/>
      </w:rPr>
    </w:lvl>
    <w:lvl w:ilvl="7" w:tplc="955A214A">
      <w:start w:val="1"/>
      <w:numFmt w:val="bullet"/>
      <w:lvlText w:val="o"/>
      <w:lvlJc w:val="left"/>
      <w:pPr>
        <w:ind w:left="5760" w:hanging="360"/>
      </w:pPr>
      <w:rPr>
        <w:rFonts w:ascii="Courier New" w:hAnsi="Courier New" w:cs="Courier New" w:hint="default"/>
      </w:rPr>
    </w:lvl>
    <w:lvl w:ilvl="8" w:tplc="81C04A4A">
      <w:start w:val="1"/>
      <w:numFmt w:val="bullet"/>
      <w:lvlText w:val=""/>
      <w:lvlJc w:val="left"/>
      <w:pPr>
        <w:ind w:left="6480" w:hanging="360"/>
      </w:pPr>
      <w:rPr>
        <w:rFonts w:ascii="Wingdings" w:hAnsi="Wingdings" w:hint="default"/>
      </w:rPr>
    </w:lvl>
  </w:abstractNum>
  <w:abstractNum w:abstractNumId="6" w15:restartNumberingAfterBreak="0">
    <w:nsid w:val="25630C2D"/>
    <w:multiLevelType w:val="multilevel"/>
    <w:tmpl w:val="B39E4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AE2EB9"/>
    <w:multiLevelType w:val="hybridMultilevel"/>
    <w:tmpl w:val="4DA08654"/>
    <w:lvl w:ilvl="0" w:tplc="C6C4E9FE">
      <w:start w:val="1"/>
      <w:numFmt w:val="decimal"/>
      <w:lvlText w:val="%1."/>
      <w:lvlJc w:val="left"/>
      <w:pPr>
        <w:tabs>
          <w:tab w:val="num" w:pos="720"/>
        </w:tabs>
        <w:ind w:left="720" w:hanging="360"/>
      </w:pPr>
    </w:lvl>
    <w:lvl w:ilvl="1" w:tplc="4D4CD046" w:tentative="1">
      <w:start w:val="1"/>
      <w:numFmt w:val="decimal"/>
      <w:lvlText w:val="%2."/>
      <w:lvlJc w:val="left"/>
      <w:pPr>
        <w:tabs>
          <w:tab w:val="num" w:pos="1440"/>
        </w:tabs>
        <w:ind w:left="1440" w:hanging="360"/>
      </w:pPr>
    </w:lvl>
    <w:lvl w:ilvl="2" w:tplc="BE7E913A" w:tentative="1">
      <w:start w:val="1"/>
      <w:numFmt w:val="decimal"/>
      <w:lvlText w:val="%3."/>
      <w:lvlJc w:val="left"/>
      <w:pPr>
        <w:tabs>
          <w:tab w:val="num" w:pos="2160"/>
        </w:tabs>
        <w:ind w:left="2160" w:hanging="360"/>
      </w:pPr>
    </w:lvl>
    <w:lvl w:ilvl="3" w:tplc="CA12B0A0" w:tentative="1">
      <w:start w:val="1"/>
      <w:numFmt w:val="decimal"/>
      <w:lvlText w:val="%4."/>
      <w:lvlJc w:val="left"/>
      <w:pPr>
        <w:tabs>
          <w:tab w:val="num" w:pos="2880"/>
        </w:tabs>
        <w:ind w:left="2880" w:hanging="360"/>
      </w:pPr>
    </w:lvl>
    <w:lvl w:ilvl="4" w:tplc="97481800" w:tentative="1">
      <w:start w:val="1"/>
      <w:numFmt w:val="decimal"/>
      <w:lvlText w:val="%5."/>
      <w:lvlJc w:val="left"/>
      <w:pPr>
        <w:tabs>
          <w:tab w:val="num" w:pos="3600"/>
        </w:tabs>
        <w:ind w:left="3600" w:hanging="360"/>
      </w:pPr>
    </w:lvl>
    <w:lvl w:ilvl="5" w:tplc="0EFEA9CE" w:tentative="1">
      <w:start w:val="1"/>
      <w:numFmt w:val="decimal"/>
      <w:lvlText w:val="%6."/>
      <w:lvlJc w:val="left"/>
      <w:pPr>
        <w:tabs>
          <w:tab w:val="num" w:pos="4320"/>
        </w:tabs>
        <w:ind w:left="4320" w:hanging="360"/>
      </w:pPr>
    </w:lvl>
    <w:lvl w:ilvl="6" w:tplc="B7BE9436" w:tentative="1">
      <w:start w:val="1"/>
      <w:numFmt w:val="decimal"/>
      <w:lvlText w:val="%7."/>
      <w:lvlJc w:val="left"/>
      <w:pPr>
        <w:tabs>
          <w:tab w:val="num" w:pos="5040"/>
        </w:tabs>
        <w:ind w:left="5040" w:hanging="360"/>
      </w:pPr>
    </w:lvl>
    <w:lvl w:ilvl="7" w:tplc="5E9E4A22" w:tentative="1">
      <w:start w:val="1"/>
      <w:numFmt w:val="decimal"/>
      <w:lvlText w:val="%8."/>
      <w:lvlJc w:val="left"/>
      <w:pPr>
        <w:tabs>
          <w:tab w:val="num" w:pos="5760"/>
        </w:tabs>
        <w:ind w:left="5760" w:hanging="360"/>
      </w:pPr>
    </w:lvl>
    <w:lvl w:ilvl="8" w:tplc="81ECA076" w:tentative="1">
      <w:start w:val="1"/>
      <w:numFmt w:val="decimal"/>
      <w:lvlText w:val="%9."/>
      <w:lvlJc w:val="left"/>
      <w:pPr>
        <w:tabs>
          <w:tab w:val="num" w:pos="6480"/>
        </w:tabs>
        <w:ind w:left="6480" w:hanging="360"/>
      </w:pPr>
    </w:lvl>
  </w:abstractNum>
  <w:abstractNum w:abstractNumId="8"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0346AD7"/>
    <w:multiLevelType w:val="hybridMultilevel"/>
    <w:tmpl w:val="0EE23B36"/>
    <w:lvl w:ilvl="0" w:tplc="A22E5F3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49A2C56"/>
    <w:multiLevelType w:val="hybridMultilevel"/>
    <w:tmpl w:val="81FC34C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B0314D2"/>
    <w:multiLevelType w:val="hybridMultilevel"/>
    <w:tmpl w:val="F19E003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9B0E61"/>
    <w:multiLevelType w:val="hybridMultilevel"/>
    <w:tmpl w:val="58CAAE7C"/>
    <w:lvl w:ilvl="0" w:tplc="023293D0">
      <w:start w:val="1"/>
      <w:numFmt w:val="decimal"/>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3" w15:restartNumberingAfterBreak="0">
    <w:nsid w:val="43EA3076"/>
    <w:multiLevelType w:val="hybridMultilevel"/>
    <w:tmpl w:val="A32AFF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4B997143"/>
    <w:multiLevelType w:val="hybridMultilevel"/>
    <w:tmpl w:val="5A283808"/>
    <w:lvl w:ilvl="0" w:tplc="2CB6BF36">
      <w:start w:val="2025"/>
      <w:numFmt w:val="bullet"/>
      <w:lvlText w:val="-"/>
      <w:lvlJc w:val="left"/>
      <w:pPr>
        <w:ind w:left="360" w:hanging="360"/>
      </w:pPr>
      <w:rPr>
        <w:rFonts w:ascii="Arial Narrow" w:eastAsia="Times New Roman" w:hAnsi="Arial Narrow"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DE63ADB"/>
    <w:multiLevelType w:val="hybridMultilevel"/>
    <w:tmpl w:val="63DA2FA6"/>
    <w:lvl w:ilvl="0" w:tplc="83CA7A2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456899"/>
    <w:multiLevelType w:val="multilevel"/>
    <w:tmpl w:val="31027912"/>
    <w:lvl w:ilvl="0">
      <w:start w:val="1"/>
      <w:numFmt w:val="bullet"/>
      <w:pStyle w:val="PBACESParagraphBulletPoint"/>
      <w:lvlText w:val=""/>
      <w:lvlJc w:val="left"/>
      <w:pPr>
        <w:ind w:left="1494" w:hanging="360"/>
      </w:pPr>
      <w:rPr>
        <w:rFonts w:ascii="Symbol" w:hAnsi="Symbol" w:hint="default"/>
      </w:rPr>
    </w:lvl>
    <w:lvl w:ilvl="1">
      <w:start w:val="1"/>
      <w:numFmt w:val="bullet"/>
      <w:lvlText w:val=""/>
      <w:lvlJc w:val="left"/>
      <w:pPr>
        <w:ind w:left="1905" w:hanging="374"/>
      </w:pPr>
      <w:rPr>
        <w:rFonts w:ascii="Symbol" w:hAnsi="Symbol" w:hint="default"/>
      </w:rPr>
    </w:lvl>
    <w:lvl w:ilvl="2">
      <w:start w:val="1"/>
      <w:numFmt w:val="bullet"/>
      <w:lvlText w:val=""/>
      <w:lvlJc w:val="left"/>
      <w:pPr>
        <w:ind w:left="2302" w:hanging="374"/>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DAC5FFD"/>
    <w:multiLevelType w:val="multilevel"/>
    <w:tmpl w:val="DF5A076E"/>
    <w:lvl w:ilvl="0">
      <w:start w:val="1"/>
      <w:numFmt w:val="decimal"/>
      <w:pStyle w:val="2-SectionHeading"/>
      <w:lvlText w:val="%1"/>
      <w:lvlJc w:val="left"/>
      <w:pPr>
        <w:ind w:left="720" w:hanging="720"/>
      </w:pPr>
      <w:rPr>
        <w:rFonts w:hint="default"/>
      </w:rPr>
    </w:lvl>
    <w:lvl w:ilvl="1">
      <w:start w:val="1"/>
      <w:numFmt w:val="decimal"/>
      <w:pStyle w:val="3-BodyText"/>
      <w:lvlText w:val="%1.%2"/>
      <w:lvlJc w:val="left"/>
      <w:pPr>
        <w:ind w:left="4690" w:hanging="720"/>
      </w:pPr>
      <w:rPr>
        <w:rFonts w:hint="default"/>
        <w:i w:val="0"/>
        <w:iCs w:val="0"/>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15:restartNumberingAfterBreak="0">
    <w:nsid w:val="608E7BF5"/>
    <w:multiLevelType w:val="multilevel"/>
    <w:tmpl w:val="5092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EA6AE0"/>
    <w:multiLevelType w:val="hybridMultilevel"/>
    <w:tmpl w:val="C6C2BAA6"/>
    <w:lvl w:ilvl="0" w:tplc="5BE25538">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68E2A00"/>
    <w:multiLevelType w:val="hybridMultilevel"/>
    <w:tmpl w:val="A31838CE"/>
    <w:lvl w:ilvl="0" w:tplc="9C7EF5F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945511A"/>
    <w:multiLevelType w:val="hybridMultilevel"/>
    <w:tmpl w:val="46663C72"/>
    <w:lvl w:ilvl="0" w:tplc="2BA6E7EA">
      <w:start w:val="1"/>
      <w:numFmt w:val="lowerRoman"/>
      <w:lvlText w:val="%1."/>
      <w:lvlJc w:val="left"/>
      <w:pPr>
        <w:ind w:left="1440" w:hanging="360"/>
      </w:pPr>
      <w:rPr>
        <w:rFonts w:asciiTheme="minorHAnsi" w:eastAsia="Times New Roman" w:hAnsiTheme="minorHAnsi" w:cs="Arial"/>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6AAA583B"/>
    <w:multiLevelType w:val="hybridMultilevel"/>
    <w:tmpl w:val="170809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DBF0FD1"/>
    <w:multiLevelType w:val="hybridMultilevel"/>
    <w:tmpl w:val="ED3EF0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FEC02A8"/>
    <w:multiLevelType w:val="hybridMultilevel"/>
    <w:tmpl w:val="BFE2F65C"/>
    <w:lvl w:ilvl="0" w:tplc="E9804FB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73585A02"/>
    <w:multiLevelType w:val="multilevel"/>
    <w:tmpl w:val="B250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4D033C"/>
    <w:multiLevelType w:val="multilevel"/>
    <w:tmpl w:val="74B25D22"/>
    <w:lvl w:ilvl="0">
      <w:start w:val="1"/>
      <w:numFmt w:val="decimal"/>
      <w:lvlText w:val="%1"/>
      <w:lvlJc w:val="left"/>
      <w:pPr>
        <w:ind w:left="720" w:hanging="720"/>
      </w:pPr>
      <w:rPr>
        <w:rFonts w:hint="default"/>
        <w:b/>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BBB7FF1"/>
    <w:multiLevelType w:val="hybridMultilevel"/>
    <w:tmpl w:val="2D0EB5F2"/>
    <w:lvl w:ilvl="0" w:tplc="B716613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7FC508A7"/>
    <w:multiLevelType w:val="hybridMultilevel"/>
    <w:tmpl w:val="5AC840D6"/>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80194493">
    <w:abstractNumId w:val="27"/>
  </w:num>
  <w:num w:numId="2" w16cid:durableId="1882206996">
    <w:abstractNumId w:val="1"/>
  </w:num>
  <w:num w:numId="3" w16cid:durableId="1742173966">
    <w:abstractNumId w:val="18"/>
  </w:num>
  <w:num w:numId="4" w16cid:durableId="558178083">
    <w:abstractNumId w:val="28"/>
  </w:num>
  <w:num w:numId="5" w16cid:durableId="444814543">
    <w:abstractNumId w:val="25"/>
  </w:num>
  <w:num w:numId="6" w16cid:durableId="856234780">
    <w:abstractNumId w:val="15"/>
  </w:num>
  <w:num w:numId="7" w16cid:durableId="1011836811">
    <w:abstractNumId w:val="12"/>
  </w:num>
  <w:num w:numId="8" w16cid:durableId="1603219091">
    <w:abstractNumId w:val="2"/>
  </w:num>
  <w:num w:numId="9" w16cid:durableId="848836742">
    <w:abstractNumId w:val="27"/>
  </w:num>
  <w:num w:numId="10" w16cid:durableId="1220363501">
    <w:abstractNumId w:val="22"/>
  </w:num>
  <w:num w:numId="11" w16cid:durableId="126514491">
    <w:abstractNumId w:val="8"/>
  </w:num>
  <w:num w:numId="12" w16cid:durableId="1661041264">
    <w:abstractNumId w:val="9"/>
  </w:num>
  <w:num w:numId="13" w16cid:durableId="1284578124">
    <w:abstractNumId w:val="27"/>
  </w:num>
  <w:num w:numId="14" w16cid:durableId="637803714">
    <w:abstractNumId w:val="27"/>
  </w:num>
  <w:num w:numId="15" w16cid:durableId="1724140396">
    <w:abstractNumId w:val="18"/>
  </w:num>
  <w:num w:numId="16" w16cid:durableId="1119836982">
    <w:abstractNumId w:val="17"/>
  </w:num>
  <w:num w:numId="17" w16cid:durableId="339351848">
    <w:abstractNumId w:val="16"/>
  </w:num>
  <w:num w:numId="18" w16cid:durableId="1908880398">
    <w:abstractNumId w:val="20"/>
  </w:num>
  <w:num w:numId="19" w16cid:durableId="1400788614">
    <w:abstractNumId w:val="26"/>
  </w:num>
  <w:num w:numId="20" w16cid:durableId="388309487">
    <w:abstractNumId w:val="14"/>
  </w:num>
  <w:num w:numId="21" w16cid:durableId="923992229">
    <w:abstractNumId w:val="19"/>
  </w:num>
  <w:num w:numId="22" w16cid:durableId="1743992125">
    <w:abstractNumId w:val="6"/>
  </w:num>
  <w:num w:numId="23" w16cid:durableId="1686057616">
    <w:abstractNumId w:val="23"/>
  </w:num>
  <w:num w:numId="24" w16cid:durableId="1362055066">
    <w:abstractNumId w:val="0"/>
  </w:num>
  <w:num w:numId="25" w16cid:durableId="1807114640">
    <w:abstractNumId w:val="18"/>
  </w:num>
  <w:num w:numId="26" w16cid:durableId="722022906">
    <w:abstractNumId w:val="3"/>
  </w:num>
  <w:num w:numId="27" w16cid:durableId="1294139634">
    <w:abstractNumId w:val="5"/>
  </w:num>
  <w:num w:numId="28" w16cid:durableId="1084110523">
    <w:abstractNumId w:val="11"/>
  </w:num>
  <w:num w:numId="29" w16cid:durableId="943151236">
    <w:abstractNumId w:val="4"/>
  </w:num>
  <w:num w:numId="30" w16cid:durableId="585574167">
    <w:abstractNumId w:val="21"/>
  </w:num>
  <w:num w:numId="31" w16cid:durableId="1297447429">
    <w:abstractNumId w:val="24"/>
  </w:num>
  <w:num w:numId="32" w16cid:durableId="1649360280">
    <w:abstractNumId w:val="29"/>
  </w:num>
  <w:num w:numId="33" w16cid:durableId="122309167">
    <w:abstractNumId w:val="10"/>
  </w:num>
  <w:num w:numId="34" w16cid:durableId="998774465">
    <w:abstractNumId w:val="7"/>
  </w:num>
  <w:num w:numId="35" w16cid:durableId="55397723">
    <w:abstractNumId w:val="18"/>
  </w:num>
  <w:num w:numId="36" w16cid:durableId="459031731">
    <w:abstractNumId w:val="18"/>
  </w:num>
  <w:num w:numId="37" w16cid:durableId="80851908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1484"/>
    <w:rsid w:val="000014DF"/>
    <w:rsid w:val="00001663"/>
    <w:rsid w:val="00001879"/>
    <w:rsid w:val="000022C8"/>
    <w:rsid w:val="0000231A"/>
    <w:rsid w:val="00002352"/>
    <w:rsid w:val="000024D8"/>
    <w:rsid w:val="000025AD"/>
    <w:rsid w:val="0000335D"/>
    <w:rsid w:val="00004B94"/>
    <w:rsid w:val="00005968"/>
    <w:rsid w:val="00010333"/>
    <w:rsid w:val="00011622"/>
    <w:rsid w:val="00011A59"/>
    <w:rsid w:val="000130D4"/>
    <w:rsid w:val="000149E6"/>
    <w:rsid w:val="00015723"/>
    <w:rsid w:val="00015792"/>
    <w:rsid w:val="00015B02"/>
    <w:rsid w:val="00016A41"/>
    <w:rsid w:val="00016F40"/>
    <w:rsid w:val="00017C45"/>
    <w:rsid w:val="00017CF0"/>
    <w:rsid w:val="00020872"/>
    <w:rsid w:val="00020CCB"/>
    <w:rsid w:val="000214D1"/>
    <w:rsid w:val="00021AC0"/>
    <w:rsid w:val="00021D95"/>
    <w:rsid w:val="000227A7"/>
    <w:rsid w:val="0002464A"/>
    <w:rsid w:val="0002483F"/>
    <w:rsid w:val="00025A04"/>
    <w:rsid w:val="00026219"/>
    <w:rsid w:val="000265C7"/>
    <w:rsid w:val="00027941"/>
    <w:rsid w:val="0003002D"/>
    <w:rsid w:val="0003050E"/>
    <w:rsid w:val="0003106B"/>
    <w:rsid w:val="000325CA"/>
    <w:rsid w:val="00032A98"/>
    <w:rsid w:val="00033AB8"/>
    <w:rsid w:val="00033C1D"/>
    <w:rsid w:val="00034905"/>
    <w:rsid w:val="00034B63"/>
    <w:rsid w:val="00035522"/>
    <w:rsid w:val="00037564"/>
    <w:rsid w:val="00040520"/>
    <w:rsid w:val="00041BBC"/>
    <w:rsid w:val="0004210A"/>
    <w:rsid w:val="000421A1"/>
    <w:rsid w:val="0004240E"/>
    <w:rsid w:val="0004412E"/>
    <w:rsid w:val="00044EC4"/>
    <w:rsid w:val="00045E26"/>
    <w:rsid w:val="00046AB4"/>
    <w:rsid w:val="000514B5"/>
    <w:rsid w:val="000519D4"/>
    <w:rsid w:val="00051BB2"/>
    <w:rsid w:val="0005271E"/>
    <w:rsid w:val="00052BBB"/>
    <w:rsid w:val="0005322E"/>
    <w:rsid w:val="00053E2B"/>
    <w:rsid w:val="00054E2B"/>
    <w:rsid w:val="0005530F"/>
    <w:rsid w:val="000555F7"/>
    <w:rsid w:val="00055E27"/>
    <w:rsid w:val="00055EC7"/>
    <w:rsid w:val="00056D7B"/>
    <w:rsid w:val="00060E64"/>
    <w:rsid w:val="00060F66"/>
    <w:rsid w:val="0006225B"/>
    <w:rsid w:val="000626C0"/>
    <w:rsid w:val="0006310E"/>
    <w:rsid w:val="00064731"/>
    <w:rsid w:val="0006571B"/>
    <w:rsid w:val="00066193"/>
    <w:rsid w:val="00066755"/>
    <w:rsid w:val="00066CCA"/>
    <w:rsid w:val="00067B6B"/>
    <w:rsid w:val="00067FA1"/>
    <w:rsid w:val="000701EC"/>
    <w:rsid w:val="000709EB"/>
    <w:rsid w:val="00071A5B"/>
    <w:rsid w:val="00072800"/>
    <w:rsid w:val="0007337F"/>
    <w:rsid w:val="00074A36"/>
    <w:rsid w:val="000763D5"/>
    <w:rsid w:val="000764E7"/>
    <w:rsid w:val="00076C38"/>
    <w:rsid w:val="00076F3C"/>
    <w:rsid w:val="00077143"/>
    <w:rsid w:val="00077DF7"/>
    <w:rsid w:val="0008050C"/>
    <w:rsid w:val="0008117F"/>
    <w:rsid w:val="0008180C"/>
    <w:rsid w:val="0008195E"/>
    <w:rsid w:val="00081EEE"/>
    <w:rsid w:val="00082169"/>
    <w:rsid w:val="0008221E"/>
    <w:rsid w:val="00082CDE"/>
    <w:rsid w:val="000834BE"/>
    <w:rsid w:val="00083F01"/>
    <w:rsid w:val="00087C4C"/>
    <w:rsid w:val="000918CB"/>
    <w:rsid w:val="00091A3D"/>
    <w:rsid w:val="00091B06"/>
    <w:rsid w:val="000920B4"/>
    <w:rsid w:val="0009244B"/>
    <w:rsid w:val="0009349F"/>
    <w:rsid w:val="00093F1B"/>
    <w:rsid w:val="00093F39"/>
    <w:rsid w:val="0009400A"/>
    <w:rsid w:val="000948CE"/>
    <w:rsid w:val="00094901"/>
    <w:rsid w:val="000951C4"/>
    <w:rsid w:val="0009531B"/>
    <w:rsid w:val="000958D5"/>
    <w:rsid w:val="00095ADA"/>
    <w:rsid w:val="00095D3F"/>
    <w:rsid w:val="00095F71"/>
    <w:rsid w:val="000968E4"/>
    <w:rsid w:val="00096984"/>
    <w:rsid w:val="000969AD"/>
    <w:rsid w:val="00097493"/>
    <w:rsid w:val="000975FB"/>
    <w:rsid w:val="000A0652"/>
    <w:rsid w:val="000A1371"/>
    <w:rsid w:val="000A29D0"/>
    <w:rsid w:val="000A2AB2"/>
    <w:rsid w:val="000A2E7A"/>
    <w:rsid w:val="000A35DC"/>
    <w:rsid w:val="000A3AA2"/>
    <w:rsid w:val="000A3C2C"/>
    <w:rsid w:val="000A44B2"/>
    <w:rsid w:val="000A474D"/>
    <w:rsid w:val="000A4A8C"/>
    <w:rsid w:val="000A52F6"/>
    <w:rsid w:val="000A5549"/>
    <w:rsid w:val="000A7A41"/>
    <w:rsid w:val="000B0FA5"/>
    <w:rsid w:val="000B1C13"/>
    <w:rsid w:val="000B3A02"/>
    <w:rsid w:val="000B407A"/>
    <w:rsid w:val="000B44C3"/>
    <w:rsid w:val="000B4543"/>
    <w:rsid w:val="000B5366"/>
    <w:rsid w:val="000B558D"/>
    <w:rsid w:val="000B55E6"/>
    <w:rsid w:val="000B5A89"/>
    <w:rsid w:val="000B65F6"/>
    <w:rsid w:val="000B6CCF"/>
    <w:rsid w:val="000B7084"/>
    <w:rsid w:val="000B7767"/>
    <w:rsid w:val="000C3334"/>
    <w:rsid w:val="000C55DE"/>
    <w:rsid w:val="000C5F95"/>
    <w:rsid w:val="000C6982"/>
    <w:rsid w:val="000C6996"/>
    <w:rsid w:val="000C7B9B"/>
    <w:rsid w:val="000C7C46"/>
    <w:rsid w:val="000D09E9"/>
    <w:rsid w:val="000D113F"/>
    <w:rsid w:val="000D11CE"/>
    <w:rsid w:val="000D1D43"/>
    <w:rsid w:val="000D23BA"/>
    <w:rsid w:val="000D3435"/>
    <w:rsid w:val="000D4425"/>
    <w:rsid w:val="000D5ED5"/>
    <w:rsid w:val="000D61FD"/>
    <w:rsid w:val="000D6F1C"/>
    <w:rsid w:val="000D76CC"/>
    <w:rsid w:val="000E19B7"/>
    <w:rsid w:val="000E2015"/>
    <w:rsid w:val="000E20FC"/>
    <w:rsid w:val="000E35A3"/>
    <w:rsid w:val="000E39FE"/>
    <w:rsid w:val="000E3DFB"/>
    <w:rsid w:val="000E485F"/>
    <w:rsid w:val="000E5E12"/>
    <w:rsid w:val="000E5EA1"/>
    <w:rsid w:val="000E6467"/>
    <w:rsid w:val="000E6509"/>
    <w:rsid w:val="000E681E"/>
    <w:rsid w:val="000E69C4"/>
    <w:rsid w:val="000E6D39"/>
    <w:rsid w:val="000E7E52"/>
    <w:rsid w:val="000F0003"/>
    <w:rsid w:val="000F1823"/>
    <w:rsid w:val="000F2F0D"/>
    <w:rsid w:val="000F3384"/>
    <w:rsid w:val="000F4E6A"/>
    <w:rsid w:val="000F6BA0"/>
    <w:rsid w:val="000F7354"/>
    <w:rsid w:val="000F73B2"/>
    <w:rsid w:val="00100316"/>
    <w:rsid w:val="00101ABE"/>
    <w:rsid w:val="00102202"/>
    <w:rsid w:val="00102700"/>
    <w:rsid w:val="0010289B"/>
    <w:rsid w:val="00102A78"/>
    <w:rsid w:val="00102CD1"/>
    <w:rsid w:val="00103118"/>
    <w:rsid w:val="00103AA9"/>
    <w:rsid w:val="00103D7E"/>
    <w:rsid w:val="00103E5C"/>
    <w:rsid w:val="00104227"/>
    <w:rsid w:val="00104A50"/>
    <w:rsid w:val="001054B6"/>
    <w:rsid w:val="00105877"/>
    <w:rsid w:val="00105CC5"/>
    <w:rsid w:val="0010648B"/>
    <w:rsid w:val="001067C8"/>
    <w:rsid w:val="00106C89"/>
    <w:rsid w:val="001107BF"/>
    <w:rsid w:val="0011091B"/>
    <w:rsid w:val="00110AFB"/>
    <w:rsid w:val="001117B7"/>
    <w:rsid w:val="0011210C"/>
    <w:rsid w:val="00113649"/>
    <w:rsid w:val="00113903"/>
    <w:rsid w:val="00113D5C"/>
    <w:rsid w:val="00115442"/>
    <w:rsid w:val="00115898"/>
    <w:rsid w:val="00120436"/>
    <w:rsid w:val="00121850"/>
    <w:rsid w:val="00121EE2"/>
    <w:rsid w:val="00122902"/>
    <w:rsid w:val="00123493"/>
    <w:rsid w:val="0012417C"/>
    <w:rsid w:val="00124BF2"/>
    <w:rsid w:val="0012597F"/>
    <w:rsid w:val="00125A05"/>
    <w:rsid w:val="001269FC"/>
    <w:rsid w:val="00126AC2"/>
    <w:rsid w:val="0012749D"/>
    <w:rsid w:val="001306A5"/>
    <w:rsid w:val="00130796"/>
    <w:rsid w:val="00130B85"/>
    <w:rsid w:val="001311AE"/>
    <w:rsid w:val="001343EC"/>
    <w:rsid w:val="00134F60"/>
    <w:rsid w:val="00134FA8"/>
    <w:rsid w:val="00135AB1"/>
    <w:rsid w:val="00136714"/>
    <w:rsid w:val="001378C5"/>
    <w:rsid w:val="00137E69"/>
    <w:rsid w:val="00140B74"/>
    <w:rsid w:val="00140D94"/>
    <w:rsid w:val="00140E5F"/>
    <w:rsid w:val="00142395"/>
    <w:rsid w:val="00142714"/>
    <w:rsid w:val="001436CF"/>
    <w:rsid w:val="001441EB"/>
    <w:rsid w:val="00144813"/>
    <w:rsid w:val="00144D09"/>
    <w:rsid w:val="001452ED"/>
    <w:rsid w:val="0014622E"/>
    <w:rsid w:val="001463F8"/>
    <w:rsid w:val="00146B63"/>
    <w:rsid w:val="00147566"/>
    <w:rsid w:val="00147D84"/>
    <w:rsid w:val="001501E5"/>
    <w:rsid w:val="00150BD6"/>
    <w:rsid w:val="00151E3D"/>
    <w:rsid w:val="0015269C"/>
    <w:rsid w:val="001549C1"/>
    <w:rsid w:val="00154A37"/>
    <w:rsid w:val="00155D3C"/>
    <w:rsid w:val="00156C8D"/>
    <w:rsid w:val="0015794B"/>
    <w:rsid w:val="00160332"/>
    <w:rsid w:val="00160732"/>
    <w:rsid w:val="00160DB3"/>
    <w:rsid w:val="00160F4D"/>
    <w:rsid w:val="001613B1"/>
    <w:rsid w:val="001614A3"/>
    <w:rsid w:val="0016214F"/>
    <w:rsid w:val="00162BDD"/>
    <w:rsid w:val="00162D4E"/>
    <w:rsid w:val="00163097"/>
    <w:rsid w:val="00163329"/>
    <w:rsid w:val="00164623"/>
    <w:rsid w:val="00164ED6"/>
    <w:rsid w:val="001652DE"/>
    <w:rsid w:val="00165B64"/>
    <w:rsid w:val="00166A50"/>
    <w:rsid w:val="0016719F"/>
    <w:rsid w:val="0016778E"/>
    <w:rsid w:val="00167B8C"/>
    <w:rsid w:val="00167F29"/>
    <w:rsid w:val="00171B7F"/>
    <w:rsid w:val="00172583"/>
    <w:rsid w:val="00172D30"/>
    <w:rsid w:val="0017384D"/>
    <w:rsid w:val="00173CE5"/>
    <w:rsid w:val="0017499A"/>
    <w:rsid w:val="00174DDB"/>
    <w:rsid w:val="00175BD0"/>
    <w:rsid w:val="00175D26"/>
    <w:rsid w:val="001769C5"/>
    <w:rsid w:val="00176B9D"/>
    <w:rsid w:val="001774A2"/>
    <w:rsid w:val="0017790C"/>
    <w:rsid w:val="00177A0C"/>
    <w:rsid w:val="00180713"/>
    <w:rsid w:val="00180720"/>
    <w:rsid w:val="001809F0"/>
    <w:rsid w:val="00180C0A"/>
    <w:rsid w:val="00181957"/>
    <w:rsid w:val="00182BA3"/>
    <w:rsid w:val="001830CE"/>
    <w:rsid w:val="00183664"/>
    <w:rsid w:val="001836E3"/>
    <w:rsid w:val="00183A90"/>
    <w:rsid w:val="00183CAC"/>
    <w:rsid w:val="00184C39"/>
    <w:rsid w:val="001852C8"/>
    <w:rsid w:val="0018643B"/>
    <w:rsid w:val="00186578"/>
    <w:rsid w:val="00187938"/>
    <w:rsid w:val="0019078F"/>
    <w:rsid w:val="00191259"/>
    <w:rsid w:val="00192397"/>
    <w:rsid w:val="00194AA1"/>
    <w:rsid w:val="00194C53"/>
    <w:rsid w:val="00195A5C"/>
    <w:rsid w:val="001961DF"/>
    <w:rsid w:val="00196307"/>
    <w:rsid w:val="00197FAA"/>
    <w:rsid w:val="001A0D10"/>
    <w:rsid w:val="001A28A1"/>
    <w:rsid w:val="001A2E71"/>
    <w:rsid w:val="001A33EA"/>
    <w:rsid w:val="001A3D10"/>
    <w:rsid w:val="001A42B0"/>
    <w:rsid w:val="001A4413"/>
    <w:rsid w:val="001A4C4F"/>
    <w:rsid w:val="001A5A2B"/>
    <w:rsid w:val="001A5ADB"/>
    <w:rsid w:val="001A674E"/>
    <w:rsid w:val="001A76FB"/>
    <w:rsid w:val="001A787E"/>
    <w:rsid w:val="001B017F"/>
    <w:rsid w:val="001B0892"/>
    <w:rsid w:val="001B0B06"/>
    <w:rsid w:val="001B0B79"/>
    <w:rsid w:val="001B0D50"/>
    <w:rsid w:val="001B12D4"/>
    <w:rsid w:val="001B1763"/>
    <w:rsid w:val="001B1E37"/>
    <w:rsid w:val="001B2679"/>
    <w:rsid w:val="001B2BBC"/>
    <w:rsid w:val="001B2FA5"/>
    <w:rsid w:val="001B3A40"/>
    <w:rsid w:val="001B3FFE"/>
    <w:rsid w:val="001B49A3"/>
    <w:rsid w:val="001B5129"/>
    <w:rsid w:val="001B5ADA"/>
    <w:rsid w:val="001B5E44"/>
    <w:rsid w:val="001B7042"/>
    <w:rsid w:val="001B70F4"/>
    <w:rsid w:val="001B71E1"/>
    <w:rsid w:val="001C0B4C"/>
    <w:rsid w:val="001C0EC4"/>
    <w:rsid w:val="001C1195"/>
    <w:rsid w:val="001C12AE"/>
    <w:rsid w:val="001C1872"/>
    <w:rsid w:val="001C1E84"/>
    <w:rsid w:val="001C2E42"/>
    <w:rsid w:val="001C45A3"/>
    <w:rsid w:val="001C53F0"/>
    <w:rsid w:val="001C5EF6"/>
    <w:rsid w:val="001C72CB"/>
    <w:rsid w:val="001C758C"/>
    <w:rsid w:val="001C77BE"/>
    <w:rsid w:val="001D1F5F"/>
    <w:rsid w:val="001D20C8"/>
    <w:rsid w:val="001D2A63"/>
    <w:rsid w:val="001D3A0E"/>
    <w:rsid w:val="001D4354"/>
    <w:rsid w:val="001D46FB"/>
    <w:rsid w:val="001D568C"/>
    <w:rsid w:val="001D5C0B"/>
    <w:rsid w:val="001D668B"/>
    <w:rsid w:val="001D6DD5"/>
    <w:rsid w:val="001E06D2"/>
    <w:rsid w:val="001E0728"/>
    <w:rsid w:val="001E0ED7"/>
    <w:rsid w:val="001E17C4"/>
    <w:rsid w:val="001E1850"/>
    <w:rsid w:val="001E1BA6"/>
    <w:rsid w:val="001E4F31"/>
    <w:rsid w:val="001E5462"/>
    <w:rsid w:val="001E6322"/>
    <w:rsid w:val="001E7CC9"/>
    <w:rsid w:val="001E7ECF"/>
    <w:rsid w:val="001F005B"/>
    <w:rsid w:val="001F0E16"/>
    <w:rsid w:val="001F1850"/>
    <w:rsid w:val="001F1D9C"/>
    <w:rsid w:val="001F1FBF"/>
    <w:rsid w:val="001F2205"/>
    <w:rsid w:val="001F2F1C"/>
    <w:rsid w:val="001F3189"/>
    <w:rsid w:val="001F3DA8"/>
    <w:rsid w:val="001F480F"/>
    <w:rsid w:val="001F4B93"/>
    <w:rsid w:val="001F50B3"/>
    <w:rsid w:val="001F50D1"/>
    <w:rsid w:val="001F5996"/>
    <w:rsid w:val="001F7B0C"/>
    <w:rsid w:val="002004C9"/>
    <w:rsid w:val="00200D70"/>
    <w:rsid w:val="00201A3E"/>
    <w:rsid w:val="00201CF8"/>
    <w:rsid w:val="00201FB8"/>
    <w:rsid w:val="002025D2"/>
    <w:rsid w:val="002028CE"/>
    <w:rsid w:val="00203A06"/>
    <w:rsid w:val="00203C53"/>
    <w:rsid w:val="00203FAC"/>
    <w:rsid w:val="002042AC"/>
    <w:rsid w:val="00206162"/>
    <w:rsid w:val="0020660F"/>
    <w:rsid w:val="00206F0A"/>
    <w:rsid w:val="002104B7"/>
    <w:rsid w:val="00211B58"/>
    <w:rsid w:val="00212850"/>
    <w:rsid w:val="00213CFB"/>
    <w:rsid w:val="00214381"/>
    <w:rsid w:val="00214AD4"/>
    <w:rsid w:val="0021553C"/>
    <w:rsid w:val="0021557B"/>
    <w:rsid w:val="00216733"/>
    <w:rsid w:val="002174FD"/>
    <w:rsid w:val="00217BE1"/>
    <w:rsid w:val="00220197"/>
    <w:rsid w:val="00220BB2"/>
    <w:rsid w:val="00220E34"/>
    <w:rsid w:val="00221362"/>
    <w:rsid w:val="002214B9"/>
    <w:rsid w:val="00221612"/>
    <w:rsid w:val="00221E3F"/>
    <w:rsid w:val="00224133"/>
    <w:rsid w:val="00224451"/>
    <w:rsid w:val="00225457"/>
    <w:rsid w:val="00225D7D"/>
    <w:rsid w:val="002267C6"/>
    <w:rsid w:val="002270D6"/>
    <w:rsid w:val="00227ED1"/>
    <w:rsid w:val="00230323"/>
    <w:rsid w:val="00230F63"/>
    <w:rsid w:val="00232394"/>
    <w:rsid w:val="00233539"/>
    <w:rsid w:val="00234252"/>
    <w:rsid w:val="0023466E"/>
    <w:rsid w:val="00234A59"/>
    <w:rsid w:val="00235575"/>
    <w:rsid w:val="00236302"/>
    <w:rsid w:val="00236B2C"/>
    <w:rsid w:val="00236BFF"/>
    <w:rsid w:val="00237AC6"/>
    <w:rsid w:val="00237D5A"/>
    <w:rsid w:val="00237F4E"/>
    <w:rsid w:val="00240165"/>
    <w:rsid w:val="00241AEB"/>
    <w:rsid w:val="00243834"/>
    <w:rsid w:val="00244139"/>
    <w:rsid w:val="00244490"/>
    <w:rsid w:val="00244C14"/>
    <w:rsid w:val="00245B9C"/>
    <w:rsid w:val="00245EF6"/>
    <w:rsid w:val="00246B94"/>
    <w:rsid w:val="00250648"/>
    <w:rsid w:val="0025293C"/>
    <w:rsid w:val="00253499"/>
    <w:rsid w:val="00253666"/>
    <w:rsid w:val="002546FD"/>
    <w:rsid w:val="002551A4"/>
    <w:rsid w:val="00255440"/>
    <w:rsid w:val="00255807"/>
    <w:rsid w:val="00255D1B"/>
    <w:rsid w:val="00255D5C"/>
    <w:rsid w:val="0025714A"/>
    <w:rsid w:val="00257664"/>
    <w:rsid w:val="00257F3F"/>
    <w:rsid w:val="002608DE"/>
    <w:rsid w:val="00260CF6"/>
    <w:rsid w:val="00260E3D"/>
    <w:rsid w:val="00261272"/>
    <w:rsid w:val="00261A7D"/>
    <w:rsid w:val="00262EBA"/>
    <w:rsid w:val="00264645"/>
    <w:rsid w:val="00264AA1"/>
    <w:rsid w:val="00265151"/>
    <w:rsid w:val="00265C2C"/>
    <w:rsid w:val="00266509"/>
    <w:rsid w:val="00270251"/>
    <w:rsid w:val="00271443"/>
    <w:rsid w:val="00271BA1"/>
    <w:rsid w:val="00273AC5"/>
    <w:rsid w:val="00273E16"/>
    <w:rsid w:val="00274455"/>
    <w:rsid w:val="00274BF1"/>
    <w:rsid w:val="00274F0E"/>
    <w:rsid w:val="002756E4"/>
    <w:rsid w:val="00275904"/>
    <w:rsid w:val="002762FA"/>
    <w:rsid w:val="00277505"/>
    <w:rsid w:val="00277B97"/>
    <w:rsid w:val="002800AE"/>
    <w:rsid w:val="00280911"/>
    <w:rsid w:val="0028158C"/>
    <w:rsid w:val="00281D1D"/>
    <w:rsid w:val="00282063"/>
    <w:rsid w:val="0028224D"/>
    <w:rsid w:val="002823B6"/>
    <w:rsid w:val="00285C9F"/>
    <w:rsid w:val="00286E98"/>
    <w:rsid w:val="0028743B"/>
    <w:rsid w:val="00290C03"/>
    <w:rsid w:val="00291625"/>
    <w:rsid w:val="00291982"/>
    <w:rsid w:val="00291E43"/>
    <w:rsid w:val="00294274"/>
    <w:rsid w:val="002942E9"/>
    <w:rsid w:val="002944B3"/>
    <w:rsid w:val="0029458F"/>
    <w:rsid w:val="002947C9"/>
    <w:rsid w:val="0029571F"/>
    <w:rsid w:val="002974A0"/>
    <w:rsid w:val="00297A73"/>
    <w:rsid w:val="00297D8C"/>
    <w:rsid w:val="002A018F"/>
    <w:rsid w:val="002A07E6"/>
    <w:rsid w:val="002A0E04"/>
    <w:rsid w:val="002A104C"/>
    <w:rsid w:val="002A1EF7"/>
    <w:rsid w:val="002A2007"/>
    <w:rsid w:val="002A2A0A"/>
    <w:rsid w:val="002A494D"/>
    <w:rsid w:val="002A4960"/>
    <w:rsid w:val="002A49C6"/>
    <w:rsid w:val="002A636A"/>
    <w:rsid w:val="002A6A01"/>
    <w:rsid w:val="002A6E07"/>
    <w:rsid w:val="002B0AE0"/>
    <w:rsid w:val="002B0C54"/>
    <w:rsid w:val="002B125D"/>
    <w:rsid w:val="002B1AE6"/>
    <w:rsid w:val="002B1D51"/>
    <w:rsid w:val="002B220C"/>
    <w:rsid w:val="002B2DE8"/>
    <w:rsid w:val="002B30F8"/>
    <w:rsid w:val="002B388A"/>
    <w:rsid w:val="002B3C39"/>
    <w:rsid w:val="002B45E0"/>
    <w:rsid w:val="002B5052"/>
    <w:rsid w:val="002B5559"/>
    <w:rsid w:val="002B5596"/>
    <w:rsid w:val="002B77D7"/>
    <w:rsid w:val="002B7AB5"/>
    <w:rsid w:val="002B7C68"/>
    <w:rsid w:val="002C03FF"/>
    <w:rsid w:val="002C0F8B"/>
    <w:rsid w:val="002C1002"/>
    <w:rsid w:val="002C1676"/>
    <w:rsid w:val="002C212F"/>
    <w:rsid w:val="002C2F35"/>
    <w:rsid w:val="002C5AA5"/>
    <w:rsid w:val="002C633F"/>
    <w:rsid w:val="002C6AA9"/>
    <w:rsid w:val="002C6EF4"/>
    <w:rsid w:val="002C7485"/>
    <w:rsid w:val="002D0487"/>
    <w:rsid w:val="002D147F"/>
    <w:rsid w:val="002D215F"/>
    <w:rsid w:val="002D23D8"/>
    <w:rsid w:val="002D24D9"/>
    <w:rsid w:val="002D254B"/>
    <w:rsid w:val="002D2641"/>
    <w:rsid w:val="002D283A"/>
    <w:rsid w:val="002D4543"/>
    <w:rsid w:val="002D55EC"/>
    <w:rsid w:val="002D582D"/>
    <w:rsid w:val="002D68C2"/>
    <w:rsid w:val="002D7D1E"/>
    <w:rsid w:val="002E0278"/>
    <w:rsid w:val="002E0409"/>
    <w:rsid w:val="002E1B18"/>
    <w:rsid w:val="002E27AE"/>
    <w:rsid w:val="002E2C6E"/>
    <w:rsid w:val="002E3153"/>
    <w:rsid w:val="002E3702"/>
    <w:rsid w:val="002E4703"/>
    <w:rsid w:val="002E5292"/>
    <w:rsid w:val="002E52DC"/>
    <w:rsid w:val="002E5410"/>
    <w:rsid w:val="002E5D44"/>
    <w:rsid w:val="002E72CA"/>
    <w:rsid w:val="002E7C6D"/>
    <w:rsid w:val="002F02C0"/>
    <w:rsid w:val="002F0395"/>
    <w:rsid w:val="002F0447"/>
    <w:rsid w:val="002F0BC2"/>
    <w:rsid w:val="002F1D07"/>
    <w:rsid w:val="002F264F"/>
    <w:rsid w:val="002F29DA"/>
    <w:rsid w:val="002F3F12"/>
    <w:rsid w:val="002F4100"/>
    <w:rsid w:val="002F49FA"/>
    <w:rsid w:val="002F600D"/>
    <w:rsid w:val="002F65E5"/>
    <w:rsid w:val="002F6B8C"/>
    <w:rsid w:val="002F7974"/>
    <w:rsid w:val="002F7BBB"/>
    <w:rsid w:val="002F7E47"/>
    <w:rsid w:val="00300AD6"/>
    <w:rsid w:val="00300B1B"/>
    <w:rsid w:val="003012A3"/>
    <w:rsid w:val="003019D0"/>
    <w:rsid w:val="00303553"/>
    <w:rsid w:val="00303FC6"/>
    <w:rsid w:val="0030450E"/>
    <w:rsid w:val="00304923"/>
    <w:rsid w:val="00305228"/>
    <w:rsid w:val="003059A8"/>
    <w:rsid w:val="00306353"/>
    <w:rsid w:val="003064AF"/>
    <w:rsid w:val="00307327"/>
    <w:rsid w:val="003100D7"/>
    <w:rsid w:val="003104CC"/>
    <w:rsid w:val="00310A8B"/>
    <w:rsid w:val="00310B68"/>
    <w:rsid w:val="00311ABD"/>
    <w:rsid w:val="0031236D"/>
    <w:rsid w:val="0031267E"/>
    <w:rsid w:val="00313788"/>
    <w:rsid w:val="00313A17"/>
    <w:rsid w:val="003151DC"/>
    <w:rsid w:val="0031550C"/>
    <w:rsid w:val="00315A86"/>
    <w:rsid w:val="003160D2"/>
    <w:rsid w:val="00316B90"/>
    <w:rsid w:val="0031729D"/>
    <w:rsid w:val="00317373"/>
    <w:rsid w:val="003173FC"/>
    <w:rsid w:val="00317C6C"/>
    <w:rsid w:val="00320B80"/>
    <w:rsid w:val="00320CD3"/>
    <w:rsid w:val="0032239E"/>
    <w:rsid w:val="003235A0"/>
    <w:rsid w:val="00324C74"/>
    <w:rsid w:val="00325B7A"/>
    <w:rsid w:val="00326E79"/>
    <w:rsid w:val="0032748A"/>
    <w:rsid w:val="00327905"/>
    <w:rsid w:val="00327C42"/>
    <w:rsid w:val="00327D7D"/>
    <w:rsid w:val="003301B1"/>
    <w:rsid w:val="00331050"/>
    <w:rsid w:val="00331189"/>
    <w:rsid w:val="003315CA"/>
    <w:rsid w:val="0033161D"/>
    <w:rsid w:val="00331BFC"/>
    <w:rsid w:val="0033263D"/>
    <w:rsid w:val="00332E74"/>
    <w:rsid w:val="00333991"/>
    <w:rsid w:val="00333DE3"/>
    <w:rsid w:val="00334A09"/>
    <w:rsid w:val="0033518A"/>
    <w:rsid w:val="00335535"/>
    <w:rsid w:val="00335B68"/>
    <w:rsid w:val="003367EF"/>
    <w:rsid w:val="0033784E"/>
    <w:rsid w:val="00341AE4"/>
    <w:rsid w:val="00343AF4"/>
    <w:rsid w:val="00344653"/>
    <w:rsid w:val="003449A3"/>
    <w:rsid w:val="00345374"/>
    <w:rsid w:val="00345968"/>
    <w:rsid w:val="00347315"/>
    <w:rsid w:val="003476EE"/>
    <w:rsid w:val="00350CBD"/>
    <w:rsid w:val="0035157D"/>
    <w:rsid w:val="00353825"/>
    <w:rsid w:val="0035399C"/>
    <w:rsid w:val="003541DD"/>
    <w:rsid w:val="0035543C"/>
    <w:rsid w:val="00356DA5"/>
    <w:rsid w:val="00356E5B"/>
    <w:rsid w:val="00357827"/>
    <w:rsid w:val="00357CB0"/>
    <w:rsid w:val="00361636"/>
    <w:rsid w:val="00361EEF"/>
    <w:rsid w:val="003621C2"/>
    <w:rsid w:val="003624FD"/>
    <w:rsid w:val="003628EE"/>
    <w:rsid w:val="00362960"/>
    <w:rsid w:val="003632E0"/>
    <w:rsid w:val="00363D56"/>
    <w:rsid w:val="003666AD"/>
    <w:rsid w:val="00372253"/>
    <w:rsid w:val="003736C9"/>
    <w:rsid w:val="003740F5"/>
    <w:rsid w:val="0037460B"/>
    <w:rsid w:val="003750D6"/>
    <w:rsid w:val="00376017"/>
    <w:rsid w:val="00380FC1"/>
    <w:rsid w:val="003822F3"/>
    <w:rsid w:val="00382746"/>
    <w:rsid w:val="00382A9C"/>
    <w:rsid w:val="003839F6"/>
    <w:rsid w:val="00383B77"/>
    <w:rsid w:val="00384988"/>
    <w:rsid w:val="00384C34"/>
    <w:rsid w:val="00385395"/>
    <w:rsid w:val="00386DE1"/>
    <w:rsid w:val="003872CF"/>
    <w:rsid w:val="00390FE2"/>
    <w:rsid w:val="00392F8D"/>
    <w:rsid w:val="003932BA"/>
    <w:rsid w:val="00393F04"/>
    <w:rsid w:val="00394A5B"/>
    <w:rsid w:val="003950B0"/>
    <w:rsid w:val="0039511B"/>
    <w:rsid w:val="00395594"/>
    <w:rsid w:val="00395D90"/>
    <w:rsid w:val="00395F34"/>
    <w:rsid w:val="00396DB4"/>
    <w:rsid w:val="0039782C"/>
    <w:rsid w:val="003A11CA"/>
    <w:rsid w:val="003A13A6"/>
    <w:rsid w:val="003A32FC"/>
    <w:rsid w:val="003A35AA"/>
    <w:rsid w:val="003A37DC"/>
    <w:rsid w:val="003A3C47"/>
    <w:rsid w:val="003A5945"/>
    <w:rsid w:val="003A5B4A"/>
    <w:rsid w:val="003A5D95"/>
    <w:rsid w:val="003A5F23"/>
    <w:rsid w:val="003A6EBD"/>
    <w:rsid w:val="003A6FBB"/>
    <w:rsid w:val="003B02DE"/>
    <w:rsid w:val="003B077B"/>
    <w:rsid w:val="003B0C83"/>
    <w:rsid w:val="003B0D3A"/>
    <w:rsid w:val="003B2302"/>
    <w:rsid w:val="003B2317"/>
    <w:rsid w:val="003B23C5"/>
    <w:rsid w:val="003B2554"/>
    <w:rsid w:val="003B2A75"/>
    <w:rsid w:val="003B3014"/>
    <w:rsid w:val="003B3CDA"/>
    <w:rsid w:val="003B49B2"/>
    <w:rsid w:val="003B4B70"/>
    <w:rsid w:val="003B6124"/>
    <w:rsid w:val="003B66DA"/>
    <w:rsid w:val="003B6E98"/>
    <w:rsid w:val="003B7960"/>
    <w:rsid w:val="003B7CDE"/>
    <w:rsid w:val="003B7D85"/>
    <w:rsid w:val="003B7E62"/>
    <w:rsid w:val="003C093A"/>
    <w:rsid w:val="003C137E"/>
    <w:rsid w:val="003C1ECF"/>
    <w:rsid w:val="003C2F0E"/>
    <w:rsid w:val="003C2FB5"/>
    <w:rsid w:val="003C373B"/>
    <w:rsid w:val="003C4AEA"/>
    <w:rsid w:val="003C5C23"/>
    <w:rsid w:val="003C6A71"/>
    <w:rsid w:val="003C799C"/>
    <w:rsid w:val="003D0FAD"/>
    <w:rsid w:val="003D1190"/>
    <w:rsid w:val="003D24C5"/>
    <w:rsid w:val="003D26B2"/>
    <w:rsid w:val="003D28F7"/>
    <w:rsid w:val="003D44EC"/>
    <w:rsid w:val="003D4594"/>
    <w:rsid w:val="003D45BB"/>
    <w:rsid w:val="003D4889"/>
    <w:rsid w:val="003D4AC4"/>
    <w:rsid w:val="003D5A11"/>
    <w:rsid w:val="003D63B7"/>
    <w:rsid w:val="003D65AD"/>
    <w:rsid w:val="003D68FB"/>
    <w:rsid w:val="003D74C5"/>
    <w:rsid w:val="003E113C"/>
    <w:rsid w:val="003E1EB2"/>
    <w:rsid w:val="003E2E36"/>
    <w:rsid w:val="003E2F55"/>
    <w:rsid w:val="003E3C10"/>
    <w:rsid w:val="003E3C6E"/>
    <w:rsid w:val="003E3E42"/>
    <w:rsid w:val="003E4374"/>
    <w:rsid w:val="003E468B"/>
    <w:rsid w:val="003E4796"/>
    <w:rsid w:val="003E4F41"/>
    <w:rsid w:val="003E62BD"/>
    <w:rsid w:val="003E74B4"/>
    <w:rsid w:val="003E7849"/>
    <w:rsid w:val="003F044F"/>
    <w:rsid w:val="003F04A2"/>
    <w:rsid w:val="003F0C3A"/>
    <w:rsid w:val="003F15F0"/>
    <w:rsid w:val="003F2222"/>
    <w:rsid w:val="003F3228"/>
    <w:rsid w:val="003F3422"/>
    <w:rsid w:val="003F37C4"/>
    <w:rsid w:val="003F3F99"/>
    <w:rsid w:val="003F59B9"/>
    <w:rsid w:val="003F5C8C"/>
    <w:rsid w:val="003F620C"/>
    <w:rsid w:val="003F63CE"/>
    <w:rsid w:val="003F775A"/>
    <w:rsid w:val="0040048B"/>
    <w:rsid w:val="00400E55"/>
    <w:rsid w:val="00400E86"/>
    <w:rsid w:val="0040128E"/>
    <w:rsid w:val="00401BE2"/>
    <w:rsid w:val="00401BED"/>
    <w:rsid w:val="0040216B"/>
    <w:rsid w:val="0040226A"/>
    <w:rsid w:val="004024F7"/>
    <w:rsid w:val="00402A05"/>
    <w:rsid w:val="00402BA4"/>
    <w:rsid w:val="00403010"/>
    <w:rsid w:val="0040355F"/>
    <w:rsid w:val="00403DFF"/>
    <w:rsid w:val="00405438"/>
    <w:rsid w:val="00405B30"/>
    <w:rsid w:val="00410C11"/>
    <w:rsid w:val="00411328"/>
    <w:rsid w:val="0041142A"/>
    <w:rsid w:val="00411A16"/>
    <w:rsid w:val="00411FFC"/>
    <w:rsid w:val="004141B2"/>
    <w:rsid w:val="00414329"/>
    <w:rsid w:val="00416561"/>
    <w:rsid w:val="004166C6"/>
    <w:rsid w:val="00416B0E"/>
    <w:rsid w:val="00416F28"/>
    <w:rsid w:val="004171F0"/>
    <w:rsid w:val="00420400"/>
    <w:rsid w:val="004208BB"/>
    <w:rsid w:val="004215EA"/>
    <w:rsid w:val="004215F0"/>
    <w:rsid w:val="0042195B"/>
    <w:rsid w:val="00421AA0"/>
    <w:rsid w:val="00422EDA"/>
    <w:rsid w:val="00423B9F"/>
    <w:rsid w:val="00424A75"/>
    <w:rsid w:val="004250A6"/>
    <w:rsid w:val="004252EC"/>
    <w:rsid w:val="00425867"/>
    <w:rsid w:val="00425D19"/>
    <w:rsid w:val="004268A3"/>
    <w:rsid w:val="00427103"/>
    <w:rsid w:val="00427C42"/>
    <w:rsid w:val="00430964"/>
    <w:rsid w:val="00430B50"/>
    <w:rsid w:val="00430D39"/>
    <w:rsid w:val="00432154"/>
    <w:rsid w:val="00432551"/>
    <w:rsid w:val="004336A7"/>
    <w:rsid w:val="004336E3"/>
    <w:rsid w:val="00433B0C"/>
    <w:rsid w:val="00433C2F"/>
    <w:rsid w:val="00434143"/>
    <w:rsid w:val="00434512"/>
    <w:rsid w:val="004353DC"/>
    <w:rsid w:val="00435B17"/>
    <w:rsid w:val="00436653"/>
    <w:rsid w:val="00436CB4"/>
    <w:rsid w:val="00437FC8"/>
    <w:rsid w:val="00437FCD"/>
    <w:rsid w:val="004411EA"/>
    <w:rsid w:val="004412A7"/>
    <w:rsid w:val="00441FFE"/>
    <w:rsid w:val="00442C91"/>
    <w:rsid w:val="00442DB6"/>
    <w:rsid w:val="00442F29"/>
    <w:rsid w:val="00443143"/>
    <w:rsid w:val="00443174"/>
    <w:rsid w:val="004435F6"/>
    <w:rsid w:val="004460A9"/>
    <w:rsid w:val="004465BD"/>
    <w:rsid w:val="00446938"/>
    <w:rsid w:val="00446DAF"/>
    <w:rsid w:val="00447567"/>
    <w:rsid w:val="00451396"/>
    <w:rsid w:val="004528FA"/>
    <w:rsid w:val="00452D08"/>
    <w:rsid w:val="00453EBD"/>
    <w:rsid w:val="00455F5B"/>
    <w:rsid w:val="00457244"/>
    <w:rsid w:val="00460361"/>
    <w:rsid w:val="00460515"/>
    <w:rsid w:val="0046053D"/>
    <w:rsid w:val="00461A44"/>
    <w:rsid w:val="00462D26"/>
    <w:rsid w:val="0046385A"/>
    <w:rsid w:val="00464331"/>
    <w:rsid w:val="00464ACE"/>
    <w:rsid w:val="00466ADA"/>
    <w:rsid w:val="004702BB"/>
    <w:rsid w:val="0047092D"/>
    <w:rsid w:val="00470B27"/>
    <w:rsid w:val="004714A7"/>
    <w:rsid w:val="0047262D"/>
    <w:rsid w:val="00472BF1"/>
    <w:rsid w:val="00473742"/>
    <w:rsid w:val="00473857"/>
    <w:rsid w:val="0047442E"/>
    <w:rsid w:val="004747FA"/>
    <w:rsid w:val="0047488C"/>
    <w:rsid w:val="0047494B"/>
    <w:rsid w:val="00476245"/>
    <w:rsid w:val="00476FD1"/>
    <w:rsid w:val="00477A9B"/>
    <w:rsid w:val="00480163"/>
    <w:rsid w:val="00481957"/>
    <w:rsid w:val="00481E1D"/>
    <w:rsid w:val="00482C2F"/>
    <w:rsid w:val="00483035"/>
    <w:rsid w:val="00483F40"/>
    <w:rsid w:val="00483F9A"/>
    <w:rsid w:val="00485940"/>
    <w:rsid w:val="00486163"/>
    <w:rsid w:val="00486C95"/>
    <w:rsid w:val="004877C2"/>
    <w:rsid w:val="004902B5"/>
    <w:rsid w:val="004904B9"/>
    <w:rsid w:val="00490854"/>
    <w:rsid w:val="00490DDB"/>
    <w:rsid w:val="00492539"/>
    <w:rsid w:val="00492F16"/>
    <w:rsid w:val="00492FA4"/>
    <w:rsid w:val="00494371"/>
    <w:rsid w:val="00494442"/>
    <w:rsid w:val="00495C81"/>
    <w:rsid w:val="00495D28"/>
    <w:rsid w:val="00495F61"/>
    <w:rsid w:val="00495FD0"/>
    <w:rsid w:val="00496249"/>
    <w:rsid w:val="00496662"/>
    <w:rsid w:val="004972F5"/>
    <w:rsid w:val="004973B5"/>
    <w:rsid w:val="004A156C"/>
    <w:rsid w:val="004A2484"/>
    <w:rsid w:val="004A3412"/>
    <w:rsid w:val="004A4119"/>
    <w:rsid w:val="004A5916"/>
    <w:rsid w:val="004A5A85"/>
    <w:rsid w:val="004A5E19"/>
    <w:rsid w:val="004A60F8"/>
    <w:rsid w:val="004A71D1"/>
    <w:rsid w:val="004A793F"/>
    <w:rsid w:val="004A7C5B"/>
    <w:rsid w:val="004A7ED4"/>
    <w:rsid w:val="004B0FE7"/>
    <w:rsid w:val="004B1845"/>
    <w:rsid w:val="004B2348"/>
    <w:rsid w:val="004B25BD"/>
    <w:rsid w:val="004B2E01"/>
    <w:rsid w:val="004B2E98"/>
    <w:rsid w:val="004B3A20"/>
    <w:rsid w:val="004B483C"/>
    <w:rsid w:val="004B5534"/>
    <w:rsid w:val="004B5640"/>
    <w:rsid w:val="004B5DA9"/>
    <w:rsid w:val="004B6084"/>
    <w:rsid w:val="004B60B1"/>
    <w:rsid w:val="004BCF29"/>
    <w:rsid w:val="004C03D0"/>
    <w:rsid w:val="004C044A"/>
    <w:rsid w:val="004C0661"/>
    <w:rsid w:val="004C154A"/>
    <w:rsid w:val="004C1984"/>
    <w:rsid w:val="004C1BD7"/>
    <w:rsid w:val="004C20C3"/>
    <w:rsid w:val="004C239C"/>
    <w:rsid w:val="004C2F6B"/>
    <w:rsid w:val="004C31FE"/>
    <w:rsid w:val="004C3A2B"/>
    <w:rsid w:val="004C524C"/>
    <w:rsid w:val="004C5AD6"/>
    <w:rsid w:val="004C5FFA"/>
    <w:rsid w:val="004C691D"/>
    <w:rsid w:val="004C6C07"/>
    <w:rsid w:val="004C7E15"/>
    <w:rsid w:val="004D21ED"/>
    <w:rsid w:val="004D2C16"/>
    <w:rsid w:val="004D2CD1"/>
    <w:rsid w:val="004D4E5A"/>
    <w:rsid w:val="004D4FF6"/>
    <w:rsid w:val="004D5A90"/>
    <w:rsid w:val="004D5ADD"/>
    <w:rsid w:val="004D6ECB"/>
    <w:rsid w:val="004D6F3E"/>
    <w:rsid w:val="004E0604"/>
    <w:rsid w:val="004E0799"/>
    <w:rsid w:val="004E19DF"/>
    <w:rsid w:val="004E1B22"/>
    <w:rsid w:val="004E2FEF"/>
    <w:rsid w:val="004E448E"/>
    <w:rsid w:val="004E486E"/>
    <w:rsid w:val="004E576A"/>
    <w:rsid w:val="004E5A77"/>
    <w:rsid w:val="004E66FD"/>
    <w:rsid w:val="004E67A5"/>
    <w:rsid w:val="004E692D"/>
    <w:rsid w:val="004E7230"/>
    <w:rsid w:val="004E73C3"/>
    <w:rsid w:val="004E7D87"/>
    <w:rsid w:val="004F13A4"/>
    <w:rsid w:val="004F18B3"/>
    <w:rsid w:val="004F225F"/>
    <w:rsid w:val="004F2553"/>
    <w:rsid w:val="004F2CEF"/>
    <w:rsid w:val="004F306A"/>
    <w:rsid w:val="004F326D"/>
    <w:rsid w:val="004F3344"/>
    <w:rsid w:val="004F4A76"/>
    <w:rsid w:val="004F501E"/>
    <w:rsid w:val="004F5C3B"/>
    <w:rsid w:val="004F5EF4"/>
    <w:rsid w:val="004F5F3C"/>
    <w:rsid w:val="004F6160"/>
    <w:rsid w:val="004F6D01"/>
    <w:rsid w:val="004F6FA5"/>
    <w:rsid w:val="004F7699"/>
    <w:rsid w:val="00500068"/>
    <w:rsid w:val="00500BB1"/>
    <w:rsid w:val="00501554"/>
    <w:rsid w:val="00501B19"/>
    <w:rsid w:val="00502AFE"/>
    <w:rsid w:val="00502E64"/>
    <w:rsid w:val="00503AD7"/>
    <w:rsid w:val="00503C88"/>
    <w:rsid w:val="00503D97"/>
    <w:rsid w:val="00503E71"/>
    <w:rsid w:val="00504E0C"/>
    <w:rsid w:val="00504E13"/>
    <w:rsid w:val="0050543B"/>
    <w:rsid w:val="00505CBD"/>
    <w:rsid w:val="0050664F"/>
    <w:rsid w:val="00506669"/>
    <w:rsid w:val="00507465"/>
    <w:rsid w:val="0050761E"/>
    <w:rsid w:val="0050784B"/>
    <w:rsid w:val="00510586"/>
    <w:rsid w:val="005109D4"/>
    <w:rsid w:val="005121D5"/>
    <w:rsid w:val="0051385D"/>
    <w:rsid w:val="00514CD7"/>
    <w:rsid w:val="005155F4"/>
    <w:rsid w:val="00515E6E"/>
    <w:rsid w:val="0051604E"/>
    <w:rsid w:val="005167EC"/>
    <w:rsid w:val="005170DA"/>
    <w:rsid w:val="0051733E"/>
    <w:rsid w:val="00517CD3"/>
    <w:rsid w:val="00517D73"/>
    <w:rsid w:val="00520D6A"/>
    <w:rsid w:val="00521773"/>
    <w:rsid w:val="00521896"/>
    <w:rsid w:val="005219C4"/>
    <w:rsid w:val="00521D19"/>
    <w:rsid w:val="00522DB6"/>
    <w:rsid w:val="005236EB"/>
    <w:rsid w:val="00524B75"/>
    <w:rsid w:val="00524BB3"/>
    <w:rsid w:val="00524F62"/>
    <w:rsid w:val="00524FD6"/>
    <w:rsid w:val="0052517E"/>
    <w:rsid w:val="00525ADF"/>
    <w:rsid w:val="00525BC5"/>
    <w:rsid w:val="00525D72"/>
    <w:rsid w:val="005264A7"/>
    <w:rsid w:val="00527305"/>
    <w:rsid w:val="00527638"/>
    <w:rsid w:val="0052767B"/>
    <w:rsid w:val="0052792D"/>
    <w:rsid w:val="00527DC6"/>
    <w:rsid w:val="005307A3"/>
    <w:rsid w:val="00530872"/>
    <w:rsid w:val="005319B2"/>
    <w:rsid w:val="00531B92"/>
    <w:rsid w:val="00532402"/>
    <w:rsid w:val="005329AF"/>
    <w:rsid w:val="00532AC5"/>
    <w:rsid w:val="00532C74"/>
    <w:rsid w:val="00532EBB"/>
    <w:rsid w:val="00533301"/>
    <w:rsid w:val="00533706"/>
    <w:rsid w:val="00533AB0"/>
    <w:rsid w:val="00534E2E"/>
    <w:rsid w:val="005365A8"/>
    <w:rsid w:val="005369AF"/>
    <w:rsid w:val="00537101"/>
    <w:rsid w:val="00537EC4"/>
    <w:rsid w:val="0054064C"/>
    <w:rsid w:val="005416CD"/>
    <w:rsid w:val="00541796"/>
    <w:rsid w:val="00543AC0"/>
    <w:rsid w:val="005444E1"/>
    <w:rsid w:val="00544552"/>
    <w:rsid w:val="00545130"/>
    <w:rsid w:val="005454E2"/>
    <w:rsid w:val="005454E7"/>
    <w:rsid w:val="00546438"/>
    <w:rsid w:val="00546982"/>
    <w:rsid w:val="00550346"/>
    <w:rsid w:val="005503CB"/>
    <w:rsid w:val="00550507"/>
    <w:rsid w:val="00552808"/>
    <w:rsid w:val="0055286A"/>
    <w:rsid w:val="0055339A"/>
    <w:rsid w:val="00553DC4"/>
    <w:rsid w:val="00553F5C"/>
    <w:rsid w:val="005550FB"/>
    <w:rsid w:val="00555745"/>
    <w:rsid w:val="005559C3"/>
    <w:rsid w:val="00556038"/>
    <w:rsid w:val="00557D4F"/>
    <w:rsid w:val="0056014D"/>
    <w:rsid w:val="0056021B"/>
    <w:rsid w:val="0056030B"/>
    <w:rsid w:val="0056122E"/>
    <w:rsid w:val="00561FB3"/>
    <w:rsid w:val="00562D91"/>
    <w:rsid w:val="0056354B"/>
    <w:rsid w:val="00563B2B"/>
    <w:rsid w:val="0056402A"/>
    <w:rsid w:val="0056484E"/>
    <w:rsid w:val="0056489C"/>
    <w:rsid w:val="005648D0"/>
    <w:rsid w:val="00564F07"/>
    <w:rsid w:val="0056526D"/>
    <w:rsid w:val="005656DA"/>
    <w:rsid w:val="005678A1"/>
    <w:rsid w:val="00567D8A"/>
    <w:rsid w:val="00571686"/>
    <w:rsid w:val="00571CD2"/>
    <w:rsid w:val="005720FE"/>
    <w:rsid w:val="005725CA"/>
    <w:rsid w:val="00572AEA"/>
    <w:rsid w:val="00574C43"/>
    <w:rsid w:val="00575201"/>
    <w:rsid w:val="00575217"/>
    <w:rsid w:val="00575E1A"/>
    <w:rsid w:val="005764CD"/>
    <w:rsid w:val="00577813"/>
    <w:rsid w:val="00577C4D"/>
    <w:rsid w:val="005803A7"/>
    <w:rsid w:val="00580532"/>
    <w:rsid w:val="00580EE6"/>
    <w:rsid w:val="00581932"/>
    <w:rsid w:val="00581C8E"/>
    <w:rsid w:val="00581E10"/>
    <w:rsid w:val="00582E75"/>
    <w:rsid w:val="00583714"/>
    <w:rsid w:val="00583EDA"/>
    <w:rsid w:val="00584195"/>
    <w:rsid w:val="00584FA0"/>
    <w:rsid w:val="00585178"/>
    <w:rsid w:val="00587345"/>
    <w:rsid w:val="005900AD"/>
    <w:rsid w:val="0059146E"/>
    <w:rsid w:val="0059176A"/>
    <w:rsid w:val="005938B7"/>
    <w:rsid w:val="00593A59"/>
    <w:rsid w:val="00594056"/>
    <w:rsid w:val="00594EDA"/>
    <w:rsid w:val="005963BB"/>
    <w:rsid w:val="005967DD"/>
    <w:rsid w:val="00596A70"/>
    <w:rsid w:val="00596E97"/>
    <w:rsid w:val="00597975"/>
    <w:rsid w:val="005979AF"/>
    <w:rsid w:val="005A0485"/>
    <w:rsid w:val="005A1F65"/>
    <w:rsid w:val="005A22A7"/>
    <w:rsid w:val="005A30A9"/>
    <w:rsid w:val="005A3173"/>
    <w:rsid w:val="005A3223"/>
    <w:rsid w:val="005A3796"/>
    <w:rsid w:val="005A3DA3"/>
    <w:rsid w:val="005A43F9"/>
    <w:rsid w:val="005A4901"/>
    <w:rsid w:val="005A4D87"/>
    <w:rsid w:val="005A52C4"/>
    <w:rsid w:val="005A5CEE"/>
    <w:rsid w:val="005A63A1"/>
    <w:rsid w:val="005A6FCD"/>
    <w:rsid w:val="005B23CA"/>
    <w:rsid w:val="005B2458"/>
    <w:rsid w:val="005B2B90"/>
    <w:rsid w:val="005B31A3"/>
    <w:rsid w:val="005B3934"/>
    <w:rsid w:val="005B402D"/>
    <w:rsid w:val="005B4619"/>
    <w:rsid w:val="005B637C"/>
    <w:rsid w:val="005B6577"/>
    <w:rsid w:val="005C017D"/>
    <w:rsid w:val="005C0B43"/>
    <w:rsid w:val="005C0B7B"/>
    <w:rsid w:val="005C0E96"/>
    <w:rsid w:val="005C180A"/>
    <w:rsid w:val="005C29CE"/>
    <w:rsid w:val="005C2D34"/>
    <w:rsid w:val="005C3E2D"/>
    <w:rsid w:val="005C44ED"/>
    <w:rsid w:val="005C4EE9"/>
    <w:rsid w:val="005C4F73"/>
    <w:rsid w:val="005C68B1"/>
    <w:rsid w:val="005C7D19"/>
    <w:rsid w:val="005C7D83"/>
    <w:rsid w:val="005D0191"/>
    <w:rsid w:val="005D03AB"/>
    <w:rsid w:val="005D154B"/>
    <w:rsid w:val="005D180C"/>
    <w:rsid w:val="005D2052"/>
    <w:rsid w:val="005D246F"/>
    <w:rsid w:val="005D3D47"/>
    <w:rsid w:val="005D401D"/>
    <w:rsid w:val="005D4894"/>
    <w:rsid w:val="005D4E0A"/>
    <w:rsid w:val="005D4EA0"/>
    <w:rsid w:val="005D5017"/>
    <w:rsid w:val="005D602F"/>
    <w:rsid w:val="005D63FA"/>
    <w:rsid w:val="005D73C7"/>
    <w:rsid w:val="005E08DE"/>
    <w:rsid w:val="005E0C2D"/>
    <w:rsid w:val="005E0D82"/>
    <w:rsid w:val="005E1333"/>
    <w:rsid w:val="005E1912"/>
    <w:rsid w:val="005E1C51"/>
    <w:rsid w:val="005E2F88"/>
    <w:rsid w:val="005E3136"/>
    <w:rsid w:val="005E3FC0"/>
    <w:rsid w:val="005E507D"/>
    <w:rsid w:val="005E750A"/>
    <w:rsid w:val="005E766A"/>
    <w:rsid w:val="005F0AD0"/>
    <w:rsid w:val="005F2AA2"/>
    <w:rsid w:val="005F2EF6"/>
    <w:rsid w:val="005F49AC"/>
    <w:rsid w:val="005F5CD9"/>
    <w:rsid w:val="00601421"/>
    <w:rsid w:val="006017DB"/>
    <w:rsid w:val="00601A91"/>
    <w:rsid w:val="00602BA3"/>
    <w:rsid w:val="00603D12"/>
    <w:rsid w:val="0060401F"/>
    <w:rsid w:val="00604685"/>
    <w:rsid w:val="00604E18"/>
    <w:rsid w:val="00605B63"/>
    <w:rsid w:val="00605F9A"/>
    <w:rsid w:val="00606310"/>
    <w:rsid w:val="00606442"/>
    <w:rsid w:val="00606496"/>
    <w:rsid w:val="0060681A"/>
    <w:rsid w:val="00606EED"/>
    <w:rsid w:val="00607E1A"/>
    <w:rsid w:val="0061093C"/>
    <w:rsid w:val="00611614"/>
    <w:rsid w:val="0061176C"/>
    <w:rsid w:val="0061195C"/>
    <w:rsid w:val="006124B8"/>
    <w:rsid w:val="00612A95"/>
    <w:rsid w:val="00612E34"/>
    <w:rsid w:val="00613942"/>
    <w:rsid w:val="00613CEE"/>
    <w:rsid w:val="00614159"/>
    <w:rsid w:val="00614B84"/>
    <w:rsid w:val="006153EA"/>
    <w:rsid w:val="006158A3"/>
    <w:rsid w:val="00615D85"/>
    <w:rsid w:val="00616C5F"/>
    <w:rsid w:val="00616DAC"/>
    <w:rsid w:val="00617006"/>
    <w:rsid w:val="00617725"/>
    <w:rsid w:val="00617A96"/>
    <w:rsid w:val="00617C00"/>
    <w:rsid w:val="00620478"/>
    <w:rsid w:val="0062068F"/>
    <w:rsid w:val="006209D0"/>
    <w:rsid w:val="006222B8"/>
    <w:rsid w:val="00623346"/>
    <w:rsid w:val="00623F10"/>
    <w:rsid w:val="006245BD"/>
    <w:rsid w:val="00625396"/>
    <w:rsid w:val="00625C71"/>
    <w:rsid w:val="006263BF"/>
    <w:rsid w:val="00626C10"/>
    <w:rsid w:val="00626E04"/>
    <w:rsid w:val="0062748A"/>
    <w:rsid w:val="0063081B"/>
    <w:rsid w:val="00630A2C"/>
    <w:rsid w:val="00634338"/>
    <w:rsid w:val="006351C7"/>
    <w:rsid w:val="00635568"/>
    <w:rsid w:val="0063682E"/>
    <w:rsid w:val="00640088"/>
    <w:rsid w:val="006402AF"/>
    <w:rsid w:val="00640B07"/>
    <w:rsid w:val="0064136B"/>
    <w:rsid w:val="0064216D"/>
    <w:rsid w:val="006422A5"/>
    <w:rsid w:val="00642427"/>
    <w:rsid w:val="00642672"/>
    <w:rsid w:val="00642DA8"/>
    <w:rsid w:val="006436CD"/>
    <w:rsid w:val="00643950"/>
    <w:rsid w:val="00644685"/>
    <w:rsid w:val="006447BD"/>
    <w:rsid w:val="006464E3"/>
    <w:rsid w:val="00646612"/>
    <w:rsid w:val="006467D3"/>
    <w:rsid w:val="00646C0F"/>
    <w:rsid w:val="00647400"/>
    <w:rsid w:val="0065064B"/>
    <w:rsid w:val="00651169"/>
    <w:rsid w:val="00651515"/>
    <w:rsid w:val="00652466"/>
    <w:rsid w:val="00652B30"/>
    <w:rsid w:val="00652C01"/>
    <w:rsid w:val="00653D69"/>
    <w:rsid w:val="006552E6"/>
    <w:rsid w:val="00655794"/>
    <w:rsid w:val="006573BE"/>
    <w:rsid w:val="00657C63"/>
    <w:rsid w:val="00657DE8"/>
    <w:rsid w:val="00661CBC"/>
    <w:rsid w:val="0066212F"/>
    <w:rsid w:val="00662986"/>
    <w:rsid w:val="00662B85"/>
    <w:rsid w:val="00663422"/>
    <w:rsid w:val="00663980"/>
    <w:rsid w:val="006651A2"/>
    <w:rsid w:val="00665213"/>
    <w:rsid w:val="00665B9C"/>
    <w:rsid w:val="00666784"/>
    <w:rsid w:val="00666C49"/>
    <w:rsid w:val="006670BE"/>
    <w:rsid w:val="0066721B"/>
    <w:rsid w:val="00667F7C"/>
    <w:rsid w:val="006701B6"/>
    <w:rsid w:val="00670A76"/>
    <w:rsid w:val="00670F97"/>
    <w:rsid w:val="006711AA"/>
    <w:rsid w:val="00672B57"/>
    <w:rsid w:val="00673255"/>
    <w:rsid w:val="00673562"/>
    <w:rsid w:val="00673F1F"/>
    <w:rsid w:val="00674A3E"/>
    <w:rsid w:val="00675622"/>
    <w:rsid w:val="00675906"/>
    <w:rsid w:val="00675B2E"/>
    <w:rsid w:val="00675C6A"/>
    <w:rsid w:val="006760B1"/>
    <w:rsid w:val="0067747D"/>
    <w:rsid w:val="00677E60"/>
    <w:rsid w:val="006804F5"/>
    <w:rsid w:val="00680960"/>
    <w:rsid w:val="00680FDC"/>
    <w:rsid w:val="006818D5"/>
    <w:rsid w:val="00681CA4"/>
    <w:rsid w:val="00682234"/>
    <w:rsid w:val="00682F67"/>
    <w:rsid w:val="00683FD4"/>
    <w:rsid w:val="006844D5"/>
    <w:rsid w:val="00685E94"/>
    <w:rsid w:val="006862BA"/>
    <w:rsid w:val="00686D13"/>
    <w:rsid w:val="0068718D"/>
    <w:rsid w:val="0068744E"/>
    <w:rsid w:val="0069039D"/>
    <w:rsid w:val="006906DB"/>
    <w:rsid w:val="00690988"/>
    <w:rsid w:val="00690D61"/>
    <w:rsid w:val="00690F24"/>
    <w:rsid w:val="00691114"/>
    <w:rsid w:val="00691900"/>
    <w:rsid w:val="00691E6C"/>
    <w:rsid w:val="0069342D"/>
    <w:rsid w:val="00693A36"/>
    <w:rsid w:val="00693DFB"/>
    <w:rsid w:val="00693EC9"/>
    <w:rsid w:val="0069410F"/>
    <w:rsid w:val="006946D7"/>
    <w:rsid w:val="006947DD"/>
    <w:rsid w:val="0069501D"/>
    <w:rsid w:val="0069566B"/>
    <w:rsid w:val="00696129"/>
    <w:rsid w:val="006974BE"/>
    <w:rsid w:val="00697C40"/>
    <w:rsid w:val="00697CF2"/>
    <w:rsid w:val="00697E34"/>
    <w:rsid w:val="006A12A5"/>
    <w:rsid w:val="006A1D4A"/>
    <w:rsid w:val="006A1DCC"/>
    <w:rsid w:val="006A1E54"/>
    <w:rsid w:val="006A2515"/>
    <w:rsid w:val="006A3CA2"/>
    <w:rsid w:val="006A5E20"/>
    <w:rsid w:val="006A6501"/>
    <w:rsid w:val="006B0C1B"/>
    <w:rsid w:val="006B0D94"/>
    <w:rsid w:val="006B10C8"/>
    <w:rsid w:val="006B126A"/>
    <w:rsid w:val="006B19D8"/>
    <w:rsid w:val="006B415D"/>
    <w:rsid w:val="006B43CA"/>
    <w:rsid w:val="006B4617"/>
    <w:rsid w:val="006B485D"/>
    <w:rsid w:val="006B5562"/>
    <w:rsid w:val="006B55DD"/>
    <w:rsid w:val="006B6187"/>
    <w:rsid w:val="006B6248"/>
    <w:rsid w:val="006C04F1"/>
    <w:rsid w:val="006C0C45"/>
    <w:rsid w:val="006C126C"/>
    <w:rsid w:val="006C1E71"/>
    <w:rsid w:val="006C334C"/>
    <w:rsid w:val="006C4841"/>
    <w:rsid w:val="006C49A9"/>
    <w:rsid w:val="006C4BF4"/>
    <w:rsid w:val="006C5B33"/>
    <w:rsid w:val="006C6C10"/>
    <w:rsid w:val="006C708E"/>
    <w:rsid w:val="006C74DF"/>
    <w:rsid w:val="006C7563"/>
    <w:rsid w:val="006C7DDC"/>
    <w:rsid w:val="006D0560"/>
    <w:rsid w:val="006D076E"/>
    <w:rsid w:val="006D1188"/>
    <w:rsid w:val="006D14E7"/>
    <w:rsid w:val="006D1C99"/>
    <w:rsid w:val="006D23F4"/>
    <w:rsid w:val="006D3D51"/>
    <w:rsid w:val="006D4444"/>
    <w:rsid w:val="006D491A"/>
    <w:rsid w:val="006D4DFD"/>
    <w:rsid w:val="006D5505"/>
    <w:rsid w:val="006D5E1F"/>
    <w:rsid w:val="006D6493"/>
    <w:rsid w:val="006D6EC7"/>
    <w:rsid w:val="006D7AD1"/>
    <w:rsid w:val="006E09D9"/>
    <w:rsid w:val="006E191E"/>
    <w:rsid w:val="006E1BCD"/>
    <w:rsid w:val="006E24FF"/>
    <w:rsid w:val="006E2732"/>
    <w:rsid w:val="006E2787"/>
    <w:rsid w:val="006E2857"/>
    <w:rsid w:val="006E288D"/>
    <w:rsid w:val="006E3DF9"/>
    <w:rsid w:val="006E40BC"/>
    <w:rsid w:val="006E411E"/>
    <w:rsid w:val="006E425F"/>
    <w:rsid w:val="006E5658"/>
    <w:rsid w:val="006E59CD"/>
    <w:rsid w:val="006E60E5"/>
    <w:rsid w:val="006E6222"/>
    <w:rsid w:val="006E6480"/>
    <w:rsid w:val="006E737A"/>
    <w:rsid w:val="006E74A3"/>
    <w:rsid w:val="006E7845"/>
    <w:rsid w:val="006F0A71"/>
    <w:rsid w:val="006F222B"/>
    <w:rsid w:val="006F3641"/>
    <w:rsid w:val="006F3A9F"/>
    <w:rsid w:val="006F40C2"/>
    <w:rsid w:val="006F4B45"/>
    <w:rsid w:val="006F4CDF"/>
    <w:rsid w:val="006F4FA3"/>
    <w:rsid w:val="006F5125"/>
    <w:rsid w:val="006F538F"/>
    <w:rsid w:val="006F670D"/>
    <w:rsid w:val="006F6AA2"/>
    <w:rsid w:val="006F733D"/>
    <w:rsid w:val="00700283"/>
    <w:rsid w:val="007004EB"/>
    <w:rsid w:val="0070083A"/>
    <w:rsid w:val="0070141A"/>
    <w:rsid w:val="00701480"/>
    <w:rsid w:val="00702407"/>
    <w:rsid w:val="00702B6F"/>
    <w:rsid w:val="00703A7C"/>
    <w:rsid w:val="00704069"/>
    <w:rsid w:val="00704282"/>
    <w:rsid w:val="00705C37"/>
    <w:rsid w:val="00705CED"/>
    <w:rsid w:val="00705FEB"/>
    <w:rsid w:val="00706A2F"/>
    <w:rsid w:val="00706D69"/>
    <w:rsid w:val="0070718E"/>
    <w:rsid w:val="007071E5"/>
    <w:rsid w:val="00707E52"/>
    <w:rsid w:val="00710259"/>
    <w:rsid w:val="0071031F"/>
    <w:rsid w:val="0071162B"/>
    <w:rsid w:val="00712363"/>
    <w:rsid w:val="007125DC"/>
    <w:rsid w:val="00712CD2"/>
    <w:rsid w:val="0071340B"/>
    <w:rsid w:val="007136DF"/>
    <w:rsid w:val="00713B04"/>
    <w:rsid w:val="00713C58"/>
    <w:rsid w:val="00713D90"/>
    <w:rsid w:val="0071436D"/>
    <w:rsid w:val="00715603"/>
    <w:rsid w:val="00715B44"/>
    <w:rsid w:val="00715BBB"/>
    <w:rsid w:val="007160E0"/>
    <w:rsid w:val="007174BB"/>
    <w:rsid w:val="00720007"/>
    <w:rsid w:val="0072025D"/>
    <w:rsid w:val="0072065F"/>
    <w:rsid w:val="00721326"/>
    <w:rsid w:val="00722894"/>
    <w:rsid w:val="00723328"/>
    <w:rsid w:val="007249D2"/>
    <w:rsid w:val="00724F82"/>
    <w:rsid w:val="00725AA1"/>
    <w:rsid w:val="007265A1"/>
    <w:rsid w:val="00726F23"/>
    <w:rsid w:val="00727814"/>
    <w:rsid w:val="00730A56"/>
    <w:rsid w:val="00730B37"/>
    <w:rsid w:val="00730F36"/>
    <w:rsid w:val="0073137C"/>
    <w:rsid w:val="007322AF"/>
    <w:rsid w:val="00733864"/>
    <w:rsid w:val="00733AE1"/>
    <w:rsid w:val="007340B9"/>
    <w:rsid w:val="007353D3"/>
    <w:rsid w:val="007355A6"/>
    <w:rsid w:val="00737069"/>
    <w:rsid w:val="0073726D"/>
    <w:rsid w:val="0073736D"/>
    <w:rsid w:val="00737DEF"/>
    <w:rsid w:val="00737EC0"/>
    <w:rsid w:val="0074074E"/>
    <w:rsid w:val="0074156B"/>
    <w:rsid w:val="00741619"/>
    <w:rsid w:val="0074284D"/>
    <w:rsid w:val="00742F9E"/>
    <w:rsid w:val="007432CB"/>
    <w:rsid w:val="00744AB5"/>
    <w:rsid w:val="00745189"/>
    <w:rsid w:val="00745D45"/>
    <w:rsid w:val="007465F4"/>
    <w:rsid w:val="00746C1D"/>
    <w:rsid w:val="00746D7B"/>
    <w:rsid w:val="00746FAB"/>
    <w:rsid w:val="00747092"/>
    <w:rsid w:val="00747113"/>
    <w:rsid w:val="00751134"/>
    <w:rsid w:val="00751C7A"/>
    <w:rsid w:val="007526E6"/>
    <w:rsid w:val="00753BEB"/>
    <w:rsid w:val="00753FAA"/>
    <w:rsid w:val="007548F8"/>
    <w:rsid w:val="00754DF9"/>
    <w:rsid w:val="00755375"/>
    <w:rsid w:val="00755460"/>
    <w:rsid w:val="00755528"/>
    <w:rsid w:val="007555E8"/>
    <w:rsid w:val="007559C4"/>
    <w:rsid w:val="00755CC5"/>
    <w:rsid w:val="0075629C"/>
    <w:rsid w:val="007571C3"/>
    <w:rsid w:val="007573B9"/>
    <w:rsid w:val="0075766C"/>
    <w:rsid w:val="0076386F"/>
    <w:rsid w:val="007638E5"/>
    <w:rsid w:val="00763CB9"/>
    <w:rsid w:val="007640DF"/>
    <w:rsid w:val="0076420C"/>
    <w:rsid w:val="00764665"/>
    <w:rsid w:val="0076485A"/>
    <w:rsid w:val="00765B40"/>
    <w:rsid w:val="00765E5E"/>
    <w:rsid w:val="00766B9D"/>
    <w:rsid w:val="00767286"/>
    <w:rsid w:val="00770718"/>
    <w:rsid w:val="00770CAA"/>
    <w:rsid w:val="00770D82"/>
    <w:rsid w:val="00771D07"/>
    <w:rsid w:val="00772475"/>
    <w:rsid w:val="0077323C"/>
    <w:rsid w:val="00773AAE"/>
    <w:rsid w:val="00773BE3"/>
    <w:rsid w:val="0077405E"/>
    <w:rsid w:val="007741AA"/>
    <w:rsid w:val="007742E0"/>
    <w:rsid w:val="007743DD"/>
    <w:rsid w:val="00774465"/>
    <w:rsid w:val="00774E2C"/>
    <w:rsid w:val="0077518D"/>
    <w:rsid w:val="007753C2"/>
    <w:rsid w:val="00775F61"/>
    <w:rsid w:val="00775F7B"/>
    <w:rsid w:val="00776E86"/>
    <w:rsid w:val="007774A6"/>
    <w:rsid w:val="00781507"/>
    <w:rsid w:val="007826E7"/>
    <w:rsid w:val="007838B8"/>
    <w:rsid w:val="00783C56"/>
    <w:rsid w:val="00783E90"/>
    <w:rsid w:val="00784EC7"/>
    <w:rsid w:val="00785BEF"/>
    <w:rsid w:val="00786158"/>
    <w:rsid w:val="007865DC"/>
    <w:rsid w:val="00790568"/>
    <w:rsid w:val="00790807"/>
    <w:rsid w:val="007915BA"/>
    <w:rsid w:val="00791760"/>
    <w:rsid w:val="00791844"/>
    <w:rsid w:val="00793B9B"/>
    <w:rsid w:val="00794AA5"/>
    <w:rsid w:val="00795C9A"/>
    <w:rsid w:val="00795D11"/>
    <w:rsid w:val="0079602D"/>
    <w:rsid w:val="007979BD"/>
    <w:rsid w:val="00797F47"/>
    <w:rsid w:val="007A0610"/>
    <w:rsid w:val="007A0AE2"/>
    <w:rsid w:val="007A0B9E"/>
    <w:rsid w:val="007A15BF"/>
    <w:rsid w:val="007A1CD8"/>
    <w:rsid w:val="007A250B"/>
    <w:rsid w:val="007A307E"/>
    <w:rsid w:val="007A4693"/>
    <w:rsid w:val="007A48F7"/>
    <w:rsid w:val="007A4E16"/>
    <w:rsid w:val="007A64A2"/>
    <w:rsid w:val="007A6A2F"/>
    <w:rsid w:val="007A70DB"/>
    <w:rsid w:val="007A718F"/>
    <w:rsid w:val="007A7451"/>
    <w:rsid w:val="007B00D5"/>
    <w:rsid w:val="007B024E"/>
    <w:rsid w:val="007B0944"/>
    <w:rsid w:val="007B0D32"/>
    <w:rsid w:val="007B151F"/>
    <w:rsid w:val="007B18C0"/>
    <w:rsid w:val="007B1920"/>
    <w:rsid w:val="007B1A07"/>
    <w:rsid w:val="007B1DFF"/>
    <w:rsid w:val="007B2CAB"/>
    <w:rsid w:val="007B3DDC"/>
    <w:rsid w:val="007B4607"/>
    <w:rsid w:val="007B5814"/>
    <w:rsid w:val="007B6593"/>
    <w:rsid w:val="007B72A6"/>
    <w:rsid w:val="007B76A5"/>
    <w:rsid w:val="007C053A"/>
    <w:rsid w:val="007C06D2"/>
    <w:rsid w:val="007C08E0"/>
    <w:rsid w:val="007C0E36"/>
    <w:rsid w:val="007C0F57"/>
    <w:rsid w:val="007C4051"/>
    <w:rsid w:val="007C40B6"/>
    <w:rsid w:val="007C4D7C"/>
    <w:rsid w:val="007C4DB9"/>
    <w:rsid w:val="007C5281"/>
    <w:rsid w:val="007C60E3"/>
    <w:rsid w:val="007C6FDF"/>
    <w:rsid w:val="007C729F"/>
    <w:rsid w:val="007D0A6E"/>
    <w:rsid w:val="007D1860"/>
    <w:rsid w:val="007D2DE3"/>
    <w:rsid w:val="007D503D"/>
    <w:rsid w:val="007D5764"/>
    <w:rsid w:val="007D59E7"/>
    <w:rsid w:val="007D5F2A"/>
    <w:rsid w:val="007D662D"/>
    <w:rsid w:val="007D6735"/>
    <w:rsid w:val="007E1D28"/>
    <w:rsid w:val="007E2FBF"/>
    <w:rsid w:val="007E713F"/>
    <w:rsid w:val="007E7B09"/>
    <w:rsid w:val="007F0021"/>
    <w:rsid w:val="007F19C8"/>
    <w:rsid w:val="007F2540"/>
    <w:rsid w:val="007F2641"/>
    <w:rsid w:val="007F2796"/>
    <w:rsid w:val="007F35EF"/>
    <w:rsid w:val="007F377A"/>
    <w:rsid w:val="007F4084"/>
    <w:rsid w:val="007F4A29"/>
    <w:rsid w:val="007F4AB4"/>
    <w:rsid w:val="007F6286"/>
    <w:rsid w:val="007F6352"/>
    <w:rsid w:val="007F7BF5"/>
    <w:rsid w:val="007F7C36"/>
    <w:rsid w:val="007F7C48"/>
    <w:rsid w:val="007F7CD3"/>
    <w:rsid w:val="008001D9"/>
    <w:rsid w:val="00800D4E"/>
    <w:rsid w:val="00802341"/>
    <w:rsid w:val="008026BB"/>
    <w:rsid w:val="00803407"/>
    <w:rsid w:val="0080351B"/>
    <w:rsid w:val="00804DE6"/>
    <w:rsid w:val="00804FF1"/>
    <w:rsid w:val="008055AF"/>
    <w:rsid w:val="008057CD"/>
    <w:rsid w:val="00805AF3"/>
    <w:rsid w:val="00806796"/>
    <w:rsid w:val="00806BBF"/>
    <w:rsid w:val="00807ECF"/>
    <w:rsid w:val="00810167"/>
    <w:rsid w:val="00810D16"/>
    <w:rsid w:val="00810F6E"/>
    <w:rsid w:val="008111B3"/>
    <w:rsid w:val="00811B71"/>
    <w:rsid w:val="00811CC0"/>
    <w:rsid w:val="00812D90"/>
    <w:rsid w:val="0081308B"/>
    <w:rsid w:val="00813BC9"/>
    <w:rsid w:val="008147AE"/>
    <w:rsid w:val="008151D6"/>
    <w:rsid w:val="00816F81"/>
    <w:rsid w:val="0082073B"/>
    <w:rsid w:val="00820BE1"/>
    <w:rsid w:val="00821527"/>
    <w:rsid w:val="008215E6"/>
    <w:rsid w:val="00821F8E"/>
    <w:rsid w:val="00822229"/>
    <w:rsid w:val="00822696"/>
    <w:rsid w:val="008235FB"/>
    <w:rsid w:val="008238CD"/>
    <w:rsid w:val="00825A6C"/>
    <w:rsid w:val="00825E8E"/>
    <w:rsid w:val="0082617E"/>
    <w:rsid w:val="008268BB"/>
    <w:rsid w:val="00826BCA"/>
    <w:rsid w:val="00826F6D"/>
    <w:rsid w:val="008279D3"/>
    <w:rsid w:val="00830342"/>
    <w:rsid w:val="008306F3"/>
    <w:rsid w:val="00830AA6"/>
    <w:rsid w:val="00830E40"/>
    <w:rsid w:val="00832D9A"/>
    <w:rsid w:val="00833538"/>
    <w:rsid w:val="008338D2"/>
    <w:rsid w:val="00833B7C"/>
    <w:rsid w:val="00833DF4"/>
    <w:rsid w:val="00834559"/>
    <w:rsid w:val="00835790"/>
    <w:rsid w:val="00835C62"/>
    <w:rsid w:val="008368A1"/>
    <w:rsid w:val="00836D53"/>
    <w:rsid w:val="00837520"/>
    <w:rsid w:val="008375D6"/>
    <w:rsid w:val="00840CE4"/>
    <w:rsid w:val="00840EF7"/>
    <w:rsid w:val="00842839"/>
    <w:rsid w:val="00844C0A"/>
    <w:rsid w:val="00844F94"/>
    <w:rsid w:val="00845A41"/>
    <w:rsid w:val="00846056"/>
    <w:rsid w:val="008465BC"/>
    <w:rsid w:val="0084681F"/>
    <w:rsid w:val="00846E8B"/>
    <w:rsid w:val="00847700"/>
    <w:rsid w:val="00847EC0"/>
    <w:rsid w:val="00851350"/>
    <w:rsid w:val="00852687"/>
    <w:rsid w:val="008527B2"/>
    <w:rsid w:val="00852F50"/>
    <w:rsid w:val="00853680"/>
    <w:rsid w:val="00854741"/>
    <w:rsid w:val="00854960"/>
    <w:rsid w:val="00854D3D"/>
    <w:rsid w:val="00855384"/>
    <w:rsid w:val="00855FD6"/>
    <w:rsid w:val="00856070"/>
    <w:rsid w:val="00856DDD"/>
    <w:rsid w:val="00862004"/>
    <w:rsid w:val="0086219D"/>
    <w:rsid w:val="0086238C"/>
    <w:rsid w:val="008626E1"/>
    <w:rsid w:val="00862998"/>
    <w:rsid w:val="00863355"/>
    <w:rsid w:val="00863E68"/>
    <w:rsid w:val="008647B5"/>
    <w:rsid w:val="00864C83"/>
    <w:rsid w:val="00867D64"/>
    <w:rsid w:val="00871A4C"/>
    <w:rsid w:val="00871C02"/>
    <w:rsid w:val="008735A2"/>
    <w:rsid w:val="008735C6"/>
    <w:rsid w:val="00874A49"/>
    <w:rsid w:val="00875426"/>
    <w:rsid w:val="00875BCB"/>
    <w:rsid w:val="00875DCB"/>
    <w:rsid w:val="0087659F"/>
    <w:rsid w:val="0087755A"/>
    <w:rsid w:val="00880882"/>
    <w:rsid w:val="00881CAA"/>
    <w:rsid w:val="00882085"/>
    <w:rsid w:val="00883188"/>
    <w:rsid w:val="0088376A"/>
    <w:rsid w:val="00884A0C"/>
    <w:rsid w:val="008850D8"/>
    <w:rsid w:val="00886ACA"/>
    <w:rsid w:val="008874B4"/>
    <w:rsid w:val="00887B4D"/>
    <w:rsid w:val="00887DF0"/>
    <w:rsid w:val="0089031E"/>
    <w:rsid w:val="00890618"/>
    <w:rsid w:val="00890684"/>
    <w:rsid w:val="00890B2A"/>
    <w:rsid w:val="00891098"/>
    <w:rsid w:val="00892DAE"/>
    <w:rsid w:val="0089460B"/>
    <w:rsid w:val="0089588B"/>
    <w:rsid w:val="008977DA"/>
    <w:rsid w:val="00897969"/>
    <w:rsid w:val="00897D58"/>
    <w:rsid w:val="00897F22"/>
    <w:rsid w:val="008A00E1"/>
    <w:rsid w:val="008A0B39"/>
    <w:rsid w:val="008A17A3"/>
    <w:rsid w:val="008A1956"/>
    <w:rsid w:val="008A1E85"/>
    <w:rsid w:val="008A1EFE"/>
    <w:rsid w:val="008A1F61"/>
    <w:rsid w:val="008A2419"/>
    <w:rsid w:val="008A2B79"/>
    <w:rsid w:val="008A2D1C"/>
    <w:rsid w:val="008A4056"/>
    <w:rsid w:val="008A4534"/>
    <w:rsid w:val="008A4894"/>
    <w:rsid w:val="008A4937"/>
    <w:rsid w:val="008A50F1"/>
    <w:rsid w:val="008A59D9"/>
    <w:rsid w:val="008A5B11"/>
    <w:rsid w:val="008A643E"/>
    <w:rsid w:val="008A6819"/>
    <w:rsid w:val="008A6A3A"/>
    <w:rsid w:val="008A703E"/>
    <w:rsid w:val="008A7F9E"/>
    <w:rsid w:val="008B15F1"/>
    <w:rsid w:val="008B21A2"/>
    <w:rsid w:val="008B242C"/>
    <w:rsid w:val="008B2E88"/>
    <w:rsid w:val="008B2EC0"/>
    <w:rsid w:val="008B31F4"/>
    <w:rsid w:val="008B38B0"/>
    <w:rsid w:val="008B3AAE"/>
    <w:rsid w:val="008B6DCF"/>
    <w:rsid w:val="008B6FA5"/>
    <w:rsid w:val="008B7C04"/>
    <w:rsid w:val="008C005D"/>
    <w:rsid w:val="008C0542"/>
    <w:rsid w:val="008C08FC"/>
    <w:rsid w:val="008C17BA"/>
    <w:rsid w:val="008C2CAD"/>
    <w:rsid w:val="008C2F22"/>
    <w:rsid w:val="008C2F33"/>
    <w:rsid w:val="008C3210"/>
    <w:rsid w:val="008C3559"/>
    <w:rsid w:val="008C4250"/>
    <w:rsid w:val="008C53E0"/>
    <w:rsid w:val="008C6934"/>
    <w:rsid w:val="008C6A94"/>
    <w:rsid w:val="008C6FF8"/>
    <w:rsid w:val="008D0945"/>
    <w:rsid w:val="008D09C2"/>
    <w:rsid w:val="008D11CF"/>
    <w:rsid w:val="008D1409"/>
    <w:rsid w:val="008D15CC"/>
    <w:rsid w:val="008D1729"/>
    <w:rsid w:val="008D1B5C"/>
    <w:rsid w:val="008D2C9A"/>
    <w:rsid w:val="008D2D4B"/>
    <w:rsid w:val="008D336B"/>
    <w:rsid w:val="008D37CF"/>
    <w:rsid w:val="008D37DA"/>
    <w:rsid w:val="008D391A"/>
    <w:rsid w:val="008D3930"/>
    <w:rsid w:val="008D3C82"/>
    <w:rsid w:val="008D447E"/>
    <w:rsid w:val="008D4B78"/>
    <w:rsid w:val="008D5910"/>
    <w:rsid w:val="008D5C4F"/>
    <w:rsid w:val="008D6341"/>
    <w:rsid w:val="008D6ACF"/>
    <w:rsid w:val="008D6B93"/>
    <w:rsid w:val="008D6F3B"/>
    <w:rsid w:val="008D7A41"/>
    <w:rsid w:val="008E0570"/>
    <w:rsid w:val="008E0814"/>
    <w:rsid w:val="008E2C72"/>
    <w:rsid w:val="008E3680"/>
    <w:rsid w:val="008E3A1B"/>
    <w:rsid w:val="008E45EC"/>
    <w:rsid w:val="008E49D6"/>
    <w:rsid w:val="008E5870"/>
    <w:rsid w:val="008E5E5F"/>
    <w:rsid w:val="008E5F3E"/>
    <w:rsid w:val="008E7658"/>
    <w:rsid w:val="008E77E4"/>
    <w:rsid w:val="008E7B91"/>
    <w:rsid w:val="008F0213"/>
    <w:rsid w:val="008F0539"/>
    <w:rsid w:val="008F07ED"/>
    <w:rsid w:val="008F0C53"/>
    <w:rsid w:val="008F11F8"/>
    <w:rsid w:val="008F1434"/>
    <w:rsid w:val="008F27EB"/>
    <w:rsid w:val="008F2852"/>
    <w:rsid w:val="008F2BB9"/>
    <w:rsid w:val="008F30AC"/>
    <w:rsid w:val="008F3A42"/>
    <w:rsid w:val="008F3D6A"/>
    <w:rsid w:val="008F54C3"/>
    <w:rsid w:val="008F5B73"/>
    <w:rsid w:val="008F6C5B"/>
    <w:rsid w:val="008F7268"/>
    <w:rsid w:val="008F7355"/>
    <w:rsid w:val="00900D35"/>
    <w:rsid w:val="009013D6"/>
    <w:rsid w:val="0090201C"/>
    <w:rsid w:val="009023DC"/>
    <w:rsid w:val="009027C5"/>
    <w:rsid w:val="00902C75"/>
    <w:rsid w:val="00902DC5"/>
    <w:rsid w:val="009030BE"/>
    <w:rsid w:val="00903471"/>
    <w:rsid w:val="0090360E"/>
    <w:rsid w:val="009037E5"/>
    <w:rsid w:val="0090384B"/>
    <w:rsid w:val="009041A7"/>
    <w:rsid w:val="009041D3"/>
    <w:rsid w:val="00904413"/>
    <w:rsid w:val="00905BB7"/>
    <w:rsid w:val="00905BF4"/>
    <w:rsid w:val="009067B7"/>
    <w:rsid w:val="00906F23"/>
    <w:rsid w:val="00907397"/>
    <w:rsid w:val="0090775A"/>
    <w:rsid w:val="00907B02"/>
    <w:rsid w:val="00907DFD"/>
    <w:rsid w:val="009101A4"/>
    <w:rsid w:val="0091057A"/>
    <w:rsid w:val="00911273"/>
    <w:rsid w:val="00913498"/>
    <w:rsid w:val="009143A1"/>
    <w:rsid w:val="0091505E"/>
    <w:rsid w:val="00915486"/>
    <w:rsid w:val="00915CB9"/>
    <w:rsid w:val="00916856"/>
    <w:rsid w:val="00916A96"/>
    <w:rsid w:val="00916CAD"/>
    <w:rsid w:val="009171ED"/>
    <w:rsid w:val="00917D69"/>
    <w:rsid w:val="00920B6D"/>
    <w:rsid w:val="00921928"/>
    <w:rsid w:val="00923536"/>
    <w:rsid w:val="00923A06"/>
    <w:rsid w:val="00925044"/>
    <w:rsid w:val="00925D10"/>
    <w:rsid w:val="00925DA9"/>
    <w:rsid w:val="00925E5F"/>
    <w:rsid w:val="00926560"/>
    <w:rsid w:val="00926742"/>
    <w:rsid w:val="009269A1"/>
    <w:rsid w:val="00926B15"/>
    <w:rsid w:val="00927C16"/>
    <w:rsid w:val="00930037"/>
    <w:rsid w:val="00930291"/>
    <w:rsid w:val="009305BC"/>
    <w:rsid w:val="00930937"/>
    <w:rsid w:val="009309DF"/>
    <w:rsid w:val="009324A6"/>
    <w:rsid w:val="00933E6C"/>
    <w:rsid w:val="00934544"/>
    <w:rsid w:val="009351DD"/>
    <w:rsid w:val="00935611"/>
    <w:rsid w:val="00935A6E"/>
    <w:rsid w:val="009370DD"/>
    <w:rsid w:val="00937958"/>
    <w:rsid w:val="009406E5"/>
    <w:rsid w:val="00941602"/>
    <w:rsid w:val="00941FA3"/>
    <w:rsid w:val="009420D4"/>
    <w:rsid w:val="00942160"/>
    <w:rsid w:val="00942245"/>
    <w:rsid w:val="009422C2"/>
    <w:rsid w:val="009433EA"/>
    <w:rsid w:val="009436D5"/>
    <w:rsid w:val="009440B4"/>
    <w:rsid w:val="00944A3A"/>
    <w:rsid w:val="009453BD"/>
    <w:rsid w:val="00945CB2"/>
    <w:rsid w:val="00946321"/>
    <w:rsid w:val="00946509"/>
    <w:rsid w:val="00946921"/>
    <w:rsid w:val="00946D82"/>
    <w:rsid w:val="0095042C"/>
    <w:rsid w:val="0095146F"/>
    <w:rsid w:val="00951E94"/>
    <w:rsid w:val="009524E6"/>
    <w:rsid w:val="00953297"/>
    <w:rsid w:val="00954E59"/>
    <w:rsid w:val="00955B2C"/>
    <w:rsid w:val="009560FF"/>
    <w:rsid w:val="009572CB"/>
    <w:rsid w:val="00957944"/>
    <w:rsid w:val="009602C5"/>
    <w:rsid w:val="0096082B"/>
    <w:rsid w:val="00960DDF"/>
    <w:rsid w:val="00962223"/>
    <w:rsid w:val="0096235C"/>
    <w:rsid w:val="0096252B"/>
    <w:rsid w:val="00962A22"/>
    <w:rsid w:val="00962C7C"/>
    <w:rsid w:val="0096324F"/>
    <w:rsid w:val="00963817"/>
    <w:rsid w:val="009646D1"/>
    <w:rsid w:val="00966535"/>
    <w:rsid w:val="00966A80"/>
    <w:rsid w:val="00966D0D"/>
    <w:rsid w:val="00967373"/>
    <w:rsid w:val="00967532"/>
    <w:rsid w:val="009675AC"/>
    <w:rsid w:val="00967732"/>
    <w:rsid w:val="0096783C"/>
    <w:rsid w:val="0096790C"/>
    <w:rsid w:val="00967DD4"/>
    <w:rsid w:val="00970DA6"/>
    <w:rsid w:val="00970E99"/>
    <w:rsid w:val="009722B3"/>
    <w:rsid w:val="00972F40"/>
    <w:rsid w:val="00973E24"/>
    <w:rsid w:val="00974C21"/>
    <w:rsid w:val="00975948"/>
    <w:rsid w:val="00976EBA"/>
    <w:rsid w:val="00977BF3"/>
    <w:rsid w:val="00977E07"/>
    <w:rsid w:val="009800A3"/>
    <w:rsid w:val="009803E4"/>
    <w:rsid w:val="009805DB"/>
    <w:rsid w:val="00980B0E"/>
    <w:rsid w:val="009836A3"/>
    <w:rsid w:val="00984038"/>
    <w:rsid w:val="009855A8"/>
    <w:rsid w:val="009855DC"/>
    <w:rsid w:val="00985D1A"/>
    <w:rsid w:val="00986E10"/>
    <w:rsid w:val="00986F6A"/>
    <w:rsid w:val="0098774C"/>
    <w:rsid w:val="00987E2A"/>
    <w:rsid w:val="00987F44"/>
    <w:rsid w:val="009913F4"/>
    <w:rsid w:val="00991782"/>
    <w:rsid w:val="00991E87"/>
    <w:rsid w:val="00992918"/>
    <w:rsid w:val="00993595"/>
    <w:rsid w:val="00993796"/>
    <w:rsid w:val="009937F7"/>
    <w:rsid w:val="009944A8"/>
    <w:rsid w:val="0099465B"/>
    <w:rsid w:val="009951A1"/>
    <w:rsid w:val="009951C3"/>
    <w:rsid w:val="009953AF"/>
    <w:rsid w:val="0099546A"/>
    <w:rsid w:val="009965AB"/>
    <w:rsid w:val="00996A42"/>
    <w:rsid w:val="00996E34"/>
    <w:rsid w:val="00997A44"/>
    <w:rsid w:val="009A01D1"/>
    <w:rsid w:val="009A0CDD"/>
    <w:rsid w:val="009A19D9"/>
    <w:rsid w:val="009A3168"/>
    <w:rsid w:val="009A5076"/>
    <w:rsid w:val="009A5D04"/>
    <w:rsid w:val="009A61CA"/>
    <w:rsid w:val="009B0C64"/>
    <w:rsid w:val="009B0F67"/>
    <w:rsid w:val="009B1A6C"/>
    <w:rsid w:val="009B1B24"/>
    <w:rsid w:val="009B1C9C"/>
    <w:rsid w:val="009B3F8C"/>
    <w:rsid w:val="009B4029"/>
    <w:rsid w:val="009B4D1F"/>
    <w:rsid w:val="009B6AA7"/>
    <w:rsid w:val="009B750F"/>
    <w:rsid w:val="009C1092"/>
    <w:rsid w:val="009C15C0"/>
    <w:rsid w:val="009C1705"/>
    <w:rsid w:val="009C1770"/>
    <w:rsid w:val="009C17B0"/>
    <w:rsid w:val="009C1A35"/>
    <w:rsid w:val="009C1AC9"/>
    <w:rsid w:val="009C3091"/>
    <w:rsid w:val="009C3435"/>
    <w:rsid w:val="009C4F21"/>
    <w:rsid w:val="009C56F7"/>
    <w:rsid w:val="009C5B72"/>
    <w:rsid w:val="009C5F9D"/>
    <w:rsid w:val="009C703C"/>
    <w:rsid w:val="009C7822"/>
    <w:rsid w:val="009D099B"/>
    <w:rsid w:val="009D0C67"/>
    <w:rsid w:val="009D0D26"/>
    <w:rsid w:val="009D0DAD"/>
    <w:rsid w:val="009D120B"/>
    <w:rsid w:val="009D206E"/>
    <w:rsid w:val="009D2A88"/>
    <w:rsid w:val="009D3CAA"/>
    <w:rsid w:val="009D3CBE"/>
    <w:rsid w:val="009D4100"/>
    <w:rsid w:val="009D451C"/>
    <w:rsid w:val="009D4E11"/>
    <w:rsid w:val="009D55E2"/>
    <w:rsid w:val="009D5E41"/>
    <w:rsid w:val="009D62AF"/>
    <w:rsid w:val="009D6532"/>
    <w:rsid w:val="009D67A6"/>
    <w:rsid w:val="009D6D44"/>
    <w:rsid w:val="009D71DD"/>
    <w:rsid w:val="009D71FD"/>
    <w:rsid w:val="009D77A1"/>
    <w:rsid w:val="009D7B10"/>
    <w:rsid w:val="009E0FFE"/>
    <w:rsid w:val="009E2588"/>
    <w:rsid w:val="009E2664"/>
    <w:rsid w:val="009E27BF"/>
    <w:rsid w:val="009E2E8E"/>
    <w:rsid w:val="009E391C"/>
    <w:rsid w:val="009E40E1"/>
    <w:rsid w:val="009E46AC"/>
    <w:rsid w:val="009E5134"/>
    <w:rsid w:val="009E5493"/>
    <w:rsid w:val="009E5642"/>
    <w:rsid w:val="009E5C7B"/>
    <w:rsid w:val="009E6547"/>
    <w:rsid w:val="009E7D35"/>
    <w:rsid w:val="009F0EFA"/>
    <w:rsid w:val="009F4E46"/>
    <w:rsid w:val="009F4F16"/>
    <w:rsid w:val="009F5B65"/>
    <w:rsid w:val="009F5C29"/>
    <w:rsid w:val="009F5D88"/>
    <w:rsid w:val="009F5F2E"/>
    <w:rsid w:val="009F6215"/>
    <w:rsid w:val="009F7697"/>
    <w:rsid w:val="00A000C6"/>
    <w:rsid w:val="00A002D3"/>
    <w:rsid w:val="00A004A2"/>
    <w:rsid w:val="00A01432"/>
    <w:rsid w:val="00A015AB"/>
    <w:rsid w:val="00A02DC5"/>
    <w:rsid w:val="00A03937"/>
    <w:rsid w:val="00A03C04"/>
    <w:rsid w:val="00A04804"/>
    <w:rsid w:val="00A06225"/>
    <w:rsid w:val="00A0658C"/>
    <w:rsid w:val="00A066D4"/>
    <w:rsid w:val="00A068F2"/>
    <w:rsid w:val="00A07303"/>
    <w:rsid w:val="00A0749B"/>
    <w:rsid w:val="00A07C4C"/>
    <w:rsid w:val="00A07CCC"/>
    <w:rsid w:val="00A110D1"/>
    <w:rsid w:val="00A1138D"/>
    <w:rsid w:val="00A11B65"/>
    <w:rsid w:val="00A11E2E"/>
    <w:rsid w:val="00A12054"/>
    <w:rsid w:val="00A122BE"/>
    <w:rsid w:val="00A12587"/>
    <w:rsid w:val="00A128E6"/>
    <w:rsid w:val="00A1338C"/>
    <w:rsid w:val="00A13670"/>
    <w:rsid w:val="00A1369B"/>
    <w:rsid w:val="00A142AE"/>
    <w:rsid w:val="00A144D3"/>
    <w:rsid w:val="00A16318"/>
    <w:rsid w:val="00A169E6"/>
    <w:rsid w:val="00A17002"/>
    <w:rsid w:val="00A17976"/>
    <w:rsid w:val="00A20B9E"/>
    <w:rsid w:val="00A2104F"/>
    <w:rsid w:val="00A22AC3"/>
    <w:rsid w:val="00A23F3F"/>
    <w:rsid w:val="00A24067"/>
    <w:rsid w:val="00A2409E"/>
    <w:rsid w:val="00A24A4B"/>
    <w:rsid w:val="00A24A8A"/>
    <w:rsid w:val="00A25C64"/>
    <w:rsid w:val="00A266A0"/>
    <w:rsid w:val="00A26DCC"/>
    <w:rsid w:val="00A26F9E"/>
    <w:rsid w:val="00A2744D"/>
    <w:rsid w:val="00A30D16"/>
    <w:rsid w:val="00A31C3A"/>
    <w:rsid w:val="00A3208F"/>
    <w:rsid w:val="00A3271D"/>
    <w:rsid w:val="00A33F9F"/>
    <w:rsid w:val="00A341BB"/>
    <w:rsid w:val="00A34247"/>
    <w:rsid w:val="00A343D1"/>
    <w:rsid w:val="00A3465C"/>
    <w:rsid w:val="00A34C9B"/>
    <w:rsid w:val="00A34E6C"/>
    <w:rsid w:val="00A34FD0"/>
    <w:rsid w:val="00A36398"/>
    <w:rsid w:val="00A370FA"/>
    <w:rsid w:val="00A37165"/>
    <w:rsid w:val="00A37483"/>
    <w:rsid w:val="00A374B6"/>
    <w:rsid w:val="00A37788"/>
    <w:rsid w:val="00A37C8D"/>
    <w:rsid w:val="00A4020E"/>
    <w:rsid w:val="00A40FB5"/>
    <w:rsid w:val="00A41079"/>
    <w:rsid w:val="00A420D0"/>
    <w:rsid w:val="00A42665"/>
    <w:rsid w:val="00A42826"/>
    <w:rsid w:val="00A429B3"/>
    <w:rsid w:val="00A42DF4"/>
    <w:rsid w:val="00A43131"/>
    <w:rsid w:val="00A43920"/>
    <w:rsid w:val="00A4451A"/>
    <w:rsid w:val="00A44EC1"/>
    <w:rsid w:val="00A460AB"/>
    <w:rsid w:val="00A4623D"/>
    <w:rsid w:val="00A464D1"/>
    <w:rsid w:val="00A47E4D"/>
    <w:rsid w:val="00A510E4"/>
    <w:rsid w:val="00A51A45"/>
    <w:rsid w:val="00A5273B"/>
    <w:rsid w:val="00A528F5"/>
    <w:rsid w:val="00A52979"/>
    <w:rsid w:val="00A533D8"/>
    <w:rsid w:val="00A53A9D"/>
    <w:rsid w:val="00A53D74"/>
    <w:rsid w:val="00A5404D"/>
    <w:rsid w:val="00A54467"/>
    <w:rsid w:val="00A55109"/>
    <w:rsid w:val="00A552B3"/>
    <w:rsid w:val="00A5542D"/>
    <w:rsid w:val="00A559A6"/>
    <w:rsid w:val="00A55FEE"/>
    <w:rsid w:val="00A5694C"/>
    <w:rsid w:val="00A57422"/>
    <w:rsid w:val="00A609C8"/>
    <w:rsid w:val="00A60A36"/>
    <w:rsid w:val="00A62C1A"/>
    <w:rsid w:val="00A638AA"/>
    <w:rsid w:val="00A63DAE"/>
    <w:rsid w:val="00A63F05"/>
    <w:rsid w:val="00A6426D"/>
    <w:rsid w:val="00A665C1"/>
    <w:rsid w:val="00A667AF"/>
    <w:rsid w:val="00A66F08"/>
    <w:rsid w:val="00A673A4"/>
    <w:rsid w:val="00A7001A"/>
    <w:rsid w:val="00A70514"/>
    <w:rsid w:val="00A70622"/>
    <w:rsid w:val="00A7065C"/>
    <w:rsid w:val="00A70977"/>
    <w:rsid w:val="00A70D58"/>
    <w:rsid w:val="00A712D0"/>
    <w:rsid w:val="00A72516"/>
    <w:rsid w:val="00A7260E"/>
    <w:rsid w:val="00A732E2"/>
    <w:rsid w:val="00A7430B"/>
    <w:rsid w:val="00A744F9"/>
    <w:rsid w:val="00A74B2E"/>
    <w:rsid w:val="00A74B7F"/>
    <w:rsid w:val="00A74ED5"/>
    <w:rsid w:val="00A75482"/>
    <w:rsid w:val="00A75DEE"/>
    <w:rsid w:val="00A75ECA"/>
    <w:rsid w:val="00A764B7"/>
    <w:rsid w:val="00A77613"/>
    <w:rsid w:val="00A77B87"/>
    <w:rsid w:val="00A80AA9"/>
    <w:rsid w:val="00A81851"/>
    <w:rsid w:val="00A820B3"/>
    <w:rsid w:val="00A837B9"/>
    <w:rsid w:val="00A8390C"/>
    <w:rsid w:val="00A83B23"/>
    <w:rsid w:val="00A83DD7"/>
    <w:rsid w:val="00A85007"/>
    <w:rsid w:val="00A85746"/>
    <w:rsid w:val="00A86AE0"/>
    <w:rsid w:val="00A875A9"/>
    <w:rsid w:val="00A87A8A"/>
    <w:rsid w:val="00A900C1"/>
    <w:rsid w:val="00A90102"/>
    <w:rsid w:val="00A9086D"/>
    <w:rsid w:val="00A91362"/>
    <w:rsid w:val="00A9151C"/>
    <w:rsid w:val="00A919C6"/>
    <w:rsid w:val="00A928BD"/>
    <w:rsid w:val="00A92A11"/>
    <w:rsid w:val="00A93124"/>
    <w:rsid w:val="00A93488"/>
    <w:rsid w:val="00A93CCF"/>
    <w:rsid w:val="00A9486A"/>
    <w:rsid w:val="00A9565A"/>
    <w:rsid w:val="00A978D2"/>
    <w:rsid w:val="00A97DE9"/>
    <w:rsid w:val="00A97DF8"/>
    <w:rsid w:val="00AA0BE5"/>
    <w:rsid w:val="00AA1245"/>
    <w:rsid w:val="00AA12CD"/>
    <w:rsid w:val="00AA21B1"/>
    <w:rsid w:val="00AA261A"/>
    <w:rsid w:val="00AA38A2"/>
    <w:rsid w:val="00AA4101"/>
    <w:rsid w:val="00AA47AE"/>
    <w:rsid w:val="00AA49EF"/>
    <w:rsid w:val="00AA4B6F"/>
    <w:rsid w:val="00AA4D1C"/>
    <w:rsid w:val="00AA52FD"/>
    <w:rsid w:val="00AA6280"/>
    <w:rsid w:val="00AA7006"/>
    <w:rsid w:val="00AB01C5"/>
    <w:rsid w:val="00AB19F1"/>
    <w:rsid w:val="00AB1C4D"/>
    <w:rsid w:val="00AB23D8"/>
    <w:rsid w:val="00AB5856"/>
    <w:rsid w:val="00AC04C8"/>
    <w:rsid w:val="00AC0937"/>
    <w:rsid w:val="00AC193C"/>
    <w:rsid w:val="00AC1A32"/>
    <w:rsid w:val="00AC30C1"/>
    <w:rsid w:val="00AC360B"/>
    <w:rsid w:val="00AC4DE5"/>
    <w:rsid w:val="00AC5206"/>
    <w:rsid w:val="00AC56E4"/>
    <w:rsid w:val="00AC5E16"/>
    <w:rsid w:val="00AC62D7"/>
    <w:rsid w:val="00AC6813"/>
    <w:rsid w:val="00AC76AF"/>
    <w:rsid w:val="00AC7CB5"/>
    <w:rsid w:val="00AD02E3"/>
    <w:rsid w:val="00AD076F"/>
    <w:rsid w:val="00AD113E"/>
    <w:rsid w:val="00AD1BBA"/>
    <w:rsid w:val="00AD3106"/>
    <w:rsid w:val="00AD32D3"/>
    <w:rsid w:val="00AD4322"/>
    <w:rsid w:val="00AD43B3"/>
    <w:rsid w:val="00AD49C8"/>
    <w:rsid w:val="00AD4EE1"/>
    <w:rsid w:val="00AD50F2"/>
    <w:rsid w:val="00AD51AD"/>
    <w:rsid w:val="00AD6F35"/>
    <w:rsid w:val="00AD6FF8"/>
    <w:rsid w:val="00AD738B"/>
    <w:rsid w:val="00AD7626"/>
    <w:rsid w:val="00AE11A5"/>
    <w:rsid w:val="00AE13E2"/>
    <w:rsid w:val="00AE1521"/>
    <w:rsid w:val="00AE18D8"/>
    <w:rsid w:val="00AE20E4"/>
    <w:rsid w:val="00AE22D3"/>
    <w:rsid w:val="00AE29A2"/>
    <w:rsid w:val="00AE410F"/>
    <w:rsid w:val="00AE486B"/>
    <w:rsid w:val="00AE57CD"/>
    <w:rsid w:val="00AE5A49"/>
    <w:rsid w:val="00AE6E84"/>
    <w:rsid w:val="00AE7314"/>
    <w:rsid w:val="00AE7C87"/>
    <w:rsid w:val="00AF07B0"/>
    <w:rsid w:val="00AF11D8"/>
    <w:rsid w:val="00AF13BA"/>
    <w:rsid w:val="00AF186A"/>
    <w:rsid w:val="00AF363F"/>
    <w:rsid w:val="00AF3DA1"/>
    <w:rsid w:val="00AF3F1F"/>
    <w:rsid w:val="00AF43E2"/>
    <w:rsid w:val="00AF4CCA"/>
    <w:rsid w:val="00AF4F12"/>
    <w:rsid w:val="00AF5867"/>
    <w:rsid w:val="00AF62DF"/>
    <w:rsid w:val="00AF6585"/>
    <w:rsid w:val="00AF67BC"/>
    <w:rsid w:val="00AF68CC"/>
    <w:rsid w:val="00AF6F9E"/>
    <w:rsid w:val="00AF70D7"/>
    <w:rsid w:val="00AF7CA4"/>
    <w:rsid w:val="00B00252"/>
    <w:rsid w:val="00B00AF1"/>
    <w:rsid w:val="00B01D77"/>
    <w:rsid w:val="00B01FF4"/>
    <w:rsid w:val="00B02466"/>
    <w:rsid w:val="00B02CF5"/>
    <w:rsid w:val="00B0326D"/>
    <w:rsid w:val="00B06478"/>
    <w:rsid w:val="00B07533"/>
    <w:rsid w:val="00B07CFB"/>
    <w:rsid w:val="00B1059E"/>
    <w:rsid w:val="00B108F3"/>
    <w:rsid w:val="00B10FB5"/>
    <w:rsid w:val="00B11C61"/>
    <w:rsid w:val="00B11E91"/>
    <w:rsid w:val="00B12695"/>
    <w:rsid w:val="00B13F43"/>
    <w:rsid w:val="00B140BD"/>
    <w:rsid w:val="00B14769"/>
    <w:rsid w:val="00B14A36"/>
    <w:rsid w:val="00B16273"/>
    <w:rsid w:val="00B1627C"/>
    <w:rsid w:val="00B170A5"/>
    <w:rsid w:val="00B17674"/>
    <w:rsid w:val="00B176C8"/>
    <w:rsid w:val="00B17EE5"/>
    <w:rsid w:val="00B2048D"/>
    <w:rsid w:val="00B205AA"/>
    <w:rsid w:val="00B21C30"/>
    <w:rsid w:val="00B21CAA"/>
    <w:rsid w:val="00B225C0"/>
    <w:rsid w:val="00B22BE5"/>
    <w:rsid w:val="00B22E84"/>
    <w:rsid w:val="00B233AD"/>
    <w:rsid w:val="00B234BD"/>
    <w:rsid w:val="00B238E2"/>
    <w:rsid w:val="00B23DF4"/>
    <w:rsid w:val="00B23E25"/>
    <w:rsid w:val="00B23EF3"/>
    <w:rsid w:val="00B25F75"/>
    <w:rsid w:val="00B26B3F"/>
    <w:rsid w:val="00B26C45"/>
    <w:rsid w:val="00B26F56"/>
    <w:rsid w:val="00B27122"/>
    <w:rsid w:val="00B2778F"/>
    <w:rsid w:val="00B27841"/>
    <w:rsid w:val="00B3017D"/>
    <w:rsid w:val="00B30B51"/>
    <w:rsid w:val="00B31264"/>
    <w:rsid w:val="00B322F9"/>
    <w:rsid w:val="00B327E2"/>
    <w:rsid w:val="00B33635"/>
    <w:rsid w:val="00B35648"/>
    <w:rsid w:val="00B37B2D"/>
    <w:rsid w:val="00B40A9E"/>
    <w:rsid w:val="00B411FF"/>
    <w:rsid w:val="00B42AF4"/>
    <w:rsid w:val="00B43E44"/>
    <w:rsid w:val="00B43E90"/>
    <w:rsid w:val="00B45443"/>
    <w:rsid w:val="00B45721"/>
    <w:rsid w:val="00B45966"/>
    <w:rsid w:val="00B467DC"/>
    <w:rsid w:val="00B46E79"/>
    <w:rsid w:val="00B47C49"/>
    <w:rsid w:val="00B47F82"/>
    <w:rsid w:val="00B51107"/>
    <w:rsid w:val="00B51AF2"/>
    <w:rsid w:val="00B52261"/>
    <w:rsid w:val="00B5392A"/>
    <w:rsid w:val="00B53D6F"/>
    <w:rsid w:val="00B53EB4"/>
    <w:rsid w:val="00B53F63"/>
    <w:rsid w:val="00B54AFF"/>
    <w:rsid w:val="00B55E9D"/>
    <w:rsid w:val="00B56118"/>
    <w:rsid w:val="00B56387"/>
    <w:rsid w:val="00B566E1"/>
    <w:rsid w:val="00B60AB6"/>
    <w:rsid w:val="00B60D63"/>
    <w:rsid w:val="00B60DC2"/>
    <w:rsid w:val="00B60F21"/>
    <w:rsid w:val="00B62564"/>
    <w:rsid w:val="00B62F9A"/>
    <w:rsid w:val="00B6321E"/>
    <w:rsid w:val="00B64BB4"/>
    <w:rsid w:val="00B654E1"/>
    <w:rsid w:val="00B65FC6"/>
    <w:rsid w:val="00B667B1"/>
    <w:rsid w:val="00B6773F"/>
    <w:rsid w:val="00B707A0"/>
    <w:rsid w:val="00B70AC2"/>
    <w:rsid w:val="00B70EB3"/>
    <w:rsid w:val="00B7286D"/>
    <w:rsid w:val="00B72906"/>
    <w:rsid w:val="00B737A8"/>
    <w:rsid w:val="00B7433A"/>
    <w:rsid w:val="00B751E4"/>
    <w:rsid w:val="00B7525E"/>
    <w:rsid w:val="00B753FC"/>
    <w:rsid w:val="00B760FB"/>
    <w:rsid w:val="00B767AB"/>
    <w:rsid w:val="00B768B7"/>
    <w:rsid w:val="00B76B7D"/>
    <w:rsid w:val="00B76C05"/>
    <w:rsid w:val="00B77B51"/>
    <w:rsid w:val="00B77D9B"/>
    <w:rsid w:val="00B801BA"/>
    <w:rsid w:val="00B801DF"/>
    <w:rsid w:val="00B80A82"/>
    <w:rsid w:val="00B812D6"/>
    <w:rsid w:val="00B8181D"/>
    <w:rsid w:val="00B841F3"/>
    <w:rsid w:val="00B84483"/>
    <w:rsid w:val="00B8482B"/>
    <w:rsid w:val="00B84A30"/>
    <w:rsid w:val="00B84D5C"/>
    <w:rsid w:val="00B85307"/>
    <w:rsid w:val="00B85AAC"/>
    <w:rsid w:val="00B85AC6"/>
    <w:rsid w:val="00B85AF6"/>
    <w:rsid w:val="00B85B63"/>
    <w:rsid w:val="00B85EE3"/>
    <w:rsid w:val="00B91360"/>
    <w:rsid w:val="00B919A7"/>
    <w:rsid w:val="00B91A68"/>
    <w:rsid w:val="00B91FFF"/>
    <w:rsid w:val="00B95099"/>
    <w:rsid w:val="00B95515"/>
    <w:rsid w:val="00B956ED"/>
    <w:rsid w:val="00B95E24"/>
    <w:rsid w:val="00B96682"/>
    <w:rsid w:val="00BA0190"/>
    <w:rsid w:val="00BA2DA8"/>
    <w:rsid w:val="00BA347C"/>
    <w:rsid w:val="00BA41CE"/>
    <w:rsid w:val="00BA4C88"/>
    <w:rsid w:val="00BA4F28"/>
    <w:rsid w:val="00BA53DE"/>
    <w:rsid w:val="00BA5559"/>
    <w:rsid w:val="00BA5778"/>
    <w:rsid w:val="00BA5F1D"/>
    <w:rsid w:val="00BA6581"/>
    <w:rsid w:val="00BA763D"/>
    <w:rsid w:val="00BA7A67"/>
    <w:rsid w:val="00BB0D64"/>
    <w:rsid w:val="00BB1223"/>
    <w:rsid w:val="00BB2D9F"/>
    <w:rsid w:val="00BB2F68"/>
    <w:rsid w:val="00BB3469"/>
    <w:rsid w:val="00BB414E"/>
    <w:rsid w:val="00BB51D6"/>
    <w:rsid w:val="00BB5C49"/>
    <w:rsid w:val="00BB6240"/>
    <w:rsid w:val="00BB6285"/>
    <w:rsid w:val="00BB69F5"/>
    <w:rsid w:val="00BB7EC3"/>
    <w:rsid w:val="00BC0041"/>
    <w:rsid w:val="00BC0407"/>
    <w:rsid w:val="00BC28F4"/>
    <w:rsid w:val="00BC296F"/>
    <w:rsid w:val="00BC392F"/>
    <w:rsid w:val="00BC470E"/>
    <w:rsid w:val="00BC48EF"/>
    <w:rsid w:val="00BC4B9A"/>
    <w:rsid w:val="00BC4C8E"/>
    <w:rsid w:val="00BC63F4"/>
    <w:rsid w:val="00BC65AA"/>
    <w:rsid w:val="00BC69FD"/>
    <w:rsid w:val="00BC6FE3"/>
    <w:rsid w:val="00BD02C3"/>
    <w:rsid w:val="00BD2DF8"/>
    <w:rsid w:val="00BD3195"/>
    <w:rsid w:val="00BD3E47"/>
    <w:rsid w:val="00BD4208"/>
    <w:rsid w:val="00BD471F"/>
    <w:rsid w:val="00BD4C7C"/>
    <w:rsid w:val="00BD510D"/>
    <w:rsid w:val="00BD5383"/>
    <w:rsid w:val="00BD5DC8"/>
    <w:rsid w:val="00BD72CE"/>
    <w:rsid w:val="00BD7483"/>
    <w:rsid w:val="00BD74BA"/>
    <w:rsid w:val="00BD764D"/>
    <w:rsid w:val="00BD784C"/>
    <w:rsid w:val="00BE020A"/>
    <w:rsid w:val="00BE13DF"/>
    <w:rsid w:val="00BE25D7"/>
    <w:rsid w:val="00BE2F00"/>
    <w:rsid w:val="00BE3E85"/>
    <w:rsid w:val="00BE5405"/>
    <w:rsid w:val="00BE5FB1"/>
    <w:rsid w:val="00BE68DB"/>
    <w:rsid w:val="00BE7A6A"/>
    <w:rsid w:val="00BF0567"/>
    <w:rsid w:val="00BF092C"/>
    <w:rsid w:val="00BF19F0"/>
    <w:rsid w:val="00BF22EA"/>
    <w:rsid w:val="00BF27A0"/>
    <w:rsid w:val="00BF2C06"/>
    <w:rsid w:val="00BF2CE0"/>
    <w:rsid w:val="00BF36C9"/>
    <w:rsid w:val="00BF3E8E"/>
    <w:rsid w:val="00BF4CB6"/>
    <w:rsid w:val="00BF4CD9"/>
    <w:rsid w:val="00BF56D7"/>
    <w:rsid w:val="00BF5A1C"/>
    <w:rsid w:val="00BF704B"/>
    <w:rsid w:val="00BF784A"/>
    <w:rsid w:val="00BF7B8D"/>
    <w:rsid w:val="00C00DA7"/>
    <w:rsid w:val="00C00DF2"/>
    <w:rsid w:val="00C01198"/>
    <w:rsid w:val="00C0229B"/>
    <w:rsid w:val="00C03355"/>
    <w:rsid w:val="00C0476A"/>
    <w:rsid w:val="00C04CDE"/>
    <w:rsid w:val="00C061EC"/>
    <w:rsid w:val="00C068A6"/>
    <w:rsid w:val="00C06D33"/>
    <w:rsid w:val="00C11263"/>
    <w:rsid w:val="00C126CC"/>
    <w:rsid w:val="00C12768"/>
    <w:rsid w:val="00C12D70"/>
    <w:rsid w:val="00C13C21"/>
    <w:rsid w:val="00C13DDC"/>
    <w:rsid w:val="00C13F4E"/>
    <w:rsid w:val="00C1492C"/>
    <w:rsid w:val="00C14C1B"/>
    <w:rsid w:val="00C15906"/>
    <w:rsid w:val="00C164C3"/>
    <w:rsid w:val="00C16724"/>
    <w:rsid w:val="00C17892"/>
    <w:rsid w:val="00C21803"/>
    <w:rsid w:val="00C21B09"/>
    <w:rsid w:val="00C226E2"/>
    <w:rsid w:val="00C24190"/>
    <w:rsid w:val="00C2673A"/>
    <w:rsid w:val="00C268B1"/>
    <w:rsid w:val="00C27269"/>
    <w:rsid w:val="00C27B58"/>
    <w:rsid w:val="00C31890"/>
    <w:rsid w:val="00C33186"/>
    <w:rsid w:val="00C3359A"/>
    <w:rsid w:val="00C34250"/>
    <w:rsid w:val="00C3454B"/>
    <w:rsid w:val="00C347BD"/>
    <w:rsid w:val="00C34897"/>
    <w:rsid w:val="00C349E4"/>
    <w:rsid w:val="00C35996"/>
    <w:rsid w:val="00C37E2A"/>
    <w:rsid w:val="00C41B70"/>
    <w:rsid w:val="00C43734"/>
    <w:rsid w:val="00C43F59"/>
    <w:rsid w:val="00C4467A"/>
    <w:rsid w:val="00C44961"/>
    <w:rsid w:val="00C4578A"/>
    <w:rsid w:val="00C45B84"/>
    <w:rsid w:val="00C4747E"/>
    <w:rsid w:val="00C477FD"/>
    <w:rsid w:val="00C47C5B"/>
    <w:rsid w:val="00C51179"/>
    <w:rsid w:val="00C5151E"/>
    <w:rsid w:val="00C517E9"/>
    <w:rsid w:val="00C51B47"/>
    <w:rsid w:val="00C52980"/>
    <w:rsid w:val="00C5342C"/>
    <w:rsid w:val="00C53B2B"/>
    <w:rsid w:val="00C543A0"/>
    <w:rsid w:val="00C54BEC"/>
    <w:rsid w:val="00C54C42"/>
    <w:rsid w:val="00C56D12"/>
    <w:rsid w:val="00C5710D"/>
    <w:rsid w:val="00C57294"/>
    <w:rsid w:val="00C57465"/>
    <w:rsid w:val="00C57EB0"/>
    <w:rsid w:val="00C60272"/>
    <w:rsid w:val="00C603D4"/>
    <w:rsid w:val="00C60B07"/>
    <w:rsid w:val="00C6256A"/>
    <w:rsid w:val="00C63C09"/>
    <w:rsid w:val="00C63D6E"/>
    <w:rsid w:val="00C64EBC"/>
    <w:rsid w:val="00C664D2"/>
    <w:rsid w:val="00C66911"/>
    <w:rsid w:val="00C710E2"/>
    <w:rsid w:val="00C71895"/>
    <w:rsid w:val="00C71C3F"/>
    <w:rsid w:val="00C72EC6"/>
    <w:rsid w:val="00C7409E"/>
    <w:rsid w:val="00C74A74"/>
    <w:rsid w:val="00C74D6D"/>
    <w:rsid w:val="00C756C8"/>
    <w:rsid w:val="00C76179"/>
    <w:rsid w:val="00C76657"/>
    <w:rsid w:val="00C76E76"/>
    <w:rsid w:val="00C77725"/>
    <w:rsid w:val="00C77891"/>
    <w:rsid w:val="00C81785"/>
    <w:rsid w:val="00C81DDA"/>
    <w:rsid w:val="00C829A0"/>
    <w:rsid w:val="00C829A9"/>
    <w:rsid w:val="00C83522"/>
    <w:rsid w:val="00C8359C"/>
    <w:rsid w:val="00C8361C"/>
    <w:rsid w:val="00C8405E"/>
    <w:rsid w:val="00C84928"/>
    <w:rsid w:val="00C84F53"/>
    <w:rsid w:val="00C85481"/>
    <w:rsid w:val="00C87208"/>
    <w:rsid w:val="00C87B80"/>
    <w:rsid w:val="00C87FC6"/>
    <w:rsid w:val="00C9072B"/>
    <w:rsid w:val="00C908F3"/>
    <w:rsid w:val="00C90C42"/>
    <w:rsid w:val="00C91449"/>
    <w:rsid w:val="00C92872"/>
    <w:rsid w:val="00C92D10"/>
    <w:rsid w:val="00C93D59"/>
    <w:rsid w:val="00C93E57"/>
    <w:rsid w:val="00C95A67"/>
    <w:rsid w:val="00C967FD"/>
    <w:rsid w:val="00C97705"/>
    <w:rsid w:val="00CA0094"/>
    <w:rsid w:val="00CA01EA"/>
    <w:rsid w:val="00CA19CA"/>
    <w:rsid w:val="00CA2524"/>
    <w:rsid w:val="00CA262D"/>
    <w:rsid w:val="00CA3083"/>
    <w:rsid w:val="00CA30E2"/>
    <w:rsid w:val="00CA458D"/>
    <w:rsid w:val="00CA48D9"/>
    <w:rsid w:val="00CA4E9B"/>
    <w:rsid w:val="00CA5BFA"/>
    <w:rsid w:val="00CA6204"/>
    <w:rsid w:val="00CA658D"/>
    <w:rsid w:val="00CA669C"/>
    <w:rsid w:val="00CA6739"/>
    <w:rsid w:val="00CB0F1E"/>
    <w:rsid w:val="00CB1118"/>
    <w:rsid w:val="00CB1193"/>
    <w:rsid w:val="00CB232A"/>
    <w:rsid w:val="00CB2A86"/>
    <w:rsid w:val="00CB3567"/>
    <w:rsid w:val="00CB4767"/>
    <w:rsid w:val="00CB493D"/>
    <w:rsid w:val="00CB63E7"/>
    <w:rsid w:val="00CB6471"/>
    <w:rsid w:val="00CC1845"/>
    <w:rsid w:val="00CC189C"/>
    <w:rsid w:val="00CC25AE"/>
    <w:rsid w:val="00CC31C5"/>
    <w:rsid w:val="00CC3B6A"/>
    <w:rsid w:val="00CC3B97"/>
    <w:rsid w:val="00CC3CA3"/>
    <w:rsid w:val="00CC502E"/>
    <w:rsid w:val="00CC7012"/>
    <w:rsid w:val="00CC74A2"/>
    <w:rsid w:val="00CC7998"/>
    <w:rsid w:val="00CD0AC7"/>
    <w:rsid w:val="00CD14E5"/>
    <w:rsid w:val="00CD15D6"/>
    <w:rsid w:val="00CD2299"/>
    <w:rsid w:val="00CD2B21"/>
    <w:rsid w:val="00CD48B3"/>
    <w:rsid w:val="00CD538F"/>
    <w:rsid w:val="00CD6A24"/>
    <w:rsid w:val="00CD7466"/>
    <w:rsid w:val="00CD7C0B"/>
    <w:rsid w:val="00CE08EB"/>
    <w:rsid w:val="00CE0B93"/>
    <w:rsid w:val="00CE10C4"/>
    <w:rsid w:val="00CE1ACA"/>
    <w:rsid w:val="00CE1CBF"/>
    <w:rsid w:val="00CE27B5"/>
    <w:rsid w:val="00CE2CDD"/>
    <w:rsid w:val="00CE302A"/>
    <w:rsid w:val="00CE330E"/>
    <w:rsid w:val="00CE3FFC"/>
    <w:rsid w:val="00CE421F"/>
    <w:rsid w:val="00CE56E0"/>
    <w:rsid w:val="00CE6DAF"/>
    <w:rsid w:val="00CF01CA"/>
    <w:rsid w:val="00CF066B"/>
    <w:rsid w:val="00CF0DE7"/>
    <w:rsid w:val="00CF3AF4"/>
    <w:rsid w:val="00CF410A"/>
    <w:rsid w:val="00CF445B"/>
    <w:rsid w:val="00CF4E83"/>
    <w:rsid w:val="00CF526F"/>
    <w:rsid w:val="00CF607B"/>
    <w:rsid w:val="00CF6952"/>
    <w:rsid w:val="00CF75F5"/>
    <w:rsid w:val="00D021F8"/>
    <w:rsid w:val="00D0321E"/>
    <w:rsid w:val="00D036DB"/>
    <w:rsid w:val="00D03EF4"/>
    <w:rsid w:val="00D069EB"/>
    <w:rsid w:val="00D0710D"/>
    <w:rsid w:val="00D07A8A"/>
    <w:rsid w:val="00D10B2A"/>
    <w:rsid w:val="00D11199"/>
    <w:rsid w:val="00D11304"/>
    <w:rsid w:val="00D11D08"/>
    <w:rsid w:val="00D121CB"/>
    <w:rsid w:val="00D12506"/>
    <w:rsid w:val="00D1455A"/>
    <w:rsid w:val="00D14A70"/>
    <w:rsid w:val="00D162A2"/>
    <w:rsid w:val="00D2015F"/>
    <w:rsid w:val="00D21A77"/>
    <w:rsid w:val="00D22093"/>
    <w:rsid w:val="00D222ED"/>
    <w:rsid w:val="00D22902"/>
    <w:rsid w:val="00D22C1B"/>
    <w:rsid w:val="00D22C9A"/>
    <w:rsid w:val="00D245CD"/>
    <w:rsid w:val="00D24802"/>
    <w:rsid w:val="00D250A3"/>
    <w:rsid w:val="00D26B64"/>
    <w:rsid w:val="00D27C42"/>
    <w:rsid w:val="00D27E78"/>
    <w:rsid w:val="00D31150"/>
    <w:rsid w:val="00D3138B"/>
    <w:rsid w:val="00D318BA"/>
    <w:rsid w:val="00D31FCE"/>
    <w:rsid w:val="00D3280C"/>
    <w:rsid w:val="00D3297F"/>
    <w:rsid w:val="00D32CC8"/>
    <w:rsid w:val="00D34011"/>
    <w:rsid w:val="00D3406A"/>
    <w:rsid w:val="00D35698"/>
    <w:rsid w:val="00D35F42"/>
    <w:rsid w:val="00D40B11"/>
    <w:rsid w:val="00D40B20"/>
    <w:rsid w:val="00D40BB4"/>
    <w:rsid w:val="00D429EC"/>
    <w:rsid w:val="00D43F05"/>
    <w:rsid w:val="00D441F1"/>
    <w:rsid w:val="00D446CB"/>
    <w:rsid w:val="00D451FB"/>
    <w:rsid w:val="00D4557D"/>
    <w:rsid w:val="00D4564A"/>
    <w:rsid w:val="00D4572C"/>
    <w:rsid w:val="00D45C2B"/>
    <w:rsid w:val="00D469B2"/>
    <w:rsid w:val="00D46D11"/>
    <w:rsid w:val="00D47529"/>
    <w:rsid w:val="00D4773A"/>
    <w:rsid w:val="00D519B9"/>
    <w:rsid w:val="00D51DFF"/>
    <w:rsid w:val="00D52943"/>
    <w:rsid w:val="00D52972"/>
    <w:rsid w:val="00D52BA6"/>
    <w:rsid w:val="00D533D1"/>
    <w:rsid w:val="00D538DE"/>
    <w:rsid w:val="00D545FB"/>
    <w:rsid w:val="00D54B09"/>
    <w:rsid w:val="00D5527D"/>
    <w:rsid w:val="00D5621A"/>
    <w:rsid w:val="00D56A51"/>
    <w:rsid w:val="00D57E15"/>
    <w:rsid w:val="00D615CB"/>
    <w:rsid w:val="00D62337"/>
    <w:rsid w:val="00D6243E"/>
    <w:rsid w:val="00D63D97"/>
    <w:rsid w:val="00D6400D"/>
    <w:rsid w:val="00D642CF"/>
    <w:rsid w:val="00D648F0"/>
    <w:rsid w:val="00D652D4"/>
    <w:rsid w:val="00D655C4"/>
    <w:rsid w:val="00D65658"/>
    <w:rsid w:val="00D67EB2"/>
    <w:rsid w:val="00D7030D"/>
    <w:rsid w:val="00D71D08"/>
    <w:rsid w:val="00D71F09"/>
    <w:rsid w:val="00D72B6F"/>
    <w:rsid w:val="00D72CD3"/>
    <w:rsid w:val="00D7315B"/>
    <w:rsid w:val="00D73786"/>
    <w:rsid w:val="00D73F75"/>
    <w:rsid w:val="00D741EB"/>
    <w:rsid w:val="00D74484"/>
    <w:rsid w:val="00D76415"/>
    <w:rsid w:val="00D7679C"/>
    <w:rsid w:val="00D7724A"/>
    <w:rsid w:val="00D778E1"/>
    <w:rsid w:val="00D81847"/>
    <w:rsid w:val="00D81E26"/>
    <w:rsid w:val="00D820F3"/>
    <w:rsid w:val="00D8268C"/>
    <w:rsid w:val="00D83605"/>
    <w:rsid w:val="00D83973"/>
    <w:rsid w:val="00D8417B"/>
    <w:rsid w:val="00D844C6"/>
    <w:rsid w:val="00D84675"/>
    <w:rsid w:val="00D84934"/>
    <w:rsid w:val="00D8564B"/>
    <w:rsid w:val="00D858D1"/>
    <w:rsid w:val="00D866EB"/>
    <w:rsid w:val="00D87D1A"/>
    <w:rsid w:val="00D91271"/>
    <w:rsid w:val="00D919F5"/>
    <w:rsid w:val="00D92BF5"/>
    <w:rsid w:val="00D933F3"/>
    <w:rsid w:val="00D93404"/>
    <w:rsid w:val="00D939B3"/>
    <w:rsid w:val="00D945CC"/>
    <w:rsid w:val="00D945F6"/>
    <w:rsid w:val="00D94F03"/>
    <w:rsid w:val="00D95161"/>
    <w:rsid w:val="00D951C6"/>
    <w:rsid w:val="00D96E9A"/>
    <w:rsid w:val="00DA0A82"/>
    <w:rsid w:val="00DA0D14"/>
    <w:rsid w:val="00DA1B55"/>
    <w:rsid w:val="00DA1FC9"/>
    <w:rsid w:val="00DA2CB5"/>
    <w:rsid w:val="00DA3FD8"/>
    <w:rsid w:val="00DA4035"/>
    <w:rsid w:val="00DA46B3"/>
    <w:rsid w:val="00DA4BAC"/>
    <w:rsid w:val="00DA4C2F"/>
    <w:rsid w:val="00DA4EDD"/>
    <w:rsid w:val="00DA4F3A"/>
    <w:rsid w:val="00DA5262"/>
    <w:rsid w:val="00DA710C"/>
    <w:rsid w:val="00DB0151"/>
    <w:rsid w:val="00DB1410"/>
    <w:rsid w:val="00DB18F1"/>
    <w:rsid w:val="00DB23EC"/>
    <w:rsid w:val="00DB3BD8"/>
    <w:rsid w:val="00DB41F4"/>
    <w:rsid w:val="00DB4984"/>
    <w:rsid w:val="00DB4CF8"/>
    <w:rsid w:val="00DB50E1"/>
    <w:rsid w:val="00DB72D5"/>
    <w:rsid w:val="00DC0566"/>
    <w:rsid w:val="00DC0CAC"/>
    <w:rsid w:val="00DC0DF5"/>
    <w:rsid w:val="00DC1499"/>
    <w:rsid w:val="00DC2281"/>
    <w:rsid w:val="00DC2C0C"/>
    <w:rsid w:val="00DC2C3E"/>
    <w:rsid w:val="00DC2F95"/>
    <w:rsid w:val="00DC3137"/>
    <w:rsid w:val="00DC33A9"/>
    <w:rsid w:val="00DC39D9"/>
    <w:rsid w:val="00DC4880"/>
    <w:rsid w:val="00DC54D3"/>
    <w:rsid w:val="00DC5A40"/>
    <w:rsid w:val="00DC5F8C"/>
    <w:rsid w:val="00DC606C"/>
    <w:rsid w:val="00DC75AD"/>
    <w:rsid w:val="00DC7D87"/>
    <w:rsid w:val="00DC7D8F"/>
    <w:rsid w:val="00DD005D"/>
    <w:rsid w:val="00DD0A38"/>
    <w:rsid w:val="00DD1434"/>
    <w:rsid w:val="00DD4285"/>
    <w:rsid w:val="00DD42AB"/>
    <w:rsid w:val="00DD5E16"/>
    <w:rsid w:val="00DD76C0"/>
    <w:rsid w:val="00DE06AF"/>
    <w:rsid w:val="00DE135E"/>
    <w:rsid w:val="00DE1BEC"/>
    <w:rsid w:val="00DE2128"/>
    <w:rsid w:val="00DE29FE"/>
    <w:rsid w:val="00DE3A58"/>
    <w:rsid w:val="00DE4201"/>
    <w:rsid w:val="00DE498C"/>
    <w:rsid w:val="00DE58D4"/>
    <w:rsid w:val="00DE5EA1"/>
    <w:rsid w:val="00DE6186"/>
    <w:rsid w:val="00DE61C2"/>
    <w:rsid w:val="00DE6D27"/>
    <w:rsid w:val="00DF01F8"/>
    <w:rsid w:val="00DF021D"/>
    <w:rsid w:val="00DF1DE6"/>
    <w:rsid w:val="00DF217D"/>
    <w:rsid w:val="00DF26A7"/>
    <w:rsid w:val="00DF30C4"/>
    <w:rsid w:val="00DF3277"/>
    <w:rsid w:val="00DF4821"/>
    <w:rsid w:val="00DF5738"/>
    <w:rsid w:val="00DF6162"/>
    <w:rsid w:val="00DF65D1"/>
    <w:rsid w:val="00DF6909"/>
    <w:rsid w:val="00DF6BF0"/>
    <w:rsid w:val="00DF77A1"/>
    <w:rsid w:val="00DF7919"/>
    <w:rsid w:val="00E00230"/>
    <w:rsid w:val="00E008B2"/>
    <w:rsid w:val="00E0207E"/>
    <w:rsid w:val="00E02AE6"/>
    <w:rsid w:val="00E03912"/>
    <w:rsid w:val="00E04748"/>
    <w:rsid w:val="00E06879"/>
    <w:rsid w:val="00E07037"/>
    <w:rsid w:val="00E073AC"/>
    <w:rsid w:val="00E078D9"/>
    <w:rsid w:val="00E10293"/>
    <w:rsid w:val="00E103A0"/>
    <w:rsid w:val="00E10985"/>
    <w:rsid w:val="00E109BE"/>
    <w:rsid w:val="00E10A61"/>
    <w:rsid w:val="00E11A6B"/>
    <w:rsid w:val="00E12334"/>
    <w:rsid w:val="00E124DB"/>
    <w:rsid w:val="00E129F8"/>
    <w:rsid w:val="00E13671"/>
    <w:rsid w:val="00E13A4D"/>
    <w:rsid w:val="00E13E60"/>
    <w:rsid w:val="00E1475C"/>
    <w:rsid w:val="00E147B8"/>
    <w:rsid w:val="00E14E25"/>
    <w:rsid w:val="00E15627"/>
    <w:rsid w:val="00E164B3"/>
    <w:rsid w:val="00E168F9"/>
    <w:rsid w:val="00E16910"/>
    <w:rsid w:val="00E16C00"/>
    <w:rsid w:val="00E16FD1"/>
    <w:rsid w:val="00E215DC"/>
    <w:rsid w:val="00E21AEB"/>
    <w:rsid w:val="00E22C11"/>
    <w:rsid w:val="00E22DB3"/>
    <w:rsid w:val="00E239E2"/>
    <w:rsid w:val="00E23D06"/>
    <w:rsid w:val="00E24259"/>
    <w:rsid w:val="00E249C4"/>
    <w:rsid w:val="00E24E09"/>
    <w:rsid w:val="00E25BBE"/>
    <w:rsid w:val="00E25CA3"/>
    <w:rsid w:val="00E26436"/>
    <w:rsid w:val="00E27234"/>
    <w:rsid w:val="00E30814"/>
    <w:rsid w:val="00E30D64"/>
    <w:rsid w:val="00E317C2"/>
    <w:rsid w:val="00E32535"/>
    <w:rsid w:val="00E334A8"/>
    <w:rsid w:val="00E3495C"/>
    <w:rsid w:val="00E353E8"/>
    <w:rsid w:val="00E36218"/>
    <w:rsid w:val="00E3683E"/>
    <w:rsid w:val="00E37DA5"/>
    <w:rsid w:val="00E37E4A"/>
    <w:rsid w:val="00E407E8"/>
    <w:rsid w:val="00E40BFD"/>
    <w:rsid w:val="00E40F97"/>
    <w:rsid w:val="00E42454"/>
    <w:rsid w:val="00E42BDB"/>
    <w:rsid w:val="00E43906"/>
    <w:rsid w:val="00E43A8F"/>
    <w:rsid w:val="00E43B56"/>
    <w:rsid w:val="00E440C2"/>
    <w:rsid w:val="00E448C5"/>
    <w:rsid w:val="00E448FF"/>
    <w:rsid w:val="00E452AA"/>
    <w:rsid w:val="00E45889"/>
    <w:rsid w:val="00E458C0"/>
    <w:rsid w:val="00E470A5"/>
    <w:rsid w:val="00E473B8"/>
    <w:rsid w:val="00E5000A"/>
    <w:rsid w:val="00E5158E"/>
    <w:rsid w:val="00E52B6A"/>
    <w:rsid w:val="00E52D86"/>
    <w:rsid w:val="00E547C2"/>
    <w:rsid w:val="00E54E22"/>
    <w:rsid w:val="00E56C84"/>
    <w:rsid w:val="00E571AF"/>
    <w:rsid w:val="00E5726D"/>
    <w:rsid w:val="00E576B0"/>
    <w:rsid w:val="00E57969"/>
    <w:rsid w:val="00E57EEB"/>
    <w:rsid w:val="00E6149E"/>
    <w:rsid w:val="00E61E22"/>
    <w:rsid w:val="00E62D94"/>
    <w:rsid w:val="00E637C1"/>
    <w:rsid w:val="00E63F7E"/>
    <w:rsid w:val="00E643FC"/>
    <w:rsid w:val="00E64F37"/>
    <w:rsid w:val="00E65091"/>
    <w:rsid w:val="00E65544"/>
    <w:rsid w:val="00E65E54"/>
    <w:rsid w:val="00E661C7"/>
    <w:rsid w:val="00E66720"/>
    <w:rsid w:val="00E70B0B"/>
    <w:rsid w:val="00E71431"/>
    <w:rsid w:val="00E725AD"/>
    <w:rsid w:val="00E74E41"/>
    <w:rsid w:val="00E74F6E"/>
    <w:rsid w:val="00E77018"/>
    <w:rsid w:val="00E80155"/>
    <w:rsid w:val="00E80B0D"/>
    <w:rsid w:val="00E80EEE"/>
    <w:rsid w:val="00E8134B"/>
    <w:rsid w:val="00E814FA"/>
    <w:rsid w:val="00E81CBE"/>
    <w:rsid w:val="00E81E0D"/>
    <w:rsid w:val="00E81F28"/>
    <w:rsid w:val="00E8302F"/>
    <w:rsid w:val="00E843F1"/>
    <w:rsid w:val="00E848C0"/>
    <w:rsid w:val="00E84C06"/>
    <w:rsid w:val="00E86BAD"/>
    <w:rsid w:val="00E86BCA"/>
    <w:rsid w:val="00E86C4C"/>
    <w:rsid w:val="00E9053E"/>
    <w:rsid w:val="00E908F1"/>
    <w:rsid w:val="00E91B96"/>
    <w:rsid w:val="00E92234"/>
    <w:rsid w:val="00E93052"/>
    <w:rsid w:val="00E9323C"/>
    <w:rsid w:val="00E934BA"/>
    <w:rsid w:val="00E935DA"/>
    <w:rsid w:val="00E93610"/>
    <w:rsid w:val="00E938F7"/>
    <w:rsid w:val="00E93D1E"/>
    <w:rsid w:val="00E941A1"/>
    <w:rsid w:val="00E95CE3"/>
    <w:rsid w:val="00E9634C"/>
    <w:rsid w:val="00E9763B"/>
    <w:rsid w:val="00EA007E"/>
    <w:rsid w:val="00EA0856"/>
    <w:rsid w:val="00EA0AAF"/>
    <w:rsid w:val="00EA252F"/>
    <w:rsid w:val="00EA2825"/>
    <w:rsid w:val="00EA28B5"/>
    <w:rsid w:val="00EA2A93"/>
    <w:rsid w:val="00EA341B"/>
    <w:rsid w:val="00EA3F46"/>
    <w:rsid w:val="00EA415A"/>
    <w:rsid w:val="00EA58F0"/>
    <w:rsid w:val="00EA5C50"/>
    <w:rsid w:val="00EA634B"/>
    <w:rsid w:val="00EA6518"/>
    <w:rsid w:val="00EA7145"/>
    <w:rsid w:val="00EA71A2"/>
    <w:rsid w:val="00EA7466"/>
    <w:rsid w:val="00EA7EDE"/>
    <w:rsid w:val="00EB0181"/>
    <w:rsid w:val="00EB0B63"/>
    <w:rsid w:val="00EB1936"/>
    <w:rsid w:val="00EB234C"/>
    <w:rsid w:val="00EB3545"/>
    <w:rsid w:val="00EB37BE"/>
    <w:rsid w:val="00EB3848"/>
    <w:rsid w:val="00EB387A"/>
    <w:rsid w:val="00EB5088"/>
    <w:rsid w:val="00EB5A96"/>
    <w:rsid w:val="00EB64A4"/>
    <w:rsid w:val="00EC0686"/>
    <w:rsid w:val="00EC0BCE"/>
    <w:rsid w:val="00EC0F1C"/>
    <w:rsid w:val="00EC1711"/>
    <w:rsid w:val="00EC1994"/>
    <w:rsid w:val="00EC2726"/>
    <w:rsid w:val="00EC33A4"/>
    <w:rsid w:val="00EC4BF5"/>
    <w:rsid w:val="00EC4D95"/>
    <w:rsid w:val="00EC566E"/>
    <w:rsid w:val="00EC6135"/>
    <w:rsid w:val="00EC6687"/>
    <w:rsid w:val="00ED1644"/>
    <w:rsid w:val="00ED1E38"/>
    <w:rsid w:val="00ED2593"/>
    <w:rsid w:val="00ED2749"/>
    <w:rsid w:val="00ED3FDB"/>
    <w:rsid w:val="00ED411E"/>
    <w:rsid w:val="00ED64AB"/>
    <w:rsid w:val="00ED6F15"/>
    <w:rsid w:val="00ED79F0"/>
    <w:rsid w:val="00ED7D55"/>
    <w:rsid w:val="00ED7D9C"/>
    <w:rsid w:val="00EE0447"/>
    <w:rsid w:val="00EE06EB"/>
    <w:rsid w:val="00EE1A32"/>
    <w:rsid w:val="00EE31A2"/>
    <w:rsid w:val="00EE3527"/>
    <w:rsid w:val="00EE5C1D"/>
    <w:rsid w:val="00EE5C3D"/>
    <w:rsid w:val="00EE5C91"/>
    <w:rsid w:val="00EE5DED"/>
    <w:rsid w:val="00EE617D"/>
    <w:rsid w:val="00EE66AF"/>
    <w:rsid w:val="00EE6E27"/>
    <w:rsid w:val="00EE7586"/>
    <w:rsid w:val="00EE7708"/>
    <w:rsid w:val="00EF001F"/>
    <w:rsid w:val="00EF0069"/>
    <w:rsid w:val="00EF054D"/>
    <w:rsid w:val="00EF0845"/>
    <w:rsid w:val="00EF1BD4"/>
    <w:rsid w:val="00EF2015"/>
    <w:rsid w:val="00EF3174"/>
    <w:rsid w:val="00EF35B9"/>
    <w:rsid w:val="00EF38D2"/>
    <w:rsid w:val="00EF41A7"/>
    <w:rsid w:val="00EF44A0"/>
    <w:rsid w:val="00EF4580"/>
    <w:rsid w:val="00EF46D3"/>
    <w:rsid w:val="00EF4B33"/>
    <w:rsid w:val="00EF4FED"/>
    <w:rsid w:val="00EF5783"/>
    <w:rsid w:val="00EF5AA8"/>
    <w:rsid w:val="00EF5AED"/>
    <w:rsid w:val="00EF5F45"/>
    <w:rsid w:val="00EF6843"/>
    <w:rsid w:val="00EF6FB3"/>
    <w:rsid w:val="00EF78DA"/>
    <w:rsid w:val="00F0033B"/>
    <w:rsid w:val="00F007C6"/>
    <w:rsid w:val="00F00E8C"/>
    <w:rsid w:val="00F011F1"/>
    <w:rsid w:val="00F0172E"/>
    <w:rsid w:val="00F020D6"/>
    <w:rsid w:val="00F050BD"/>
    <w:rsid w:val="00F0536E"/>
    <w:rsid w:val="00F05657"/>
    <w:rsid w:val="00F05AB0"/>
    <w:rsid w:val="00F0743C"/>
    <w:rsid w:val="00F07740"/>
    <w:rsid w:val="00F0797C"/>
    <w:rsid w:val="00F10444"/>
    <w:rsid w:val="00F13AC0"/>
    <w:rsid w:val="00F14233"/>
    <w:rsid w:val="00F14AE5"/>
    <w:rsid w:val="00F1559A"/>
    <w:rsid w:val="00F17ED6"/>
    <w:rsid w:val="00F20298"/>
    <w:rsid w:val="00F20676"/>
    <w:rsid w:val="00F209E2"/>
    <w:rsid w:val="00F22E78"/>
    <w:rsid w:val="00F238C7"/>
    <w:rsid w:val="00F23B6C"/>
    <w:rsid w:val="00F23C4B"/>
    <w:rsid w:val="00F24127"/>
    <w:rsid w:val="00F25578"/>
    <w:rsid w:val="00F258E5"/>
    <w:rsid w:val="00F25B9C"/>
    <w:rsid w:val="00F25E75"/>
    <w:rsid w:val="00F2675A"/>
    <w:rsid w:val="00F269C3"/>
    <w:rsid w:val="00F26CC6"/>
    <w:rsid w:val="00F270E5"/>
    <w:rsid w:val="00F300BC"/>
    <w:rsid w:val="00F30658"/>
    <w:rsid w:val="00F317F5"/>
    <w:rsid w:val="00F3263C"/>
    <w:rsid w:val="00F3334E"/>
    <w:rsid w:val="00F34CA8"/>
    <w:rsid w:val="00F35A1C"/>
    <w:rsid w:val="00F363D7"/>
    <w:rsid w:val="00F36413"/>
    <w:rsid w:val="00F3682D"/>
    <w:rsid w:val="00F36CCB"/>
    <w:rsid w:val="00F36E58"/>
    <w:rsid w:val="00F37050"/>
    <w:rsid w:val="00F372A7"/>
    <w:rsid w:val="00F374E5"/>
    <w:rsid w:val="00F37B93"/>
    <w:rsid w:val="00F37BAD"/>
    <w:rsid w:val="00F37ECA"/>
    <w:rsid w:val="00F40995"/>
    <w:rsid w:val="00F40A1C"/>
    <w:rsid w:val="00F419E1"/>
    <w:rsid w:val="00F424FB"/>
    <w:rsid w:val="00F42C77"/>
    <w:rsid w:val="00F42FC4"/>
    <w:rsid w:val="00F43578"/>
    <w:rsid w:val="00F43AF2"/>
    <w:rsid w:val="00F43FF2"/>
    <w:rsid w:val="00F44185"/>
    <w:rsid w:val="00F44678"/>
    <w:rsid w:val="00F45201"/>
    <w:rsid w:val="00F45216"/>
    <w:rsid w:val="00F45438"/>
    <w:rsid w:val="00F46201"/>
    <w:rsid w:val="00F5007E"/>
    <w:rsid w:val="00F50EC4"/>
    <w:rsid w:val="00F515C1"/>
    <w:rsid w:val="00F52232"/>
    <w:rsid w:val="00F528C1"/>
    <w:rsid w:val="00F52DC2"/>
    <w:rsid w:val="00F5356C"/>
    <w:rsid w:val="00F536BD"/>
    <w:rsid w:val="00F53BFD"/>
    <w:rsid w:val="00F53E57"/>
    <w:rsid w:val="00F547DD"/>
    <w:rsid w:val="00F550CF"/>
    <w:rsid w:val="00F553D2"/>
    <w:rsid w:val="00F5676D"/>
    <w:rsid w:val="00F569EB"/>
    <w:rsid w:val="00F571AE"/>
    <w:rsid w:val="00F57675"/>
    <w:rsid w:val="00F57A6D"/>
    <w:rsid w:val="00F60C1C"/>
    <w:rsid w:val="00F62F19"/>
    <w:rsid w:val="00F62F99"/>
    <w:rsid w:val="00F633F9"/>
    <w:rsid w:val="00F638CC"/>
    <w:rsid w:val="00F63C80"/>
    <w:rsid w:val="00F63EFA"/>
    <w:rsid w:val="00F644CD"/>
    <w:rsid w:val="00F64C9E"/>
    <w:rsid w:val="00F64CC1"/>
    <w:rsid w:val="00F72317"/>
    <w:rsid w:val="00F739AD"/>
    <w:rsid w:val="00F73DC1"/>
    <w:rsid w:val="00F73E48"/>
    <w:rsid w:val="00F7417E"/>
    <w:rsid w:val="00F7499A"/>
    <w:rsid w:val="00F759D1"/>
    <w:rsid w:val="00F75BB8"/>
    <w:rsid w:val="00F76C32"/>
    <w:rsid w:val="00F7728B"/>
    <w:rsid w:val="00F80475"/>
    <w:rsid w:val="00F81390"/>
    <w:rsid w:val="00F81F7A"/>
    <w:rsid w:val="00F8247A"/>
    <w:rsid w:val="00F827CD"/>
    <w:rsid w:val="00F82E5C"/>
    <w:rsid w:val="00F82EC5"/>
    <w:rsid w:val="00F83F58"/>
    <w:rsid w:val="00F849E1"/>
    <w:rsid w:val="00F84E1F"/>
    <w:rsid w:val="00F85A08"/>
    <w:rsid w:val="00F8602C"/>
    <w:rsid w:val="00F87CEA"/>
    <w:rsid w:val="00F87D3C"/>
    <w:rsid w:val="00F926A1"/>
    <w:rsid w:val="00F92F97"/>
    <w:rsid w:val="00F9418B"/>
    <w:rsid w:val="00F943A4"/>
    <w:rsid w:val="00F95688"/>
    <w:rsid w:val="00F9629A"/>
    <w:rsid w:val="00F967E3"/>
    <w:rsid w:val="00F96EF8"/>
    <w:rsid w:val="00F96FBD"/>
    <w:rsid w:val="00F97BAB"/>
    <w:rsid w:val="00F97C02"/>
    <w:rsid w:val="00F97E53"/>
    <w:rsid w:val="00F97EFC"/>
    <w:rsid w:val="00FA083C"/>
    <w:rsid w:val="00FA0C7C"/>
    <w:rsid w:val="00FA1221"/>
    <w:rsid w:val="00FA1BDD"/>
    <w:rsid w:val="00FA1FAE"/>
    <w:rsid w:val="00FA2462"/>
    <w:rsid w:val="00FA2C40"/>
    <w:rsid w:val="00FA305C"/>
    <w:rsid w:val="00FA3C24"/>
    <w:rsid w:val="00FA462E"/>
    <w:rsid w:val="00FA4DD5"/>
    <w:rsid w:val="00FA5883"/>
    <w:rsid w:val="00FA6055"/>
    <w:rsid w:val="00FA7979"/>
    <w:rsid w:val="00FB0115"/>
    <w:rsid w:val="00FB0B39"/>
    <w:rsid w:val="00FB18F1"/>
    <w:rsid w:val="00FB27B0"/>
    <w:rsid w:val="00FB322F"/>
    <w:rsid w:val="00FB3AA7"/>
    <w:rsid w:val="00FB442F"/>
    <w:rsid w:val="00FB79F8"/>
    <w:rsid w:val="00FC01A4"/>
    <w:rsid w:val="00FC118C"/>
    <w:rsid w:val="00FC1929"/>
    <w:rsid w:val="00FC2BA7"/>
    <w:rsid w:val="00FC2D96"/>
    <w:rsid w:val="00FC33EF"/>
    <w:rsid w:val="00FC3CAA"/>
    <w:rsid w:val="00FC3D2D"/>
    <w:rsid w:val="00FC3E81"/>
    <w:rsid w:val="00FC4172"/>
    <w:rsid w:val="00FC477A"/>
    <w:rsid w:val="00FC4FBF"/>
    <w:rsid w:val="00FC5B46"/>
    <w:rsid w:val="00FC5F99"/>
    <w:rsid w:val="00FC623A"/>
    <w:rsid w:val="00FC67A8"/>
    <w:rsid w:val="00FC7B1A"/>
    <w:rsid w:val="00FD07B4"/>
    <w:rsid w:val="00FD0C9C"/>
    <w:rsid w:val="00FD12F7"/>
    <w:rsid w:val="00FD1D4F"/>
    <w:rsid w:val="00FD24BF"/>
    <w:rsid w:val="00FD2DDA"/>
    <w:rsid w:val="00FD3B6E"/>
    <w:rsid w:val="00FD439B"/>
    <w:rsid w:val="00FD4B28"/>
    <w:rsid w:val="00FD57EB"/>
    <w:rsid w:val="00FD5F1C"/>
    <w:rsid w:val="00FD6984"/>
    <w:rsid w:val="00FD6D8E"/>
    <w:rsid w:val="00FD70C7"/>
    <w:rsid w:val="00FD7ACB"/>
    <w:rsid w:val="00FE0663"/>
    <w:rsid w:val="00FE0AD4"/>
    <w:rsid w:val="00FE0E94"/>
    <w:rsid w:val="00FE15E4"/>
    <w:rsid w:val="00FE27C6"/>
    <w:rsid w:val="00FE2AE9"/>
    <w:rsid w:val="00FE2AF9"/>
    <w:rsid w:val="00FE2D5D"/>
    <w:rsid w:val="00FE369C"/>
    <w:rsid w:val="00FE3CD9"/>
    <w:rsid w:val="00FE47E0"/>
    <w:rsid w:val="00FE4E7E"/>
    <w:rsid w:val="00FE5779"/>
    <w:rsid w:val="00FE6928"/>
    <w:rsid w:val="00FE6EFC"/>
    <w:rsid w:val="00FE7388"/>
    <w:rsid w:val="00FE7B86"/>
    <w:rsid w:val="00FF00BD"/>
    <w:rsid w:val="00FF0550"/>
    <w:rsid w:val="00FF0B13"/>
    <w:rsid w:val="00FF1ED4"/>
    <w:rsid w:val="00FF2801"/>
    <w:rsid w:val="00FF2CA3"/>
    <w:rsid w:val="00FF2D76"/>
    <w:rsid w:val="00FF3067"/>
    <w:rsid w:val="00FF336C"/>
    <w:rsid w:val="00FF37DF"/>
    <w:rsid w:val="00FF52FC"/>
    <w:rsid w:val="00FF7772"/>
    <w:rsid w:val="00FF7A40"/>
    <w:rsid w:val="00FF7B66"/>
    <w:rsid w:val="01209DD5"/>
    <w:rsid w:val="012A7082"/>
    <w:rsid w:val="0143FC8B"/>
    <w:rsid w:val="014430CA"/>
    <w:rsid w:val="01BAC867"/>
    <w:rsid w:val="0235C52A"/>
    <w:rsid w:val="0254441C"/>
    <w:rsid w:val="02E816C3"/>
    <w:rsid w:val="032394EB"/>
    <w:rsid w:val="033B2F40"/>
    <w:rsid w:val="035E4BED"/>
    <w:rsid w:val="04A12F4E"/>
    <w:rsid w:val="04DBE9EA"/>
    <w:rsid w:val="05182518"/>
    <w:rsid w:val="051D99F9"/>
    <w:rsid w:val="054F59BC"/>
    <w:rsid w:val="05585014"/>
    <w:rsid w:val="05B612E3"/>
    <w:rsid w:val="0605216C"/>
    <w:rsid w:val="063EE9F7"/>
    <w:rsid w:val="069F379E"/>
    <w:rsid w:val="06F998F4"/>
    <w:rsid w:val="07A34F77"/>
    <w:rsid w:val="07D8C43C"/>
    <w:rsid w:val="08185FB9"/>
    <w:rsid w:val="082A09EB"/>
    <w:rsid w:val="084AE4F0"/>
    <w:rsid w:val="08A6110D"/>
    <w:rsid w:val="08D42D68"/>
    <w:rsid w:val="0A0C7AE1"/>
    <w:rsid w:val="0A663D94"/>
    <w:rsid w:val="0AB56D92"/>
    <w:rsid w:val="0B07B038"/>
    <w:rsid w:val="0B1BF5E7"/>
    <w:rsid w:val="0BA0C086"/>
    <w:rsid w:val="0CBE2A31"/>
    <w:rsid w:val="0CD87B41"/>
    <w:rsid w:val="0CF130DF"/>
    <w:rsid w:val="0CFE1DFD"/>
    <w:rsid w:val="0D4FC7CF"/>
    <w:rsid w:val="0DAD2F50"/>
    <w:rsid w:val="0DC4E36E"/>
    <w:rsid w:val="0E5221A1"/>
    <w:rsid w:val="0E5E506F"/>
    <w:rsid w:val="0F4CAA12"/>
    <w:rsid w:val="0F5CF529"/>
    <w:rsid w:val="0FC31246"/>
    <w:rsid w:val="1023E0F9"/>
    <w:rsid w:val="11BD9BB0"/>
    <w:rsid w:val="1272477B"/>
    <w:rsid w:val="12B01621"/>
    <w:rsid w:val="12B95C68"/>
    <w:rsid w:val="15107A79"/>
    <w:rsid w:val="1559BAC6"/>
    <w:rsid w:val="15962C12"/>
    <w:rsid w:val="15B93D00"/>
    <w:rsid w:val="15D5AA30"/>
    <w:rsid w:val="162998A6"/>
    <w:rsid w:val="167CB3F9"/>
    <w:rsid w:val="16BDF965"/>
    <w:rsid w:val="178B25BB"/>
    <w:rsid w:val="17C4162B"/>
    <w:rsid w:val="17FD5F39"/>
    <w:rsid w:val="18657CF4"/>
    <w:rsid w:val="19B44400"/>
    <w:rsid w:val="19F2311B"/>
    <w:rsid w:val="1A0D3C6A"/>
    <w:rsid w:val="1A2D1BE7"/>
    <w:rsid w:val="1A8A0C43"/>
    <w:rsid w:val="1AF07D60"/>
    <w:rsid w:val="1B0BFFE7"/>
    <w:rsid w:val="1B2A606B"/>
    <w:rsid w:val="1B4DABE9"/>
    <w:rsid w:val="1B935A10"/>
    <w:rsid w:val="1BE6009E"/>
    <w:rsid w:val="1BFBC9B6"/>
    <w:rsid w:val="1D4E7C25"/>
    <w:rsid w:val="1D6033D6"/>
    <w:rsid w:val="1DDBDA0D"/>
    <w:rsid w:val="1E382E8C"/>
    <w:rsid w:val="1E5875B9"/>
    <w:rsid w:val="1E938E64"/>
    <w:rsid w:val="1EA8463D"/>
    <w:rsid w:val="1F3EECBD"/>
    <w:rsid w:val="1F779D84"/>
    <w:rsid w:val="1FB6E350"/>
    <w:rsid w:val="1FF3162D"/>
    <w:rsid w:val="1FF907E1"/>
    <w:rsid w:val="2009EB8A"/>
    <w:rsid w:val="20B86914"/>
    <w:rsid w:val="20C7BDE1"/>
    <w:rsid w:val="210F5AF1"/>
    <w:rsid w:val="212CBC64"/>
    <w:rsid w:val="225EA049"/>
    <w:rsid w:val="231C3354"/>
    <w:rsid w:val="238CC620"/>
    <w:rsid w:val="243498E3"/>
    <w:rsid w:val="244B8CF8"/>
    <w:rsid w:val="248EEE8B"/>
    <w:rsid w:val="24C0A041"/>
    <w:rsid w:val="24CA5046"/>
    <w:rsid w:val="24F49182"/>
    <w:rsid w:val="25A10F9F"/>
    <w:rsid w:val="26615FE7"/>
    <w:rsid w:val="2674AD9D"/>
    <w:rsid w:val="2678B15D"/>
    <w:rsid w:val="26908C19"/>
    <w:rsid w:val="26DE4B44"/>
    <w:rsid w:val="26F1969C"/>
    <w:rsid w:val="2700B112"/>
    <w:rsid w:val="27394882"/>
    <w:rsid w:val="27853F5C"/>
    <w:rsid w:val="289B87D2"/>
    <w:rsid w:val="28C57A1F"/>
    <w:rsid w:val="292FDC18"/>
    <w:rsid w:val="29365BD7"/>
    <w:rsid w:val="296B131C"/>
    <w:rsid w:val="29882150"/>
    <w:rsid w:val="29E0E709"/>
    <w:rsid w:val="2A10C47A"/>
    <w:rsid w:val="2AA490C3"/>
    <w:rsid w:val="2B2C6C18"/>
    <w:rsid w:val="2C0582AC"/>
    <w:rsid w:val="2C4C1D68"/>
    <w:rsid w:val="2C7C3DFB"/>
    <w:rsid w:val="2CAAC91C"/>
    <w:rsid w:val="2CBC78F5"/>
    <w:rsid w:val="2D470254"/>
    <w:rsid w:val="2DE0597B"/>
    <w:rsid w:val="2E4579D6"/>
    <w:rsid w:val="2EB23FFE"/>
    <w:rsid w:val="2EF0545B"/>
    <w:rsid w:val="2EFC7EB4"/>
    <w:rsid w:val="2FC97F8A"/>
    <w:rsid w:val="2FDECF51"/>
    <w:rsid w:val="2FF39191"/>
    <w:rsid w:val="300EDF22"/>
    <w:rsid w:val="304D76C9"/>
    <w:rsid w:val="3079EB0D"/>
    <w:rsid w:val="307D714D"/>
    <w:rsid w:val="3093AC95"/>
    <w:rsid w:val="31C1265F"/>
    <w:rsid w:val="32101277"/>
    <w:rsid w:val="321F658F"/>
    <w:rsid w:val="32FFC29C"/>
    <w:rsid w:val="3320F36F"/>
    <w:rsid w:val="33230815"/>
    <w:rsid w:val="33849BA5"/>
    <w:rsid w:val="340D0A3D"/>
    <w:rsid w:val="343A4F58"/>
    <w:rsid w:val="34E7EA92"/>
    <w:rsid w:val="363425FC"/>
    <w:rsid w:val="3657AEEB"/>
    <w:rsid w:val="3695569B"/>
    <w:rsid w:val="37164F3E"/>
    <w:rsid w:val="373C6128"/>
    <w:rsid w:val="3756A6BB"/>
    <w:rsid w:val="37C1F8E8"/>
    <w:rsid w:val="3805C0E7"/>
    <w:rsid w:val="38168071"/>
    <w:rsid w:val="3877DBCF"/>
    <w:rsid w:val="38B97B8F"/>
    <w:rsid w:val="393376D2"/>
    <w:rsid w:val="395463D1"/>
    <w:rsid w:val="398863F1"/>
    <w:rsid w:val="3A20C143"/>
    <w:rsid w:val="3AB5F559"/>
    <w:rsid w:val="3BA095AD"/>
    <w:rsid w:val="3BD413EA"/>
    <w:rsid w:val="3E4634EC"/>
    <w:rsid w:val="3E50779A"/>
    <w:rsid w:val="403C0172"/>
    <w:rsid w:val="405E336F"/>
    <w:rsid w:val="40771079"/>
    <w:rsid w:val="408C652A"/>
    <w:rsid w:val="40930EF5"/>
    <w:rsid w:val="40B4C38F"/>
    <w:rsid w:val="4110CDB4"/>
    <w:rsid w:val="4199AD5B"/>
    <w:rsid w:val="42691D0F"/>
    <w:rsid w:val="4372D6C2"/>
    <w:rsid w:val="43C0BF9E"/>
    <w:rsid w:val="43DF34B8"/>
    <w:rsid w:val="443448FB"/>
    <w:rsid w:val="44505BFC"/>
    <w:rsid w:val="450F5A46"/>
    <w:rsid w:val="456C4AA2"/>
    <w:rsid w:val="4641A0D0"/>
    <w:rsid w:val="464C191C"/>
    <w:rsid w:val="4795DFA0"/>
    <w:rsid w:val="47A60AFB"/>
    <w:rsid w:val="4870B353"/>
    <w:rsid w:val="4873567A"/>
    <w:rsid w:val="48F582C0"/>
    <w:rsid w:val="49402440"/>
    <w:rsid w:val="496D28C6"/>
    <w:rsid w:val="49B7B512"/>
    <w:rsid w:val="4A959964"/>
    <w:rsid w:val="4AE86C22"/>
    <w:rsid w:val="4BD4598E"/>
    <w:rsid w:val="4C8051CC"/>
    <w:rsid w:val="4D21EA56"/>
    <w:rsid w:val="4D3231DF"/>
    <w:rsid w:val="4D521358"/>
    <w:rsid w:val="4D70DA6C"/>
    <w:rsid w:val="4DA14906"/>
    <w:rsid w:val="4DD74500"/>
    <w:rsid w:val="4E077D3F"/>
    <w:rsid w:val="4EBD9F6C"/>
    <w:rsid w:val="4EC872D6"/>
    <w:rsid w:val="4ECB0771"/>
    <w:rsid w:val="4EE3854C"/>
    <w:rsid w:val="4F28A562"/>
    <w:rsid w:val="4FBBFB7D"/>
    <w:rsid w:val="5056EAAC"/>
    <w:rsid w:val="5057B658"/>
    <w:rsid w:val="5128286F"/>
    <w:rsid w:val="517C50E5"/>
    <w:rsid w:val="51A107A9"/>
    <w:rsid w:val="53229BC9"/>
    <w:rsid w:val="53B39A2E"/>
    <w:rsid w:val="54A7530D"/>
    <w:rsid w:val="54C17BA2"/>
    <w:rsid w:val="54DD85D7"/>
    <w:rsid w:val="553311EF"/>
    <w:rsid w:val="55ACD1A0"/>
    <w:rsid w:val="5615EAAE"/>
    <w:rsid w:val="56446E7F"/>
    <w:rsid w:val="5658F3B8"/>
    <w:rsid w:val="56AFA43F"/>
    <w:rsid w:val="572752AF"/>
    <w:rsid w:val="5772FF39"/>
    <w:rsid w:val="58963761"/>
    <w:rsid w:val="59216504"/>
    <w:rsid w:val="59316939"/>
    <w:rsid w:val="593F501C"/>
    <w:rsid w:val="59BA094A"/>
    <w:rsid w:val="59EE7009"/>
    <w:rsid w:val="5A05D725"/>
    <w:rsid w:val="5B1C1B3B"/>
    <w:rsid w:val="5B9D8C93"/>
    <w:rsid w:val="5BD36E8B"/>
    <w:rsid w:val="5C0A142F"/>
    <w:rsid w:val="5CA9ACC1"/>
    <w:rsid w:val="5CB076C8"/>
    <w:rsid w:val="5CBB03BC"/>
    <w:rsid w:val="5D5832E9"/>
    <w:rsid w:val="5D80A09E"/>
    <w:rsid w:val="5D8277C5"/>
    <w:rsid w:val="5DE9C15B"/>
    <w:rsid w:val="5DF2A876"/>
    <w:rsid w:val="5EBDDC85"/>
    <w:rsid w:val="5F8C18FC"/>
    <w:rsid w:val="600E03FD"/>
    <w:rsid w:val="6188777B"/>
    <w:rsid w:val="61F047E1"/>
    <w:rsid w:val="62A6BA1B"/>
    <w:rsid w:val="62AD93BA"/>
    <w:rsid w:val="63555756"/>
    <w:rsid w:val="63CA985E"/>
    <w:rsid w:val="644E444D"/>
    <w:rsid w:val="652639FF"/>
    <w:rsid w:val="653C96F0"/>
    <w:rsid w:val="65573E26"/>
    <w:rsid w:val="65AD35BA"/>
    <w:rsid w:val="65C2D45A"/>
    <w:rsid w:val="6657D135"/>
    <w:rsid w:val="666E370D"/>
    <w:rsid w:val="66D9E62A"/>
    <w:rsid w:val="66E11A3C"/>
    <w:rsid w:val="6728F4B3"/>
    <w:rsid w:val="673BE400"/>
    <w:rsid w:val="6797AC4D"/>
    <w:rsid w:val="67B6BAF7"/>
    <w:rsid w:val="67D3E1BA"/>
    <w:rsid w:val="67FDCD6E"/>
    <w:rsid w:val="68E0347C"/>
    <w:rsid w:val="699B3EBB"/>
    <w:rsid w:val="6A2AAF49"/>
    <w:rsid w:val="6A8A8BC4"/>
    <w:rsid w:val="6BAD574D"/>
    <w:rsid w:val="6C5BB22A"/>
    <w:rsid w:val="6CA77350"/>
    <w:rsid w:val="6D5EC2B0"/>
    <w:rsid w:val="6D8A64D2"/>
    <w:rsid w:val="6DC9179F"/>
    <w:rsid w:val="6F33C362"/>
    <w:rsid w:val="701897D0"/>
    <w:rsid w:val="709A626A"/>
    <w:rsid w:val="7130A487"/>
    <w:rsid w:val="716D6D8F"/>
    <w:rsid w:val="72034DEE"/>
    <w:rsid w:val="72A12254"/>
    <w:rsid w:val="731BA24E"/>
    <w:rsid w:val="73208A2C"/>
    <w:rsid w:val="73328539"/>
    <w:rsid w:val="73DE6E6F"/>
    <w:rsid w:val="73E7CF48"/>
    <w:rsid w:val="74B5E7FF"/>
    <w:rsid w:val="750A4068"/>
    <w:rsid w:val="7568DFDB"/>
    <w:rsid w:val="7603E9BB"/>
    <w:rsid w:val="76443EDD"/>
    <w:rsid w:val="764DA178"/>
    <w:rsid w:val="769EFBF4"/>
    <w:rsid w:val="76A94992"/>
    <w:rsid w:val="76DE566C"/>
    <w:rsid w:val="77B642A1"/>
    <w:rsid w:val="78063D85"/>
    <w:rsid w:val="78168F3E"/>
    <w:rsid w:val="7854F5CD"/>
    <w:rsid w:val="78E271BD"/>
    <w:rsid w:val="78E93C4E"/>
    <w:rsid w:val="791C2523"/>
    <w:rsid w:val="79CA0412"/>
    <w:rsid w:val="79E941EA"/>
    <w:rsid w:val="7A3DE86F"/>
    <w:rsid w:val="7AD6838E"/>
    <w:rsid w:val="7B180F93"/>
    <w:rsid w:val="7B1B6DA9"/>
    <w:rsid w:val="7B349606"/>
    <w:rsid w:val="7C63B7C1"/>
    <w:rsid w:val="7C73E7A8"/>
    <w:rsid w:val="7C7878ED"/>
    <w:rsid w:val="7CDEBC17"/>
    <w:rsid w:val="7D61AEBC"/>
    <w:rsid w:val="7D7782AF"/>
    <w:rsid w:val="7D98DA3E"/>
    <w:rsid w:val="7DAC400C"/>
    <w:rsid w:val="7E3EF267"/>
    <w:rsid w:val="7E77EEEF"/>
    <w:rsid w:val="7E784689"/>
    <w:rsid w:val="7E9A54A9"/>
    <w:rsid w:val="7EE28693"/>
    <w:rsid w:val="7F47C472"/>
    <w:rsid w:val="7F8023EA"/>
    <w:rsid w:val="7FA82C29"/>
    <w:rsid w:val="7FBCB6EF"/>
    <w:rsid w:val="7FC0E4DD"/>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lsdException w:name="heading 2" w:uiPriority="9"/>
    <w:lsdException w:name="heading 3" w:semiHidden="1" w:uiPriority="9" w:unhideWhenUsed="1"/>
    <w:lsdException w:name="heading 4" w:semiHidden="1" w:uiPriority="9" w:unhideWhenUsed="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11B"/>
    <w:pPr>
      <w:jc w:val="both"/>
    </w:pPr>
    <w:rPr>
      <w:rFonts w:ascii="Calibri" w:hAnsi="Calibri"/>
      <w:sz w:val="24"/>
      <w:szCs w:val="24"/>
    </w:rPr>
  </w:style>
  <w:style w:type="paragraph" w:styleId="Heading1">
    <w:name w:val="heading 1"/>
    <w:next w:val="Normal"/>
    <w:link w:val="Heading1Char"/>
    <w:uiPriority w:val="9"/>
    <w:unhideWhenUsed/>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rsid w:val="00240165"/>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rsid w:val="00240165"/>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5">
    <w:name w:val="heading 5"/>
    <w:basedOn w:val="Normal"/>
    <w:next w:val="Normal"/>
    <w:link w:val="Heading5Char"/>
    <w:uiPriority w:val="9"/>
    <w:unhideWhenUsed/>
    <w:rsid w:val="00240165"/>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rsid w:val="00240165"/>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paragraph" w:styleId="Heading8">
    <w:name w:val="heading 8"/>
    <w:basedOn w:val="Normal"/>
    <w:next w:val="Normal"/>
    <w:link w:val="Heading8Char"/>
    <w:uiPriority w:val="9"/>
    <w:semiHidden/>
    <w:unhideWhenUsed/>
    <w:rsid w:val="0001579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
    <w:next w:val="Normal"/>
    <w:link w:val="ListParagraphChar"/>
    <w:uiPriority w:val="72"/>
    <w:qFormat/>
    <w:rsid w:val="006C5B33"/>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
    <w:basedOn w:val="DefaultParagraphFont"/>
    <w:link w:val="ListParagraph"/>
    <w:uiPriority w:val="72"/>
    <w:qFormat/>
    <w:rsid w:val="00C87FC6"/>
    <w:rPr>
      <w:rFonts w:asciiTheme="minorHAnsi" w:hAnsiTheme="minorHAnsi" w:cs="Arial"/>
      <w:snapToGrid w:val="0"/>
      <w:sz w:val="24"/>
      <w:szCs w:val="24"/>
    </w:rPr>
  </w:style>
  <w:style w:type="character" w:customStyle="1" w:styleId="Heading1Char">
    <w:name w:val="Heading 1 Char"/>
    <w:basedOn w:val="DefaultParagraphFont"/>
    <w:link w:val="Heading1"/>
    <w:uiPriority w:val="9"/>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semiHidden/>
    <w:rPr>
      <w:rFonts w:ascii="Tahoma" w:hAnsi="Tahoma" w:cs="Tahoma"/>
      <w:sz w:val="16"/>
      <w:szCs w:val="16"/>
    </w:rPr>
  </w:style>
  <w:style w:type="table" w:styleId="TableGrid">
    <w:name w:val="Table Grid"/>
    <w:aliases w:val="Summary box,HTAtableplain,PBAC table,new style,Table Gridbeth,CMA Table Template,ASD Table,MSD Table Grid,RTI AMCP Table,Dossier table,Summary Table,PHE Table Grid,Lash Style Table,Section 3- footnotes,Table Grid nm,HealthConsult,Header Tabl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329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D3297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qFormat/>
    <w:rsid w:val="006C5B33"/>
    <w:pPr>
      <w:keepNext/>
    </w:pPr>
    <w:rPr>
      <w:rFonts w:ascii="Arial Narrow" w:eastAsiaTheme="majorEastAsia" w:hAnsi="Arial Narrow"/>
      <w:b/>
      <w:szCs w:val="24"/>
      <w:lang w:val="en-US"/>
    </w:rPr>
  </w:style>
  <w:style w:type="paragraph" w:customStyle="1" w:styleId="2-SectionHeading">
    <w:name w:val="2-Section Heading"/>
    <w:qFormat/>
    <w:rsid w:val="006C5B33"/>
    <w:pPr>
      <w:keepNext/>
      <w:numPr>
        <w:numId w:val="3"/>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C5B3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C5B3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C5B3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C5B33"/>
    <w:rPr>
      <w:rFonts w:ascii="Arial Narrow" w:eastAsiaTheme="majorEastAsia" w:hAnsi="Arial Narrow" w:cstheme="majorBidi"/>
      <w:b/>
      <w:bCs/>
      <w:szCs w:val="24"/>
    </w:rPr>
  </w:style>
  <w:style w:type="paragraph" w:customStyle="1" w:styleId="3-BodyText">
    <w:name w:val="3-Body Text"/>
    <w:link w:val="3-BodyTextChar"/>
    <w:qFormat/>
    <w:rsid w:val="006C5B33"/>
    <w:pPr>
      <w:numPr>
        <w:ilvl w:val="1"/>
        <w:numId w:val="3"/>
      </w:numPr>
      <w:spacing w:after="120"/>
      <w:ind w:left="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C5B33"/>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067B6B"/>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67B6B"/>
    <w:rPr>
      <w:rFonts w:ascii="Arial Narrow" w:hAnsi="Arial Narrow" w:cs="Arial"/>
      <w:snapToGrid w:val="0"/>
      <w:sz w:val="18"/>
      <w:szCs w:val="22"/>
    </w:rPr>
  </w:style>
  <w:style w:type="paragraph" w:customStyle="1" w:styleId="5-SubsectionSubheading">
    <w:name w:val="5-Subsection Subheading"/>
    <w:next w:val="3-BodyText"/>
    <w:link w:val="5-SubsectionSubheadingChar"/>
    <w:qFormat/>
    <w:rsid w:val="00F7499A"/>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sid w:val="00F7499A"/>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71"/>
    <w:semiHidden/>
    <w:rsid w:val="00DF021D"/>
    <w:rPr>
      <w:rFonts w:ascii="Calibri" w:hAnsi="Calibri"/>
      <w:sz w:val="24"/>
      <w:szCs w:val="24"/>
    </w:rPr>
  </w:style>
  <w:style w:type="paragraph" w:customStyle="1" w:styleId="4-SubsectionHeading">
    <w:name w:val="4-Subsection Heading"/>
    <w:next w:val="3-BodyText"/>
    <w:link w:val="4-SubsectionHeadingChar"/>
    <w:qFormat/>
    <w:rsid w:val="00F7499A"/>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sid w:val="00F7499A"/>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Heading5Char">
    <w:name w:val="Heading 5 Char"/>
    <w:basedOn w:val="DefaultParagraphFont"/>
    <w:link w:val="Heading5"/>
    <w:uiPriority w:val="9"/>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basedOn w:val="Normal"/>
    <w:link w:val="HeaderChar"/>
    <w:unhideWhenUsed/>
    <w:qFormat/>
    <w:rsid w:val="00CF066B"/>
    <w:pPr>
      <w:jc w:val="right"/>
    </w:pPr>
  </w:style>
  <w:style w:type="character" w:customStyle="1" w:styleId="HeaderChar">
    <w:name w:val="Header Char"/>
    <w:basedOn w:val="DefaultParagraphFont"/>
    <w:link w:val="Header"/>
    <w:rsid w:val="00CF066B"/>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aliases w:val="Table Title,-H18,Annotationmark,Table HEADER PBAC"/>
    <w:basedOn w:val="DefaultParagraphFont"/>
    <w:uiPriority w:val="99"/>
    <w:unhideWhenUsed/>
    <w:qFormat/>
    <w:rsid w:val="008147AE"/>
    <w:rPr>
      <w:sz w:val="16"/>
      <w:szCs w:val="16"/>
    </w:rPr>
  </w:style>
  <w:style w:type="paragraph" w:styleId="CommentText">
    <w:name w:val="annotation text"/>
    <w:aliases w:val="- H19,Comment Text Char2,Comment Text Char Char1,Comment Text Char2 Char Char,Comment Text Char Char1 Char Char,Comment Text Char2 Char Char Char Char,Comment Text Char1 Char Char Char Char1 Char,Comment Text Char Char Char"/>
    <w:basedOn w:val="Normal"/>
    <w:link w:val="CommentTextChar"/>
    <w:uiPriority w:val="99"/>
    <w:unhideWhenUsed/>
    <w:qFormat/>
    <w:rsid w:val="008147AE"/>
    <w:rPr>
      <w:sz w:val="20"/>
      <w:szCs w:val="20"/>
    </w:rPr>
  </w:style>
  <w:style w:type="character" w:customStyle="1" w:styleId="CommentTextChar">
    <w:name w:val="Comment Text Char"/>
    <w:aliases w:val="- H19 Char,Comment Text Char2 Char,Comment Text Char Char1 Char,Comment Text Char2 Char Char Char,Comment Text Char Char1 Char Char Char,Comment Text Char2 Char Char Char Char Char,Comment Text Char1 Char Char Char Char1 Char Char"/>
    <w:basedOn w:val="DefaultParagraphFont"/>
    <w:link w:val="CommentText"/>
    <w:uiPriority w:val="99"/>
    <w:rsid w:val="008147AE"/>
    <w:rPr>
      <w:rFonts w:ascii="Calibri" w:hAnsi="Calibri"/>
    </w:rPr>
  </w:style>
  <w:style w:type="paragraph" w:styleId="CommentSubject">
    <w:name w:val="annotation subject"/>
    <w:basedOn w:val="CommentText"/>
    <w:next w:val="CommentText"/>
    <w:link w:val="CommentSubjectChar"/>
    <w:semiHidden/>
    <w:unhideWhenUsed/>
    <w:rsid w:val="008147AE"/>
    <w:rPr>
      <w:b/>
      <w:bCs/>
    </w:rPr>
  </w:style>
  <w:style w:type="character" w:customStyle="1" w:styleId="CommentSubjectChar">
    <w:name w:val="Comment Subject Char"/>
    <w:basedOn w:val="CommentTextChar"/>
    <w:link w:val="CommentSubject"/>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paragraph" w:styleId="NoSpacing">
    <w:name w:val="No Spacing"/>
    <w:basedOn w:val="Normal"/>
    <w:link w:val="NoSpacingChar"/>
    <w:uiPriority w:val="1"/>
    <w:qFormat/>
    <w:rsid w:val="00774465"/>
    <w:rPr>
      <w:rFonts w:ascii="Arial" w:hAnsi="Arial"/>
      <w:sz w:val="22"/>
      <w:szCs w:val="22"/>
    </w:rPr>
  </w:style>
  <w:style w:type="character" w:customStyle="1" w:styleId="NoSpacingChar">
    <w:name w:val="No Spacing Char"/>
    <w:basedOn w:val="DefaultParagraphFont"/>
    <w:link w:val="NoSpacing"/>
    <w:uiPriority w:val="1"/>
    <w:rsid w:val="00774465"/>
    <w:rPr>
      <w:rFonts w:ascii="Arial" w:hAnsi="Arial"/>
      <w:sz w:val="22"/>
      <w:szCs w:val="22"/>
    </w:rPr>
  </w:style>
  <w:style w:type="numbering" w:customStyle="1" w:styleId="Style3">
    <w:name w:val="Style3"/>
    <w:uiPriority w:val="99"/>
    <w:rsid w:val="000E6467"/>
  </w:style>
  <w:style w:type="paragraph" w:customStyle="1" w:styleId="PBACESParagraphBulletPoint">
    <w:name w:val="PBAC ES Paragraph Bullet Point"/>
    <w:basedOn w:val="ListParagraph"/>
    <w:link w:val="PBACESParagraphBulletPointChar"/>
    <w:uiPriority w:val="1"/>
    <w:qFormat/>
    <w:rsid w:val="000E6467"/>
    <w:pPr>
      <w:numPr>
        <w:numId w:val="16"/>
      </w:numPr>
      <w:spacing w:before="120"/>
      <w:ind w:left="1491" w:hanging="357"/>
      <w:jc w:val="both"/>
    </w:pPr>
    <w:rPr>
      <w:rFonts w:eastAsiaTheme="minorHAnsi" w:cstheme="minorBidi"/>
      <w:snapToGrid/>
      <w:color w:val="000000" w:themeColor="text1"/>
      <w:szCs w:val="22"/>
      <w:lang w:eastAsia="en-US"/>
    </w:rPr>
  </w:style>
  <w:style w:type="character" w:customStyle="1" w:styleId="PBACESParagraphBulletPointChar">
    <w:name w:val="PBAC ES Paragraph Bullet Point Char"/>
    <w:basedOn w:val="DefaultParagraphFont"/>
    <w:link w:val="PBACESParagraphBulletPoint"/>
    <w:uiPriority w:val="1"/>
    <w:rsid w:val="000E6467"/>
    <w:rPr>
      <w:rFonts w:asciiTheme="minorHAnsi" w:eastAsiaTheme="minorHAnsi" w:hAnsiTheme="minorHAnsi" w:cstheme="minorBidi"/>
      <w:color w:val="000000" w:themeColor="text1"/>
      <w:sz w:val="24"/>
      <w:szCs w:val="22"/>
      <w:lang w:eastAsia="en-US"/>
    </w:rPr>
  </w:style>
  <w:style w:type="character" w:customStyle="1" w:styleId="Heading8Char">
    <w:name w:val="Heading 8 Char"/>
    <w:basedOn w:val="DefaultParagraphFont"/>
    <w:link w:val="Heading8"/>
    <w:uiPriority w:val="9"/>
    <w:rsid w:val="00015792"/>
    <w:rPr>
      <w:rFonts w:asciiTheme="majorHAnsi" w:eastAsiaTheme="majorEastAsia" w:hAnsiTheme="majorHAnsi" w:cstheme="majorBidi"/>
      <w:color w:val="272727" w:themeColor="text1" w:themeTint="D8"/>
      <w:sz w:val="21"/>
      <w:szCs w:val="21"/>
    </w:rPr>
  </w:style>
  <w:style w:type="paragraph" w:customStyle="1" w:styleId="TableBullet">
    <w:name w:val="Table Bullet"/>
    <w:basedOn w:val="TableText"/>
    <w:qFormat/>
    <w:rsid w:val="002A49C6"/>
    <w:pPr>
      <w:keepNext w:val="0"/>
      <w:numPr>
        <w:numId w:val="17"/>
      </w:numPr>
      <w:spacing w:before="20" w:after="20" w:line="276" w:lineRule="auto"/>
      <w:ind w:left="284" w:hanging="284"/>
    </w:pPr>
    <w:rPr>
      <w:rFonts w:cs="Arial"/>
      <w:bCs w:val="0"/>
      <w:szCs w:val="20"/>
      <w:lang w:bidi="en-US"/>
    </w:rPr>
  </w:style>
  <w:style w:type="paragraph" w:styleId="Caption">
    <w:name w:val="caption"/>
    <w:basedOn w:val="Normal"/>
    <w:next w:val="Normal"/>
    <w:link w:val="CaptionChar"/>
    <w:uiPriority w:val="35"/>
    <w:unhideWhenUsed/>
    <w:qFormat/>
    <w:rsid w:val="00B45443"/>
    <w:pPr>
      <w:keepNext/>
      <w:keepLines/>
    </w:pPr>
    <w:rPr>
      <w:rFonts w:ascii="Arial Narrow" w:hAnsi="Arial Narrow" w:cs="Arial"/>
      <w:b/>
      <w:bCs/>
      <w:sz w:val="20"/>
      <w:szCs w:val="18"/>
    </w:rPr>
  </w:style>
  <w:style w:type="character" w:customStyle="1" w:styleId="CaptionChar">
    <w:name w:val="Caption Char"/>
    <w:link w:val="Caption"/>
    <w:uiPriority w:val="35"/>
    <w:rsid w:val="00B45443"/>
    <w:rPr>
      <w:rFonts w:ascii="Arial Narrow" w:hAnsi="Arial Narrow" w:cs="Arial"/>
      <w:b/>
      <w:bCs/>
      <w:szCs w:val="18"/>
    </w:rPr>
  </w:style>
  <w:style w:type="paragraph" w:styleId="NormalWeb">
    <w:name w:val="Normal (Web)"/>
    <w:basedOn w:val="Normal"/>
    <w:semiHidden/>
    <w:unhideWhenUsed/>
    <w:rsid w:val="00AF43E2"/>
    <w:rPr>
      <w:rFonts w:ascii="Times New Roman" w:hAnsi="Times New Roman"/>
    </w:rPr>
  </w:style>
  <w:style w:type="paragraph" w:customStyle="1" w:styleId="FooterTableFigure">
    <w:name w:val="Footer Table/Figure"/>
    <w:basedOn w:val="Normal"/>
    <w:link w:val="FooterTableFigureChar"/>
    <w:qFormat/>
    <w:rsid w:val="0074284D"/>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74284D"/>
    <w:rPr>
      <w:rFonts w:ascii="Arial Narrow" w:hAnsi="Arial Narrow" w:cs="Arial"/>
      <w:snapToGrid w:val="0"/>
      <w:sz w:val="18"/>
      <w:szCs w:val="22"/>
    </w:rPr>
  </w:style>
  <w:style w:type="table" w:customStyle="1" w:styleId="HTATableshaded">
    <w:name w:val="HTA Table shaded"/>
    <w:basedOn w:val="TableNormal"/>
    <w:rsid w:val="0009531B"/>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FootnoteText">
    <w:name w:val="footnote text"/>
    <w:basedOn w:val="Normal"/>
    <w:link w:val="FootnoteTextChar"/>
    <w:semiHidden/>
    <w:unhideWhenUsed/>
    <w:rsid w:val="00B64BB4"/>
    <w:rPr>
      <w:sz w:val="20"/>
      <w:szCs w:val="20"/>
    </w:rPr>
  </w:style>
  <w:style w:type="character" w:customStyle="1" w:styleId="FootnoteTextChar">
    <w:name w:val="Footnote Text Char"/>
    <w:basedOn w:val="DefaultParagraphFont"/>
    <w:link w:val="FootnoteText"/>
    <w:semiHidden/>
    <w:rsid w:val="00B64BB4"/>
    <w:rPr>
      <w:rFonts w:ascii="Calibri" w:hAnsi="Calibri"/>
    </w:rPr>
  </w:style>
  <w:style w:type="character" w:styleId="FootnoteReference">
    <w:name w:val="footnote reference"/>
    <w:basedOn w:val="DefaultParagraphFont"/>
    <w:semiHidden/>
    <w:unhideWhenUsed/>
    <w:rsid w:val="00B64BB4"/>
    <w:rPr>
      <w:vertAlign w:val="superscript"/>
    </w:rPr>
  </w:style>
  <w:style w:type="paragraph" w:customStyle="1" w:styleId="ListBulletlvl2">
    <w:name w:val="List Bullet lvl 2"/>
    <w:basedOn w:val="ListBullet"/>
    <w:qFormat/>
    <w:rsid w:val="00427C42"/>
    <w:pPr>
      <w:numPr>
        <w:ilvl w:val="1"/>
        <w:numId w:val="27"/>
      </w:numPr>
      <w:spacing w:after="60"/>
      <w:ind w:left="714" w:hanging="357"/>
      <w:contextualSpacing w:val="0"/>
      <w:jc w:val="left"/>
    </w:pPr>
    <w:rPr>
      <w:rFonts w:eastAsia="Calibri"/>
      <w:sz w:val="22"/>
      <w:szCs w:val="22"/>
      <w:lang w:eastAsia="en-US"/>
    </w:rPr>
  </w:style>
  <w:style w:type="paragraph" w:styleId="ListBullet">
    <w:name w:val="List Bullet"/>
    <w:basedOn w:val="Normal"/>
    <w:semiHidden/>
    <w:unhideWhenUsed/>
    <w:rsid w:val="00427C42"/>
    <w:pPr>
      <w:numPr>
        <w:numId w:val="8"/>
      </w:numPr>
      <w:contextualSpacing/>
    </w:pPr>
  </w:style>
  <w:style w:type="character" w:styleId="UnresolvedMention">
    <w:name w:val="Unresolved Mention"/>
    <w:basedOn w:val="DefaultParagraphFont"/>
    <w:uiPriority w:val="99"/>
    <w:unhideWhenUsed/>
    <w:rsid w:val="00CE1CBF"/>
    <w:rPr>
      <w:color w:val="605E5C"/>
      <w:shd w:val="clear" w:color="auto" w:fill="E1DFDD"/>
    </w:rPr>
  </w:style>
  <w:style w:type="character" w:styleId="Mention">
    <w:name w:val="Mention"/>
    <w:basedOn w:val="DefaultParagraphFont"/>
    <w:uiPriority w:val="99"/>
    <w:unhideWhenUsed/>
    <w:rsid w:val="00CE1C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38370930">
      <w:bodyDiv w:val="1"/>
      <w:marLeft w:val="0"/>
      <w:marRight w:val="0"/>
      <w:marTop w:val="0"/>
      <w:marBottom w:val="0"/>
      <w:divBdr>
        <w:top w:val="none" w:sz="0" w:space="0" w:color="auto"/>
        <w:left w:val="none" w:sz="0" w:space="0" w:color="auto"/>
        <w:bottom w:val="none" w:sz="0" w:space="0" w:color="auto"/>
        <w:right w:val="none" w:sz="0" w:space="0" w:color="auto"/>
      </w:divBdr>
      <w:divsChild>
        <w:div w:id="1083063033">
          <w:marLeft w:val="0"/>
          <w:marRight w:val="0"/>
          <w:marTop w:val="0"/>
          <w:marBottom w:val="0"/>
          <w:divBdr>
            <w:top w:val="none" w:sz="0" w:space="0" w:color="auto"/>
            <w:left w:val="none" w:sz="0" w:space="0" w:color="auto"/>
            <w:bottom w:val="none" w:sz="0" w:space="0" w:color="auto"/>
            <w:right w:val="none" w:sz="0" w:space="0" w:color="auto"/>
          </w:divBdr>
        </w:div>
      </w:divsChild>
    </w:div>
    <w:div w:id="284237785">
      <w:bodyDiv w:val="1"/>
      <w:marLeft w:val="0"/>
      <w:marRight w:val="0"/>
      <w:marTop w:val="0"/>
      <w:marBottom w:val="0"/>
      <w:divBdr>
        <w:top w:val="none" w:sz="0" w:space="0" w:color="auto"/>
        <w:left w:val="none" w:sz="0" w:space="0" w:color="auto"/>
        <w:bottom w:val="none" w:sz="0" w:space="0" w:color="auto"/>
        <w:right w:val="none" w:sz="0" w:space="0" w:color="auto"/>
      </w:divBdr>
      <w:divsChild>
        <w:div w:id="54671004">
          <w:marLeft w:val="806"/>
          <w:marRight w:val="0"/>
          <w:marTop w:val="200"/>
          <w:marBottom w:val="0"/>
          <w:divBdr>
            <w:top w:val="none" w:sz="0" w:space="0" w:color="auto"/>
            <w:left w:val="none" w:sz="0" w:space="0" w:color="auto"/>
            <w:bottom w:val="none" w:sz="0" w:space="0" w:color="auto"/>
            <w:right w:val="none" w:sz="0" w:space="0" w:color="auto"/>
          </w:divBdr>
        </w:div>
      </w:divsChild>
    </w:div>
    <w:div w:id="304897985">
      <w:bodyDiv w:val="1"/>
      <w:marLeft w:val="0"/>
      <w:marRight w:val="0"/>
      <w:marTop w:val="0"/>
      <w:marBottom w:val="0"/>
      <w:divBdr>
        <w:top w:val="none" w:sz="0" w:space="0" w:color="auto"/>
        <w:left w:val="none" w:sz="0" w:space="0" w:color="auto"/>
        <w:bottom w:val="none" w:sz="0" w:space="0" w:color="auto"/>
        <w:right w:val="none" w:sz="0" w:space="0" w:color="auto"/>
      </w:divBdr>
    </w:div>
    <w:div w:id="33751108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477722751">
      <w:bodyDiv w:val="1"/>
      <w:marLeft w:val="0"/>
      <w:marRight w:val="0"/>
      <w:marTop w:val="0"/>
      <w:marBottom w:val="0"/>
      <w:divBdr>
        <w:top w:val="none" w:sz="0" w:space="0" w:color="auto"/>
        <w:left w:val="none" w:sz="0" w:space="0" w:color="auto"/>
        <w:bottom w:val="none" w:sz="0" w:space="0" w:color="auto"/>
        <w:right w:val="none" w:sz="0" w:space="0" w:color="auto"/>
      </w:divBdr>
    </w:div>
    <w:div w:id="524633729">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17303644">
      <w:bodyDiv w:val="1"/>
      <w:marLeft w:val="0"/>
      <w:marRight w:val="0"/>
      <w:marTop w:val="0"/>
      <w:marBottom w:val="0"/>
      <w:divBdr>
        <w:top w:val="none" w:sz="0" w:space="0" w:color="auto"/>
        <w:left w:val="none" w:sz="0" w:space="0" w:color="auto"/>
        <w:bottom w:val="none" w:sz="0" w:space="0" w:color="auto"/>
        <w:right w:val="none" w:sz="0" w:space="0" w:color="auto"/>
      </w:divBdr>
    </w:div>
    <w:div w:id="958537154">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29919339">
      <w:bodyDiv w:val="1"/>
      <w:marLeft w:val="0"/>
      <w:marRight w:val="0"/>
      <w:marTop w:val="0"/>
      <w:marBottom w:val="0"/>
      <w:divBdr>
        <w:top w:val="none" w:sz="0" w:space="0" w:color="auto"/>
        <w:left w:val="none" w:sz="0" w:space="0" w:color="auto"/>
        <w:bottom w:val="none" w:sz="0" w:space="0" w:color="auto"/>
        <w:right w:val="none" w:sz="0" w:space="0" w:color="auto"/>
      </w:divBdr>
    </w:div>
    <w:div w:id="1291595829">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97837708">
      <w:bodyDiv w:val="1"/>
      <w:marLeft w:val="0"/>
      <w:marRight w:val="0"/>
      <w:marTop w:val="0"/>
      <w:marBottom w:val="0"/>
      <w:divBdr>
        <w:top w:val="none" w:sz="0" w:space="0" w:color="auto"/>
        <w:left w:val="none" w:sz="0" w:space="0" w:color="auto"/>
        <w:bottom w:val="none" w:sz="0" w:space="0" w:color="auto"/>
        <w:right w:val="none" w:sz="0" w:space="0" w:color="auto"/>
      </w:divBdr>
      <w:divsChild>
        <w:div w:id="643773736">
          <w:marLeft w:val="0"/>
          <w:marRight w:val="0"/>
          <w:marTop w:val="0"/>
          <w:marBottom w:val="0"/>
          <w:divBdr>
            <w:top w:val="none" w:sz="0" w:space="0" w:color="auto"/>
            <w:left w:val="none" w:sz="0" w:space="0" w:color="auto"/>
            <w:bottom w:val="none" w:sz="0" w:space="0" w:color="auto"/>
            <w:right w:val="none" w:sz="0" w:space="0" w:color="auto"/>
          </w:divBdr>
        </w:div>
      </w:divsChild>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86133802">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81548138">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29540522">
      <w:bodyDiv w:val="1"/>
      <w:marLeft w:val="0"/>
      <w:marRight w:val="0"/>
      <w:marTop w:val="0"/>
      <w:marBottom w:val="0"/>
      <w:divBdr>
        <w:top w:val="none" w:sz="0" w:space="0" w:color="auto"/>
        <w:left w:val="none" w:sz="0" w:space="0" w:color="auto"/>
        <w:bottom w:val="none" w:sz="0" w:space="0" w:color="auto"/>
        <w:right w:val="none" w:sz="0" w:space="0" w:color="auto"/>
      </w:divBdr>
    </w:div>
    <w:div w:id="1942102384">
      <w:bodyDiv w:val="1"/>
      <w:marLeft w:val="0"/>
      <w:marRight w:val="0"/>
      <w:marTop w:val="0"/>
      <w:marBottom w:val="0"/>
      <w:divBdr>
        <w:top w:val="none" w:sz="0" w:space="0" w:color="auto"/>
        <w:left w:val="none" w:sz="0" w:space="0" w:color="auto"/>
        <w:bottom w:val="none" w:sz="0" w:space="0" w:color="auto"/>
        <w:right w:val="none" w:sz="0" w:space="0" w:color="auto"/>
      </w:divBdr>
    </w:div>
    <w:div w:id="1948347561">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9799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bs.gov.au/medicine/item/14162j"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pbs.gov.au/medicine/item/12233w"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bs.gov.au/medicine/item/14168q"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bs.gov.au/medicine/item/11620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bs.gov.au/medicine/item/12232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bs.gov.au/medicine/item/11622q"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4" ma:contentTypeDescription="Create a new document." ma:contentTypeScope="" ma:versionID="0ca6119bb704a039e30cded50d496155">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d4a3fedec6abdf427e3bd28fcb8874fa"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1D4891-DBA6-4FC8-88DC-2BD32F65153D}">
  <ds:schemaRefs>
    <ds:schemaRef ds:uri="http://schemas.openxmlformats.org/officeDocument/2006/bibliography"/>
  </ds:schemaRefs>
</ds:datastoreItem>
</file>

<file path=customXml/itemProps2.xml><?xml version="1.0" encoding="utf-8"?>
<ds:datastoreItem xmlns:ds="http://schemas.openxmlformats.org/officeDocument/2006/customXml" ds:itemID="{41A159E8-CD04-41A9-9A70-4767539E9DA9}">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3.xml><?xml version="1.0" encoding="utf-8"?>
<ds:datastoreItem xmlns:ds="http://schemas.openxmlformats.org/officeDocument/2006/customXml" ds:itemID="{3007EDB0-2749-40B8-9578-FC51AF08E464}">
  <ds:schemaRefs>
    <ds:schemaRef ds:uri="http://schemas.microsoft.com/sharepoint/v3/contenttype/forms"/>
  </ds:schemaRefs>
</ds:datastoreItem>
</file>

<file path=customXml/itemProps4.xml><?xml version="1.0" encoding="utf-8"?>
<ds:datastoreItem xmlns:ds="http://schemas.openxmlformats.org/officeDocument/2006/customXml" ds:itemID="{3A28627A-3FA5-45E2-83AD-FE67D79B4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5833</Words>
  <Characters>33507</Characters>
  <Application>Microsoft Office Word</Application>
  <DocSecurity>0</DocSecurity>
  <Lines>985</Lines>
  <Paragraphs>690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2025-12-22T04:17:00Z</dcterms:created>
  <dcterms:modified xsi:type="dcterms:W3CDTF">2025-12-22T05:34:00Z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460efff8,3bc05cbe,28f2528</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7ae5785e,657961a6,6275cbd7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2025-12-22T04:17:34Z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2c7cfdc5-f2f9-4534-9efd-843cc29c9276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39df9c6b-793c-4016-b195-fddba94fa888_Name">
    <vt:lpwstr>OS</vt:lpwstr>
  </property>
  <property fmtid="{D5CDD505-2E9C-101B-9397-08002B2CF9AE}" pid="17" name="MSIP_Label_7cd3e8b9-ffed-43a8-b7f4-cc2fa0382d36_Removed">
    <vt:lpwstr>False</vt:lpwstr>
  </property>
  <property fmtid="{D5CDD505-2E9C-101B-9397-08002B2CF9AE}" pid="18" name="MediaServiceImageTags">
    <vt:lpwstr/>
  </property>
  <property fmtid="{D5CDD505-2E9C-101B-9397-08002B2CF9AE}" pid="19" name="MSIP_Label_39df9c6b-793c-4016-b195-fddba94fa888_ContentBits">
    <vt:lpwstr>3</vt:lpwstr>
  </property>
  <property fmtid="{D5CDD505-2E9C-101B-9397-08002B2CF9AE}" pid="20" name="MSIP_Label_39df9c6b-793c-4016-b195-fddba94fa888_Tag">
    <vt:lpwstr>10, 0, 1, 1</vt:lpwstr>
  </property>
  <property fmtid="{D5CDD505-2E9C-101B-9397-08002B2CF9AE}" pid="21" name="ContentTypeId">
    <vt:lpwstr>0x0101007FED174C5281F747A8037A05221D6DBD</vt:lpwstr>
  </property>
  <property fmtid="{D5CDD505-2E9C-101B-9397-08002B2CF9AE}" pid="22" name="MSIP_Label_39df9c6b-793c-4016-b195-fddba94fa888_Enabled">
    <vt:lpwstr>true</vt:lpwstr>
  </property>
  <property fmtid="{D5CDD505-2E9C-101B-9397-08002B2CF9AE}" pid="23" name="MSIP_Label_39df9c6b-793c-4016-b195-fddba94fa888_SetDate">
    <vt:lpwstr>2025-11-14T05:05:36Z</vt:lpwstr>
  </property>
  <property fmtid="{D5CDD505-2E9C-101B-9397-08002B2CF9AE}" pid="24" name="docLang">
    <vt:lpwstr>en</vt:lpwstr>
  </property>
  <property fmtid="{D5CDD505-2E9C-101B-9397-08002B2CF9AE}" pid="25" name="MSIP_Label_7cd3e8b9-ffed-43a8-b7f4-cc2fa0382d36_Extended_MSFT_Method">
    <vt:lpwstr>Standard</vt:lpwstr>
  </property>
  <property fmtid="{D5CDD505-2E9C-101B-9397-08002B2CF9AE}" pid="26" name="MSIP_Label_39df9c6b-793c-4016-b195-fddba94fa888_ActionId">
    <vt:lpwstr>ff480689-8e08-4f6d-8f2e-93949cc35753</vt:lpwstr>
  </property>
  <property fmtid="{D5CDD505-2E9C-101B-9397-08002B2CF9AE}" pid="27" name="Sensitivity">
    <vt:lpwstr>OFFICIAL</vt:lpwstr>
  </property>
  <property fmtid="{D5CDD505-2E9C-101B-9397-08002B2CF9AE}" pid="28" name="MSIP_Label_39df9c6b-793c-4016-b195-fddba94fa888_Method">
    <vt:lpwstr>Privileged</vt:lpwstr>
  </property>
  <property fmtid="{D5CDD505-2E9C-101B-9397-08002B2CF9AE}" pid="29" name="MSIP_Label_39df9c6b-793c-4016-b195-fddba94fa888_SiteId">
    <vt:lpwstr>34a3929c-73cf-4954-abfe-147dc3517892</vt:lpwstr>
  </property>
</Properties>
</file>