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1372" w14:textId="56EC6E7F" w:rsidR="0064082B" w:rsidRPr="001677F9" w:rsidRDefault="0011472C" w:rsidP="0064082B">
      <w:pPr>
        <w:pStyle w:val="1-MainHeading"/>
      </w:pPr>
      <w:bookmarkStart w:id="0" w:name="_Hlk87013217"/>
      <w:bookmarkStart w:id="1" w:name="_Hlk76375180"/>
      <w:r>
        <w:t>6</w:t>
      </w:r>
      <w:r w:rsidR="0064082B" w:rsidRPr="001677F9">
        <w:t>.0</w:t>
      </w:r>
      <w:r w:rsidR="0064082B">
        <w:t>1</w:t>
      </w:r>
      <w:r w:rsidR="0064082B" w:rsidRPr="001677F9">
        <w:tab/>
        <w:t>DAPAGLIFLOZIN,</w:t>
      </w:r>
      <w:r w:rsidR="0064082B" w:rsidRPr="001677F9">
        <w:br/>
        <w:t>Tablet 10 mg,</w:t>
      </w:r>
      <w:r w:rsidR="0064082B" w:rsidRPr="001677F9">
        <w:br/>
      </w:r>
      <w:proofErr w:type="spellStart"/>
      <w:r w:rsidR="0064082B" w:rsidRPr="001677F9">
        <w:t>Forxiga</w:t>
      </w:r>
      <w:proofErr w:type="spellEnd"/>
      <w:r w:rsidR="0064082B" w:rsidRPr="001677F9">
        <w:rPr>
          <w:vertAlign w:val="superscript"/>
        </w:rPr>
        <w:t>®</w:t>
      </w:r>
      <w:r w:rsidR="0064082B" w:rsidRPr="001677F9">
        <w:t>,</w:t>
      </w:r>
      <w:r w:rsidR="0064082B" w:rsidRPr="001677F9">
        <w:br/>
        <w:t xml:space="preserve">AstraZeneca Pty Ltd. </w:t>
      </w:r>
    </w:p>
    <w:p w14:paraId="2765DE6C" w14:textId="77777777" w:rsidR="0064082B" w:rsidRPr="0098262F" w:rsidRDefault="0064082B" w:rsidP="0064082B">
      <w:pPr>
        <w:pStyle w:val="COMH1-numbered"/>
      </w:pPr>
      <w:r w:rsidRPr="0098262F">
        <w:t>Purpose of submission</w:t>
      </w:r>
    </w:p>
    <w:p w14:paraId="73FC7269" w14:textId="6FCE1F45" w:rsidR="000F028B" w:rsidRDefault="00DE3864" w:rsidP="0003171C">
      <w:pPr>
        <w:pStyle w:val="COMexecsummnumbered"/>
      </w:pPr>
      <w:r>
        <w:t>The Category 3 submission r</w:t>
      </w:r>
      <w:r w:rsidR="00CE0D5A">
        <w:t>equest</w:t>
      </w:r>
      <w:r>
        <w:t>ed</w:t>
      </w:r>
      <w:r w:rsidR="00CE0D5A">
        <w:t xml:space="preserve"> </w:t>
      </w:r>
      <w:r w:rsidR="00EF5A2A">
        <w:t xml:space="preserve">an </w:t>
      </w:r>
      <w:r w:rsidR="00153182" w:rsidRPr="00153182">
        <w:t>expand</w:t>
      </w:r>
      <w:r w:rsidR="008D78F0">
        <w:t>ed</w:t>
      </w:r>
      <w:r w:rsidR="00153182" w:rsidRPr="00153182">
        <w:t xml:space="preserve"> PBS restriction for dapagliflozin in chronic kidney disease (CKD)</w:t>
      </w:r>
      <w:r w:rsidR="001D7FCD">
        <w:t xml:space="preserve">, </w:t>
      </w:r>
      <w:r w:rsidR="001D7FCD" w:rsidRPr="001D7FCD">
        <w:t>consistent with the broadened CKD population recommended for empagliflozin at the May 2025 Pharmaceutical Benefits Advisory Committee (PBAC) meeting</w:t>
      </w:r>
      <w:r w:rsidR="00226203">
        <w:t>.</w:t>
      </w:r>
    </w:p>
    <w:p w14:paraId="37C50A1B" w14:textId="1B138545" w:rsidR="0090754E" w:rsidRDefault="0090754E" w:rsidP="0090754E">
      <w:pPr>
        <w:pStyle w:val="COMexecsummnumbered"/>
      </w:pPr>
      <w:r>
        <w:t xml:space="preserve">At its May 2025 meeting, the PBAC recommended expanding the eligible population for the current General Schedule, Authority Required (STREAMLINED) PBS listing for empagliflozin for the treatment of adult patients with CKD to include a larger population that is in line with the population from the pivotal clinical trial, </w:t>
      </w:r>
      <w:r w:rsidR="0072229B">
        <w:br/>
      </w:r>
      <w:r>
        <w:t>EMPA-KIDNEY. The additional population for the expanded listing include</w:t>
      </w:r>
      <w:r w:rsidR="00CB68EE">
        <w:t>d</w:t>
      </w:r>
      <w:r>
        <w:t xml:space="preserve"> 4 distinct subgroups of patients with:</w:t>
      </w:r>
    </w:p>
    <w:p w14:paraId="1D21742B" w14:textId="77777777" w:rsidR="0090754E" w:rsidRDefault="0090754E" w:rsidP="00C0254C">
      <w:pPr>
        <w:pStyle w:val="COMexecsummbulletlist"/>
        <w:ind w:left="1134" w:hanging="357"/>
      </w:pPr>
      <w:r>
        <w:t>estimated Glomerular Filtration Rate (eGFR) 20 to &lt;25 mL/min/1.73m</w:t>
      </w:r>
      <w:r w:rsidRPr="00016ADE">
        <w:rPr>
          <w:vertAlign w:val="superscript"/>
        </w:rPr>
        <w:t>2</w:t>
      </w:r>
      <w:r>
        <w:t xml:space="preserve"> regardless of urinary albumin to creatinine ratio (UACR)</w:t>
      </w:r>
    </w:p>
    <w:p w14:paraId="27725E9A" w14:textId="77777777" w:rsidR="0090754E" w:rsidRDefault="0090754E" w:rsidP="00C0254C">
      <w:pPr>
        <w:pStyle w:val="COMexecsummbulletlist"/>
        <w:ind w:left="1134" w:hanging="357"/>
      </w:pPr>
      <w:r>
        <w:t>eGFR 25 to &lt;45 mL/min/1.73 m</w:t>
      </w:r>
      <w:r w:rsidRPr="00A062AE">
        <w:rPr>
          <w:vertAlign w:val="superscript"/>
        </w:rPr>
        <w:t>2</w:t>
      </w:r>
      <w:r>
        <w:t xml:space="preserve"> with UACR &lt;200 mg/g</w:t>
      </w:r>
    </w:p>
    <w:p w14:paraId="69A410A3" w14:textId="77777777" w:rsidR="0090754E" w:rsidRDefault="0090754E" w:rsidP="00C0254C">
      <w:pPr>
        <w:pStyle w:val="COMexecsummbulletlist"/>
        <w:ind w:left="1134" w:hanging="357"/>
      </w:pPr>
      <w:r>
        <w:t>eGFR 25 to 75 mL/min/1.73 m</w:t>
      </w:r>
      <w:r w:rsidRPr="00A062AE">
        <w:rPr>
          <w:vertAlign w:val="superscript"/>
        </w:rPr>
        <w:t>2</w:t>
      </w:r>
      <w:r>
        <w:t xml:space="preserve"> with UACR &gt;5,000 mg/g</w:t>
      </w:r>
    </w:p>
    <w:p w14:paraId="561F1D1F" w14:textId="5BA95331" w:rsidR="0090754E" w:rsidRDefault="0090754E" w:rsidP="00C0254C">
      <w:pPr>
        <w:pStyle w:val="COMexecsummbulletlist"/>
        <w:ind w:left="1134" w:hanging="357"/>
      </w:pPr>
      <w:r>
        <w:t>eGFR &gt;75 to 90 mL/min/1.73 m</w:t>
      </w:r>
      <w:r w:rsidRPr="00A062AE">
        <w:rPr>
          <w:vertAlign w:val="superscript"/>
        </w:rPr>
        <w:t>2</w:t>
      </w:r>
      <w:r>
        <w:t xml:space="preserve"> with UACR ≥200 mg/g</w:t>
      </w:r>
    </w:p>
    <w:p w14:paraId="02AD1B49" w14:textId="552553BC" w:rsidR="0090754E" w:rsidRPr="002700CB" w:rsidRDefault="0090754E" w:rsidP="002700CB">
      <w:pPr>
        <w:pStyle w:val="COMexecsummnumbered"/>
      </w:pPr>
      <w:r w:rsidRPr="00966D2A">
        <w:t>The PBAC recommended there be no flow-on changes to the PBS listing for dapagliflozin for the treatment of CKD to maintain alignment with its current Therapeutic Goods Administration approved indication</w:t>
      </w:r>
      <w:r w:rsidR="001062D4">
        <w:t xml:space="preserve">. </w:t>
      </w:r>
      <w:r w:rsidR="00015061" w:rsidRPr="00AA0150">
        <w:rPr>
          <w:snapToGrid w:val="0"/>
          <w:lang w:val="en-GB"/>
        </w:rPr>
        <w:t xml:space="preserve">However, given that international guidelines consider </w:t>
      </w:r>
      <w:r w:rsidR="00015061">
        <w:rPr>
          <w:snapToGrid w:val="0"/>
          <w:lang w:val="en-GB"/>
        </w:rPr>
        <w:t xml:space="preserve">benefits of </w:t>
      </w:r>
      <w:r w:rsidR="00E04F83" w:rsidRPr="00E04F83">
        <w:rPr>
          <w:snapToGrid w:val="0"/>
        </w:rPr>
        <w:t>sodium-glucose co</w:t>
      </w:r>
      <w:r w:rsidR="00E14FCD">
        <w:rPr>
          <w:snapToGrid w:val="0"/>
        </w:rPr>
        <w:t>-</w:t>
      </w:r>
      <w:r w:rsidR="00E04F83" w:rsidRPr="00E04F83">
        <w:rPr>
          <w:snapToGrid w:val="0"/>
        </w:rPr>
        <w:t>transporter-2</w:t>
      </w:r>
      <w:r w:rsidR="00E04F83">
        <w:rPr>
          <w:snapToGrid w:val="0"/>
        </w:rPr>
        <w:t xml:space="preserve"> (</w:t>
      </w:r>
      <w:r w:rsidR="00015061" w:rsidRPr="00AA0150">
        <w:rPr>
          <w:snapToGrid w:val="0"/>
          <w:lang w:val="en-GB"/>
        </w:rPr>
        <w:t>SGLT2</w:t>
      </w:r>
      <w:r w:rsidR="00E04F83">
        <w:rPr>
          <w:snapToGrid w:val="0"/>
          <w:lang w:val="en-GB"/>
        </w:rPr>
        <w:t>)</w:t>
      </w:r>
      <w:r w:rsidR="00015061">
        <w:rPr>
          <w:snapToGrid w:val="0"/>
          <w:lang w:val="en-GB"/>
        </w:rPr>
        <w:t xml:space="preserve"> </w:t>
      </w:r>
      <w:r w:rsidR="00015061" w:rsidRPr="00AA0150">
        <w:rPr>
          <w:snapToGrid w:val="0"/>
          <w:lang w:val="en-GB"/>
        </w:rPr>
        <w:t xml:space="preserve">inhibitors as a class effect, </w:t>
      </w:r>
      <w:r w:rsidR="00015061">
        <w:rPr>
          <w:snapToGrid w:val="0"/>
          <w:lang w:val="en-GB"/>
        </w:rPr>
        <w:t>the</w:t>
      </w:r>
      <w:r w:rsidR="00015061" w:rsidRPr="00AA0150">
        <w:rPr>
          <w:snapToGrid w:val="0"/>
          <w:lang w:val="en-GB"/>
        </w:rPr>
        <w:t xml:space="preserve"> PBAC advised further consideration of a flow-on to dapagliflozin </w:t>
      </w:r>
      <w:r w:rsidR="00015061">
        <w:rPr>
          <w:snapToGrid w:val="0"/>
          <w:lang w:val="en-GB"/>
        </w:rPr>
        <w:t>would be welcome with</w:t>
      </w:r>
      <w:r w:rsidR="00015061" w:rsidRPr="00AA0150">
        <w:rPr>
          <w:snapToGrid w:val="0"/>
          <w:lang w:val="en-GB"/>
        </w:rPr>
        <w:t xml:space="preserve"> updated available evidence</w:t>
      </w:r>
      <w:r w:rsidR="00EB2CC1">
        <w:rPr>
          <w:snapToGrid w:val="0"/>
          <w:lang w:val="en-GB"/>
        </w:rPr>
        <w:t xml:space="preserve"> (</w:t>
      </w:r>
      <w:r w:rsidR="00EB2CC1" w:rsidRPr="00EF056A">
        <w:t>para</w:t>
      </w:r>
      <w:r w:rsidR="00EB2CC1">
        <w:t>graph</w:t>
      </w:r>
      <w:r w:rsidR="00EB2CC1" w:rsidRPr="00EF056A">
        <w:t xml:space="preserve"> </w:t>
      </w:r>
      <w:r w:rsidR="001541E1">
        <w:t>7.4</w:t>
      </w:r>
      <w:r w:rsidR="00EB2CC1" w:rsidRPr="00EF056A">
        <w:t xml:space="preserve"> empagliflozin</w:t>
      </w:r>
      <w:r w:rsidR="00EB2CC1">
        <w:t xml:space="preserve"> </w:t>
      </w:r>
      <w:r w:rsidR="00F17103">
        <w:t>Public Summary Document (</w:t>
      </w:r>
      <w:r w:rsidR="00D0275F">
        <w:t>PSD</w:t>
      </w:r>
      <w:r w:rsidR="00F17103">
        <w:t>)</w:t>
      </w:r>
      <w:r w:rsidR="00EB2CC1">
        <w:t xml:space="preserve">, </w:t>
      </w:r>
      <w:r w:rsidR="0059397B">
        <w:t>May 2025 PBAC meeting)</w:t>
      </w:r>
      <w:r w:rsidR="00015061">
        <w:rPr>
          <w:snapToGrid w:val="0"/>
          <w:lang w:val="en-GB"/>
        </w:rPr>
        <w:t>.</w:t>
      </w:r>
    </w:p>
    <w:p w14:paraId="5458740C" w14:textId="01967BE1" w:rsidR="00633AC3" w:rsidRPr="00EF056A" w:rsidRDefault="00633AC3" w:rsidP="00633AC3">
      <w:pPr>
        <w:pStyle w:val="COMexecsummnumbered"/>
      </w:pPr>
      <w:r>
        <w:rPr>
          <w:snapToGrid w:val="0"/>
          <w:lang w:val="en-GB"/>
        </w:rPr>
        <w:t>Th</w:t>
      </w:r>
      <w:r w:rsidR="00CB68EE">
        <w:rPr>
          <w:snapToGrid w:val="0"/>
          <w:lang w:val="en-GB"/>
        </w:rPr>
        <w:t>is</w:t>
      </w:r>
      <w:r>
        <w:rPr>
          <w:snapToGrid w:val="0"/>
          <w:lang w:val="en-GB"/>
        </w:rPr>
        <w:t xml:space="preserve"> submission’s rationale to </w:t>
      </w:r>
      <w:r w:rsidRPr="002A4012">
        <w:rPr>
          <w:snapToGrid w:val="0"/>
          <w:lang w:val="en-GB"/>
        </w:rPr>
        <w:t>expan</w:t>
      </w:r>
      <w:r>
        <w:rPr>
          <w:snapToGrid w:val="0"/>
          <w:lang w:val="en-GB"/>
        </w:rPr>
        <w:t>d the</w:t>
      </w:r>
      <w:r w:rsidRPr="002A4012">
        <w:rPr>
          <w:snapToGrid w:val="0"/>
          <w:lang w:val="en-GB"/>
        </w:rPr>
        <w:t xml:space="preserve"> PBS restriction for dapagliflozin in CKD</w:t>
      </w:r>
      <w:r w:rsidR="00284B47">
        <w:rPr>
          <w:snapToGrid w:val="0"/>
          <w:lang w:val="en-GB"/>
        </w:rPr>
        <w:t xml:space="preserve"> </w:t>
      </w:r>
      <w:r>
        <w:rPr>
          <w:snapToGrid w:val="0"/>
          <w:lang w:val="en-GB"/>
        </w:rPr>
        <w:t>included:</w:t>
      </w:r>
    </w:p>
    <w:p w14:paraId="6068DD14" w14:textId="6266DFBE" w:rsidR="00633AC3" w:rsidRPr="00AE3368" w:rsidRDefault="006978F4" w:rsidP="003C2D96">
      <w:pPr>
        <w:pStyle w:val="COMexecsummbulletlist"/>
        <w:ind w:left="1134" w:hanging="357"/>
        <w:rPr>
          <w:rFonts w:eastAsiaTheme="minorHAnsi" w:cstheme="minorBidi"/>
          <w:szCs w:val="22"/>
        </w:rPr>
      </w:pPr>
      <w:r>
        <w:t>C</w:t>
      </w:r>
      <w:r w:rsidR="00EC6784">
        <w:t xml:space="preserve">onsistent </w:t>
      </w:r>
      <w:r w:rsidR="00633AC3" w:rsidRPr="00837ED3">
        <w:t>c</w:t>
      </w:r>
      <w:r w:rsidR="00633AC3" w:rsidRPr="00EF056A">
        <w:rPr>
          <w:rFonts w:eastAsiaTheme="minorHAnsi" w:cstheme="minorBidi"/>
          <w:szCs w:val="22"/>
        </w:rPr>
        <w:t xml:space="preserve">lass </w:t>
      </w:r>
      <w:r w:rsidR="00633AC3" w:rsidRPr="00837ED3">
        <w:t>e</w:t>
      </w:r>
      <w:r w:rsidR="00633AC3" w:rsidRPr="00EF056A">
        <w:rPr>
          <w:rFonts w:eastAsiaTheme="minorHAnsi" w:cstheme="minorBidi"/>
          <w:szCs w:val="22"/>
        </w:rPr>
        <w:t>ffect</w:t>
      </w:r>
      <w:r w:rsidR="00EC6784">
        <w:rPr>
          <w:rFonts w:eastAsiaTheme="minorHAnsi" w:cstheme="minorBidi"/>
          <w:szCs w:val="22"/>
        </w:rPr>
        <w:t xml:space="preserve"> and precedents</w:t>
      </w:r>
      <w:r w:rsidR="00633AC3">
        <w:rPr>
          <w:rFonts w:eastAsiaTheme="minorHAnsi" w:cstheme="minorBidi"/>
          <w:szCs w:val="22"/>
        </w:rPr>
        <w:t xml:space="preserve">: </w:t>
      </w:r>
      <w:r w:rsidR="00633AC3" w:rsidRPr="00EF056A">
        <w:rPr>
          <w:rFonts w:eastAsiaTheme="minorHAnsi" w:cstheme="minorBidi"/>
          <w:szCs w:val="22"/>
        </w:rPr>
        <w:t>the class effect of SGLT2</w:t>
      </w:r>
      <w:r>
        <w:rPr>
          <w:rFonts w:eastAsiaTheme="minorHAnsi" w:cstheme="minorBidi"/>
          <w:szCs w:val="22"/>
        </w:rPr>
        <w:t xml:space="preserve"> </w:t>
      </w:r>
      <w:r w:rsidR="00633AC3">
        <w:rPr>
          <w:rFonts w:eastAsiaTheme="minorHAnsi" w:cstheme="minorBidi"/>
          <w:szCs w:val="22"/>
        </w:rPr>
        <w:t>i</w:t>
      </w:r>
      <w:r>
        <w:rPr>
          <w:rFonts w:eastAsiaTheme="minorHAnsi" w:cstheme="minorBidi"/>
          <w:szCs w:val="22"/>
        </w:rPr>
        <w:t>nhibitors</w:t>
      </w:r>
      <w:r w:rsidR="00633AC3">
        <w:rPr>
          <w:rFonts w:eastAsiaTheme="minorHAnsi" w:cstheme="minorBidi"/>
          <w:szCs w:val="22"/>
        </w:rPr>
        <w:t xml:space="preserve"> has been acknowledge</w:t>
      </w:r>
      <w:r w:rsidR="009E54C4">
        <w:rPr>
          <w:rFonts w:eastAsiaTheme="minorHAnsi" w:cstheme="minorBidi"/>
          <w:szCs w:val="22"/>
        </w:rPr>
        <w:t>d</w:t>
      </w:r>
      <w:r w:rsidR="00633AC3">
        <w:rPr>
          <w:rFonts w:eastAsiaTheme="minorHAnsi" w:cstheme="minorBidi"/>
          <w:szCs w:val="22"/>
        </w:rPr>
        <w:t xml:space="preserve"> by PBAC in CKD </w:t>
      </w:r>
      <w:r w:rsidR="00633AC3">
        <w:t>(</w:t>
      </w:r>
      <w:r w:rsidR="00633AC3" w:rsidRPr="00EF056A">
        <w:rPr>
          <w:rFonts w:eastAsiaTheme="minorHAnsi"/>
        </w:rPr>
        <w:t>para</w:t>
      </w:r>
      <w:r w:rsidR="00633AC3">
        <w:t>graphs</w:t>
      </w:r>
      <w:r w:rsidR="00633AC3" w:rsidRPr="00EF056A">
        <w:rPr>
          <w:rFonts w:eastAsiaTheme="minorHAnsi"/>
        </w:rPr>
        <w:t xml:space="preserve"> 4.11 </w:t>
      </w:r>
      <w:r w:rsidR="00633AC3">
        <w:t xml:space="preserve">and </w:t>
      </w:r>
      <w:r w:rsidR="00633AC3" w:rsidRPr="00EF056A">
        <w:rPr>
          <w:rFonts w:eastAsiaTheme="minorHAnsi"/>
        </w:rPr>
        <w:t>7.7</w:t>
      </w:r>
      <w:r w:rsidR="00633AC3">
        <w:t xml:space="preserve">, </w:t>
      </w:r>
      <w:r w:rsidR="00633AC3" w:rsidRPr="00EF056A">
        <w:rPr>
          <w:rFonts w:eastAsiaTheme="minorHAnsi"/>
        </w:rPr>
        <w:t>empagliflozin</w:t>
      </w:r>
      <w:r w:rsidR="00633AC3">
        <w:t xml:space="preserve"> PSD, </w:t>
      </w:r>
      <w:r w:rsidR="00633AC3" w:rsidRPr="00EF056A">
        <w:rPr>
          <w:rFonts w:eastAsiaTheme="minorHAnsi"/>
        </w:rPr>
        <w:t>November 2023</w:t>
      </w:r>
      <w:r w:rsidR="0059397B">
        <w:rPr>
          <w:rFonts w:eastAsiaTheme="minorHAnsi"/>
        </w:rPr>
        <w:t xml:space="preserve"> PBAC meeting</w:t>
      </w:r>
      <w:r w:rsidR="00633AC3" w:rsidRPr="00EF056A">
        <w:rPr>
          <w:rFonts w:eastAsiaTheme="minorHAnsi"/>
        </w:rPr>
        <w:t>)</w:t>
      </w:r>
      <w:r w:rsidR="00633AC3">
        <w:rPr>
          <w:rFonts w:eastAsiaTheme="minorHAnsi"/>
        </w:rPr>
        <w:t xml:space="preserve">; </w:t>
      </w:r>
      <w:r w:rsidR="00633AC3" w:rsidRPr="00EF056A">
        <w:rPr>
          <w:rFonts w:eastAsiaTheme="minorHAnsi" w:cstheme="minorBidi"/>
          <w:szCs w:val="22"/>
        </w:rPr>
        <w:t>a recent meta-analysis of SGLT2i in kidney outcomes (Baigent 2022)</w:t>
      </w:r>
      <w:r w:rsidR="00633AC3">
        <w:rPr>
          <w:rFonts w:eastAsiaTheme="minorHAnsi" w:cstheme="minorBidi"/>
          <w:szCs w:val="22"/>
        </w:rPr>
        <w:t>;</w:t>
      </w:r>
      <w:r w:rsidR="00633AC3" w:rsidRPr="00EF056A">
        <w:rPr>
          <w:rFonts w:eastAsiaTheme="minorHAnsi" w:cstheme="minorBidi"/>
          <w:szCs w:val="22"/>
        </w:rPr>
        <w:t xml:space="preserve"> </w:t>
      </w:r>
      <w:r w:rsidR="00633AC3">
        <w:rPr>
          <w:rFonts w:eastAsiaTheme="minorHAnsi" w:cstheme="minorBidi"/>
          <w:szCs w:val="22"/>
        </w:rPr>
        <w:t>and t</w:t>
      </w:r>
      <w:r w:rsidR="00633AC3" w:rsidRPr="00EF056A">
        <w:rPr>
          <w:rFonts w:eastAsiaTheme="minorHAnsi"/>
        </w:rPr>
        <w:t xml:space="preserve">he international </w:t>
      </w:r>
      <w:r w:rsidR="00633AC3">
        <w:t>Kidney Disease: Improving Global Outcomes (</w:t>
      </w:r>
      <w:r w:rsidR="00633AC3" w:rsidRPr="00EF056A">
        <w:rPr>
          <w:rFonts w:eastAsiaTheme="minorHAnsi"/>
        </w:rPr>
        <w:t>KDIGO</w:t>
      </w:r>
      <w:r w:rsidR="00633AC3">
        <w:t>)</w:t>
      </w:r>
      <w:r w:rsidR="00633AC3" w:rsidRPr="00EF056A">
        <w:rPr>
          <w:rFonts w:eastAsiaTheme="minorHAnsi"/>
        </w:rPr>
        <w:t xml:space="preserve"> recommends initiating SGLT2 inhibitors (as </w:t>
      </w:r>
      <w:r w:rsidR="00633AC3">
        <w:rPr>
          <w:rFonts w:eastAsiaTheme="minorHAnsi"/>
        </w:rPr>
        <w:t xml:space="preserve">a </w:t>
      </w:r>
      <w:r w:rsidR="00633AC3" w:rsidRPr="00EF056A">
        <w:rPr>
          <w:rFonts w:eastAsiaTheme="minorHAnsi"/>
        </w:rPr>
        <w:t xml:space="preserve">class) in a broad range of CKD patients </w:t>
      </w:r>
      <w:r w:rsidR="00633AC3">
        <w:rPr>
          <w:rFonts w:eastAsiaTheme="minorHAnsi"/>
        </w:rPr>
        <w:t>in its</w:t>
      </w:r>
      <w:r w:rsidR="00633AC3" w:rsidRPr="00EF056A">
        <w:rPr>
          <w:rFonts w:eastAsiaTheme="minorHAnsi"/>
        </w:rPr>
        <w:t xml:space="preserve"> Clinical Practice Guideline for the Evaluation and Management of Chronic Kidney (KDIGO 2024)</w:t>
      </w:r>
    </w:p>
    <w:p w14:paraId="31F6379C" w14:textId="3E495973" w:rsidR="00633AC3" w:rsidRPr="00C65B97" w:rsidRDefault="00284B47" w:rsidP="003C2D96">
      <w:pPr>
        <w:pStyle w:val="COMexecsummbulletlist"/>
        <w:ind w:left="1134" w:hanging="357"/>
        <w:rPr>
          <w:rFonts w:eastAsiaTheme="minorHAnsi" w:cstheme="minorBidi"/>
          <w:szCs w:val="22"/>
          <w:u w:val="single"/>
        </w:rPr>
      </w:pPr>
      <w:r>
        <w:rPr>
          <w:rFonts w:eastAsiaTheme="minorHAnsi" w:cstheme="minorBidi"/>
          <w:szCs w:val="22"/>
        </w:rPr>
        <w:lastRenderedPageBreak/>
        <w:t>E</w:t>
      </w:r>
      <w:r w:rsidR="00633AC3" w:rsidRPr="00EF056A">
        <w:rPr>
          <w:rFonts w:eastAsiaTheme="minorHAnsi" w:cstheme="minorBidi"/>
          <w:szCs w:val="22"/>
        </w:rPr>
        <w:t xml:space="preserve">vidence </w:t>
      </w:r>
      <w:r w:rsidR="00633AC3" w:rsidRPr="00C65B97">
        <w:t>available</w:t>
      </w:r>
      <w:r w:rsidR="003A24E6">
        <w:t xml:space="preserve"> is robust</w:t>
      </w:r>
      <w:r w:rsidR="004D568C">
        <w:t xml:space="preserve">: </w:t>
      </w:r>
      <w:r w:rsidR="00F75AD0" w:rsidRPr="00F75AD0">
        <w:t xml:space="preserve">recent trials (e.g., DAPA-CKD), updated TGA indications, and </w:t>
      </w:r>
      <w:r w:rsidR="00901318">
        <w:t xml:space="preserve">observational studies </w:t>
      </w:r>
      <w:r w:rsidR="00F75AD0" w:rsidRPr="00F75AD0">
        <w:t>showing parity with empagliflozin</w:t>
      </w:r>
      <w:r w:rsidR="00633AC3" w:rsidRPr="00C65B97">
        <w:t xml:space="preserve"> </w:t>
      </w:r>
    </w:p>
    <w:p w14:paraId="4DC0325D" w14:textId="77777777" w:rsidR="00633AC3" w:rsidRPr="003762F8" w:rsidRDefault="00633AC3" w:rsidP="003C2D96">
      <w:pPr>
        <w:pStyle w:val="COMexecsummbulletlist"/>
        <w:ind w:left="1134" w:hanging="357"/>
        <w:rPr>
          <w:rFonts w:eastAsiaTheme="minorHAnsi" w:cstheme="minorBidi"/>
          <w:szCs w:val="22"/>
        </w:rPr>
      </w:pPr>
      <w:r w:rsidRPr="00EF056A">
        <w:rPr>
          <w:rFonts w:eastAsiaTheme="minorHAnsi" w:cstheme="minorBidi"/>
          <w:szCs w:val="22"/>
        </w:rPr>
        <w:t xml:space="preserve">Minimising </w:t>
      </w:r>
      <w:r w:rsidRPr="003762F8">
        <w:t>c</w:t>
      </w:r>
      <w:r w:rsidRPr="00EF056A">
        <w:rPr>
          <w:rFonts w:eastAsiaTheme="minorHAnsi" w:cstheme="minorBidi"/>
          <w:szCs w:val="22"/>
        </w:rPr>
        <w:t>linic</w:t>
      </w:r>
      <w:r w:rsidRPr="003762F8">
        <w:t>ian</w:t>
      </w:r>
      <w:r w:rsidRPr="00EF056A">
        <w:rPr>
          <w:rFonts w:eastAsiaTheme="minorHAnsi" w:cstheme="minorBidi"/>
          <w:szCs w:val="22"/>
        </w:rPr>
        <w:t xml:space="preserve"> and </w:t>
      </w:r>
      <w:r w:rsidRPr="003762F8">
        <w:t>p</w:t>
      </w:r>
      <w:r w:rsidRPr="00EF056A">
        <w:rPr>
          <w:rFonts w:eastAsiaTheme="minorHAnsi" w:cstheme="minorBidi"/>
          <w:szCs w:val="22"/>
        </w:rPr>
        <w:t xml:space="preserve">atient </w:t>
      </w:r>
      <w:r w:rsidRPr="003762F8">
        <w:t>c</w:t>
      </w:r>
      <w:r w:rsidRPr="00EF056A">
        <w:rPr>
          <w:rFonts w:eastAsiaTheme="minorHAnsi" w:cstheme="minorBidi"/>
          <w:szCs w:val="22"/>
        </w:rPr>
        <w:t>onfusion</w:t>
      </w:r>
      <w:r>
        <w:rPr>
          <w:rFonts w:eastAsiaTheme="minorHAnsi" w:cstheme="minorBidi"/>
          <w:szCs w:val="22"/>
        </w:rPr>
        <w:t>: c</w:t>
      </w:r>
      <w:r w:rsidRPr="00EF056A">
        <w:rPr>
          <w:rFonts w:eastAsiaTheme="minorHAnsi"/>
        </w:rPr>
        <w:t xml:space="preserve">linicians have advised that it is confusing and potentially disruptive to patient care if PBS criteria for </w:t>
      </w:r>
      <w:r>
        <w:t xml:space="preserve">dapagliflozin and empagliflozin </w:t>
      </w:r>
      <w:r w:rsidRPr="00EF056A">
        <w:rPr>
          <w:rFonts w:eastAsiaTheme="minorHAnsi"/>
        </w:rPr>
        <w:t>are exclusive to different subgroups of the CKD patient population. For this reason, alignment of the two restriction criteria as quickly as possible, will minimise complexity for prescribers and disruption to equitable access for patients.</w:t>
      </w:r>
    </w:p>
    <w:p w14:paraId="6158F9B1" w14:textId="0B3535B0" w:rsidR="00633AC3" w:rsidRPr="003762F8" w:rsidRDefault="00633AC3" w:rsidP="003C2D96">
      <w:pPr>
        <w:pStyle w:val="COMexecsummbulletlist"/>
        <w:ind w:left="1134" w:hanging="357"/>
        <w:rPr>
          <w:rFonts w:eastAsiaTheme="minorHAnsi" w:cstheme="minorBidi"/>
          <w:szCs w:val="22"/>
        </w:rPr>
      </w:pPr>
      <w:r w:rsidRPr="003762F8">
        <w:t>Promot</w:t>
      </w:r>
      <w:r w:rsidR="0088748C">
        <w:t>ing</w:t>
      </w:r>
      <w:r w:rsidRPr="003762F8">
        <w:t xml:space="preserve"> quality use of medicines</w:t>
      </w:r>
      <w:r>
        <w:t>: e</w:t>
      </w:r>
      <w:r w:rsidRPr="00EF056A">
        <w:rPr>
          <w:rFonts w:eastAsiaTheme="minorHAnsi"/>
        </w:rPr>
        <w:t>xpediting PBS harmonisation is in line with PBAC’s objective to promote the quality use of medicines and ensuring Australians have consistent access to guideline-supported therapies.</w:t>
      </w:r>
    </w:p>
    <w:p w14:paraId="3ED5841A" w14:textId="7BF3FAB6" w:rsidR="00B029AE" w:rsidRPr="0098262F" w:rsidRDefault="00B029AE" w:rsidP="00B029AE">
      <w:pPr>
        <w:pStyle w:val="COMH1-numbered"/>
      </w:pPr>
      <w:r>
        <w:t>Background</w:t>
      </w:r>
    </w:p>
    <w:p w14:paraId="53ECF71D" w14:textId="77777777" w:rsidR="00900A4A" w:rsidRPr="0098262F" w:rsidRDefault="00900A4A" w:rsidP="00900A4A">
      <w:pPr>
        <w:pStyle w:val="3-SubsectionHeading"/>
      </w:pPr>
      <w:r w:rsidRPr="0098262F">
        <w:t>Registration status</w:t>
      </w:r>
    </w:p>
    <w:p w14:paraId="20399C95" w14:textId="73E8BFE9" w:rsidR="00B029AE" w:rsidRDefault="00EC3135" w:rsidP="00C36C2D">
      <w:pPr>
        <w:pStyle w:val="COMexecsummnumbered"/>
      </w:pPr>
      <w:r>
        <w:t>Prior to April 2025, dapagliflozin</w:t>
      </w:r>
      <w:r w:rsidRPr="000F6049">
        <w:t xml:space="preserve"> </w:t>
      </w:r>
      <w:r>
        <w:t>wa</w:t>
      </w:r>
      <w:r w:rsidRPr="000F6049">
        <w:t xml:space="preserve">s indicated to reduce the risk of progressive decline in kidney function in adults with </w:t>
      </w:r>
      <w:proofErr w:type="spellStart"/>
      <w:r w:rsidRPr="000F6049">
        <w:t>proteinuric</w:t>
      </w:r>
      <w:proofErr w:type="spellEnd"/>
      <w:r w:rsidRPr="000F6049">
        <w:t xml:space="preserve"> chronic kidney disease (CKD Stage 2,</w:t>
      </w:r>
      <w:r>
        <w:t xml:space="preserve"> </w:t>
      </w:r>
      <w:r w:rsidRPr="000F6049">
        <w:t>3 or 4 and urine ACR ≥ 30 mg/g)</w:t>
      </w:r>
      <w:r w:rsidRPr="00966D2A">
        <w:t>.</w:t>
      </w:r>
      <w:r>
        <w:t xml:space="preserve"> </w:t>
      </w:r>
      <w:r w:rsidR="00B029AE">
        <w:t xml:space="preserve">The </w:t>
      </w:r>
      <w:r w:rsidR="00D63A43">
        <w:t xml:space="preserve">TGA indication for dapagliflozin was updated </w:t>
      </w:r>
      <w:r w:rsidR="00F5428A">
        <w:t>in April 2025</w:t>
      </w:r>
      <w:r w:rsidR="00067245">
        <w:t xml:space="preserve"> to remove the </w:t>
      </w:r>
      <w:r w:rsidR="00015061">
        <w:t>U</w:t>
      </w:r>
      <w:r w:rsidR="00FE3D0B" w:rsidRPr="00FE3D0B">
        <w:t xml:space="preserve">ACR </w:t>
      </w:r>
      <w:r w:rsidR="002724B2">
        <w:t xml:space="preserve">minimum </w:t>
      </w:r>
      <w:r w:rsidR="00067245">
        <w:t>requirement</w:t>
      </w:r>
      <w:r w:rsidR="00FE3D0B">
        <w:t xml:space="preserve">. The </w:t>
      </w:r>
      <w:r w:rsidR="00450DA3">
        <w:t xml:space="preserve">current </w:t>
      </w:r>
      <w:r w:rsidR="00FE3D0B">
        <w:t xml:space="preserve">approved </w:t>
      </w:r>
      <w:r w:rsidR="00BF5AF6">
        <w:t xml:space="preserve">TGA </w:t>
      </w:r>
      <w:r w:rsidR="00FE3D0B">
        <w:t xml:space="preserve">indication for dapagliflozin is: </w:t>
      </w:r>
      <w:r w:rsidR="00B35E3C">
        <w:t>“F</w:t>
      </w:r>
      <w:r w:rsidR="00B35E3C" w:rsidRPr="00B35E3C">
        <w:t xml:space="preserve">ORXIGA is indicated to reduce the risk of progressive decline in kidney function in adults with </w:t>
      </w:r>
      <w:proofErr w:type="spellStart"/>
      <w:r w:rsidR="00B35E3C" w:rsidRPr="00B35E3C">
        <w:t>proteinuric</w:t>
      </w:r>
      <w:proofErr w:type="spellEnd"/>
      <w:r w:rsidR="00B35E3C" w:rsidRPr="00B35E3C">
        <w:t xml:space="preserve"> chronic kidney disease (CKD Stage 2,3 or 4)</w:t>
      </w:r>
      <w:r w:rsidR="00B35E3C">
        <w:t>.”</w:t>
      </w:r>
      <w:r w:rsidR="004F0366">
        <w:t xml:space="preserve"> </w:t>
      </w:r>
      <w:r w:rsidR="00633AC3" w:rsidRPr="00484131">
        <w:t xml:space="preserve">The submission stated that with the revised indication, the consideration of clinical characteristics defining </w:t>
      </w:r>
      <w:proofErr w:type="spellStart"/>
      <w:r w:rsidR="00633AC3" w:rsidRPr="00484131">
        <w:t>proteinuric</w:t>
      </w:r>
      <w:proofErr w:type="spellEnd"/>
      <w:r w:rsidR="00633AC3" w:rsidRPr="00484131">
        <w:t xml:space="preserve"> CKD is left to clinical judgement, which brings the indication in line with current clinical practice and evidence of treatment effect in CKD. Additionally, the submission noted the approved CKD indications for dapagliflozin and empagliflozin cover a similar and broad patient population, and in so far as the empagliflozin indication includes the expanded eligible PBS population, so too does the dapagliflozin indication.</w:t>
      </w:r>
    </w:p>
    <w:p w14:paraId="260B7262" w14:textId="63FD5976" w:rsidR="002F6D72" w:rsidRPr="0098262F" w:rsidRDefault="002F6D72" w:rsidP="002F6D72">
      <w:pPr>
        <w:pStyle w:val="COMH1-numbered"/>
      </w:pPr>
      <w:bookmarkStart w:id="2" w:name="_Ref206486110"/>
      <w:r>
        <w:t>Requested listing</w:t>
      </w:r>
      <w:bookmarkEnd w:id="2"/>
    </w:p>
    <w:p w14:paraId="656DE357" w14:textId="7F0EA4F6" w:rsidR="002F6D72" w:rsidRDefault="009215A2" w:rsidP="002F6D72">
      <w:pPr>
        <w:pStyle w:val="COMexecsummnumbered"/>
      </w:pPr>
      <w:r>
        <w:t xml:space="preserve">The submission requested alignment of dapagliflozin restrictions for CKD with empagliflozin restrictions. The Secretariat proposes the following </w:t>
      </w:r>
      <w:r w:rsidR="00C83FE2">
        <w:t xml:space="preserve">restriction </w:t>
      </w:r>
      <w:r>
        <w:t>f</w:t>
      </w:r>
      <w:r w:rsidR="002E469E">
        <w:t>low</w:t>
      </w:r>
      <w:r>
        <w:t>-</w:t>
      </w:r>
      <w:proofErr w:type="spellStart"/>
      <w:r w:rsidR="002E469E">
        <w:t>ons</w:t>
      </w:r>
      <w:proofErr w:type="spellEnd"/>
      <w:r w:rsidR="00C83FE2">
        <w:t xml:space="preserve"> to apply to the listing for dapagliflozin:</w:t>
      </w:r>
    </w:p>
    <w:p w14:paraId="7883075D" w14:textId="37CA5FA1" w:rsidR="002E469E" w:rsidRDefault="002E469E" w:rsidP="00793738">
      <w:pPr>
        <w:pStyle w:val="TableHeading"/>
        <w:spacing w:before="120" w:after="0"/>
      </w:pPr>
      <w:r>
        <w:lastRenderedPageBreak/>
        <w:t>Flow-</w:t>
      </w:r>
      <w:proofErr w:type="spellStart"/>
      <w:r>
        <w:t>ons</w:t>
      </w:r>
      <w:proofErr w:type="spellEnd"/>
      <w:r>
        <w:t xml:space="preserve"> to dapagliflozin (13106T)</w:t>
      </w:r>
    </w:p>
    <w:tbl>
      <w:tblPr>
        <w:tblpPr w:leftFromText="180" w:rightFromText="180" w:vertAnchor="text"/>
        <w:tblW w:w="5000" w:type="pct"/>
        <w:tblCellMar>
          <w:left w:w="0" w:type="dxa"/>
          <w:right w:w="0" w:type="dxa"/>
        </w:tblCellMar>
        <w:tblLook w:val="04A0" w:firstRow="1" w:lastRow="0" w:firstColumn="1" w:lastColumn="0" w:noHBand="0" w:noVBand="1"/>
        <w:tblCaption w:val="Flow-ons to dapagliflozin (13106T)"/>
      </w:tblPr>
      <w:tblGrid>
        <w:gridCol w:w="1271"/>
        <w:gridCol w:w="7736"/>
      </w:tblGrid>
      <w:tr w:rsidR="00793738" w14:paraId="7C9A81E9" w14:textId="77777777" w:rsidTr="00A06134">
        <w:trPr>
          <w:cantSplit/>
          <w:trHeight w:val="20"/>
          <w:tblHeader/>
        </w:trPr>
        <w:tc>
          <w:tcPr>
            <w:tcW w:w="1272" w:type="dxa"/>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307A5BD9" w14:textId="77777777" w:rsidR="00793738" w:rsidRDefault="00793738" w:rsidP="00793738">
            <w:pPr>
              <w:pStyle w:val="Tabletext0"/>
              <w:keepNext/>
            </w:pPr>
          </w:p>
        </w:tc>
        <w:tc>
          <w:tcPr>
            <w:tcW w:w="7745"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14:paraId="6122516C" w14:textId="77777777" w:rsidR="00793738" w:rsidRDefault="00793738" w:rsidP="00793738">
            <w:pPr>
              <w:pStyle w:val="Tabletext0"/>
              <w:keepNext/>
            </w:pPr>
            <w:r>
              <w:t>Clinical criteria:</w:t>
            </w:r>
          </w:p>
        </w:tc>
      </w:tr>
      <w:tr w:rsidR="00793738" w14:paraId="6A1883CF" w14:textId="77777777" w:rsidTr="00A06134">
        <w:trPr>
          <w:cantSplit/>
          <w:trHeight w:val="20"/>
          <w:tblHeader/>
        </w:trPr>
        <w:tc>
          <w:tcPr>
            <w:tcW w:w="1272"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4E76B424" w14:textId="77777777" w:rsidR="00793738" w:rsidRPr="00D0214C" w:rsidRDefault="00793738" w:rsidP="00793738">
            <w:pPr>
              <w:pStyle w:val="Tabletext0"/>
              <w:keepNext/>
              <w:jc w:val="center"/>
            </w:pPr>
            <w:r w:rsidRPr="00D0214C">
              <w:t>29341</w:t>
            </w:r>
          </w:p>
          <w:p w14:paraId="3AE9A384" w14:textId="77777777" w:rsidR="00793738" w:rsidRDefault="00793738" w:rsidP="00793738">
            <w:pPr>
              <w:pStyle w:val="Tabletext0"/>
              <w:keepNext/>
              <w:jc w:val="center"/>
            </w:pPr>
            <w:r>
              <w:t>New</w:t>
            </w:r>
          </w:p>
        </w:tc>
        <w:tc>
          <w:tcPr>
            <w:tcW w:w="7745"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3032E202" w14:textId="77777777" w:rsidR="00793738" w:rsidRPr="007906DD" w:rsidRDefault="00793738" w:rsidP="00793738">
            <w:pPr>
              <w:pStyle w:val="Tabletext0"/>
              <w:keepNext/>
            </w:pPr>
            <w:r w:rsidRPr="007906DD">
              <w:t>Patient must have an estimated glomerular filtration rate of between 25 to 75 mL/min/1.73 m</w:t>
            </w:r>
            <w:r w:rsidRPr="007906DD">
              <w:rPr>
                <w:vertAlign w:val="superscript"/>
              </w:rPr>
              <w:t>2</w:t>
            </w:r>
            <w:r w:rsidRPr="007906DD">
              <w:t xml:space="preserve"> inclusive prior to initiating treatment with this drug</w:t>
            </w:r>
          </w:p>
          <w:p w14:paraId="2B154583" w14:textId="77777777" w:rsidR="00793738" w:rsidRPr="00D0214C" w:rsidRDefault="00793738" w:rsidP="00793738">
            <w:pPr>
              <w:pStyle w:val="Tabletext0"/>
              <w:keepNext/>
            </w:pPr>
            <w:r w:rsidRPr="00D0214C">
              <w:t>Patient must have an estimated glomerular filtration rate of between 20 to 90 mL/min/1.73 m</w:t>
            </w:r>
            <w:r w:rsidRPr="00D0214C">
              <w:rPr>
                <w:vertAlign w:val="superscript"/>
              </w:rPr>
              <w:t>2</w:t>
            </w:r>
            <w:r w:rsidRPr="00D0214C">
              <w:t xml:space="preserve"> inclusive prior to initiating treatment with this drug</w:t>
            </w:r>
          </w:p>
        </w:tc>
      </w:tr>
      <w:tr w:rsidR="00793738" w14:paraId="01BFE26F" w14:textId="77777777" w:rsidTr="00A06134">
        <w:trPr>
          <w:cantSplit/>
          <w:trHeight w:val="20"/>
          <w:tblHeader/>
        </w:trPr>
        <w:tc>
          <w:tcPr>
            <w:tcW w:w="1272"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49859881" w14:textId="77777777" w:rsidR="00793738" w:rsidRDefault="00793738" w:rsidP="00793738">
            <w:pPr>
              <w:pStyle w:val="Tabletext0"/>
              <w:keepNext/>
            </w:pPr>
          </w:p>
        </w:tc>
        <w:tc>
          <w:tcPr>
            <w:tcW w:w="7745"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53873D1" w14:textId="77777777" w:rsidR="00793738" w:rsidRDefault="00793738" w:rsidP="00793738">
            <w:pPr>
              <w:pStyle w:val="Tabletext0"/>
              <w:keepNext/>
              <w:rPr>
                <w:rFonts w:eastAsiaTheme="minorHAnsi" w:cs="Aptos"/>
                <w14:ligatures w14:val="standardContextual"/>
              </w:rPr>
            </w:pPr>
            <w:r>
              <w:t>AND</w:t>
            </w:r>
          </w:p>
        </w:tc>
      </w:tr>
      <w:tr w:rsidR="00793738" w14:paraId="4D25E43A" w14:textId="77777777" w:rsidTr="00A06134">
        <w:trPr>
          <w:cantSplit/>
          <w:trHeight w:val="20"/>
          <w:tblHeader/>
        </w:trPr>
        <w:tc>
          <w:tcPr>
            <w:tcW w:w="1272"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395E7712" w14:textId="77777777" w:rsidR="00793738" w:rsidRDefault="00793738" w:rsidP="00793738">
            <w:pPr>
              <w:pStyle w:val="Tabletext0"/>
              <w:keepNext/>
            </w:pPr>
          </w:p>
        </w:tc>
        <w:tc>
          <w:tcPr>
            <w:tcW w:w="7745"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780AB099" w14:textId="77777777" w:rsidR="00793738" w:rsidRDefault="00793738" w:rsidP="00793738">
            <w:pPr>
              <w:pStyle w:val="Tabletext0"/>
              <w:keepNext/>
            </w:pPr>
            <w:r>
              <w:t>Clinical criteria:</w:t>
            </w:r>
          </w:p>
        </w:tc>
      </w:tr>
      <w:tr w:rsidR="00793738" w14:paraId="38E33569" w14:textId="77777777" w:rsidTr="00A06134">
        <w:trPr>
          <w:cantSplit/>
          <w:trHeight w:val="20"/>
          <w:tblHeader/>
        </w:trPr>
        <w:tc>
          <w:tcPr>
            <w:tcW w:w="1272"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center"/>
            <w:hideMark/>
          </w:tcPr>
          <w:p w14:paraId="41B16EA5" w14:textId="77777777" w:rsidR="00793738" w:rsidRPr="00D0214C" w:rsidRDefault="00793738" w:rsidP="00793738">
            <w:pPr>
              <w:pStyle w:val="Tabletext0"/>
              <w:keepNext/>
              <w:jc w:val="center"/>
            </w:pPr>
            <w:r w:rsidRPr="00D0214C">
              <w:t>29343</w:t>
            </w:r>
          </w:p>
          <w:p w14:paraId="4EEE8728" w14:textId="77777777" w:rsidR="00793738" w:rsidRDefault="00793738" w:rsidP="00793738">
            <w:pPr>
              <w:pStyle w:val="Tabletext0"/>
              <w:keepNext/>
              <w:jc w:val="center"/>
            </w:pPr>
            <w:r>
              <w:t>New</w:t>
            </w:r>
          </w:p>
        </w:tc>
        <w:tc>
          <w:tcPr>
            <w:tcW w:w="7745" w:type="dxa"/>
            <w:tcBorders>
              <w:top w:val="nil"/>
              <w:left w:val="nil"/>
              <w:bottom w:val="single" w:sz="8" w:space="0" w:color="auto"/>
              <w:right w:val="single" w:sz="8" w:space="0" w:color="auto"/>
            </w:tcBorders>
            <w:tcMar>
              <w:top w:w="15" w:type="dxa"/>
              <w:left w:w="108" w:type="dxa"/>
              <w:bottom w:w="15" w:type="dxa"/>
              <w:right w:w="108" w:type="dxa"/>
            </w:tcMar>
            <w:vAlign w:val="center"/>
            <w:hideMark/>
          </w:tcPr>
          <w:p w14:paraId="2FC3F3DB" w14:textId="77777777" w:rsidR="00793738" w:rsidRPr="007906DD" w:rsidRDefault="00793738" w:rsidP="00793738">
            <w:pPr>
              <w:pStyle w:val="Tabletext0"/>
              <w:keepNext/>
            </w:pPr>
            <w:r w:rsidRPr="007906DD">
              <w:t>Patient must have a urinary albumin to creatinine ratio of between 200 to 5000 mg/g (22.6-565 mg/mmol) inclusive prior to initiating treatment with this drug</w:t>
            </w:r>
          </w:p>
          <w:p w14:paraId="0B6EE8BC" w14:textId="77777777" w:rsidR="00793738" w:rsidRPr="00D0214C" w:rsidRDefault="00793738" w:rsidP="00793738">
            <w:pPr>
              <w:pStyle w:val="Tabletext0"/>
              <w:keepNext/>
            </w:pPr>
            <w:r w:rsidRPr="00D0214C">
              <w:t>Patient must have a urinary albumin to creatinine ratio of at least 200 mg/g (22.6mg/mmol) if the patient has an estimated glomerular filtration rate of between 45 to 90 mL/min/1.73 m</w:t>
            </w:r>
            <w:r w:rsidRPr="00D0214C">
              <w:rPr>
                <w:vertAlign w:val="superscript"/>
              </w:rPr>
              <w:t xml:space="preserve">2 </w:t>
            </w:r>
            <w:r w:rsidRPr="00D0214C">
              <w:t>inclusive prior to initiating treatment with this drug</w:t>
            </w:r>
          </w:p>
        </w:tc>
      </w:tr>
    </w:tbl>
    <w:p w14:paraId="0108D5C4" w14:textId="77777777" w:rsidR="0084251B" w:rsidRPr="0098262F" w:rsidRDefault="0084251B" w:rsidP="00793738">
      <w:pPr>
        <w:pStyle w:val="COMH1-numbered"/>
      </w:pPr>
      <w:r w:rsidRPr="0098262F">
        <w:t>Consideration of the evidence</w:t>
      </w:r>
    </w:p>
    <w:p w14:paraId="7076E90A" w14:textId="77777777" w:rsidR="00F2259C" w:rsidRPr="006E1229" w:rsidRDefault="00F2259C" w:rsidP="007D418E">
      <w:pPr>
        <w:pStyle w:val="COMH2-non-numbered"/>
      </w:pPr>
      <w:r w:rsidRPr="006E1229">
        <w:t>Sponsor hearing</w:t>
      </w:r>
    </w:p>
    <w:p w14:paraId="5855B62F" w14:textId="00E549B1" w:rsidR="00F2259C" w:rsidRPr="002E2449" w:rsidRDefault="00F2259C" w:rsidP="002E2449">
      <w:pPr>
        <w:pStyle w:val="COMexecsummnumbered"/>
        <w:rPr>
          <w:rFonts w:cs="Arial"/>
        </w:rPr>
      </w:pPr>
      <w:r w:rsidRPr="00F91542">
        <w:rPr>
          <w:rFonts w:ascii="Calibri" w:hAnsi="Calibri" w:cs="Calibri"/>
          <w:bCs/>
          <w:snapToGrid w:val="0"/>
        </w:rPr>
        <w:t>There was no hearing for this item.</w:t>
      </w:r>
    </w:p>
    <w:p w14:paraId="4AFD7E51" w14:textId="6F6E46E7" w:rsidR="0084251B" w:rsidRPr="006E1229" w:rsidRDefault="00527B3D" w:rsidP="0084251B">
      <w:pPr>
        <w:pStyle w:val="COMH2-non-numbered"/>
      </w:pPr>
      <w:r>
        <w:t>Consumer comments</w:t>
      </w:r>
    </w:p>
    <w:p w14:paraId="384A73B4" w14:textId="7CB33EB4" w:rsidR="00A144DE" w:rsidRPr="001070F6" w:rsidRDefault="00AD67FE" w:rsidP="0084251B">
      <w:pPr>
        <w:pStyle w:val="COMexecsummnumbered"/>
        <w:rPr>
          <w:bCs/>
          <w:i/>
          <w:iCs/>
          <w:szCs w:val="24"/>
        </w:rPr>
      </w:pPr>
      <w:r w:rsidRPr="001070F6">
        <w:rPr>
          <w:bCs/>
          <w:iCs/>
          <w:szCs w:val="24"/>
        </w:rPr>
        <w:t xml:space="preserve">Following the publication of the empagliflozin </w:t>
      </w:r>
      <w:r w:rsidR="0041010D" w:rsidRPr="001070F6">
        <w:rPr>
          <w:bCs/>
          <w:iCs/>
          <w:szCs w:val="24"/>
        </w:rPr>
        <w:t xml:space="preserve">PBAC </w:t>
      </w:r>
      <w:r w:rsidRPr="001070F6">
        <w:rPr>
          <w:bCs/>
          <w:iCs/>
          <w:szCs w:val="24"/>
        </w:rPr>
        <w:t xml:space="preserve">recommendation, </w:t>
      </w:r>
      <w:r w:rsidR="0007185A" w:rsidRPr="001070F6">
        <w:rPr>
          <w:bCs/>
          <w:iCs/>
          <w:szCs w:val="24"/>
        </w:rPr>
        <w:t xml:space="preserve">the PBAC received </w:t>
      </w:r>
      <w:r w:rsidR="000D072D">
        <w:rPr>
          <w:bCs/>
          <w:iCs/>
          <w:szCs w:val="24"/>
        </w:rPr>
        <w:t>inputs</w:t>
      </w:r>
      <w:r w:rsidR="002C79B5" w:rsidRPr="001070F6">
        <w:rPr>
          <w:bCs/>
          <w:iCs/>
          <w:szCs w:val="24"/>
        </w:rPr>
        <w:t xml:space="preserve"> from </w:t>
      </w:r>
      <w:r w:rsidR="008E4A48" w:rsidRPr="001070F6">
        <w:rPr>
          <w:bCs/>
          <w:iCs/>
          <w:szCs w:val="24"/>
        </w:rPr>
        <w:t xml:space="preserve">health professionals (2) and </w:t>
      </w:r>
      <w:r w:rsidR="002C79B5" w:rsidRPr="001070F6">
        <w:rPr>
          <w:bCs/>
          <w:iCs/>
          <w:szCs w:val="24"/>
        </w:rPr>
        <w:t>organisations</w:t>
      </w:r>
      <w:r w:rsidR="003467B9">
        <w:rPr>
          <w:bCs/>
          <w:iCs/>
          <w:color w:val="FF0000"/>
          <w:szCs w:val="24"/>
        </w:rPr>
        <w:t xml:space="preserve"> </w:t>
      </w:r>
      <w:r w:rsidR="008E4A48" w:rsidRPr="001070F6">
        <w:rPr>
          <w:bCs/>
          <w:iCs/>
          <w:szCs w:val="24"/>
        </w:rPr>
        <w:t>(1) t</w:t>
      </w:r>
      <w:r w:rsidR="002C79B5" w:rsidRPr="001070F6">
        <w:rPr>
          <w:bCs/>
          <w:iCs/>
          <w:szCs w:val="24"/>
        </w:rPr>
        <w:t xml:space="preserve">o support the </w:t>
      </w:r>
      <w:r w:rsidR="00B97571" w:rsidRPr="001070F6">
        <w:rPr>
          <w:bCs/>
          <w:iCs/>
          <w:szCs w:val="24"/>
        </w:rPr>
        <w:t xml:space="preserve">expansion </w:t>
      </w:r>
      <w:r w:rsidR="00910550" w:rsidRPr="001070F6">
        <w:rPr>
          <w:bCs/>
          <w:iCs/>
          <w:szCs w:val="24"/>
        </w:rPr>
        <w:t xml:space="preserve">of </w:t>
      </w:r>
      <w:r w:rsidR="002C79B5" w:rsidRPr="001070F6">
        <w:rPr>
          <w:bCs/>
          <w:iCs/>
          <w:szCs w:val="24"/>
        </w:rPr>
        <w:t xml:space="preserve">dapagliflozin </w:t>
      </w:r>
      <w:r w:rsidR="00B97571" w:rsidRPr="001070F6">
        <w:rPr>
          <w:bCs/>
          <w:iCs/>
          <w:szCs w:val="24"/>
        </w:rPr>
        <w:t xml:space="preserve">restrictions to align with </w:t>
      </w:r>
      <w:r w:rsidR="00C71B02" w:rsidRPr="001070F6">
        <w:rPr>
          <w:bCs/>
          <w:iCs/>
          <w:szCs w:val="24"/>
        </w:rPr>
        <w:t xml:space="preserve">CKD populations </w:t>
      </w:r>
      <w:r w:rsidR="00AA154D" w:rsidRPr="001070F6">
        <w:rPr>
          <w:bCs/>
          <w:iCs/>
          <w:szCs w:val="24"/>
        </w:rPr>
        <w:t xml:space="preserve">recommended for </w:t>
      </w:r>
      <w:r w:rsidR="002C79B5" w:rsidRPr="001070F6">
        <w:rPr>
          <w:bCs/>
          <w:iCs/>
          <w:szCs w:val="24"/>
        </w:rPr>
        <w:t xml:space="preserve">empagliflozin </w:t>
      </w:r>
      <w:r w:rsidR="00552E9B" w:rsidRPr="001070F6">
        <w:rPr>
          <w:bCs/>
          <w:iCs/>
          <w:szCs w:val="24"/>
        </w:rPr>
        <w:t xml:space="preserve">at the </w:t>
      </w:r>
      <w:r w:rsidR="002C79B5" w:rsidRPr="001070F6">
        <w:rPr>
          <w:bCs/>
          <w:iCs/>
          <w:szCs w:val="24"/>
        </w:rPr>
        <w:t xml:space="preserve">May 2025 PBAC </w:t>
      </w:r>
      <w:r w:rsidR="00552E9B" w:rsidRPr="001070F6">
        <w:rPr>
          <w:bCs/>
          <w:iCs/>
          <w:szCs w:val="24"/>
        </w:rPr>
        <w:t>meeting</w:t>
      </w:r>
      <w:r w:rsidR="002C79B5" w:rsidRPr="001070F6">
        <w:rPr>
          <w:bCs/>
          <w:iCs/>
          <w:szCs w:val="24"/>
        </w:rPr>
        <w:t>.</w:t>
      </w:r>
    </w:p>
    <w:p w14:paraId="3A947FBF" w14:textId="0AA543CF" w:rsidR="005D7F33" w:rsidRPr="001070F6" w:rsidRDefault="005D7F33" w:rsidP="005D7F33">
      <w:pPr>
        <w:pStyle w:val="COMexecsummnumbered"/>
        <w:rPr>
          <w:bCs/>
          <w:iCs/>
          <w:szCs w:val="24"/>
        </w:rPr>
      </w:pPr>
      <w:r w:rsidRPr="001070F6">
        <w:rPr>
          <w:bCs/>
          <w:iCs/>
          <w:szCs w:val="24"/>
        </w:rPr>
        <w:t xml:space="preserve">The PBAC noted the Australian Diabetes Society stated the clinical evidence to date supports a class effect for renal benefit in a range of patients with CKD. </w:t>
      </w:r>
      <w:r w:rsidR="00DE28DE" w:rsidRPr="001070F6">
        <w:rPr>
          <w:bCs/>
          <w:iCs/>
          <w:szCs w:val="24"/>
        </w:rPr>
        <w:t>The input stated b</w:t>
      </w:r>
      <w:r w:rsidRPr="001070F6">
        <w:rPr>
          <w:bCs/>
          <w:iCs/>
          <w:szCs w:val="24"/>
        </w:rPr>
        <w:t xml:space="preserve">oth </w:t>
      </w:r>
      <w:r w:rsidR="00A660F4">
        <w:rPr>
          <w:bCs/>
          <w:iCs/>
          <w:szCs w:val="24"/>
        </w:rPr>
        <w:t xml:space="preserve">the </w:t>
      </w:r>
      <w:r w:rsidRPr="001070F6">
        <w:rPr>
          <w:bCs/>
          <w:iCs/>
          <w:szCs w:val="24"/>
        </w:rPr>
        <w:t xml:space="preserve">DAPA-CKD and EMPA-KIDNEY </w:t>
      </w:r>
      <w:r w:rsidR="00DE28DE" w:rsidRPr="001070F6">
        <w:rPr>
          <w:bCs/>
          <w:iCs/>
          <w:szCs w:val="24"/>
        </w:rPr>
        <w:t xml:space="preserve">clinical trials </w:t>
      </w:r>
      <w:r w:rsidRPr="001070F6">
        <w:rPr>
          <w:bCs/>
          <w:iCs/>
          <w:szCs w:val="24"/>
        </w:rPr>
        <w:t xml:space="preserve">showed significant improvements in renal outcomes in people </w:t>
      </w:r>
      <w:r w:rsidRPr="001070F6">
        <w:rPr>
          <w:szCs w:val="24"/>
        </w:rPr>
        <w:t xml:space="preserve">with and without type 2 diabetes. These studies are supported by </w:t>
      </w:r>
      <w:r w:rsidR="004D241E">
        <w:rPr>
          <w:szCs w:val="24"/>
        </w:rPr>
        <w:t>real world evidence (</w:t>
      </w:r>
      <w:r w:rsidR="009B014B">
        <w:rPr>
          <w:szCs w:val="24"/>
        </w:rPr>
        <w:t>RWE</w:t>
      </w:r>
      <w:r w:rsidR="004D241E">
        <w:rPr>
          <w:szCs w:val="24"/>
        </w:rPr>
        <w:t>)</w:t>
      </w:r>
      <w:r w:rsidRPr="001070F6">
        <w:rPr>
          <w:szCs w:val="24"/>
        </w:rPr>
        <w:t xml:space="preserve"> and international </w:t>
      </w:r>
      <w:r w:rsidR="00C6516C">
        <w:rPr>
          <w:szCs w:val="24"/>
        </w:rPr>
        <w:t>clinical</w:t>
      </w:r>
      <w:r w:rsidR="003D4FD3">
        <w:rPr>
          <w:szCs w:val="24"/>
        </w:rPr>
        <w:t xml:space="preserve"> practice </w:t>
      </w:r>
      <w:r w:rsidRPr="001070F6">
        <w:rPr>
          <w:szCs w:val="24"/>
        </w:rPr>
        <w:t xml:space="preserve">guidelines which consider both dapagliflozin and empagliflozin to be equally effective. </w:t>
      </w:r>
      <w:r w:rsidRPr="001070F6">
        <w:rPr>
          <w:bCs/>
          <w:iCs/>
          <w:szCs w:val="24"/>
        </w:rPr>
        <w:t>Additionally, the input</w:t>
      </w:r>
      <w:r w:rsidR="008D2718">
        <w:rPr>
          <w:bCs/>
          <w:iCs/>
          <w:szCs w:val="24"/>
        </w:rPr>
        <w:t xml:space="preserve"> from health professional</w:t>
      </w:r>
      <w:r w:rsidRPr="001070F6">
        <w:rPr>
          <w:bCs/>
          <w:iCs/>
          <w:szCs w:val="24"/>
        </w:rPr>
        <w:t xml:space="preserve">s noted the design and patient population in </w:t>
      </w:r>
      <w:r w:rsidR="007A7B24" w:rsidRPr="001070F6">
        <w:rPr>
          <w:bCs/>
          <w:iCs/>
          <w:szCs w:val="24"/>
        </w:rPr>
        <w:t xml:space="preserve">the </w:t>
      </w:r>
      <w:proofErr w:type="gramStart"/>
      <w:r w:rsidR="007A7B24" w:rsidRPr="001070F6">
        <w:rPr>
          <w:bCs/>
          <w:iCs/>
          <w:szCs w:val="24"/>
        </w:rPr>
        <w:t xml:space="preserve">aforementioned </w:t>
      </w:r>
      <w:r w:rsidRPr="001070F6">
        <w:rPr>
          <w:bCs/>
          <w:iCs/>
          <w:szCs w:val="24"/>
        </w:rPr>
        <w:t>trials</w:t>
      </w:r>
      <w:proofErr w:type="gramEnd"/>
      <w:r w:rsidRPr="001070F6">
        <w:rPr>
          <w:bCs/>
          <w:iCs/>
          <w:szCs w:val="24"/>
        </w:rPr>
        <w:t xml:space="preserve"> were somewhat different, however, there is now compelling evidence and recommendations from clinical trials, real-world data and international guidelines, that the benefits of SGLT2 inhibitors extend to a broader CKD population. </w:t>
      </w:r>
      <w:r w:rsidR="001A5479">
        <w:rPr>
          <w:bCs/>
          <w:iCs/>
          <w:szCs w:val="24"/>
        </w:rPr>
        <w:t xml:space="preserve">The </w:t>
      </w:r>
      <w:r w:rsidR="004D241E">
        <w:rPr>
          <w:bCs/>
          <w:iCs/>
          <w:szCs w:val="24"/>
        </w:rPr>
        <w:t>RWE</w:t>
      </w:r>
      <w:r w:rsidRPr="001070F6">
        <w:rPr>
          <w:bCs/>
          <w:iCs/>
          <w:szCs w:val="24"/>
        </w:rPr>
        <w:t xml:space="preserve"> </w:t>
      </w:r>
      <w:r w:rsidR="004D241E">
        <w:rPr>
          <w:bCs/>
          <w:iCs/>
          <w:szCs w:val="24"/>
        </w:rPr>
        <w:t xml:space="preserve">for dapagliflozin </w:t>
      </w:r>
      <w:r w:rsidR="004D241E" w:rsidRPr="001070F6">
        <w:rPr>
          <w:bCs/>
          <w:iCs/>
          <w:szCs w:val="24"/>
        </w:rPr>
        <w:t>include</w:t>
      </w:r>
      <w:r w:rsidR="004D241E">
        <w:rPr>
          <w:bCs/>
          <w:iCs/>
          <w:szCs w:val="24"/>
        </w:rPr>
        <w:t>d</w:t>
      </w:r>
      <w:r w:rsidR="004D241E" w:rsidRPr="001070F6">
        <w:rPr>
          <w:bCs/>
          <w:iCs/>
          <w:szCs w:val="24"/>
        </w:rPr>
        <w:t xml:space="preserve"> </w:t>
      </w:r>
      <w:r w:rsidRPr="001070F6">
        <w:rPr>
          <w:bCs/>
          <w:iCs/>
          <w:szCs w:val="24"/>
        </w:rPr>
        <w:t xml:space="preserve">the recent OPTIMISE-CKD study which </w:t>
      </w:r>
      <w:r w:rsidR="004D241E" w:rsidRPr="001070F6">
        <w:rPr>
          <w:bCs/>
          <w:iCs/>
          <w:szCs w:val="24"/>
        </w:rPr>
        <w:t>indicate</w:t>
      </w:r>
      <w:r w:rsidR="004D241E">
        <w:rPr>
          <w:bCs/>
          <w:iCs/>
          <w:szCs w:val="24"/>
        </w:rPr>
        <w:t>d</w:t>
      </w:r>
      <w:r w:rsidR="004D241E" w:rsidRPr="001070F6">
        <w:rPr>
          <w:bCs/>
          <w:iCs/>
          <w:szCs w:val="24"/>
        </w:rPr>
        <w:t xml:space="preserve"> </w:t>
      </w:r>
      <w:r w:rsidRPr="001070F6">
        <w:rPr>
          <w:bCs/>
          <w:iCs/>
          <w:szCs w:val="24"/>
        </w:rPr>
        <w:t xml:space="preserve">efficacy of dapagliflozin in individuals with CKD, including those with lower eGFR and varying </w:t>
      </w:r>
      <w:r w:rsidRPr="002B420B">
        <w:rPr>
          <w:bCs/>
          <w:iCs/>
          <w:szCs w:val="24"/>
        </w:rPr>
        <w:t>UACR (Svensson et al. 2024).</w:t>
      </w:r>
      <w:r w:rsidRPr="001070F6">
        <w:rPr>
          <w:bCs/>
          <w:iCs/>
          <w:szCs w:val="24"/>
        </w:rPr>
        <w:t xml:space="preserve"> </w:t>
      </w:r>
      <w:r w:rsidR="00E02C56" w:rsidRPr="001070F6">
        <w:rPr>
          <w:bCs/>
          <w:iCs/>
          <w:szCs w:val="24"/>
        </w:rPr>
        <w:t xml:space="preserve">Overall, the inputs </w:t>
      </w:r>
      <w:r w:rsidR="00F53CA6" w:rsidRPr="001070F6">
        <w:rPr>
          <w:bCs/>
          <w:iCs/>
          <w:szCs w:val="24"/>
        </w:rPr>
        <w:t>suggest</w:t>
      </w:r>
      <w:r w:rsidR="004D241E">
        <w:rPr>
          <w:bCs/>
          <w:iCs/>
          <w:szCs w:val="24"/>
        </w:rPr>
        <w:t>ed</w:t>
      </w:r>
      <w:r w:rsidR="00F53CA6" w:rsidRPr="001070F6">
        <w:rPr>
          <w:bCs/>
          <w:iCs/>
          <w:szCs w:val="24"/>
        </w:rPr>
        <w:t xml:space="preserve"> t</w:t>
      </w:r>
      <w:r w:rsidRPr="001070F6">
        <w:rPr>
          <w:bCs/>
          <w:iCs/>
          <w:szCs w:val="24"/>
        </w:rPr>
        <w:t>here is a clear rationale for equitable access across this class of medications.</w:t>
      </w:r>
    </w:p>
    <w:p w14:paraId="550FC2B7" w14:textId="1214504A" w:rsidR="00111247" w:rsidRPr="001070F6" w:rsidRDefault="00111247" w:rsidP="00111247">
      <w:pPr>
        <w:pStyle w:val="COMexecsummnumbered"/>
        <w:rPr>
          <w:bCs/>
          <w:i/>
          <w:iCs/>
          <w:szCs w:val="24"/>
        </w:rPr>
      </w:pPr>
      <w:r w:rsidRPr="001070F6">
        <w:rPr>
          <w:bCs/>
          <w:iCs/>
          <w:szCs w:val="24"/>
        </w:rPr>
        <w:t xml:space="preserve">The inputs </w:t>
      </w:r>
      <w:r w:rsidR="002B4DEA">
        <w:rPr>
          <w:bCs/>
          <w:iCs/>
          <w:szCs w:val="24"/>
        </w:rPr>
        <w:t>considered</w:t>
      </w:r>
      <w:r w:rsidR="002B4DEA" w:rsidRPr="001070F6">
        <w:rPr>
          <w:bCs/>
          <w:iCs/>
          <w:szCs w:val="24"/>
        </w:rPr>
        <w:t xml:space="preserve"> </w:t>
      </w:r>
      <w:r w:rsidRPr="001070F6">
        <w:rPr>
          <w:bCs/>
          <w:iCs/>
          <w:szCs w:val="24"/>
        </w:rPr>
        <w:t xml:space="preserve">the divergence in PBS criteria between dapagliflozin and empagliflozin is problematic and risks introducing unnecessary complexity and barriers to patient care. </w:t>
      </w:r>
      <w:r w:rsidR="00765D2E" w:rsidRPr="001070F6">
        <w:rPr>
          <w:bCs/>
          <w:iCs/>
          <w:szCs w:val="24"/>
        </w:rPr>
        <w:t>Additionally, t</w:t>
      </w:r>
      <w:r w:rsidR="00346A8B" w:rsidRPr="001070F6">
        <w:rPr>
          <w:szCs w:val="24"/>
        </w:rPr>
        <w:t>he nephrology community encourage health care practitioners to apply guideline-based therapy consistently and equitably.</w:t>
      </w:r>
    </w:p>
    <w:p w14:paraId="1579ABD2" w14:textId="0B334530" w:rsidR="0069756E" w:rsidRDefault="00643C8F" w:rsidP="00114731">
      <w:pPr>
        <w:pStyle w:val="COMexecsummnumbered"/>
        <w:rPr>
          <w:szCs w:val="24"/>
        </w:rPr>
      </w:pPr>
      <w:r w:rsidRPr="001070F6">
        <w:rPr>
          <w:szCs w:val="24"/>
        </w:rPr>
        <w:lastRenderedPageBreak/>
        <w:t xml:space="preserve">Overall, the inputs </w:t>
      </w:r>
      <w:r w:rsidR="002C641D" w:rsidRPr="001070F6">
        <w:rPr>
          <w:szCs w:val="24"/>
        </w:rPr>
        <w:t>support</w:t>
      </w:r>
      <w:r w:rsidR="004D241E">
        <w:rPr>
          <w:szCs w:val="24"/>
        </w:rPr>
        <w:t>ed</w:t>
      </w:r>
      <w:r w:rsidR="002C641D" w:rsidRPr="001070F6">
        <w:rPr>
          <w:szCs w:val="24"/>
        </w:rPr>
        <w:t xml:space="preserve"> the alignment of dapagliflozin with empagliflozin to improve </w:t>
      </w:r>
      <w:r w:rsidR="0069756E" w:rsidRPr="001070F6">
        <w:rPr>
          <w:szCs w:val="24"/>
        </w:rPr>
        <w:t xml:space="preserve">quality use of </w:t>
      </w:r>
      <w:r w:rsidR="00D34050" w:rsidRPr="001070F6">
        <w:rPr>
          <w:bCs/>
          <w:iCs/>
          <w:szCs w:val="24"/>
        </w:rPr>
        <w:t xml:space="preserve">SGLT2i </w:t>
      </w:r>
      <w:r w:rsidR="0069756E" w:rsidRPr="001070F6">
        <w:rPr>
          <w:szCs w:val="24"/>
        </w:rPr>
        <w:t>medicines, equitable access for patients, and clinical clarity for prescribers</w:t>
      </w:r>
      <w:r w:rsidR="002C641D" w:rsidRPr="001070F6">
        <w:rPr>
          <w:szCs w:val="24"/>
        </w:rPr>
        <w:t xml:space="preserve">. </w:t>
      </w:r>
    </w:p>
    <w:p w14:paraId="25F6B702" w14:textId="5C8E3817" w:rsidR="0084251B" w:rsidRDefault="0084251B" w:rsidP="0084251B">
      <w:pPr>
        <w:pStyle w:val="COMH2-non-numbered"/>
        <w:rPr>
          <w:bCs/>
          <w:i w:val="0"/>
          <w:iCs/>
        </w:rPr>
      </w:pPr>
      <w:r w:rsidRPr="001233BE">
        <w:t>C</w:t>
      </w:r>
      <w:r>
        <w:t>linical evidence</w:t>
      </w:r>
    </w:p>
    <w:p w14:paraId="174AD416" w14:textId="638C9763" w:rsidR="0018711B" w:rsidRDefault="0018711B" w:rsidP="0018711B">
      <w:pPr>
        <w:pStyle w:val="COMexecsummnumbered"/>
        <w:rPr>
          <w:bCs/>
          <w:snapToGrid w:val="0"/>
        </w:rPr>
      </w:pPr>
      <w:r w:rsidRPr="0018711B">
        <w:rPr>
          <w:bCs/>
          <w:snapToGrid w:val="0"/>
        </w:rPr>
        <w:t xml:space="preserve">The submission noted </w:t>
      </w:r>
      <w:r w:rsidR="004D241E">
        <w:rPr>
          <w:bCs/>
          <w:snapToGrid w:val="0"/>
        </w:rPr>
        <w:t xml:space="preserve">that, </w:t>
      </w:r>
      <w:r w:rsidR="004D241E" w:rsidRPr="0018711B">
        <w:rPr>
          <w:bCs/>
          <w:snapToGrid w:val="0"/>
        </w:rPr>
        <w:t>in the expanded CKD population</w:t>
      </w:r>
      <w:r w:rsidR="004D241E">
        <w:rPr>
          <w:bCs/>
          <w:snapToGrid w:val="0"/>
        </w:rPr>
        <w:t>,</w:t>
      </w:r>
      <w:r w:rsidR="004D241E" w:rsidRPr="0018711B">
        <w:rPr>
          <w:bCs/>
          <w:snapToGrid w:val="0"/>
        </w:rPr>
        <w:t xml:space="preserve"> </w:t>
      </w:r>
      <w:r w:rsidRPr="0018711B">
        <w:rPr>
          <w:bCs/>
          <w:snapToGrid w:val="0"/>
        </w:rPr>
        <w:t xml:space="preserve">there is no available comparative evidence from a direct head-to-head RCT </w:t>
      </w:r>
      <w:r w:rsidR="009B6D08">
        <w:rPr>
          <w:bCs/>
          <w:snapToGrid w:val="0"/>
        </w:rPr>
        <w:t xml:space="preserve">of dapagliflozin and empagliflozin </w:t>
      </w:r>
      <w:r w:rsidRPr="0018711B">
        <w:rPr>
          <w:bCs/>
          <w:snapToGrid w:val="0"/>
        </w:rPr>
        <w:t>and such a trial is unlikely to be conducted in the future.</w:t>
      </w:r>
    </w:p>
    <w:p w14:paraId="3805F383" w14:textId="133F878C" w:rsidR="000E6FDE" w:rsidRPr="00060F14" w:rsidRDefault="000E6FDE" w:rsidP="000E6FDE">
      <w:pPr>
        <w:pStyle w:val="COMexecsummnumbered"/>
        <w:rPr>
          <w:color w:val="0066FF"/>
        </w:rPr>
      </w:pPr>
      <w:r w:rsidRPr="0043368A">
        <w:t xml:space="preserve">Details of the </w:t>
      </w:r>
      <w:r>
        <w:t>evidence</w:t>
      </w:r>
      <w:r w:rsidRPr="0043368A">
        <w:t xml:space="preserve"> presented in the submission </w:t>
      </w:r>
      <w:r w:rsidRPr="0098262F">
        <w:t>are provided in</w:t>
      </w:r>
      <w:r>
        <w:t xml:space="preserve"> </w:t>
      </w:r>
      <w:r>
        <w:fldChar w:fldCharType="begin"/>
      </w:r>
      <w:r>
        <w:instrText xml:space="preserve"> REF _Ref208065543 \h </w:instrText>
      </w:r>
      <w:r>
        <w:fldChar w:fldCharType="separate"/>
      </w:r>
      <w:r w:rsidR="00EB7AD5" w:rsidRPr="000E6FDE">
        <w:t xml:space="preserve">Table </w:t>
      </w:r>
      <w:r w:rsidR="00EB7AD5">
        <w:rPr>
          <w:noProof/>
        </w:rPr>
        <w:t>1</w:t>
      </w:r>
      <w:r>
        <w:fldChar w:fldCharType="end"/>
      </w:r>
      <w:r w:rsidRPr="0098262F">
        <w:t>.</w:t>
      </w:r>
    </w:p>
    <w:p w14:paraId="575BC2BA" w14:textId="4654D42F" w:rsidR="000E6FDE" w:rsidRPr="000E6FDE" w:rsidRDefault="000E6FDE" w:rsidP="000E6FDE">
      <w:pPr>
        <w:pStyle w:val="TableFigureHeading"/>
        <w:rPr>
          <w:rStyle w:val="CommentReference"/>
          <w:sz w:val="20"/>
          <w:szCs w:val="24"/>
        </w:rPr>
      </w:pPr>
      <w:bookmarkStart w:id="3" w:name="_Ref208065543"/>
      <w:r w:rsidRPr="000E6FDE">
        <w:t xml:space="preserve">Table </w:t>
      </w:r>
      <w:r w:rsidRPr="000E6FDE">
        <w:fldChar w:fldCharType="begin"/>
      </w:r>
      <w:r w:rsidRPr="000E6FDE">
        <w:instrText xml:space="preserve"> SEQ Table \* ARABIC </w:instrText>
      </w:r>
      <w:r w:rsidRPr="000E6FDE">
        <w:fldChar w:fldCharType="separate"/>
      </w:r>
      <w:r w:rsidR="00EB7AD5">
        <w:rPr>
          <w:noProof/>
        </w:rPr>
        <w:t>1</w:t>
      </w:r>
      <w:r w:rsidRPr="000E6FDE">
        <w:fldChar w:fldCharType="end"/>
      </w:r>
      <w:bookmarkEnd w:id="3"/>
      <w:r w:rsidRPr="000E6FDE">
        <w:t>:</w:t>
      </w:r>
      <w:r w:rsidRPr="000E6FDE">
        <w:rPr>
          <w:rStyle w:val="CommentReference"/>
          <w:sz w:val="20"/>
          <w:szCs w:val="24"/>
        </w:rPr>
        <w:t xml:space="preserve"> </w:t>
      </w:r>
      <w:r w:rsidR="00924CAF">
        <w:rPr>
          <w:rStyle w:val="CommentReference"/>
          <w:sz w:val="20"/>
          <w:szCs w:val="24"/>
        </w:rPr>
        <w:t xml:space="preserve">Evidence </w:t>
      </w:r>
      <w:r w:rsidRPr="000E6FDE">
        <w:rPr>
          <w:rStyle w:val="CommentReference"/>
          <w:sz w:val="20"/>
          <w:szCs w:val="24"/>
        </w:rPr>
        <w:t>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Evidence presented in the submission"/>
      </w:tblPr>
      <w:tblGrid>
        <w:gridCol w:w="1434"/>
        <w:gridCol w:w="5055"/>
        <w:gridCol w:w="2528"/>
      </w:tblGrid>
      <w:tr w:rsidR="000E6FDE" w:rsidRPr="0098262F" w14:paraId="4CBE89D9" w14:textId="77777777" w:rsidTr="00EB6E41">
        <w:trPr>
          <w:cantSplit/>
          <w:tblHeader/>
        </w:trPr>
        <w:tc>
          <w:tcPr>
            <w:tcW w:w="795" w:type="pct"/>
            <w:vAlign w:val="center"/>
          </w:tcPr>
          <w:p w14:paraId="764A471D" w14:textId="25938D1D" w:rsidR="000E6FDE" w:rsidRPr="0098262F" w:rsidRDefault="00F56365" w:rsidP="00EB6E41">
            <w:pPr>
              <w:pStyle w:val="In-tableHeading"/>
            </w:pPr>
            <w:r>
              <w:t>Source</w:t>
            </w:r>
          </w:p>
        </w:tc>
        <w:tc>
          <w:tcPr>
            <w:tcW w:w="2803" w:type="pct"/>
            <w:vAlign w:val="center"/>
          </w:tcPr>
          <w:p w14:paraId="1A9712CE" w14:textId="77777777" w:rsidR="000E6FDE" w:rsidRPr="0098262F" w:rsidRDefault="000E6FDE" w:rsidP="00EB6E41">
            <w:pPr>
              <w:pStyle w:val="In-tableHeading"/>
            </w:pPr>
            <w:r w:rsidRPr="0098262F">
              <w:t>Protocol title/ Publication title</w:t>
            </w:r>
          </w:p>
        </w:tc>
        <w:tc>
          <w:tcPr>
            <w:tcW w:w="1402" w:type="pct"/>
            <w:vAlign w:val="center"/>
          </w:tcPr>
          <w:p w14:paraId="30B938A3" w14:textId="77777777" w:rsidR="000E6FDE" w:rsidRPr="0098262F" w:rsidRDefault="000E6FDE" w:rsidP="00EB6E41">
            <w:pPr>
              <w:pStyle w:val="In-tableHeading"/>
            </w:pPr>
            <w:r w:rsidRPr="0098262F">
              <w:t>Publication citation</w:t>
            </w:r>
          </w:p>
        </w:tc>
      </w:tr>
      <w:tr w:rsidR="007E32AC" w:rsidRPr="0098262F" w14:paraId="41C07342" w14:textId="77777777" w:rsidTr="00EB6E41">
        <w:trPr>
          <w:cantSplit/>
          <w:tblHeader/>
        </w:trPr>
        <w:tc>
          <w:tcPr>
            <w:tcW w:w="795" w:type="pct"/>
            <w:vAlign w:val="center"/>
          </w:tcPr>
          <w:p w14:paraId="06A747F3" w14:textId="3D456446" w:rsidR="007E32AC" w:rsidRPr="007E32AC" w:rsidRDefault="007E32AC" w:rsidP="007E32AC">
            <w:pPr>
              <w:pStyle w:val="In-tableHeading"/>
              <w:rPr>
                <w:b w:val="0"/>
                <w:bCs/>
              </w:rPr>
            </w:pPr>
            <w:r w:rsidRPr="007E32AC">
              <w:rPr>
                <w:b w:val="0"/>
                <w:bCs/>
              </w:rPr>
              <w:t>Lin et al.</w:t>
            </w:r>
          </w:p>
        </w:tc>
        <w:tc>
          <w:tcPr>
            <w:tcW w:w="2803" w:type="pct"/>
            <w:vAlign w:val="center"/>
          </w:tcPr>
          <w:p w14:paraId="5A7FF531" w14:textId="2A24AE31" w:rsidR="007E32AC" w:rsidRPr="007E32AC" w:rsidRDefault="007E32AC" w:rsidP="007E32AC">
            <w:pPr>
              <w:pStyle w:val="In-tableHeading"/>
              <w:rPr>
                <w:b w:val="0"/>
                <w:bCs/>
              </w:rPr>
            </w:pPr>
            <w:r w:rsidRPr="007E32AC">
              <w:rPr>
                <w:b w:val="0"/>
                <w:bCs/>
              </w:rPr>
              <w:t>Renal and glucose-lowering effects of empagliflozin and dapagliflozin in different chronic kidney disease stages</w:t>
            </w:r>
          </w:p>
        </w:tc>
        <w:tc>
          <w:tcPr>
            <w:tcW w:w="1402" w:type="pct"/>
            <w:vAlign w:val="center"/>
          </w:tcPr>
          <w:p w14:paraId="79EE3050" w14:textId="5C3B62B1" w:rsidR="007E32AC" w:rsidRPr="007E32AC" w:rsidRDefault="007E32AC" w:rsidP="007E32AC">
            <w:pPr>
              <w:pStyle w:val="In-tableHeading"/>
              <w:rPr>
                <w:b w:val="0"/>
                <w:bCs/>
              </w:rPr>
            </w:pPr>
            <w:r w:rsidRPr="007E32AC">
              <w:rPr>
                <w:b w:val="0"/>
                <w:bCs/>
                <w:i/>
                <w:iCs/>
              </w:rPr>
              <w:t>Front Endocrinol (Lausanne)</w:t>
            </w:r>
            <w:r w:rsidRPr="007E32AC">
              <w:rPr>
                <w:b w:val="0"/>
                <w:bCs/>
              </w:rPr>
              <w:t xml:space="preserve"> 2019, 10: 820</w:t>
            </w:r>
          </w:p>
        </w:tc>
      </w:tr>
      <w:tr w:rsidR="007E32AC" w:rsidRPr="0098262F" w14:paraId="166EC9DC" w14:textId="77777777" w:rsidTr="00EB6E41">
        <w:trPr>
          <w:cantSplit/>
          <w:tblHeader/>
        </w:trPr>
        <w:tc>
          <w:tcPr>
            <w:tcW w:w="795" w:type="pct"/>
            <w:vAlign w:val="center"/>
          </w:tcPr>
          <w:p w14:paraId="7A737CEF" w14:textId="6D4618C8" w:rsidR="007E32AC" w:rsidRPr="007E32AC" w:rsidRDefault="007E32AC" w:rsidP="007E32AC">
            <w:pPr>
              <w:pStyle w:val="In-tableHeading"/>
              <w:rPr>
                <w:b w:val="0"/>
                <w:bCs/>
              </w:rPr>
            </w:pPr>
            <w:r w:rsidRPr="007E32AC">
              <w:rPr>
                <w:b w:val="0"/>
                <w:bCs/>
              </w:rPr>
              <w:t>Nakhleh et al.</w:t>
            </w:r>
          </w:p>
        </w:tc>
        <w:tc>
          <w:tcPr>
            <w:tcW w:w="2803" w:type="pct"/>
            <w:vAlign w:val="center"/>
          </w:tcPr>
          <w:p w14:paraId="3B8CCCD8" w14:textId="3531B3DB" w:rsidR="007E32AC" w:rsidRPr="007E32AC" w:rsidRDefault="007E32AC" w:rsidP="007E32AC">
            <w:pPr>
              <w:pStyle w:val="In-tableHeading"/>
              <w:rPr>
                <w:b w:val="0"/>
                <w:bCs/>
              </w:rPr>
            </w:pPr>
            <w:r w:rsidRPr="007E32AC">
              <w:rPr>
                <w:b w:val="0"/>
                <w:bCs/>
              </w:rPr>
              <w:t>Real-world effectiveness of sodium-glucose cotransporter-2 inhibitors on the progression of chronic kidney disease in patients without diabetes, with and without albuminuria</w:t>
            </w:r>
          </w:p>
        </w:tc>
        <w:tc>
          <w:tcPr>
            <w:tcW w:w="1402" w:type="pct"/>
            <w:vAlign w:val="center"/>
          </w:tcPr>
          <w:p w14:paraId="239B433A" w14:textId="4ECDB47F" w:rsidR="007E32AC" w:rsidRPr="007E32AC" w:rsidRDefault="007E32AC" w:rsidP="007E32AC">
            <w:pPr>
              <w:pStyle w:val="In-tableHeading"/>
              <w:rPr>
                <w:b w:val="0"/>
                <w:bCs/>
              </w:rPr>
            </w:pPr>
            <w:r w:rsidRPr="007E32AC">
              <w:rPr>
                <w:b w:val="0"/>
                <w:bCs/>
                <w:i/>
                <w:iCs/>
              </w:rPr>
              <w:t>Diabetes, Obesity and Metabolism</w:t>
            </w:r>
            <w:r w:rsidRPr="007E32AC">
              <w:rPr>
                <w:b w:val="0"/>
                <w:bCs/>
              </w:rPr>
              <w:t xml:space="preserve"> 2024, 26(8): 3058-3067</w:t>
            </w:r>
          </w:p>
        </w:tc>
      </w:tr>
      <w:tr w:rsidR="007E32AC" w:rsidRPr="0098262F" w14:paraId="0F97C835" w14:textId="77777777" w:rsidTr="00EB6E41">
        <w:trPr>
          <w:cantSplit/>
          <w:tblHeader/>
        </w:trPr>
        <w:tc>
          <w:tcPr>
            <w:tcW w:w="795" w:type="pct"/>
            <w:vAlign w:val="center"/>
          </w:tcPr>
          <w:p w14:paraId="47B16F79" w14:textId="4492411B" w:rsidR="007E32AC" w:rsidRPr="007E32AC" w:rsidRDefault="007E32AC" w:rsidP="007E32AC">
            <w:pPr>
              <w:pStyle w:val="In-tableHeading"/>
              <w:rPr>
                <w:b w:val="0"/>
                <w:bCs/>
              </w:rPr>
            </w:pPr>
            <w:r w:rsidRPr="007E32AC">
              <w:rPr>
                <w:b w:val="0"/>
                <w:bCs/>
              </w:rPr>
              <w:t>Svensson et al.</w:t>
            </w:r>
          </w:p>
        </w:tc>
        <w:tc>
          <w:tcPr>
            <w:tcW w:w="2803" w:type="pct"/>
            <w:vAlign w:val="center"/>
          </w:tcPr>
          <w:p w14:paraId="7D0E50BE" w14:textId="39D881E6" w:rsidR="007E32AC" w:rsidRPr="007E32AC" w:rsidRDefault="007E32AC" w:rsidP="007E32AC">
            <w:pPr>
              <w:pStyle w:val="In-tableHeading"/>
              <w:rPr>
                <w:b w:val="0"/>
                <w:bCs/>
              </w:rPr>
            </w:pPr>
            <w:r w:rsidRPr="007E32AC">
              <w:rPr>
                <w:b w:val="0"/>
                <w:bCs/>
              </w:rPr>
              <w:t>Dapagliflozin treatment of patients with chronic kidney disease without diabetes across different albuminuria levels (OPTIMISE-CKD)</w:t>
            </w:r>
          </w:p>
        </w:tc>
        <w:tc>
          <w:tcPr>
            <w:tcW w:w="1402" w:type="pct"/>
            <w:vAlign w:val="center"/>
          </w:tcPr>
          <w:p w14:paraId="293C766C" w14:textId="41FC2D45" w:rsidR="007E32AC" w:rsidRPr="007E32AC" w:rsidRDefault="007E32AC" w:rsidP="007E32AC">
            <w:pPr>
              <w:pStyle w:val="In-tableHeading"/>
              <w:rPr>
                <w:b w:val="0"/>
                <w:bCs/>
              </w:rPr>
            </w:pPr>
            <w:r w:rsidRPr="007E32AC">
              <w:rPr>
                <w:b w:val="0"/>
                <w:bCs/>
                <w:i/>
                <w:iCs/>
              </w:rPr>
              <w:t>Clinical Kidney Journal</w:t>
            </w:r>
            <w:r w:rsidRPr="007E32AC">
              <w:rPr>
                <w:b w:val="0"/>
                <w:bCs/>
              </w:rPr>
              <w:t xml:space="preserve"> 2024, 17(8)</w:t>
            </w:r>
          </w:p>
        </w:tc>
      </w:tr>
      <w:tr w:rsidR="007E32AC" w:rsidRPr="0098262F" w14:paraId="48FAC9A6" w14:textId="77777777" w:rsidTr="00EB6E41">
        <w:trPr>
          <w:cantSplit/>
          <w:tblHeader/>
        </w:trPr>
        <w:tc>
          <w:tcPr>
            <w:tcW w:w="795" w:type="pct"/>
            <w:vAlign w:val="center"/>
          </w:tcPr>
          <w:p w14:paraId="0255FE30" w14:textId="02618C4F" w:rsidR="007E32AC" w:rsidRPr="007E32AC" w:rsidRDefault="007E32AC" w:rsidP="007E32AC">
            <w:pPr>
              <w:pStyle w:val="In-tableHeading"/>
              <w:rPr>
                <w:b w:val="0"/>
                <w:bCs/>
              </w:rPr>
            </w:pPr>
            <w:r w:rsidRPr="007E32AC">
              <w:rPr>
                <w:b w:val="0"/>
                <w:bCs/>
              </w:rPr>
              <w:t>Tangri et al.</w:t>
            </w:r>
          </w:p>
        </w:tc>
        <w:tc>
          <w:tcPr>
            <w:tcW w:w="2803" w:type="pct"/>
            <w:vAlign w:val="center"/>
          </w:tcPr>
          <w:p w14:paraId="38052824" w14:textId="735056D0" w:rsidR="007E32AC" w:rsidRPr="007E32AC" w:rsidRDefault="007E32AC" w:rsidP="007E32AC">
            <w:pPr>
              <w:pStyle w:val="In-tableHeading"/>
              <w:rPr>
                <w:b w:val="0"/>
                <w:bCs/>
              </w:rPr>
            </w:pPr>
            <w:r w:rsidRPr="007E32AC">
              <w:rPr>
                <w:b w:val="0"/>
                <w:bCs/>
              </w:rPr>
              <w:t>Dapagliflozin utilization in chronic kidney disease and its real-world effectiveness among patients with lower levels of albuminuria in the USA and Japan</w:t>
            </w:r>
          </w:p>
        </w:tc>
        <w:tc>
          <w:tcPr>
            <w:tcW w:w="1402" w:type="pct"/>
            <w:vAlign w:val="center"/>
          </w:tcPr>
          <w:p w14:paraId="38E1C978" w14:textId="6C1F5888" w:rsidR="007E32AC" w:rsidRPr="007E32AC" w:rsidRDefault="007E32AC" w:rsidP="007E32AC">
            <w:pPr>
              <w:pStyle w:val="In-tableHeading"/>
              <w:rPr>
                <w:b w:val="0"/>
                <w:bCs/>
              </w:rPr>
            </w:pPr>
            <w:r w:rsidRPr="007E32AC">
              <w:rPr>
                <w:b w:val="0"/>
                <w:bCs/>
                <w:i/>
                <w:iCs/>
              </w:rPr>
              <w:t>Adv Ther</w:t>
            </w:r>
            <w:r w:rsidRPr="007E32AC">
              <w:rPr>
                <w:b w:val="0"/>
                <w:bCs/>
              </w:rPr>
              <w:t xml:space="preserve"> 2024, 41(3): 1151-1167</w:t>
            </w:r>
          </w:p>
        </w:tc>
      </w:tr>
    </w:tbl>
    <w:p w14:paraId="2C466FAF" w14:textId="77911B99" w:rsidR="00737CE3" w:rsidRPr="0018711B" w:rsidRDefault="00A74497" w:rsidP="007C15AB">
      <w:pPr>
        <w:pStyle w:val="COMexecsummnumbered"/>
        <w:spacing w:after="0"/>
        <w:rPr>
          <w:bCs/>
          <w:snapToGrid w:val="0"/>
        </w:rPr>
      </w:pPr>
      <w:r w:rsidRPr="0018711B">
        <w:rPr>
          <w:bCs/>
          <w:snapToGrid w:val="0"/>
        </w:rPr>
        <w:t xml:space="preserve">The submission was based on </w:t>
      </w:r>
      <w:r w:rsidR="00A8553C" w:rsidRPr="0018711B">
        <w:rPr>
          <w:bCs/>
          <w:snapToGrid w:val="0"/>
        </w:rPr>
        <w:t xml:space="preserve">observational studies </w:t>
      </w:r>
      <w:r w:rsidR="009A3459" w:rsidRPr="0018711B">
        <w:rPr>
          <w:bCs/>
          <w:snapToGrid w:val="0"/>
        </w:rPr>
        <w:t xml:space="preserve">to support </w:t>
      </w:r>
      <w:r w:rsidR="00CF4418" w:rsidRPr="0018711B">
        <w:rPr>
          <w:bCs/>
          <w:snapToGrid w:val="0"/>
        </w:rPr>
        <w:t xml:space="preserve">the request to align </w:t>
      </w:r>
      <w:r w:rsidR="003E1E4D" w:rsidRPr="0018711B">
        <w:rPr>
          <w:bCs/>
          <w:snapToGrid w:val="0"/>
        </w:rPr>
        <w:t xml:space="preserve">the </w:t>
      </w:r>
      <w:r w:rsidR="004B52B0" w:rsidRPr="0018711B">
        <w:rPr>
          <w:bCs/>
          <w:snapToGrid w:val="0"/>
        </w:rPr>
        <w:t>dapagliflozin and empagliflozin restrictions</w:t>
      </w:r>
      <w:r w:rsidR="00737CE3" w:rsidRPr="0018711B">
        <w:rPr>
          <w:bCs/>
          <w:snapToGrid w:val="0"/>
        </w:rPr>
        <w:t>. This included</w:t>
      </w:r>
      <w:r w:rsidR="0018711B" w:rsidRPr="0018711B">
        <w:rPr>
          <w:bCs/>
          <w:snapToGrid w:val="0"/>
        </w:rPr>
        <w:t xml:space="preserve"> non-comparative data on dapagliflozin</w:t>
      </w:r>
      <w:r w:rsidR="00342093">
        <w:rPr>
          <w:bCs/>
          <w:snapToGrid w:val="0"/>
        </w:rPr>
        <w:t>:</w:t>
      </w:r>
    </w:p>
    <w:p w14:paraId="23415CD1" w14:textId="2DC07033" w:rsidR="00737CE3" w:rsidRPr="0018711B" w:rsidRDefault="00737CE3" w:rsidP="005A3443">
      <w:pPr>
        <w:pStyle w:val="COMexecsummnumbered"/>
        <w:numPr>
          <w:ilvl w:val="0"/>
          <w:numId w:val="39"/>
        </w:numPr>
        <w:ind w:left="1134"/>
        <w:rPr>
          <w:bCs/>
          <w:snapToGrid w:val="0"/>
        </w:rPr>
      </w:pPr>
      <w:r w:rsidRPr="00737CE3">
        <w:rPr>
          <w:bCs/>
          <w:snapToGrid w:val="0"/>
        </w:rPr>
        <w:t xml:space="preserve">2 observational studies </w:t>
      </w:r>
      <w:r w:rsidR="00FE4A65">
        <w:t>(</w:t>
      </w:r>
      <w:r w:rsidR="00FE4A65" w:rsidRPr="003E212B">
        <w:t xml:space="preserve">Svensson 2024; </w:t>
      </w:r>
      <w:r w:rsidR="00FE4A65" w:rsidRPr="007F142E">
        <w:t>Tangri 2024</w:t>
      </w:r>
      <w:r w:rsidR="00FE4A65">
        <w:t xml:space="preserve">) </w:t>
      </w:r>
      <w:r w:rsidR="00342093">
        <w:rPr>
          <w:bCs/>
          <w:snapToGrid w:val="0"/>
        </w:rPr>
        <w:t xml:space="preserve">of dapagliflozin </w:t>
      </w:r>
      <w:r w:rsidR="00342093" w:rsidRPr="0018711B">
        <w:rPr>
          <w:bCs/>
          <w:snapToGrid w:val="0"/>
        </w:rPr>
        <w:t xml:space="preserve">use in clinical practice </w:t>
      </w:r>
      <w:r w:rsidR="00B92509" w:rsidRPr="00737CE3">
        <w:rPr>
          <w:bCs/>
          <w:snapToGrid w:val="0"/>
        </w:rPr>
        <w:t>from</w:t>
      </w:r>
      <w:r w:rsidR="00B92509">
        <w:rPr>
          <w:bCs/>
          <w:snapToGrid w:val="0"/>
        </w:rPr>
        <w:t xml:space="preserve"> </w:t>
      </w:r>
      <w:r w:rsidR="00B92509">
        <w:t>OPTIMISE-CKD</w:t>
      </w:r>
      <w:r w:rsidR="00F54063">
        <w:t>,</w:t>
      </w:r>
      <w:r w:rsidR="00B92509" w:rsidRPr="0018711B">
        <w:rPr>
          <w:bCs/>
          <w:snapToGrid w:val="0"/>
        </w:rPr>
        <w:t xml:space="preserve"> </w:t>
      </w:r>
      <w:r w:rsidR="00F54063" w:rsidRPr="000920B2">
        <w:t>a large multinational, observational, longitudinal cohort study</w:t>
      </w:r>
      <w:r w:rsidR="00F54063">
        <w:t xml:space="preserve"> </w:t>
      </w:r>
      <w:r w:rsidR="00F54063">
        <w:rPr>
          <w:bCs/>
          <w:snapToGrid w:val="0"/>
        </w:rPr>
        <w:t>in</w:t>
      </w:r>
      <w:r w:rsidR="00342093" w:rsidRPr="0018711B">
        <w:rPr>
          <w:bCs/>
          <w:snapToGrid w:val="0"/>
        </w:rPr>
        <w:t xml:space="preserve"> patients with CKD, with and without </w:t>
      </w:r>
      <w:r w:rsidR="004D241E">
        <w:rPr>
          <w:bCs/>
          <w:snapToGrid w:val="0"/>
        </w:rPr>
        <w:t>type 2 diabetes</w:t>
      </w:r>
      <w:r w:rsidR="00342093" w:rsidRPr="0018711B">
        <w:rPr>
          <w:bCs/>
          <w:snapToGrid w:val="0"/>
        </w:rPr>
        <w:t xml:space="preserve"> across the </w:t>
      </w:r>
      <w:r w:rsidR="004D241E">
        <w:rPr>
          <w:bCs/>
          <w:snapToGrid w:val="0"/>
        </w:rPr>
        <w:t>U</w:t>
      </w:r>
      <w:r w:rsidR="00342093" w:rsidRPr="0018711B">
        <w:rPr>
          <w:bCs/>
          <w:snapToGrid w:val="0"/>
        </w:rPr>
        <w:t>ACR spectrum</w:t>
      </w:r>
      <w:r>
        <w:t xml:space="preserve"> </w:t>
      </w:r>
      <w:r w:rsidR="00FE4A65">
        <w:t xml:space="preserve">(from </w:t>
      </w:r>
      <w:r w:rsidR="00935472">
        <w:t xml:space="preserve">30 </w:t>
      </w:r>
      <w:r w:rsidR="004D241E" w:rsidRPr="00E95C78">
        <w:t>April</w:t>
      </w:r>
      <w:r w:rsidR="004D241E">
        <w:t xml:space="preserve"> </w:t>
      </w:r>
      <w:r w:rsidR="004D241E" w:rsidRPr="00E95C78">
        <w:t>2021</w:t>
      </w:r>
      <w:r w:rsidR="00935472">
        <w:t xml:space="preserve"> to</w:t>
      </w:r>
      <w:r w:rsidR="00FE4A65" w:rsidRPr="00E95C78">
        <w:t xml:space="preserve"> </w:t>
      </w:r>
      <w:r w:rsidR="00935472">
        <w:t xml:space="preserve">31 </w:t>
      </w:r>
      <w:r w:rsidR="00FE4A65">
        <w:t>March 2023)</w:t>
      </w:r>
      <w:r>
        <w:t>.</w:t>
      </w:r>
    </w:p>
    <w:p w14:paraId="20E05BB0" w14:textId="6B6CDA48" w:rsidR="0018711B" w:rsidRDefault="0018711B" w:rsidP="005A3443">
      <w:pPr>
        <w:pStyle w:val="COMexecsummnumbered"/>
        <w:numPr>
          <w:ilvl w:val="1"/>
          <w:numId w:val="39"/>
        </w:numPr>
        <w:ind w:left="1560"/>
        <w:rPr>
          <w:bCs/>
          <w:snapToGrid w:val="0"/>
        </w:rPr>
      </w:pPr>
      <w:r w:rsidRPr="0018711B">
        <w:rPr>
          <w:bCs/>
          <w:snapToGrid w:val="0"/>
        </w:rPr>
        <w:fldChar w:fldCharType="begin"/>
      </w:r>
      <w:r w:rsidRPr="0018711B">
        <w:rPr>
          <w:bCs/>
          <w:snapToGrid w:val="0"/>
        </w:rPr>
        <w:instrText xml:space="preserve"> ADDIN EN.CITE &lt;EndNote&gt;&lt;Cite AuthorYear="1"&gt;&lt;Author&gt;Svensson&lt;/Author&gt;&lt;Year&gt;2024&lt;/Year&gt;&lt;RecNum&gt;5&lt;/RecNum&gt;&lt;DisplayText&gt;Svensson (2024)&lt;/DisplayText&gt;&lt;record&gt;&lt;rec-number&gt;5&lt;/rec-number&gt;&lt;foreign-keys&gt;&lt;key app="EN" db-id="frfevxseksar5zeaaxc55xdfw55s5dv0tda9" timestamp="1749793840"&gt;5&lt;/key&gt;&lt;/foreign-keys&gt;&lt;ref-type name="Journal Article"&gt;17&lt;/ref-type&gt;&lt;contributors&gt;&lt;authors&gt;&lt;author&gt;Svensson, Maria K&lt;/author&gt;&lt;author&gt;Tangri, Navdeep&lt;/author&gt;&lt;author&gt;Bodegård, Johan&lt;/author&gt;&lt;author&gt;Adamsson Eryd, Samuel&lt;/author&gt;&lt;author&gt;Thuresson, Marcus&lt;/author&gt;&lt;author&gt;Sofue, Tadashi&lt;/author&gt;&lt;/authors&gt;&lt;/contributors&gt;&lt;titles&gt;&lt;title&gt;Dapagliflozin treatment of patients with chronic kidney disease without diabetes across different albuminuria levels (OPTIMISE-CKD)&lt;/title&gt;&lt;secondary-title&gt;Clinical Kidney Journal&lt;/secondary-title&gt;&lt;/titles&gt;&lt;periodical&gt;&lt;full-title&gt;Clinical Kidney Journal&lt;/full-title&gt;&lt;/periodical&gt;&lt;volume&gt;17&lt;/volume&gt;&lt;number&gt;8&lt;/number&gt;&lt;dates&gt;&lt;year&gt;2024&lt;/year&gt;&lt;/dates&gt;&lt;isbn&gt;2048-8505&lt;/isbn&gt;&lt;urls&gt;&lt;related-urls&gt;&lt;url&gt;https://doi.org/10.1093/ckj/sfae100&lt;/url&gt;&lt;/related-urls&gt;&lt;/urls&gt;&lt;custom1&gt;sfae100&lt;/custom1&gt;&lt;electronic-resource-num&gt;10.1093/ckj/sfae100&lt;/electronic-resource-num&gt;&lt;access-date&gt;6/13/2025&lt;/access-date&gt;&lt;/record&gt;&lt;/Cite&gt;&lt;/EndNote&gt;</w:instrText>
      </w:r>
      <w:r w:rsidRPr="0018711B">
        <w:rPr>
          <w:bCs/>
          <w:snapToGrid w:val="0"/>
        </w:rPr>
        <w:fldChar w:fldCharType="separate"/>
      </w:r>
      <w:r w:rsidRPr="0018711B">
        <w:rPr>
          <w:bCs/>
          <w:snapToGrid w:val="0"/>
        </w:rPr>
        <w:t>Svensson (2024)</w:t>
      </w:r>
      <w:r w:rsidRPr="0018711B">
        <w:rPr>
          <w:bCs/>
          <w:snapToGrid w:val="0"/>
        </w:rPr>
        <w:fldChar w:fldCharType="end"/>
      </w:r>
      <w:r w:rsidRPr="0018711B">
        <w:rPr>
          <w:bCs/>
          <w:snapToGrid w:val="0"/>
        </w:rPr>
        <w:t xml:space="preserve"> </w:t>
      </w:r>
      <w:r w:rsidR="0026633C">
        <w:rPr>
          <w:bCs/>
          <w:snapToGrid w:val="0"/>
        </w:rPr>
        <w:t>(</w:t>
      </w:r>
      <w:r w:rsidR="00AB0453" w:rsidRPr="0037614C">
        <w:rPr>
          <w:lang w:eastAsia="zh-CN"/>
        </w:rPr>
        <w:t>n=1,480</w:t>
      </w:r>
      <w:r w:rsidR="00AB0453">
        <w:rPr>
          <w:lang w:eastAsia="zh-CN"/>
        </w:rPr>
        <w:t xml:space="preserve">) </w:t>
      </w:r>
      <w:r w:rsidRPr="0018711B">
        <w:rPr>
          <w:bCs/>
          <w:snapToGrid w:val="0"/>
        </w:rPr>
        <w:t xml:space="preserve">included data from the US to compare estimated eGFR trajectories, eGFR slopes and cardiorenal and all-cause mortality outcomes of dapagliflozin 10 mg in patients with CKD without T2D, with low (30-200 mg/g) versus high (≥200 mg/g) </w:t>
      </w:r>
      <w:proofErr w:type="spellStart"/>
      <w:r w:rsidRPr="0018711B">
        <w:rPr>
          <w:bCs/>
          <w:snapToGrid w:val="0"/>
        </w:rPr>
        <w:t>uACR</w:t>
      </w:r>
      <w:proofErr w:type="spellEnd"/>
      <w:r w:rsidR="008349CC">
        <w:rPr>
          <w:bCs/>
          <w:snapToGrid w:val="0"/>
        </w:rPr>
        <w:t>.</w:t>
      </w:r>
    </w:p>
    <w:p w14:paraId="19EABD0D" w14:textId="441CFD8F" w:rsidR="0018711B" w:rsidRPr="00737CE3" w:rsidRDefault="0018711B" w:rsidP="005A3443">
      <w:pPr>
        <w:pStyle w:val="COMexecsummnumbered"/>
        <w:numPr>
          <w:ilvl w:val="1"/>
          <w:numId w:val="39"/>
        </w:numPr>
        <w:ind w:left="1560"/>
        <w:rPr>
          <w:bCs/>
          <w:snapToGrid w:val="0"/>
        </w:rPr>
      </w:pPr>
      <w:r w:rsidRPr="0018711B">
        <w:rPr>
          <w:bCs/>
          <w:snapToGrid w:val="0"/>
        </w:rPr>
        <w:fldChar w:fldCharType="begin">
          <w:fldData xml:space="preserve">PEVuZE5vdGU+PENpdGUgQXV0aG9yWWVhcj0iMSI+PEF1dGhvcj5UYW5ncmk8L0F1dGhvcj48WWVh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</w:fldData>
        </w:fldChar>
      </w:r>
      <w:r w:rsidRPr="0018711B">
        <w:rPr>
          <w:bCs/>
          <w:snapToGrid w:val="0"/>
        </w:rPr>
        <w:instrText xml:space="preserve"> ADDIN EN.CITE </w:instrText>
      </w:r>
      <w:r w:rsidRPr="0018711B">
        <w:rPr>
          <w:bCs/>
          <w:snapToGrid w:val="0"/>
        </w:rPr>
        <w:fldChar w:fldCharType="begin">
          <w:fldData xml:space="preserve">PEVuZE5vdGU+PENpdGUgQXV0aG9yWWVhcj0iMSI+PEF1dGhvcj5UYW5ncmk8L0F1dGhvcj48WWVh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</w:fldData>
        </w:fldChar>
      </w:r>
      <w:r w:rsidRPr="0018711B">
        <w:rPr>
          <w:bCs/>
          <w:snapToGrid w:val="0"/>
        </w:rPr>
        <w:instrText xml:space="preserve"> ADDIN EN.CITE.DATA </w:instrText>
      </w:r>
      <w:r w:rsidRPr="0018711B">
        <w:rPr>
          <w:bCs/>
          <w:snapToGrid w:val="0"/>
        </w:rPr>
      </w:r>
      <w:r w:rsidRPr="0018711B">
        <w:rPr>
          <w:bCs/>
          <w:snapToGrid w:val="0"/>
        </w:rPr>
        <w:fldChar w:fldCharType="end"/>
      </w:r>
      <w:r w:rsidRPr="0018711B">
        <w:rPr>
          <w:bCs/>
          <w:snapToGrid w:val="0"/>
        </w:rPr>
      </w:r>
      <w:r w:rsidRPr="0018711B">
        <w:rPr>
          <w:bCs/>
          <w:snapToGrid w:val="0"/>
        </w:rPr>
        <w:fldChar w:fldCharType="separate"/>
      </w:r>
      <w:r w:rsidRPr="0018711B">
        <w:rPr>
          <w:bCs/>
          <w:snapToGrid w:val="0"/>
        </w:rPr>
        <w:t>Tangri (2024)</w:t>
      </w:r>
      <w:r w:rsidRPr="0018711B">
        <w:rPr>
          <w:bCs/>
          <w:snapToGrid w:val="0"/>
        </w:rPr>
        <w:fldChar w:fldCharType="end"/>
      </w:r>
      <w:r w:rsidRPr="0018711B">
        <w:rPr>
          <w:bCs/>
          <w:snapToGrid w:val="0"/>
        </w:rPr>
        <w:t xml:space="preserve"> </w:t>
      </w:r>
      <w:r w:rsidR="00B75ED3">
        <w:rPr>
          <w:bCs/>
          <w:snapToGrid w:val="0"/>
        </w:rPr>
        <w:t>(</w:t>
      </w:r>
      <w:r w:rsidR="00B75ED3" w:rsidRPr="0060278B">
        <w:rPr>
          <w:lang w:eastAsia="zh-CN"/>
        </w:rPr>
        <w:t>n=20,407</w:t>
      </w:r>
      <w:r w:rsidR="00B75ED3">
        <w:rPr>
          <w:lang w:eastAsia="zh-CN"/>
        </w:rPr>
        <w:t xml:space="preserve">) </w:t>
      </w:r>
      <w:r w:rsidRPr="0018711B">
        <w:rPr>
          <w:bCs/>
          <w:snapToGrid w:val="0"/>
        </w:rPr>
        <w:t xml:space="preserve">included data from the US and Japan to describe the real-world utilisation of dapagliflozin following its approval for the CKD indication, and to assess the effect of initiating versus not initiating dapagliflozin on kidney function decline in patients with </w:t>
      </w:r>
      <w:proofErr w:type="spellStart"/>
      <w:r w:rsidRPr="0018711B">
        <w:rPr>
          <w:bCs/>
          <w:snapToGrid w:val="0"/>
        </w:rPr>
        <w:t>uACR</w:t>
      </w:r>
      <w:proofErr w:type="spellEnd"/>
      <w:r w:rsidRPr="0018711B">
        <w:rPr>
          <w:bCs/>
          <w:snapToGrid w:val="0"/>
        </w:rPr>
        <w:t xml:space="preserve"> &lt;22.6</w:t>
      </w:r>
      <w:r w:rsidR="00A40DF2">
        <w:rPr>
          <w:bCs/>
          <w:snapToGrid w:val="0"/>
        </w:rPr>
        <w:t> </w:t>
      </w:r>
      <w:r w:rsidRPr="0018711B">
        <w:rPr>
          <w:bCs/>
          <w:snapToGrid w:val="0"/>
        </w:rPr>
        <w:t>mg/mmol (&lt;200 mg/g).</w:t>
      </w:r>
    </w:p>
    <w:p w14:paraId="085380FF" w14:textId="5197BDE5" w:rsidR="00737CE3" w:rsidRPr="00737CE3" w:rsidRDefault="00737CE3" w:rsidP="005A3443">
      <w:pPr>
        <w:pStyle w:val="ListParagraph"/>
        <w:numPr>
          <w:ilvl w:val="0"/>
          <w:numId w:val="39"/>
        </w:numPr>
        <w:ind w:left="1134"/>
        <w:rPr>
          <w:rFonts w:asciiTheme="minorHAnsi" w:eastAsiaTheme="minorHAnsi" w:hAnsiTheme="minorHAnsi" w:cstheme="minorBidi"/>
          <w:szCs w:val="22"/>
          <w:lang w:eastAsia="zh-CN"/>
        </w:rPr>
      </w:pPr>
      <w:r w:rsidRPr="00737CE3">
        <w:rPr>
          <w:bCs/>
          <w:snapToGrid w:val="0"/>
        </w:rPr>
        <w:t xml:space="preserve">1 </w:t>
      </w:r>
      <w:r w:rsidRPr="00AA0FE7">
        <w:rPr>
          <w:lang w:eastAsia="zh-CN"/>
        </w:rPr>
        <w:t xml:space="preserve">retrospective observational study (n=354) </w:t>
      </w:r>
      <w:r w:rsidR="00EB37F7">
        <w:rPr>
          <w:lang w:eastAsia="zh-CN"/>
        </w:rPr>
        <w:t>from</w:t>
      </w:r>
      <w:r w:rsidR="00EB37F7" w:rsidRPr="00AA0FE7">
        <w:rPr>
          <w:lang w:eastAsia="zh-CN"/>
        </w:rPr>
        <w:t xml:space="preserve"> Israel</w:t>
      </w:r>
      <w:r w:rsidR="00EB37F7">
        <w:rPr>
          <w:lang w:eastAsia="zh-CN"/>
        </w:rPr>
        <w:t xml:space="preserve"> </w:t>
      </w:r>
      <w:r w:rsidR="0065073E">
        <w:rPr>
          <w:lang w:eastAsia="zh-CN"/>
        </w:rPr>
        <w:t xml:space="preserve">that </w:t>
      </w:r>
      <w:r w:rsidRPr="00AA0FE7">
        <w:rPr>
          <w:lang w:eastAsia="zh-CN"/>
        </w:rPr>
        <w:t>evaluated SGLT2</w:t>
      </w:r>
      <w:r w:rsidR="004D241E">
        <w:rPr>
          <w:lang w:eastAsia="zh-CN"/>
        </w:rPr>
        <w:t xml:space="preserve"> </w:t>
      </w:r>
      <w:r>
        <w:rPr>
          <w:lang w:eastAsia="zh-CN"/>
        </w:rPr>
        <w:t>i</w:t>
      </w:r>
      <w:r w:rsidR="004D241E">
        <w:rPr>
          <w:lang w:eastAsia="zh-CN"/>
        </w:rPr>
        <w:t>nhibitor</w:t>
      </w:r>
      <w:r>
        <w:rPr>
          <w:lang w:eastAsia="zh-CN"/>
        </w:rPr>
        <w:t>s</w:t>
      </w:r>
      <w:r w:rsidRPr="00AA0FE7">
        <w:rPr>
          <w:lang w:eastAsia="zh-CN"/>
        </w:rPr>
        <w:t xml:space="preserve"> real-world effectiveness on CKD progression in non-diabetic patients with varying albuminuria levels</w:t>
      </w:r>
      <w:r w:rsidR="00F4559E">
        <w:rPr>
          <w:lang w:eastAsia="zh-CN"/>
        </w:rPr>
        <w:t xml:space="preserve"> (</w:t>
      </w:r>
      <w:r w:rsidR="00135980">
        <w:rPr>
          <w:lang w:eastAsia="zh-CN"/>
        </w:rPr>
        <w:t xml:space="preserve">from </w:t>
      </w:r>
      <w:r w:rsidR="00135980" w:rsidRPr="00135980">
        <w:rPr>
          <w:lang w:eastAsia="zh-CN"/>
        </w:rPr>
        <w:t>September 2020 and November 2022</w:t>
      </w:r>
      <w:r w:rsidR="00F4559E">
        <w:rPr>
          <w:lang w:eastAsia="zh-CN"/>
        </w:rPr>
        <w:t>)</w:t>
      </w:r>
      <w:r w:rsidR="00135980" w:rsidRPr="00135980">
        <w:rPr>
          <w:lang w:eastAsia="zh-CN"/>
        </w:rPr>
        <w:t xml:space="preserve"> </w:t>
      </w:r>
      <w:r>
        <w:rPr>
          <w:lang w:eastAsia="zh-CN"/>
        </w:rPr>
        <w:t>(</w:t>
      </w:r>
      <w:r w:rsidRPr="00737CE3">
        <w:rPr>
          <w:rFonts w:asciiTheme="minorHAnsi" w:eastAsiaTheme="minorHAnsi" w:hAnsiTheme="minorHAnsi" w:cstheme="minorBidi"/>
          <w:szCs w:val="22"/>
          <w:lang w:eastAsia="zh-CN"/>
        </w:rPr>
        <w:t>Nakhleh (2024)</w:t>
      </w:r>
      <w:r w:rsidR="00342093">
        <w:rPr>
          <w:rFonts w:asciiTheme="minorHAnsi" w:eastAsiaTheme="minorHAnsi" w:hAnsiTheme="minorHAnsi" w:cstheme="minorBidi"/>
          <w:szCs w:val="22"/>
          <w:lang w:eastAsia="zh-CN"/>
        </w:rPr>
        <w:t>)</w:t>
      </w:r>
      <w:r w:rsidR="00CA3BC9">
        <w:rPr>
          <w:rFonts w:asciiTheme="minorHAnsi" w:eastAsiaTheme="minorHAnsi" w:hAnsiTheme="minorHAnsi" w:cstheme="minorBidi"/>
          <w:szCs w:val="22"/>
          <w:lang w:eastAsia="zh-CN"/>
        </w:rPr>
        <w:t>.</w:t>
      </w:r>
    </w:p>
    <w:p w14:paraId="225E2733" w14:textId="32C6ACA4" w:rsidR="00342093" w:rsidRDefault="0018711B" w:rsidP="00135980">
      <w:pPr>
        <w:pStyle w:val="COMexecsummnumbered"/>
        <w:numPr>
          <w:ilvl w:val="0"/>
          <w:numId w:val="0"/>
        </w:numPr>
        <w:ind w:left="709" w:firstLine="11"/>
        <w:rPr>
          <w:bCs/>
          <w:snapToGrid w:val="0"/>
        </w:rPr>
      </w:pPr>
      <w:r>
        <w:rPr>
          <w:bCs/>
          <w:snapToGrid w:val="0"/>
        </w:rPr>
        <w:lastRenderedPageBreak/>
        <w:t xml:space="preserve">The submission also included </w:t>
      </w:r>
      <w:r w:rsidR="002E7972">
        <w:rPr>
          <w:bCs/>
          <w:snapToGrid w:val="0"/>
        </w:rPr>
        <w:t>r</w:t>
      </w:r>
      <w:r w:rsidR="002E7972" w:rsidRPr="002E7972">
        <w:rPr>
          <w:bCs/>
          <w:snapToGrid w:val="0"/>
        </w:rPr>
        <w:t>etrospective analyses of claims databases</w:t>
      </w:r>
      <w:r w:rsidR="0005033C">
        <w:rPr>
          <w:bCs/>
          <w:snapToGrid w:val="0"/>
        </w:rPr>
        <w:t xml:space="preserve"> </w:t>
      </w:r>
      <w:r w:rsidR="004D241E">
        <w:rPr>
          <w:bCs/>
          <w:snapToGrid w:val="0"/>
        </w:rPr>
        <w:t xml:space="preserve">to inform </w:t>
      </w:r>
      <w:r w:rsidR="00135980">
        <w:rPr>
          <w:bCs/>
          <w:snapToGrid w:val="0"/>
        </w:rPr>
        <w:t>an indirect treatment comparison</w:t>
      </w:r>
      <w:r w:rsidR="00342093">
        <w:rPr>
          <w:bCs/>
          <w:snapToGrid w:val="0"/>
        </w:rPr>
        <w:t xml:space="preserve"> </w:t>
      </w:r>
      <w:r w:rsidRPr="0018711B">
        <w:rPr>
          <w:bCs/>
          <w:snapToGrid w:val="0"/>
        </w:rPr>
        <w:t>of dapagliflozin versus empagliflozin</w:t>
      </w:r>
      <w:r w:rsidR="00342093">
        <w:rPr>
          <w:bCs/>
          <w:snapToGrid w:val="0"/>
        </w:rPr>
        <w:t>:</w:t>
      </w:r>
    </w:p>
    <w:p w14:paraId="1C7B2115" w14:textId="7D0428F1" w:rsidR="00737CE3" w:rsidRPr="00EF3324" w:rsidRDefault="00342093" w:rsidP="005A3443">
      <w:pPr>
        <w:pStyle w:val="ListParagraph"/>
        <w:numPr>
          <w:ilvl w:val="0"/>
          <w:numId w:val="39"/>
        </w:numPr>
        <w:spacing w:after="120"/>
        <w:ind w:left="1134" w:hanging="357"/>
        <w:contextualSpacing w:val="0"/>
        <w:rPr>
          <w:bCs/>
          <w:snapToGrid w:val="0"/>
        </w:rPr>
      </w:pPr>
      <w:r w:rsidRPr="00342093">
        <w:rPr>
          <w:bCs/>
          <w:snapToGrid w:val="0"/>
        </w:rPr>
        <w:t>1 retrospective analysis</w:t>
      </w:r>
      <w:r w:rsidR="0018711B" w:rsidRPr="00342093">
        <w:rPr>
          <w:bCs/>
          <w:snapToGrid w:val="0"/>
        </w:rPr>
        <w:t xml:space="preserve"> </w:t>
      </w:r>
      <w:r w:rsidRPr="00342093">
        <w:rPr>
          <w:bCs/>
          <w:snapToGrid w:val="0"/>
        </w:rPr>
        <w:t>of a US claims database</w:t>
      </w:r>
      <w:r w:rsidRPr="0018711B">
        <w:rPr>
          <w:bCs/>
          <w:snapToGrid w:val="0"/>
        </w:rPr>
        <w:t xml:space="preserve"> </w:t>
      </w:r>
      <w:r>
        <w:rPr>
          <w:bCs/>
          <w:snapToGrid w:val="0"/>
        </w:rPr>
        <w:t xml:space="preserve">of </w:t>
      </w:r>
      <w:r w:rsidRPr="0018711B">
        <w:rPr>
          <w:bCs/>
          <w:snapToGrid w:val="0"/>
        </w:rPr>
        <w:t xml:space="preserve">CKD </w:t>
      </w:r>
      <w:r w:rsidR="00E558EB">
        <w:rPr>
          <w:bCs/>
          <w:snapToGrid w:val="0"/>
        </w:rPr>
        <w:t>patients</w:t>
      </w:r>
      <w:r w:rsidRPr="00342093">
        <w:rPr>
          <w:bCs/>
          <w:snapToGrid w:val="0"/>
        </w:rPr>
        <w:t xml:space="preserve"> </w:t>
      </w:r>
      <w:r w:rsidR="005560E3" w:rsidRPr="00FB21A7">
        <w:t>to investigate the consistency and robustness of median eGFR slope, time to hospitalisation for HF and time to hospitalisation for CKD between dapagliflozin and empagliflozin</w:t>
      </w:r>
      <w:r w:rsidR="005560E3">
        <w:t xml:space="preserve"> </w:t>
      </w:r>
      <w:r w:rsidR="009A5D07">
        <w:rPr>
          <w:bCs/>
          <w:snapToGrid w:val="0"/>
        </w:rPr>
        <w:t xml:space="preserve">(from </w:t>
      </w:r>
      <w:r w:rsidR="009A5D07" w:rsidRPr="00135980">
        <w:rPr>
          <w:bCs/>
          <w:snapToGrid w:val="0"/>
        </w:rPr>
        <w:t>22 September 2023 to 31</w:t>
      </w:r>
      <w:r w:rsidR="009A5D07">
        <w:rPr>
          <w:bCs/>
          <w:snapToGrid w:val="0"/>
        </w:rPr>
        <w:t> </w:t>
      </w:r>
      <w:r w:rsidR="009A5D07" w:rsidRPr="00135980">
        <w:rPr>
          <w:bCs/>
          <w:snapToGrid w:val="0"/>
        </w:rPr>
        <w:t>December 2024</w:t>
      </w:r>
      <w:r w:rsidR="009A5D07">
        <w:rPr>
          <w:bCs/>
          <w:snapToGrid w:val="0"/>
        </w:rPr>
        <w:t>)</w:t>
      </w:r>
      <w:r w:rsidR="00135980">
        <w:rPr>
          <w:bCs/>
          <w:snapToGrid w:val="0"/>
        </w:rPr>
        <w:t xml:space="preserve"> (</w:t>
      </w:r>
      <w:r w:rsidR="00135980" w:rsidRPr="00342093">
        <w:rPr>
          <w:bCs/>
          <w:snapToGrid w:val="0"/>
        </w:rPr>
        <w:t>Optum</w:t>
      </w:r>
      <w:r w:rsidR="00BE7681">
        <w:rPr>
          <w:bCs/>
          <w:snapToGrid w:val="0"/>
        </w:rPr>
        <w:t xml:space="preserve"> – subgroups presented in </w:t>
      </w:r>
      <w:r w:rsidR="00EF3324" w:rsidRPr="00EF3324">
        <w:rPr>
          <w:bCs/>
          <w:snapToGrid w:val="0"/>
        </w:rPr>
        <w:fldChar w:fldCharType="begin"/>
      </w:r>
      <w:r w:rsidR="00EF3324" w:rsidRPr="00EF3324">
        <w:rPr>
          <w:bCs/>
          <w:snapToGrid w:val="0"/>
        </w:rPr>
        <w:instrText xml:space="preserve"> REF _Ref208909419 \h </w:instrText>
      </w:r>
      <w:r w:rsidR="00EF3324">
        <w:rPr>
          <w:bCs/>
          <w:snapToGrid w:val="0"/>
        </w:rPr>
        <w:instrText xml:space="preserve"> \* MERGEFORMAT </w:instrText>
      </w:r>
      <w:r w:rsidR="00EF3324" w:rsidRPr="00EF3324">
        <w:rPr>
          <w:bCs/>
          <w:snapToGrid w:val="0"/>
        </w:rPr>
      </w:r>
      <w:r w:rsidR="00EF3324" w:rsidRPr="00EF3324">
        <w:rPr>
          <w:bCs/>
          <w:snapToGrid w:val="0"/>
        </w:rPr>
        <w:fldChar w:fldCharType="separate"/>
      </w:r>
      <w:r w:rsidR="00EB7AD5">
        <w:t xml:space="preserve">Table </w:t>
      </w:r>
      <w:r w:rsidR="00EB7AD5">
        <w:rPr>
          <w:noProof/>
        </w:rPr>
        <w:t>2</w:t>
      </w:r>
      <w:r w:rsidR="00EF3324" w:rsidRPr="00EF3324">
        <w:rPr>
          <w:bCs/>
          <w:snapToGrid w:val="0"/>
        </w:rPr>
        <w:fldChar w:fldCharType="end"/>
      </w:r>
      <w:r w:rsidR="00BE7681" w:rsidRPr="00EF3324">
        <w:rPr>
          <w:bCs/>
          <w:snapToGrid w:val="0"/>
        </w:rPr>
        <w:t xml:space="preserve"> below</w:t>
      </w:r>
      <w:r w:rsidR="00EB37F7" w:rsidRPr="00EF3324">
        <w:rPr>
          <w:bCs/>
          <w:snapToGrid w:val="0"/>
        </w:rPr>
        <w:t>)</w:t>
      </w:r>
      <w:r w:rsidR="00135980" w:rsidRPr="00EF3324">
        <w:rPr>
          <w:bCs/>
          <w:snapToGrid w:val="0"/>
        </w:rPr>
        <w:t>.</w:t>
      </w:r>
    </w:p>
    <w:p w14:paraId="6CF0C458" w14:textId="59694744" w:rsidR="00342093" w:rsidRPr="00342093" w:rsidRDefault="00342093" w:rsidP="005A3443">
      <w:pPr>
        <w:pStyle w:val="ListParagraph"/>
        <w:numPr>
          <w:ilvl w:val="0"/>
          <w:numId w:val="39"/>
        </w:numPr>
        <w:spacing w:after="120"/>
        <w:ind w:left="1134"/>
        <w:rPr>
          <w:bCs/>
          <w:snapToGrid w:val="0"/>
        </w:rPr>
      </w:pPr>
      <w:r>
        <w:rPr>
          <w:bCs/>
          <w:snapToGrid w:val="0"/>
        </w:rPr>
        <w:t>1</w:t>
      </w:r>
      <w:r w:rsidRPr="00342093">
        <w:rPr>
          <w:bCs/>
          <w:snapToGrid w:val="0"/>
        </w:rPr>
        <w:t xml:space="preserve"> </w:t>
      </w:r>
      <w:r w:rsidR="006211ED" w:rsidRPr="00C55DB6">
        <w:t xml:space="preserve">retrospective cohort study </w:t>
      </w:r>
      <w:r w:rsidR="00EB37F7">
        <w:rPr>
          <w:bCs/>
          <w:snapToGrid w:val="0"/>
        </w:rPr>
        <w:t xml:space="preserve">from </w:t>
      </w:r>
      <w:r w:rsidR="00EB37F7" w:rsidRPr="00C55DB6">
        <w:t>Taiwan</w:t>
      </w:r>
      <w:r w:rsidR="00EB37F7">
        <w:t xml:space="preserve"> </w:t>
      </w:r>
      <w:r w:rsidR="006211ED" w:rsidRPr="00C55DB6">
        <w:t>examin</w:t>
      </w:r>
      <w:r w:rsidR="006B61DA">
        <w:t>ing</w:t>
      </w:r>
      <w:r w:rsidR="006211ED" w:rsidRPr="00C55DB6">
        <w:t xml:space="preserve"> renal outcomes (&gt;40% eGFR decline, </w:t>
      </w:r>
      <w:r w:rsidR="006211ED">
        <w:t>acute kidney injury (</w:t>
      </w:r>
      <w:r w:rsidR="006211ED" w:rsidRPr="00C55DB6">
        <w:t>AKI</w:t>
      </w:r>
      <w:r w:rsidR="006211ED">
        <w:t>)</w:t>
      </w:r>
      <w:r w:rsidR="006211ED" w:rsidRPr="00C55DB6">
        <w:t xml:space="preserve"> hospitali</w:t>
      </w:r>
      <w:r w:rsidR="006211ED">
        <w:t>s</w:t>
      </w:r>
      <w:r w:rsidR="006211ED" w:rsidRPr="00C55DB6">
        <w:t>ation) across dapagliflozin 10mg (n=3,274) and empagliflozin 10mg (n=1,696) groups, using matched non-users as a common reference</w:t>
      </w:r>
      <w:r w:rsidR="006211ED" w:rsidRPr="00342093">
        <w:rPr>
          <w:bCs/>
          <w:snapToGrid w:val="0"/>
        </w:rPr>
        <w:t xml:space="preserve"> </w:t>
      </w:r>
      <w:r w:rsidRPr="00342093">
        <w:rPr>
          <w:bCs/>
          <w:snapToGrid w:val="0"/>
        </w:rPr>
        <w:t>in patients with T2DM</w:t>
      </w:r>
      <w:r w:rsidR="00135980">
        <w:rPr>
          <w:bCs/>
          <w:snapToGrid w:val="0"/>
        </w:rPr>
        <w:t xml:space="preserve"> </w:t>
      </w:r>
      <w:r w:rsidR="009A5D07">
        <w:t xml:space="preserve">(from </w:t>
      </w:r>
      <w:r w:rsidR="009A5D07" w:rsidRPr="009A5D07">
        <w:t>May 2016</w:t>
      </w:r>
      <w:r w:rsidR="009A5D07">
        <w:t xml:space="preserve"> to </w:t>
      </w:r>
      <w:r w:rsidR="009A5D07" w:rsidRPr="009A5D07">
        <w:t>December 2017</w:t>
      </w:r>
      <w:r w:rsidR="009A5D07">
        <w:t>)</w:t>
      </w:r>
      <w:r w:rsidR="00135980" w:rsidRPr="00C55DB6">
        <w:t xml:space="preserve"> </w:t>
      </w:r>
      <w:r>
        <w:rPr>
          <w:bCs/>
          <w:snapToGrid w:val="0"/>
        </w:rPr>
        <w:t>(</w:t>
      </w:r>
      <w:r w:rsidRPr="00342093">
        <w:rPr>
          <w:bCs/>
          <w:snapToGrid w:val="0"/>
        </w:rPr>
        <w:fldChar w:fldCharType="begin"/>
      </w:r>
      <w:r w:rsidRPr="00342093">
        <w:rPr>
          <w:bCs/>
          <w:snapToGrid w:val="0"/>
        </w:rPr>
        <w:instrText xml:space="preserve"> ADDIN EN.CITE &lt;EndNote&gt;&lt;Cite AuthorYear="1"&gt;&lt;Author&gt;Lin&lt;/Author&gt;&lt;Year&gt;2019&lt;/Year&gt;&lt;RecNum&gt;2&lt;/RecNum&gt;&lt;DisplayText&gt;Lin (2019)&lt;/DisplayText&gt;&lt;record&gt;&lt;rec-number&gt;2&lt;/rec-number&gt;&lt;foreign-keys&gt;&lt;key app="EN" db-id="frfevxseksar5zeaaxc55xdfw55s5dv0tda9" timestamp="1749168046"&gt;2&lt;/key&gt;&lt;/foreign-keys&gt;&lt;ref-type name="Journal Article"&gt;17&lt;/ref-type&gt;&lt;contributors&gt;&lt;authors&gt;&lt;author&gt;Lin, Y. H.&lt;/author&gt;&lt;author&gt;Huang, Y. Y.&lt;/author&gt;&lt;author&gt;Hsieh, S. H.&lt;/author&gt;&lt;author&gt;Sun, J. H.&lt;/author&gt;&lt;author&gt;Chen, S. T.&lt;/author&gt;&lt;author&gt;Lin, C. H.&lt;/author&gt;&lt;/authors&gt;&lt;/contributors&gt;&lt;auth-address&gt;Division of Endocrinology and Metabolism, Department of Internal Medicine, Chang Gung Memorial Hospital, Linkou, Taiwan.&amp;#xD;Department of Medical Nutrition Therapy, Chang Gung Memorial Hospital, Linkou, Taiwan.&amp;#xD;Department of Chinese Medicine, College of Medicine, Chang Gung University, Taoyuan, Taiwan.&lt;/auth-address&gt;&lt;titles&gt;&lt;title&gt;Renal and Glucose-Lowering Effects of Empagliflozin and Dapagliflozin in Different Chronic Kidney Disease Stages&lt;/title&gt;&lt;secondary-title&gt;Front Endocrinol (Lausanne)&lt;/secondary-title&gt;&lt;/titles&gt;&lt;periodical&gt;&lt;full-title&gt;Front Endocrinol (Lausanne)&lt;/full-title&gt;&lt;/periodical&gt;&lt;pages&gt;820&lt;/pages&gt;&lt;volume&gt;10&lt;/volume&gt;&lt;edition&gt;2019/12/12&lt;/edition&gt;&lt;keywords&gt;&lt;keyword&gt;Chang Gung Research Database&lt;/keyword&gt;&lt;keyword&gt;acute kidney injury&lt;/keyword&gt;&lt;keyword&gt;glucose control&lt;/keyword&gt;&lt;keyword&gt;renal function&lt;/keyword&gt;&lt;keyword&gt;sodium–glucose cotransporter 2 inhibitors&lt;/keyword&gt;&lt;/keywords&gt;&lt;dates&gt;&lt;year&gt;2019&lt;/year&gt;&lt;/dates&gt;&lt;isbn&gt;1664-2392 (Print)&amp;#xD;1664-2392&lt;/isbn&gt;&lt;accession-num&gt;31824432&lt;/accession-num&gt;&lt;urls&gt;&lt;/urls&gt;&lt;custom2&gt;PMC6883723&lt;/custom2&gt;&lt;electronic-resource-num&gt;10.3389/fendo.2019.00820&lt;/electronic-resource-num&gt;&lt;remote-database-provider&gt;NLM&lt;/remote-database-provider&gt;&lt;language&gt;eng&lt;/language&gt;&lt;/record&gt;&lt;/Cite&gt;&lt;/EndNote&gt;</w:instrText>
      </w:r>
      <w:r w:rsidRPr="00342093">
        <w:rPr>
          <w:bCs/>
          <w:snapToGrid w:val="0"/>
        </w:rPr>
        <w:fldChar w:fldCharType="separate"/>
      </w:r>
      <w:r w:rsidRPr="00342093">
        <w:rPr>
          <w:bCs/>
          <w:snapToGrid w:val="0"/>
        </w:rPr>
        <w:t>Lin (2019)</w:t>
      </w:r>
      <w:r w:rsidRPr="00342093">
        <w:rPr>
          <w:bCs/>
          <w:snapToGrid w:val="0"/>
        </w:rPr>
        <w:fldChar w:fldCharType="end"/>
      </w:r>
      <w:r>
        <w:rPr>
          <w:bCs/>
          <w:snapToGrid w:val="0"/>
        </w:rPr>
        <w:t>)</w:t>
      </w:r>
      <w:r w:rsidRPr="00342093">
        <w:rPr>
          <w:bCs/>
          <w:snapToGrid w:val="0"/>
        </w:rPr>
        <w:t>.</w:t>
      </w:r>
    </w:p>
    <w:p w14:paraId="46FA2311" w14:textId="67BF5CC6" w:rsidR="00BE7681" w:rsidRDefault="00EF3324" w:rsidP="00BE7681">
      <w:pPr>
        <w:pStyle w:val="Caption"/>
      </w:pPr>
      <w:bookmarkStart w:id="4" w:name="_Ref208909419"/>
      <w:r>
        <w:t xml:space="preserve">Table </w:t>
      </w:r>
      <w:r>
        <w:fldChar w:fldCharType="begin"/>
      </w:r>
      <w:r>
        <w:instrText xml:space="preserve"> SEQ Table \* ARABIC </w:instrText>
      </w:r>
      <w:r>
        <w:fldChar w:fldCharType="separate"/>
      </w:r>
      <w:r w:rsidR="00EB7AD5">
        <w:rPr>
          <w:noProof/>
        </w:rPr>
        <w:t>2</w:t>
      </w:r>
      <w:r>
        <w:fldChar w:fldCharType="end"/>
      </w:r>
      <w:bookmarkEnd w:id="4"/>
      <w:r>
        <w:t>:</w:t>
      </w:r>
      <w:r w:rsidR="00BE7681">
        <w:rPr>
          <w:snapToGrid w:val="0"/>
        </w:rPr>
        <w:t xml:space="preserve"> </w:t>
      </w:r>
      <w:r w:rsidR="00BE7681">
        <w:t>Analysis groups in Optum</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Analysis groups in Optum"/>
      </w:tblPr>
      <w:tblGrid>
        <w:gridCol w:w="2123"/>
        <w:gridCol w:w="4373"/>
        <w:gridCol w:w="1237"/>
        <w:gridCol w:w="1284"/>
      </w:tblGrid>
      <w:tr w:rsidR="00A10563" w:rsidRPr="000E3A34" w14:paraId="01EFB1CA" w14:textId="77777777" w:rsidTr="00793738">
        <w:tc>
          <w:tcPr>
            <w:tcW w:w="1177" w:type="pct"/>
            <w:vMerge w:val="restart"/>
            <w:vAlign w:val="center"/>
          </w:tcPr>
          <w:p w14:paraId="3E8A9095" w14:textId="77777777" w:rsidR="00A10563" w:rsidRPr="00180B6D" w:rsidRDefault="00A10563" w:rsidP="00793738">
            <w:pPr>
              <w:pStyle w:val="TableText"/>
            </w:pPr>
            <w:r w:rsidRPr="00180B6D">
              <w:t>Analysis group</w:t>
            </w:r>
          </w:p>
        </w:tc>
        <w:tc>
          <w:tcPr>
            <w:tcW w:w="2425" w:type="pct"/>
            <w:vMerge w:val="restart"/>
            <w:vAlign w:val="center"/>
          </w:tcPr>
          <w:p w14:paraId="64D98ADB" w14:textId="77777777" w:rsidR="00A10563" w:rsidRPr="00180B6D" w:rsidRDefault="00A10563" w:rsidP="00793738">
            <w:pPr>
              <w:pStyle w:val="TableText"/>
            </w:pPr>
            <w:r w:rsidRPr="00180B6D">
              <w:t>eGFR and UACR criteria</w:t>
            </w:r>
          </w:p>
        </w:tc>
        <w:tc>
          <w:tcPr>
            <w:tcW w:w="1398" w:type="pct"/>
            <w:gridSpan w:val="2"/>
          </w:tcPr>
          <w:p w14:paraId="08B0CE86" w14:textId="77777777" w:rsidR="00A10563" w:rsidRPr="00180B6D" w:rsidRDefault="00A10563" w:rsidP="00793738">
            <w:pPr>
              <w:pStyle w:val="TableText"/>
              <w:jc w:val="center"/>
            </w:pPr>
            <w:r w:rsidRPr="00180B6D">
              <w:t>Sample size</w:t>
            </w:r>
          </w:p>
        </w:tc>
      </w:tr>
      <w:tr w:rsidR="00A10563" w:rsidRPr="000E3A34" w14:paraId="1EA035F6" w14:textId="77777777" w:rsidTr="00793738">
        <w:tc>
          <w:tcPr>
            <w:tcW w:w="1177" w:type="pct"/>
            <w:vMerge/>
            <w:vAlign w:val="center"/>
          </w:tcPr>
          <w:p w14:paraId="63845451" w14:textId="77777777" w:rsidR="00A10563" w:rsidRPr="00180B6D" w:rsidRDefault="00A10563" w:rsidP="00793738">
            <w:pPr>
              <w:pStyle w:val="TableText"/>
            </w:pPr>
          </w:p>
        </w:tc>
        <w:tc>
          <w:tcPr>
            <w:tcW w:w="2425" w:type="pct"/>
            <w:vMerge/>
            <w:vAlign w:val="center"/>
          </w:tcPr>
          <w:p w14:paraId="66A3A1A2" w14:textId="77777777" w:rsidR="00A10563" w:rsidRPr="00180B6D" w:rsidRDefault="00A10563" w:rsidP="00793738">
            <w:pPr>
              <w:pStyle w:val="TableText"/>
            </w:pPr>
          </w:p>
        </w:tc>
        <w:tc>
          <w:tcPr>
            <w:tcW w:w="686" w:type="pct"/>
            <w:vAlign w:val="center"/>
          </w:tcPr>
          <w:p w14:paraId="2E7CBE83" w14:textId="77777777" w:rsidR="00A10563" w:rsidRPr="00180B6D" w:rsidRDefault="00A10563" w:rsidP="00793738">
            <w:pPr>
              <w:pStyle w:val="TableText"/>
              <w:jc w:val="center"/>
            </w:pPr>
            <w:r w:rsidRPr="00180B6D">
              <w:t>Dapagliflozin</w:t>
            </w:r>
          </w:p>
        </w:tc>
        <w:tc>
          <w:tcPr>
            <w:tcW w:w="712" w:type="pct"/>
            <w:vAlign w:val="center"/>
          </w:tcPr>
          <w:p w14:paraId="02A56855" w14:textId="77777777" w:rsidR="00A10563" w:rsidRPr="00180B6D" w:rsidRDefault="00A10563" w:rsidP="00793738">
            <w:pPr>
              <w:pStyle w:val="TableText"/>
              <w:jc w:val="center"/>
            </w:pPr>
            <w:r w:rsidRPr="00180B6D">
              <w:t>Empagliflozin</w:t>
            </w:r>
          </w:p>
        </w:tc>
      </w:tr>
      <w:tr w:rsidR="00A10563" w:rsidRPr="000E3A34" w14:paraId="627018BF" w14:textId="77777777" w:rsidTr="00793738">
        <w:tc>
          <w:tcPr>
            <w:tcW w:w="1177" w:type="pct"/>
            <w:vAlign w:val="center"/>
          </w:tcPr>
          <w:p w14:paraId="0342D0E0" w14:textId="77777777" w:rsidR="00A10563" w:rsidRPr="0019718C" w:rsidRDefault="00A10563" w:rsidP="00793738">
            <w:pPr>
              <w:pStyle w:val="TableText"/>
            </w:pPr>
            <w:r w:rsidRPr="0019718C">
              <w:t>Overall cohort</w:t>
            </w:r>
            <w:r>
              <w:t xml:space="preserve"> (EMPA-KINDEY)</w:t>
            </w:r>
          </w:p>
        </w:tc>
        <w:tc>
          <w:tcPr>
            <w:tcW w:w="2425" w:type="pct"/>
            <w:vAlign w:val="center"/>
          </w:tcPr>
          <w:p w14:paraId="3553D5D3" w14:textId="77777777" w:rsidR="00A10563" w:rsidRPr="000E3A34" w:rsidRDefault="00A10563" w:rsidP="00793738">
            <w:pPr>
              <w:pStyle w:val="TableText"/>
            </w:pPr>
            <w:r w:rsidRPr="000E3A34">
              <w:t>eGFR 20 to &lt;45 mL/min/1.73m</w:t>
            </w:r>
            <w:r w:rsidRPr="000E3A34">
              <w:rPr>
                <w:vertAlign w:val="superscript"/>
              </w:rPr>
              <w:t>2</w:t>
            </w:r>
            <w:r w:rsidRPr="00D74D02">
              <w:rPr>
                <w:vertAlign w:val="superscript"/>
              </w:rPr>
              <w:t xml:space="preserve"> </w:t>
            </w:r>
            <w:r w:rsidRPr="000E3A34">
              <w:t>(any UACR)</w:t>
            </w:r>
          </w:p>
          <w:p w14:paraId="6C3EDF30" w14:textId="77777777" w:rsidR="00A10563" w:rsidRDefault="00A10563" w:rsidP="00793738">
            <w:pPr>
              <w:pStyle w:val="TableText"/>
            </w:pPr>
            <w:r>
              <w:t>OR</w:t>
            </w:r>
          </w:p>
          <w:p w14:paraId="4305159F" w14:textId="77777777" w:rsidR="00A10563" w:rsidRPr="000E3A34" w:rsidRDefault="00A10563" w:rsidP="00793738">
            <w:pPr>
              <w:pStyle w:val="TableText"/>
            </w:pPr>
            <w:r w:rsidRPr="000E3A34">
              <w:t>eGFR 45 to &lt;90 and UACR &gt;200 mg/</w:t>
            </w:r>
            <w:r>
              <w:t>g</w:t>
            </w:r>
          </w:p>
        </w:tc>
        <w:tc>
          <w:tcPr>
            <w:tcW w:w="686" w:type="pct"/>
          </w:tcPr>
          <w:p w14:paraId="351B3EDE" w14:textId="77777777" w:rsidR="00A10563" w:rsidRPr="000E3A34" w:rsidRDefault="00A10563" w:rsidP="00793738">
            <w:pPr>
              <w:pStyle w:val="TableText"/>
              <w:jc w:val="center"/>
            </w:pPr>
            <w:r w:rsidRPr="005A2E8F">
              <w:t>2</w:t>
            </w:r>
            <w:r>
              <w:t>,</w:t>
            </w:r>
            <w:r w:rsidRPr="005A2E8F">
              <w:t>605</w:t>
            </w:r>
          </w:p>
        </w:tc>
        <w:tc>
          <w:tcPr>
            <w:tcW w:w="712" w:type="pct"/>
          </w:tcPr>
          <w:p w14:paraId="714796C6" w14:textId="77777777" w:rsidR="00A10563" w:rsidRPr="000E3A34" w:rsidRDefault="00A10563" w:rsidP="00793738">
            <w:pPr>
              <w:pStyle w:val="TableText"/>
              <w:jc w:val="center"/>
            </w:pPr>
            <w:r w:rsidRPr="00DA3278">
              <w:t>3</w:t>
            </w:r>
            <w:r>
              <w:t>,</w:t>
            </w:r>
            <w:r w:rsidRPr="00DA3278">
              <w:t>632</w:t>
            </w:r>
          </w:p>
        </w:tc>
      </w:tr>
      <w:tr w:rsidR="00A10563" w:rsidRPr="000E3A34" w14:paraId="0EED5FB5" w14:textId="77777777" w:rsidTr="00793738">
        <w:tc>
          <w:tcPr>
            <w:tcW w:w="1177" w:type="pct"/>
            <w:vMerge w:val="restart"/>
            <w:vAlign w:val="center"/>
          </w:tcPr>
          <w:p w14:paraId="01724A1B" w14:textId="77777777" w:rsidR="00A10563" w:rsidRPr="0019718C" w:rsidRDefault="00A10563" w:rsidP="00793738">
            <w:pPr>
              <w:pStyle w:val="TableText"/>
            </w:pPr>
            <w:r w:rsidRPr="0019718C">
              <w:t>Incremental populations in the expanded CKD listing</w:t>
            </w:r>
          </w:p>
        </w:tc>
        <w:tc>
          <w:tcPr>
            <w:tcW w:w="2425" w:type="pct"/>
            <w:vAlign w:val="center"/>
          </w:tcPr>
          <w:p w14:paraId="1891A4CF" w14:textId="77777777" w:rsidR="00A10563" w:rsidRPr="0019718C" w:rsidRDefault="00A10563" w:rsidP="00793738">
            <w:pPr>
              <w:pStyle w:val="TableText"/>
            </w:pPr>
            <w:r w:rsidRPr="0019718C">
              <w:t>eGFR 20</w:t>
            </w:r>
            <w:r>
              <w:t xml:space="preserve"> to </w:t>
            </w:r>
            <w:r w:rsidRPr="0019718C">
              <w:t>45 mL/min/1.73m</w:t>
            </w:r>
            <w:r w:rsidRPr="0019718C">
              <w:rPr>
                <w:vertAlign w:val="superscript"/>
              </w:rPr>
              <w:t xml:space="preserve">2 </w:t>
            </w:r>
            <w:r w:rsidRPr="0019718C">
              <w:t>and UACR &lt;200 mg/g</w:t>
            </w:r>
          </w:p>
        </w:tc>
        <w:tc>
          <w:tcPr>
            <w:tcW w:w="686" w:type="pct"/>
          </w:tcPr>
          <w:p w14:paraId="266C591E" w14:textId="77777777" w:rsidR="00A10563" w:rsidRPr="000E3A34" w:rsidRDefault="00A10563" w:rsidP="00793738">
            <w:pPr>
              <w:pStyle w:val="TableText"/>
              <w:jc w:val="center"/>
            </w:pPr>
            <w:r w:rsidRPr="00A00CDB">
              <w:t>1</w:t>
            </w:r>
            <w:r>
              <w:t>,</w:t>
            </w:r>
            <w:r w:rsidRPr="00A00CDB">
              <w:t>239</w:t>
            </w:r>
          </w:p>
        </w:tc>
        <w:tc>
          <w:tcPr>
            <w:tcW w:w="712" w:type="pct"/>
          </w:tcPr>
          <w:p w14:paraId="25A3908E" w14:textId="77777777" w:rsidR="00A10563" w:rsidRPr="000E3A34" w:rsidRDefault="00A10563" w:rsidP="00793738">
            <w:pPr>
              <w:pStyle w:val="TableText"/>
              <w:jc w:val="center"/>
            </w:pPr>
            <w:r w:rsidRPr="00A00CDB">
              <w:t>1</w:t>
            </w:r>
            <w:r>
              <w:t>,</w:t>
            </w:r>
            <w:r w:rsidRPr="00A00CDB">
              <w:t>761</w:t>
            </w:r>
          </w:p>
        </w:tc>
      </w:tr>
      <w:tr w:rsidR="00A10563" w:rsidRPr="000E3A34" w14:paraId="283A6890" w14:textId="77777777" w:rsidTr="00793738">
        <w:tc>
          <w:tcPr>
            <w:tcW w:w="1177" w:type="pct"/>
            <w:vMerge/>
            <w:vAlign w:val="center"/>
          </w:tcPr>
          <w:p w14:paraId="437D62DB" w14:textId="77777777" w:rsidR="00A10563" w:rsidRPr="0019718C" w:rsidRDefault="00A10563" w:rsidP="00793738">
            <w:pPr>
              <w:pStyle w:val="TableText"/>
            </w:pPr>
          </w:p>
        </w:tc>
        <w:tc>
          <w:tcPr>
            <w:tcW w:w="2425" w:type="pct"/>
            <w:vAlign w:val="center"/>
          </w:tcPr>
          <w:p w14:paraId="3C464151" w14:textId="77777777" w:rsidR="00A10563" w:rsidRPr="0019718C" w:rsidRDefault="00A10563" w:rsidP="00793738">
            <w:pPr>
              <w:pStyle w:val="TableText"/>
            </w:pPr>
            <w:r w:rsidRPr="0019718C">
              <w:t>eGFR 75</w:t>
            </w:r>
            <w:r>
              <w:t xml:space="preserve"> to </w:t>
            </w:r>
            <w:r w:rsidRPr="0019718C">
              <w:t>90 mL/min/1.73m</w:t>
            </w:r>
            <w:r w:rsidRPr="0019718C">
              <w:rPr>
                <w:vertAlign w:val="superscript"/>
              </w:rPr>
              <w:t xml:space="preserve">2 </w:t>
            </w:r>
            <w:r w:rsidRPr="0019718C">
              <w:t>and UACR ≥200 mg/g</w:t>
            </w:r>
          </w:p>
        </w:tc>
        <w:tc>
          <w:tcPr>
            <w:tcW w:w="686" w:type="pct"/>
          </w:tcPr>
          <w:p w14:paraId="6E4482CF" w14:textId="77777777" w:rsidR="00A10563" w:rsidRPr="000E3A34" w:rsidRDefault="00A10563" w:rsidP="00793738">
            <w:pPr>
              <w:pStyle w:val="TableText"/>
              <w:jc w:val="center"/>
            </w:pPr>
            <w:r w:rsidRPr="00CE7468">
              <w:t>127</w:t>
            </w:r>
          </w:p>
        </w:tc>
        <w:tc>
          <w:tcPr>
            <w:tcW w:w="712" w:type="pct"/>
          </w:tcPr>
          <w:p w14:paraId="555B3CDA" w14:textId="77777777" w:rsidR="00A10563" w:rsidRPr="000E3A34" w:rsidRDefault="00A10563" w:rsidP="00793738">
            <w:pPr>
              <w:pStyle w:val="TableText"/>
              <w:jc w:val="center"/>
            </w:pPr>
            <w:r w:rsidRPr="00CE7468">
              <w:t>177</w:t>
            </w:r>
          </w:p>
        </w:tc>
      </w:tr>
      <w:tr w:rsidR="00A10563" w:rsidRPr="000E3A34" w14:paraId="1967A709" w14:textId="77777777" w:rsidTr="00793738">
        <w:tc>
          <w:tcPr>
            <w:tcW w:w="1177" w:type="pct"/>
            <w:vAlign w:val="center"/>
          </w:tcPr>
          <w:p w14:paraId="63CA2F55" w14:textId="77777777" w:rsidR="00A10563" w:rsidRPr="00B77160" w:rsidRDefault="00A10563" w:rsidP="00793738">
            <w:pPr>
              <w:pStyle w:val="TableText"/>
            </w:pPr>
            <w:r>
              <w:t>C</w:t>
            </w:r>
            <w:r w:rsidRPr="00B77160">
              <w:t>urrent PBS listing for SGLT2i in CKD</w:t>
            </w:r>
          </w:p>
        </w:tc>
        <w:tc>
          <w:tcPr>
            <w:tcW w:w="2425" w:type="pct"/>
            <w:vAlign w:val="center"/>
          </w:tcPr>
          <w:p w14:paraId="5E86B39B" w14:textId="77777777" w:rsidR="00A10563" w:rsidRPr="000E3A34" w:rsidRDefault="00A10563" w:rsidP="00793738">
            <w:pPr>
              <w:pStyle w:val="TableText"/>
            </w:pPr>
            <w:r w:rsidRPr="00B77160">
              <w:t>eGFR 25</w:t>
            </w:r>
            <w:r>
              <w:t xml:space="preserve"> to </w:t>
            </w:r>
            <w:r w:rsidRPr="00B77160">
              <w:t>75 mL/min/1.73m</w:t>
            </w:r>
            <w:r w:rsidRPr="00B77160">
              <w:rPr>
                <w:vertAlign w:val="superscript"/>
              </w:rPr>
              <w:t xml:space="preserve">2 </w:t>
            </w:r>
            <w:r w:rsidRPr="00B77160">
              <w:t>and UACR ≥200 mg/g</w:t>
            </w:r>
          </w:p>
        </w:tc>
        <w:tc>
          <w:tcPr>
            <w:tcW w:w="686" w:type="pct"/>
          </w:tcPr>
          <w:p w14:paraId="70A53871" w14:textId="77777777" w:rsidR="00A10563" w:rsidRPr="000E3A34" w:rsidRDefault="00A10563" w:rsidP="00793738">
            <w:pPr>
              <w:pStyle w:val="TableText"/>
              <w:jc w:val="center"/>
            </w:pPr>
            <w:r w:rsidRPr="00EA18C8">
              <w:t>4</w:t>
            </w:r>
            <w:r>
              <w:t>,</w:t>
            </w:r>
            <w:r w:rsidRPr="00EA18C8">
              <w:t>796</w:t>
            </w:r>
          </w:p>
        </w:tc>
        <w:tc>
          <w:tcPr>
            <w:tcW w:w="712" w:type="pct"/>
          </w:tcPr>
          <w:p w14:paraId="0D733FEA" w14:textId="77777777" w:rsidR="00A10563" w:rsidRPr="000E3A34" w:rsidRDefault="00A10563" w:rsidP="00793738">
            <w:pPr>
              <w:pStyle w:val="TableText"/>
              <w:jc w:val="center"/>
            </w:pPr>
            <w:r w:rsidRPr="00EA18C8">
              <w:t>7</w:t>
            </w:r>
            <w:r>
              <w:t>,</w:t>
            </w:r>
            <w:r w:rsidRPr="00EA18C8">
              <w:t>346</w:t>
            </w:r>
          </w:p>
        </w:tc>
      </w:tr>
      <w:tr w:rsidR="00A10563" w:rsidRPr="000E3A34" w14:paraId="2133815D" w14:textId="77777777" w:rsidTr="00793738">
        <w:trPr>
          <w:trHeight w:val="293"/>
        </w:trPr>
        <w:tc>
          <w:tcPr>
            <w:tcW w:w="1177" w:type="pct"/>
            <w:vMerge w:val="restart"/>
            <w:vAlign w:val="center"/>
          </w:tcPr>
          <w:p w14:paraId="387FD27F" w14:textId="77777777" w:rsidR="00A10563" w:rsidRDefault="00A10563" w:rsidP="00793738">
            <w:pPr>
              <w:pStyle w:val="TableText"/>
            </w:pPr>
            <w:r>
              <w:t xml:space="preserve">Additional subgroup analysis by eGFR </w:t>
            </w:r>
          </w:p>
        </w:tc>
        <w:tc>
          <w:tcPr>
            <w:tcW w:w="2425" w:type="pct"/>
            <w:vAlign w:val="center"/>
          </w:tcPr>
          <w:p w14:paraId="1ABB1DE4" w14:textId="77777777" w:rsidR="00A10563" w:rsidRPr="008E6B79" w:rsidRDefault="00A10563" w:rsidP="00793738">
            <w:pPr>
              <w:pStyle w:val="TableText"/>
              <w:rPr>
                <w:lang w:val="da-DK"/>
              </w:rPr>
            </w:pPr>
            <w:r w:rsidRPr="008E6B79">
              <w:rPr>
                <w:lang w:val="da-DK"/>
              </w:rPr>
              <w:t>eGFR 20 to 90 mL/min/1.73m</w:t>
            </w:r>
            <w:r w:rsidRPr="008E6B79">
              <w:rPr>
                <w:vertAlign w:val="superscript"/>
                <w:lang w:val="da-DK"/>
              </w:rPr>
              <w:t>2</w:t>
            </w:r>
          </w:p>
        </w:tc>
        <w:tc>
          <w:tcPr>
            <w:tcW w:w="686" w:type="pct"/>
          </w:tcPr>
          <w:p w14:paraId="17767FCF" w14:textId="77777777" w:rsidR="00A10563" w:rsidRPr="000E3A34" w:rsidRDefault="00A10563" w:rsidP="00793738">
            <w:pPr>
              <w:pStyle w:val="TableText"/>
              <w:jc w:val="center"/>
            </w:pPr>
            <w:r w:rsidRPr="006C32D5">
              <w:t>1</w:t>
            </w:r>
            <w:r>
              <w:t>,</w:t>
            </w:r>
            <w:r w:rsidRPr="006C32D5">
              <w:t>868</w:t>
            </w:r>
          </w:p>
        </w:tc>
        <w:tc>
          <w:tcPr>
            <w:tcW w:w="712" w:type="pct"/>
          </w:tcPr>
          <w:p w14:paraId="3811E2B8" w14:textId="77777777" w:rsidR="00A10563" w:rsidRPr="000E3A34" w:rsidRDefault="00A10563" w:rsidP="00793738">
            <w:pPr>
              <w:pStyle w:val="TableText"/>
              <w:jc w:val="center"/>
            </w:pPr>
            <w:r w:rsidRPr="006C32D5">
              <w:t>2</w:t>
            </w:r>
            <w:r>
              <w:t>,</w:t>
            </w:r>
            <w:r w:rsidRPr="006C32D5">
              <w:t>610</w:t>
            </w:r>
          </w:p>
        </w:tc>
      </w:tr>
      <w:tr w:rsidR="00A10563" w:rsidRPr="000E3A34" w14:paraId="568D9AA8" w14:textId="77777777" w:rsidTr="00793738">
        <w:tc>
          <w:tcPr>
            <w:tcW w:w="1177" w:type="pct"/>
            <w:vMerge/>
          </w:tcPr>
          <w:p w14:paraId="4FF6A26D" w14:textId="77777777" w:rsidR="00A10563" w:rsidRPr="00B77160" w:rsidRDefault="00A10563" w:rsidP="00793738">
            <w:pPr>
              <w:pStyle w:val="TableText"/>
            </w:pPr>
          </w:p>
        </w:tc>
        <w:tc>
          <w:tcPr>
            <w:tcW w:w="2425" w:type="pct"/>
            <w:vAlign w:val="center"/>
          </w:tcPr>
          <w:p w14:paraId="43C2210A" w14:textId="77777777" w:rsidR="00A10563" w:rsidRPr="008E6B79" w:rsidRDefault="00A10563" w:rsidP="00793738">
            <w:pPr>
              <w:pStyle w:val="TableText"/>
              <w:rPr>
                <w:lang w:val="da-DK"/>
              </w:rPr>
            </w:pPr>
            <w:r w:rsidRPr="008E6B79">
              <w:rPr>
                <w:lang w:val="da-DK"/>
              </w:rPr>
              <w:t>eGFR 20 to 45 mL/min/1.73m</w:t>
            </w:r>
            <w:r w:rsidRPr="008E6B79">
              <w:rPr>
                <w:vertAlign w:val="superscript"/>
                <w:lang w:val="da-DK"/>
              </w:rPr>
              <w:t>2</w:t>
            </w:r>
          </w:p>
        </w:tc>
        <w:tc>
          <w:tcPr>
            <w:tcW w:w="686" w:type="pct"/>
          </w:tcPr>
          <w:p w14:paraId="097A56A0" w14:textId="77777777" w:rsidR="00A10563" w:rsidRPr="000E3A34" w:rsidRDefault="00A10563" w:rsidP="00793738">
            <w:pPr>
              <w:pStyle w:val="TableText"/>
              <w:jc w:val="center"/>
            </w:pPr>
            <w:r w:rsidRPr="006C32D5">
              <w:t>1</w:t>
            </w:r>
            <w:r>
              <w:t>,</w:t>
            </w:r>
            <w:r w:rsidRPr="006C32D5">
              <w:t>868</w:t>
            </w:r>
          </w:p>
        </w:tc>
        <w:tc>
          <w:tcPr>
            <w:tcW w:w="712" w:type="pct"/>
          </w:tcPr>
          <w:p w14:paraId="3559F15F" w14:textId="77777777" w:rsidR="00A10563" w:rsidRPr="000E3A34" w:rsidRDefault="00A10563" w:rsidP="00793738">
            <w:pPr>
              <w:pStyle w:val="TableText"/>
              <w:jc w:val="center"/>
            </w:pPr>
            <w:r w:rsidRPr="006C32D5">
              <w:t>2</w:t>
            </w:r>
            <w:r>
              <w:t>,</w:t>
            </w:r>
            <w:r w:rsidRPr="006C32D5">
              <w:t>610</w:t>
            </w:r>
          </w:p>
        </w:tc>
      </w:tr>
      <w:tr w:rsidR="00A10563" w:rsidRPr="000E3A34" w14:paraId="1547F62E" w14:textId="77777777" w:rsidTr="00793738">
        <w:tc>
          <w:tcPr>
            <w:tcW w:w="1177" w:type="pct"/>
            <w:vMerge/>
          </w:tcPr>
          <w:p w14:paraId="1173145F" w14:textId="77777777" w:rsidR="00A10563" w:rsidRPr="00B77160" w:rsidRDefault="00A10563" w:rsidP="00793738">
            <w:pPr>
              <w:pStyle w:val="TableText"/>
            </w:pPr>
          </w:p>
        </w:tc>
        <w:tc>
          <w:tcPr>
            <w:tcW w:w="2425" w:type="pct"/>
            <w:vAlign w:val="center"/>
          </w:tcPr>
          <w:p w14:paraId="06E1453A" w14:textId="77777777" w:rsidR="00A10563" w:rsidRPr="008E6B79" w:rsidRDefault="00A10563" w:rsidP="00793738">
            <w:pPr>
              <w:pStyle w:val="TableText"/>
              <w:rPr>
                <w:lang w:val="da-DK"/>
              </w:rPr>
            </w:pPr>
            <w:r w:rsidRPr="008E6B79">
              <w:rPr>
                <w:lang w:val="da-DK"/>
              </w:rPr>
              <w:t>eGFR 45 to 75 mL/min/1.73m</w:t>
            </w:r>
            <w:r w:rsidRPr="008E6B79">
              <w:rPr>
                <w:vertAlign w:val="superscript"/>
                <w:lang w:val="da-DK"/>
              </w:rPr>
              <w:t>2</w:t>
            </w:r>
          </w:p>
        </w:tc>
        <w:tc>
          <w:tcPr>
            <w:tcW w:w="686" w:type="pct"/>
          </w:tcPr>
          <w:p w14:paraId="0B2964D7" w14:textId="77777777" w:rsidR="00A10563" w:rsidRPr="000E3A34" w:rsidRDefault="00A10563" w:rsidP="00793738">
            <w:pPr>
              <w:pStyle w:val="TableText"/>
              <w:jc w:val="center"/>
            </w:pPr>
            <w:r w:rsidRPr="007269C8">
              <w:t>2</w:t>
            </w:r>
            <w:r>
              <w:t>,</w:t>
            </w:r>
            <w:r w:rsidRPr="007269C8">
              <w:t>465</w:t>
            </w:r>
          </w:p>
        </w:tc>
        <w:tc>
          <w:tcPr>
            <w:tcW w:w="712" w:type="pct"/>
          </w:tcPr>
          <w:p w14:paraId="4E0E4A5F" w14:textId="77777777" w:rsidR="00A10563" w:rsidRPr="000E3A34" w:rsidRDefault="00A10563" w:rsidP="00793738">
            <w:pPr>
              <w:pStyle w:val="TableText"/>
              <w:jc w:val="center"/>
            </w:pPr>
            <w:r w:rsidRPr="007269C8">
              <w:t>3</w:t>
            </w:r>
            <w:r>
              <w:t>,</w:t>
            </w:r>
            <w:r w:rsidRPr="007269C8">
              <w:t>847</w:t>
            </w:r>
          </w:p>
        </w:tc>
      </w:tr>
      <w:tr w:rsidR="00A10563" w:rsidRPr="000E3A34" w14:paraId="5EF56409" w14:textId="77777777" w:rsidTr="00793738">
        <w:tc>
          <w:tcPr>
            <w:tcW w:w="1177" w:type="pct"/>
            <w:vMerge/>
          </w:tcPr>
          <w:p w14:paraId="04BC0A1F" w14:textId="77777777" w:rsidR="00A10563" w:rsidRPr="00B77160" w:rsidRDefault="00A10563" w:rsidP="00793738">
            <w:pPr>
              <w:pStyle w:val="TableText"/>
            </w:pPr>
          </w:p>
        </w:tc>
        <w:tc>
          <w:tcPr>
            <w:tcW w:w="2425" w:type="pct"/>
            <w:vAlign w:val="center"/>
          </w:tcPr>
          <w:p w14:paraId="3CDCFEB6" w14:textId="77777777" w:rsidR="00A10563" w:rsidRPr="008E6B79" w:rsidRDefault="00A10563" w:rsidP="00793738">
            <w:pPr>
              <w:pStyle w:val="TableText"/>
              <w:rPr>
                <w:lang w:val="da-DK"/>
              </w:rPr>
            </w:pPr>
            <w:r w:rsidRPr="008E6B79">
              <w:rPr>
                <w:lang w:val="da-DK"/>
              </w:rPr>
              <w:t>eGFR 75 to 90 mL/min/1.73m</w:t>
            </w:r>
            <w:r w:rsidRPr="008E6B79">
              <w:rPr>
                <w:vertAlign w:val="superscript"/>
                <w:lang w:val="da-DK"/>
              </w:rPr>
              <w:t>2</w:t>
            </w:r>
          </w:p>
        </w:tc>
        <w:tc>
          <w:tcPr>
            <w:tcW w:w="686" w:type="pct"/>
          </w:tcPr>
          <w:p w14:paraId="05244F7B" w14:textId="77777777" w:rsidR="00A10563" w:rsidRPr="000E3A34" w:rsidRDefault="00A10563" w:rsidP="00793738">
            <w:pPr>
              <w:pStyle w:val="TableText"/>
              <w:jc w:val="center"/>
            </w:pPr>
            <w:r w:rsidRPr="00220571">
              <w:t>463</w:t>
            </w:r>
          </w:p>
        </w:tc>
        <w:tc>
          <w:tcPr>
            <w:tcW w:w="712" w:type="pct"/>
          </w:tcPr>
          <w:p w14:paraId="5D09E079" w14:textId="77777777" w:rsidR="00A10563" w:rsidRPr="000E3A34" w:rsidRDefault="00A10563" w:rsidP="00793738">
            <w:pPr>
              <w:pStyle w:val="TableText"/>
              <w:jc w:val="center"/>
            </w:pPr>
            <w:r w:rsidRPr="00220571">
              <w:t>889</w:t>
            </w:r>
          </w:p>
        </w:tc>
      </w:tr>
    </w:tbl>
    <w:p w14:paraId="359DD4F3" w14:textId="77777777" w:rsidR="00BE7681" w:rsidRDefault="00BE7681" w:rsidP="00DA03B4">
      <w:pPr>
        <w:pStyle w:val="TableFigureFooter"/>
      </w:pPr>
      <w:r>
        <w:t>Abbreviations: CKD, chronic kidney disease; eGFR, estimated glomerular filtration rate; PBS, Pharmaceutical Benefits Scheme; SGLT2i, sodium-glucose co-transporter 2 inhibitor; UACR, urinary albumin to creatine ratio</w:t>
      </w:r>
    </w:p>
    <w:p w14:paraId="7257B0C4" w14:textId="3E6147F7" w:rsidR="00BE7681" w:rsidRPr="00F0480C" w:rsidRDefault="00BE7681" w:rsidP="00DA03B4">
      <w:pPr>
        <w:pStyle w:val="TableFigureFooter"/>
      </w:pPr>
      <w:r>
        <w:t>Source: Table 2</w:t>
      </w:r>
      <w:r w:rsidR="003632D7">
        <w:t xml:space="preserve"> of submission, p16</w:t>
      </w:r>
    </w:p>
    <w:p w14:paraId="1FA462A0" w14:textId="74A62463" w:rsidR="00DC77D0" w:rsidRPr="005A3443" w:rsidRDefault="004615D6" w:rsidP="005A3443">
      <w:pPr>
        <w:pStyle w:val="COMexecsummnumbered"/>
        <w:rPr>
          <w:bCs/>
        </w:rPr>
      </w:pPr>
      <w:r>
        <w:rPr>
          <w:bCs/>
        </w:rPr>
        <w:t>Of note, OPTIMISE-CKD data</w:t>
      </w:r>
      <w:r w:rsidR="003852A7">
        <w:rPr>
          <w:bCs/>
        </w:rPr>
        <w:t xml:space="preserve"> analyses</w:t>
      </w:r>
      <w:r>
        <w:rPr>
          <w:bCs/>
        </w:rPr>
        <w:t xml:space="preserve"> demonstrated </w:t>
      </w:r>
      <w:r w:rsidR="004063F8">
        <w:rPr>
          <w:bCs/>
        </w:rPr>
        <w:t xml:space="preserve">similar </w:t>
      </w:r>
      <w:r w:rsidR="001A5479">
        <w:rPr>
          <w:bCs/>
        </w:rPr>
        <w:t>efficacy of dapagliflozin</w:t>
      </w:r>
      <w:r w:rsidR="004063F8">
        <w:rPr>
          <w:bCs/>
        </w:rPr>
        <w:t xml:space="preserve"> in </w:t>
      </w:r>
      <w:r w:rsidR="00645000">
        <w:rPr>
          <w:bCs/>
        </w:rPr>
        <w:t>reducing</w:t>
      </w:r>
      <w:r w:rsidR="004063F8">
        <w:rPr>
          <w:bCs/>
        </w:rPr>
        <w:t xml:space="preserve"> the slope of eGFR decline in those with higher and lower album</w:t>
      </w:r>
      <w:r w:rsidR="00DC77D0">
        <w:rPr>
          <w:bCs/>
        </w:rPr>
        <w:t xml:space="preserve">inuria (see </w:t>
      </w:r>
      <w:r w:rsidR="00EF3324" w:rsidRPr="00EF3324">
        <w:rPr>
          <w:bCs/>
        </w:rPr>
        <w:fldChar w:fldCharType="begin"/>
      </w:r>
      <w:r w:rsidR="00EF3324" w:rsidRPr="00EF3324">
        <w:rPr>
          <w:bCs/>
        </w:rPr>
        <w:instrText xml:space="preserve"> REF _Ref208909584 \h </w:instrText>
      </w:r>
      <w:r w:rsidR="00EF3324" w:rsidRPr="00EF3324">
        <w:rPr>
          <w:bCs/>
        </w:rPr>
      </w:r>
      <w:r w:rsidR="00EF3324" w:rsidRPr="00EF3324">
        <w:rPr>
          <w:bCs/>
        </w:rPr>
        <w:fldChar w:fldCharType="separate"/>
      </w:r>
      <w:r w:rsidR="00EB7AD5">
        <w:t xml:space="preserve">Figure </w:t>
      </w:r>
      <w:r w:rsidR="00EB7AD5">
        <w:rPr>
          <w:noProof/>
        </w:rPr>
        <w:t>1</w:t>
      </w:r>
      <w:r w:rsidR="00EF3324" w:rsidRPr="00EF3324">
        <w:rPr>
          <w:bCs/>
        </w:rPr>
        <w:fldChar w:fldCharType="end"/>
      </w:r>
      <w:r w:rsidR="00DC77D0" w:rsidRPr="00EF3324">
        <w:rPr>
          <w:bCs/>
        </w:rPr>
        <w:t xml:space="preserve"> below).</w:t>
      </w:r>
    </w:p>
    <w:p w14:paraId="141B8EFC" w14:textId="133050DB" w:rsidR="00955A06" w:rsidRDefault="00EF3324" w:rsidP="005A3443">
      <w:pPr>
        <w:pStyle w:val="TableFigureHeading"/>
        <w:keepLines/>
      </w:pPr>
      <w:bookmarkStart w:id="5" w:name="_Ref208909584"/>
      <w:bookmarkStart w:id="6" w:name="_Ref208909579"/>
      <w:r>
        <w:lastRenderedPageBreak/>
        <w:t xml:space="preserve">Figure </w:t>
      </w:r>
      <w:r>
        <w:fldChar w:fldCharType="begin"/>
      </w:r>
      <w:r>
        <w:instrText xml:space="preserve"> SEQ Figure \* ARABIC </w:instrText>
      </w:r>
      <w:r>
        <w:fldChar w:fldCharType="separate"/>
      </w:r>
      <w:r w:rsidR="00EB7AD5">
        <w:rPr>
          <w:noProof/>
        </w:rPr>
        <w:t>1</w:t>
      </w:r>
      <w:r>
        <w:fldChar w:fldCharType="end"/>
      </w:r>
      <w:bookmarkEnd w:id="5"/>
      <w:r>
        <w:t>:</w:t>
      </w:r>
      <w:r w:rsidR="00955A06">
        <w:t xml:space="preserve"> e</w:t>
      </w:r>
      <w:r w:rsidR="00955A06" w:rsidRPr="00A820AE">
        <w:t xml:space="preserve">GFR change from baseline over time following dapagliflozin initiation in patients with CKD and without T2D, all </w:t>
      </w:r>
      <w:r w:rsidR="00955A06">
        <w:t>UACR</w:t>
      </w:r>
      <w:bookmarkEnd w:id="6"/>
    </w:p>
    <w:p w14:paraId="186E0BFE" w14:textId="592955ED" w:rsidR="00CB1C42" w:rsidRDefault="00CB1C42" w:rsidP="005A3443">
      <w:pPr>
        <w:pStyle w:val="COMexecsummnumbered"/>
        <w:keepNext/>
        <w:keepLines/>
        <w:numPr>
          <w:ilvl w:val="0"/>
          <w:numId w:val="0"/>
        </w:numPr>
        <w:spacing w:before="0" w:after="0"/>
        <w:ind w:left="720"/>
        <w:rPr>
          <w:bCs/>
        </w:rPr>
      </w:pPr>
      <w:r w:rsidRPr="0086562A">
        <w:rPr>
          <w:noProof/>
        </w:rPr>
        <w:drawing>
          <wp:inline distT="0" distB="0" distL="0" distR="0" wp14:anchorId="21D2496E" wp14:editId="774F389B">
            <wp:extent cx="3960000" cy="3195374"/>
            <wp:effectExtent l="0" t="0" r="2540" b="5080"/>
            <wp:docPr id="12" name="Picture 12" descr="eGFR change from baseline over time following dapagliflozin initiation in patients with CKD and without T2D, all UA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eGFR change from baseline over time following dapagliflozin initiation in patients with CKD and without T2D, all UACR"/>
                    <pic:cNvPicPr/>
                  </pic:nvPicPr>
                  <pic:blipFill>
                    <a:blip r:embed="rId11"/>
                    <a:stretch>
                      <a:fillRect/>
                    </a:stretch>
                  </pic:blipFill>
                  <pic:spPr>
                    <a:xfrm>
                      <a:off x="0" y="0"/>
                      <a:ext cx="3960000" cy="3195374"/>
                    </a:xfrm>
                    <a:prstGeom prst="rect">
                      <a:avLst/>
                    </a:prstGeom>
                  </pic:spPr>
                </pic:pic>
              </a:graphicData>
            </a:graphic>
          </wp:inline>
        </w:drawing>
      </w:r>
    </w:p>
    <w:p w14:paraId="7C8F766B" w14:textId="77777777" w:rsidR="00A10D8E" w:rsidRPr="00EF3324" w:rsidRDefault="00A10D8E" w:rsidP="005A3443">
      <w:pPr>
        <w:pStyle w:val="TableFigureFooter"/>
        <w:keepNext/>
        <w:keepLines/>
        <w:rPr>
          <w:b/>
          <w:bCs/>
          <w:lang w:eastAsia="zh-CN"/>
        </w:rPr>
      </w:pPr>
      <w:r w:rsidRPr="00EF3324">
        <w:rPr>
          <w:lang w:eastAsia="zh-CN"/>
        </w:rPr>
        <w:t>Footnote: * Initiation of dapagliflozin.</w:t>
      </w:r>
    </w:p>
    <w:p w14:paraId="26BEDAB6" w14:textId="77777777" w:rsidR="00A10D8E" w:rsidRPr="00EF3324" w:rsidRDefault="00A10D8E" w:rsidP="005A3443">
      <w:pPr>
        <w:pStyle w:val="TableFigureFooter"/>
        <w:keepNext/>
        <w:keepLines/>
        <w:rPr>
          <w:b/>
          <w:bCs/>
          <w:lang w:eastAsia="zh-CN"/>
        </w:rPr>
      </w:pPr>
      <w:r w:rsidRPr="00EF3324">
        <w:rPr>
          <w:lang w:eastAsia="zh-CN"/>
        </w:rPr>
        <w:t>Abbreviations: CKD: chronic kidney disease; eGFR: estimated glomerular filtration rate; T2D: type 2 diabetes; UACR: urine albumin-creatinine ratio.</w:t>
      </w:r>
    </w:p>
    <w:p w14:paraId="02D94B11" w14:textId="64B25D7E" w:rsidR="00A10D8E" w:rsidRPr="009C0DD9" w:rsidRDefault="00A10D8E" w:rsidP="009C0DD9">
      <w:pPr>
        <w:pStyle w:val="TableFigureFooter"/>
        <w:rPr>
          <w:b/>
          <w:bCs/>
        </w:rPr>
      </w:pPr>
      <w:r w:rsidRPr="00EF3324">
        <w:rPr>
          <w:lang w:eastAsia="zh-CN"/>
        </w:rPr>
        <w:t>Source: Svensson et al., 2024. Supplementary material</w:t>
      </w:r>
      <w:r w:rsidR="00EF3324">
        <w:rPr>
          <w:lang w:eastAsia="zh-CN"/>
        </w:rPr>
        <w:t xml:space="preserve">; </w:t>
      </w:r>
      <w:r w:rsidR="00EF3324" w:rsidRPr="00EF3324">
        <w:t>Figure 1 of submission, p11</w:t>
      </w:r>
    </w:p>
    <w:p w14:paraId="498AE1F8" w14:textId="77777777" w:rsidR="002F67B6" w:rsidRPr="002F67B6" w:rsidRDefault="002F67B6" w:rsidP="002F67B6">
      <w:pPr>
        <w:pStyle w:val="TableFigureFooter"/>
        <w:rPr>
          <w:bCs/>
        </w:rPr>
      </w:pPr>
      <w:r w:rsidRPr="002F67B6">
        <w:rPr>
          <w:bCs/>
          <w:i/>
          <w:iCs/>
        </w:rPr>
        <w:t>Note that the results presented in Figure 1 is derived from retrospective RWE analyses of Optum claims data conducted by the applicant specifically for the purposes of informing PBAC consideration. Interpretation of the results and their application should therefore be limited to understanding the basis for the PBAC outcome and should not be used for any other purpose.</w:t>
      </w:r>
    </w:p>
    <w:p w14:paraId="126EEE14" w14:textId="1395D6CC" w:rsidR="00620DC0" w:rsidRDefault="00A2182E" w:rsidP="00BF5037">
      <w:pPr>
        <w:pStyle w:val="COMexecsummnumbered"/>
        <w:rPr>
          <w:bCs/>
        </w:rPr>
      </w:pPr>
      <w:r>
        <w:rPr>
          <w:bCs/>
        </w:rPr>
        <w:t xml:space="preserve">For the </w:t>
      </w:r>
      <w:r w:rsidR="00485086">
        <w:rPr>
          <w:bCs/>
        </w:rPr>
        <w:t xml:space="preserve">comparative data from Optum, dapagliflozin and </w:t>
      </w:r>
      <w:r w:rsidR="00227321">
        <w:rPr>
          <w:bCs/>
        </w:rPr>
        <w:t>empagliflozin</w:t>
      </w:r>
      <w:r w:rsidR="00485086">
        <w:rPr>
          <w:bCs/>
        </w:rPr>
        <w:t xml:space="preserve"> showed </w:t>
      </w:r>
      <w:r w:rsidR="00361A4A">
        <w:rPr>
          <w:bCs/>
        </w:rPr>
        <w:t xml:space="preserve">similar </w:t>
      </w:r>
      <w:r w:rsidR="00A01CBE">
        <w:rPr>
          <w:bCs/>
        </w:rPr>
        <w:t>benefits</w:t>
      </w:r>
      <w:r w:rsidR="00361A4A">
        <w:rPr>
          <w:bCs/>
        </w:rPr>
        <w:t xml:space="preserve"> in eGFR slope</w:t>
      </w:r>
      <w:r w:rsidR="00227321">
        <w:rPr>
          <w:bCs/>
        </w:rPr>
        <w:t xml:space="preserve"> (</w:t>
      </w:r>
      <w:r w:rsidR="00070EDE">
        <w:rPr>
          <w:bCs/>
        </w:rPr>
        <w:fldChar w:fldCharType="begin"/>
      </w:r>
      <w:r w:rsidR="00070EDE">
        <w:rPr>
          <w:bCs/>
        </w:rPr>
        <w:instrText xml:space="preserve"> REF _Ref208909292 \h </w:instrText>
      </w:r>
      <w:r w:rsidR="00070EDE">
        <w:rPr>
          <w:bCs/>
        </w:rPr>
      </w:r>
      <w:r w:rsidR="00070EDE">
        <w:rPr>
          <w:bCs/>
        </w:rPr>
        <w:fldChar w:fldCharType="separate"/>
      </w:r>
      <w:r w:rsidR="00EB7AD5">
        <w:t xml:space="preserve">Figure </w:t>
      </w:r>
      <w:r w:rsidR="00EB7AD5">
        <w:rPr>
          <w:noProof/>
        </w:rPr>
        <w:t>2</w:t>
      </w:r>
      <w:r w:rsidR="00070EDE">
        <w:rPr>
          <w:bCs/>
        </w:rPr>
        <w:fldChar w:fldCharType="end"/>
      </w:r>
      <w:r w:rsidR="00227321">
        <w:rPr>
          <w:bCs/>
        </w:rPr>
        <w:t>)</w:t>
      </w:r>
      <w:r w:rsidR="00361A4A">
        <w:rPr>
          <w:bCs/>
        </w:rPr>
        <w:t xml:space="preserve">, no difference in </w:t>
      </w:r>
      <w:r w:rsidR="00895C88">
        <w:rPr>
          <w:bCs/>
        </w:rPr>
        <w:t>eGFR slope across different eGFR categories and degrees of album</w:t>
      </w:r>
      <w:r w:rsidR="00227321">
        <w:rPr>
          <w:bCs/>
        </w:rPr>
        <w:t>in</w:t>
      </w:r>
      <w:r w:rsidR="00895C88">
        <w:rPr>
          <w:bCs/>
        </w:rPr>
        <w:t>uria</w:t>
      </w:r>
      <w:r w:rsidR="00227321">
        <w:rPr>
          <w:bCs/>
        </w:rPr>
        <w:t xml:space="preserve"> (</w:t>
      </w:r>
      <w:r w:rsidR="008D0701">
        <w:rPr>
          <w:bCs/>
        </w:rPr>
        <w:t xml:space="preserve">Figure </w:t>
      </w:r>
      <w:r w:rsidR="00E574D2">
        <w:rPr>
          <w:bCs/>
        </w:rPr>
        <w:t xml:space="preserve">3) and similar time to hospitalisation (Figure </w:t>
      </w:r>
      <w:r w:rsidR="00BF5037">
        <w:rPr>
          <w:bCs/>
        </w:rPr>
        <w:t>4).</w:t>
      </w:r>
    </w:p>
    <w:p w14:paraId="2D93B9EE" w14:textId="22A06853" w:rsidR="00CA217C" w:rsidRPr="00E26724" w:rsidRDefault="00EF3324" w:rsidP="005A3443">
      <w:pPr>
        <w:pStyle w:val="TableFigureHeading"/>
        <w:keepLines/>
      </w:pPr>
      <w:bookmarkStart w:id="7" w:name="_Ref208909292"/>
      <w:r>
        <w:lastRenderedPageBreak/>
        <w:t xml:space="preserve">Figure </w:t>
      </w:r>
      <w:r>
        <w:fldChar w:fldCharType="begin"/>
      </w:r>
      <w:r>
        <w:instrText xml:space="preserve"> SEQ Figure \* ARABIC </w:instrText>
      </w:r>
      <w:r>
        <w:fldChar w:fldCharType="separate"/>
      </w:r>
      <w:r w:rsidR="00EB7AD5">
        <w:rPr>
          <w:noProof/>
        </w:rPr>
        <w:t>2</w:t>
      </w:r>
      <w:r>
        <w:fldChar w:fldCharType="end"/>
      </w:r>
      <w:bookmarkEnd w:id="7"/>
      <w:r w:rsidR="0069244D">
        <w:t xml:space="preserve">: </w:t>
      </w:r>
      <w:r w:rsidR="00E26724" w:rsidRPr="00E26724">
        <w:t>Median eGFR slope (ml/min/1.73m2) for patients receiving dapagliflozin and empagliflozin (PS weighted) - overall population (overall cohort)</w:t>
      </w:r>
    </w:p>
    <w:p w14:paraId="369D66C4" w14:textId="161D8B6D" w:rsidR="00620DC0" w:rsidRPr="00620DC0" w:rsidRDefault="00CA217C" w:rsidP="005A3443">
      <w:pPr>
        <w:pStyle w:val="COMexecsummnumbered"/>
        <w:keepNext/>
        <w:keepLines/>
        <w:numPr>
          <w:ilvl w:val="0"/>
          <w:numId w:val="0"/>
        </w:numPr>
        <w:spacing w:before="0" w:after="0"/>
        <w:ind w:left="720"/>
        <w:rPr>
          <w:bCs/>
        </w:rPr>
      </w:pPr>
      <w:r w:rsidRPr="00C36668">
        <w:rPr>
          <w:noProof/>
        </w:rPr>
        <w:drawing>
          <wp:inline distT="0" distB="0" distL="0" distR="0" wp14:anchorId="067A8262" wp14:editId="360F35E6">
            <wp:extent cx="4802195" cy="3429000"/>
            <wp:effectExtent l="0" t="0" r="0" b="0"/>
            <wp:docPr id="1732150083" name="Picture 2" descr="Median eGFR slope (ml/min/1.73m2) for patients receiving dapagliflozin and empagliflozin (PS weighted) - overall population (overall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50083" name="Picture 2" descr="Median eGFR slope (ml/min/1.73m2) for patients receiving dapagliflozin and empagliflozin (PS weighted) - overall population (overall coho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0447" cy="3434892"/>
                    </a:xfrm>
                    <a:prstGeom prst="rect">
                      <a:avLst/>
                    </a:prstGeom>
                    <a:noFill/>
                    <a:ln>
                      <a:noFill/>
                    </a:ln>
                  </pic:spPr>
                </pic:pic>
              </a:graphicData>
            </a:graphic>
          </wp:inline>
        </w:drawing>
      </w:r>
    </w:p>
    <w:p w14:paraId="76EEA929" w14:textId="77777777" w:rsidR="00AB6F0D" w:rsidRPr="0069244D" w:rsidRDefault="00AB6F0D" w:rsidP="005A3443">
      <w:pPr>
        <w:pStyle w:val="TableFigureFooter"/>
        <w:keepNext/>
        <w:keepLines/>
        <w:rPr>
          <w:b/>
          <w:bCs/>
        </w:rPr>
      </w:pPr>
      <w:r w:rsidRPr="0069244D">
        <w:t>A higher value indicates a greater treatment benefit. Dapagliflozin patient numbers (n=2,650): 90 days: 360; 180 days: 996 total period, 1,320. Empagliflozin patient numbers (n=3,632): 90 days: 519; 180 days: 1,317; total period, 1,702.</w:t>
      </w:r>
    </w:p>
    <w:p w14:paraId="3CDC9197" w14:textId="77777777" w:rsidR="00AB6F0D" w:rsidRPr="0069244D" w:rsidRDefault="00AB6F0D" w:rsidP="005A3443">
      <w:pPr>
        <w:pStyle w:val="TableFigureFooter"/>
        <w:keepNext/>
        <w:keepLines/>
        <w:rPr>
          <w:b/>
          <w:bCs/>
        </w:rPr>
      </w:pPr>
      <w:r w:rsidRPr="0069244D">
        <w:t xml:space="preserve">Abbreviations: </w:t>
      </w:r>
      <w:proofErr w:type="spellStart"/>
      <w:r w:rsidRPr="0069244D">
        <w:t>dapa</w:t>
      </w:r>
      <w:proofErr w:type="spellEnd"/>
      <w:r w:rsidRPr="0069244D">
        <w:t xml:space="preserve">, dapagliflozin; eGFR, estimated glomerular filtration rate; </w:t>
      </w:r>
      <w:proofErr w:type="spellStart"/>
      <w:r w:rsidRPr="0069244D">
        <w:t>empa</w:t>
      </w:r>
      <w:proofErr w:type="spellEnd"/>
      <w:r w:rsidRPr="0069244D">
        <w:t>, empagliflozin; PS, propensity score.</w:t>
      </w:r>
    </w:p>
    <w:p w14:paraId="3A6D4766" w14:textId="70E04099" w:rsidR="009C0DD9" w:rsidRDefault="00AB6F0D" w:rsidP="00381C9F">
      <w:pPr>
        <w:pStyle w:val="TableFigureFooter"/>
      </w:pPr>
      <w:r w:rsidRPr="0069244D">
        <w:t xml:space="preserve">Source: Figure </w:t>
      </w:r>
      <w:r w:rsidR="004131BC" w:rsidRPr="0069244D">
        <w:t xml:space="preserve">6 of the submission, </w:t>
      </w:r>
      <w:r w:rsidR="0069244D" w:rsidRPr="0069244D">
        <w:t>p19.</w:t>
      </w:r>
      <w:bookmarkStart w:id="8" w:name="_Ref208909324"/>
    </w:p>
    <w:p w14:paraId="5D21D22A" w14:textId="77777777" w:rsidR="008A2052" w:rsidRPr="008A2052" w:rsidRDefault="008A2052" w:rsidP="008A2052">
      <w:pPr>
        <w:pStyle w:val="TableFigureFooter"/>
      </w:pPr>
      <w:r w:rsidRPr="008A2052">
        <w:rPr>
          <w:i/>
          <w:iCs/>
        </w:rPr>
        <w:t>Note that the results presented in Figure 2 is derived from retrospective RWE analyses of Optum claims data conducted by the applicant specifically for the purposes of informing PBAC consideration. Interpretation of the results and their application should therefore be limited to understanding the basis for the PBAC outcome and should not be used for any other purpose.</w:t>
      </w:r>
    </w:p>
    <w:p w14:paraId="48DD0C72" w14:textId="77777777" w:rsidR="008A2052" w:rsidRPr="00381C9F" w:rsidRDefault="008A2052" w:rsidP="00381C9F">
      <w:pPr>
        <w:pStyle w:val="TableFigureFooter"/>
        <w:rPr>
          <w:b/>
          <w:bCs/>
        </w:rPr>
      </w:pPr>
    </w:p>
    <w:p w14:paraId="746F4E35" w14:textId="02BF054C" w:rsidR="00E612AA" w:rsidRDefault="00EF3324" w:rsidP="005A3443">
      <w:pPr>
        <w:pStyle w:val="Caption"/>
        <w:keepLines/>
      </w:pPr>
      <w:r>
        <w:lastRenderedPageBreak/>
        <w:t xml:space="preserve">Figure </w:t>
      </w:r>
      <w:r>
        <w:fldChar w:fldCharType="begin"/>
      </w:r>
      <w:r>
        <w:instrText xml:space="preserve"> SEQ Figure \* ARABIC </w:instrText>
      </w:r>
      <w:r>
        <w:fldChar w:fldCharType="separate"/>
      </w:r>
      <w:r w:rsidR="00EB7AD5">
        <w:rPr>
          <w:noProof/>
        </w:rPr>
        <w:t>3</w:t>
      </w:r>
      <w:r>
        <w:fldChar w:fldCharType="end"/>
      </w:r>
      <w:bookmarkEnd w:id="8"/>
      <w:r>
        <w:t xml:space="preserve">: </w:t>
      </w:r>
      <w:r w:rsidR="00E612AA" w:rsidRPr="00F0480C">
        <w:t>Forest plot for subgroup analyses of median eGFR slope and 95% CIs</w:t>
      </w:r>
    </w:p>
    <w:p w14:paraId="0DD6A538" w14:textId="3D3B7C10" w:rsidR="0069244D" w:rsidRDefault="00E85A1D" w:rsidP="005A3443">
      <w:pPr>
        <w:pStyle w:val="COMTableheadingrow"/>
        <w:keepLines/>
        <w:rPr>
          <w:lang w:val="en-AU"/>
        </w:rPr>
      </w:pPr>
      <w:r w:rsidRPr="00175B1F">
        <w:rPr>
          <w:noProof/>
        </w:rPr>
        <w:drawing>
          <wp:inline distT="0" distB="0" distL="0" distR="0" wp14:anchorId="2E1342F6" wp14:editId="5F49F4EC">
            <wp:extent cx="5476340" cy="4251960"/>
            <wp:effectExtent l="0" t="0" r="0" b="0"/>
            <wp:docPr id="165176614" name="Picture 1" descr="Forest plot for subgroup analyses of median eGFR slope and 95% C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6614" name="Picture 1" descr="Forest plot for subgroup analyses of median eGFR slope and 95% CIs"/>
                    <pic:cNvPicPr/>
                  </pic:nvPicPr>
                  <pic:blipFill>
                    <a:blip r:embed="rId13"/>
                    <a:stretch>
                      <a:fillRect/>
                    </a:stretch>
                  </pic:blipFill>
                  <pic:spPr>
                    <a:xfrm>
                      <a:off x="0" y="0"/>
                      <a:ext cx="5478385" cy="4253548"/>
                    </a:xfrm>
                    <a:prstGeom prst="rect">
                      <a:avLst/>
                    </a:prstGeom>
                  </pic:spPr>
                </pic:pic>
              </a:graphicData>
            </a:graphic>
          </wp:inline>
        </w:drawing>
      </w:r>
    </w:p>
    <w:p w14:paraId="0DD944F8" w14:textId="77777777" w:rsidR="00125873" w:rsidRPr="00BF2A91" w:rsidRDefault="00125873" w:rsidP="005A3443">
      <w:pPr>
        <w:pStyle w:val="TableFigureFooter"/>
        <w:keepNext/>
        <w:keepLines/>
        <w:rPr>
          <w:b/>
          <w:bCs/>
        </w:rPr>
      </w:pPr>
      <w:r w:rsidRPr="00BF2A91">
        <w:t>Abbreviations: CI, confidence interval; eGFR, estimated glomerular filtration rate; UACR, urinary albumin to creatine ratio</w:t>
      </w:r>
    </w:p>
    <w:p w14:paraId="49640839" w14:textId="62B71DE8" w:rsidR="00125873" w:rsidRDefault="00125873" w:rsidP="009C0DD9">
      <w:pPr>
        <w:pStyle w:val="TableFigureFooter"/>
      </w:pPr>
      <w:r w:rsidRPr="00BF2A91">
        <w:t>Source: Figure 10 of the submission, p</w:t>
      </w:r>
      <w:r w:rsidR="00BF2A91" w:rsidRPr="00BF2A91">
        <w:t>23</w:t>
      </w:r>
    </w:p>
    <w:p w14:paraId="08B570B8" w14:textId="77777777" w:rsidR="00C168AA" w:rsidRPr="00C168AA" w:rsidRDefault="00C168AA" w:rsidP="00C168AA">
      <w:pPr>
        <w:pStyle w:val="TableFigureFooter"/>
      </w:pPr>
      <w:r w:rsidRPr="00C168AA">
        <w:rPr>
          <w:i/>
          <w:iCs/>
        </w:rPr>
        <w:t>Note that the results presented in Figure 3 is derived from retrospective RWE analyses of Optum claims data conducted by the applicant specifically for the purposes of informing PBAC consideration. Interpretation of the results and their application should therefore be limited to understanding the basis for the PBAC outcome and should not be used for any other purpose.</w:t>
      </w:r>
    </w:p>
    <w:p w14:paraId="26B20C16" w14:textId="77777777" w:rsidR="00C168AA" w:rsidRDefault="00C168AA" w:rsidP="009C0DD9">
      <w:pPr>
        <w:pStyle w:val="TableFigureFooter"/>
      </w:pPr>
    </w:p>
    <w:p w14:paraId="14319F23" w14:textId="77777777" w:rsidR="0073787D" w:rsidRDefault="0073787D" w:rsidP="009C0DD9">
      <w:pPr>
        <w:pStyle w:val="TableFigureFooter"/>
        <w:rPr>
          <w:b/>
          <w:bCs/>
        </w:rPr>
      </w:pPr>
    </w:p>
    <w:p w14:paraId="04082751" w14:textId="30AE4B20" w:rsidR="005319EC" w:rsidRDefault="00EF3324" w:rsidP="005A3443">
      <w:pPr>
        <w:pStyle w:val="Caption"/>
        <w:keepLines/>
      </w:pPr>
      <w:bookmarkStart w:id="9" w:name="_Ref208909348"/>
      <w:r>
        <w:lastRenderedPageBreak/>
        <w:t xml:space="preserve">Figure </w:t>
      </w:r>
      <w:r>
        <w:fldChar w:fldCharType="begin"/>
      </w:r>
      <w:r>
        <w:instrText xml:space="preserve"> SEQ Figure \* ARABIC </w:instrText>
      </w:r>
      <w:r>
        <w:fldChar w:fldCharType="separate"/>
      </w:r>
      <w:r w:rsidR="00EB7AD5">
        <w:rPr>
          <w:noProof/>
        </w:rPr>
        <w:t>4</w:t>
      </w:r>
      <w:r>
        <w:fldChar w:fldCharType="end"/>
      </w:r>
      <w:bookmarkEnd w:id="9"/>
      <w:r>
        <w:t xml:space="preserve">: </w:t>
      </w:r>
      <w:r w:rsidR="005319EC" w:rsidRPr="00F0480C">
        <w:t>KM plot for time to hospitalisation for CKD for dapagliflozin and empagliflozin (PS weighted) – overall population (</w:t>
      </w:r>
      <w:r w:rsidR="005319EC">
        <w:t>overall cohort</w:t>
      </w:r>
      <w:r w:rsidR="005319EC" w:rsidRPr="00F0480C">
        <w:t>)</w:t>
      </w:r>
    </w:p>
    <w:p w14:paraId="75E82D32" w14:textId="432DE755" w:rsidR="00BF2A91" w:rsidRPr="00BF2A91" w:rsidRDefault="00A92946" w:rsidP="005A3443">
      <w:pPr>
        <w:pStyle w:val="COMTableheadingrow"/>
        <w:keepLines/>
        <w:rPr>
          <w:lang w:val="en-AU"/>
        </w:rPr>
      </w:pPr>
      <w:r w:rsidRPr="00F11663">
        <w:rPr>
          <w:noProof/>
          <w:lang w:eastAsia="en-GB"/>
        </w:rPr>
        <w:drawing>
          <wp:inline distT="0" distB="0" distL="0" distR="0" wp14:anchorId="53108563" wp14:editId="05485B73">
            <wp:extent cx="5731510" cy="3874770"/>
            <wp:effectExtent l="0" t="0" r="2540" b="0"/>
            <wp:docPr id="1723653554" name="Picture 8" descr="KM plot for time to hospitalisation for CKD for dapagliflozin and empagliflozin (PS weighted) – overall population (overall co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53554" name="Picture 8" descr="KM plot for time to hospitalisation for CKD for dapagliflozin and empagliflozin (PS weighted) – overall population (overall coho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874770"/>
                    </a:xfrm>
                    <a:prstGeom prst="rect">
                      <a:avLst/>
                    </a:prstGeom>
                    <a:noFill/>
                    <a:ln>
                      <a:noFill/>
                    </a:ln>
                  </pic:spPr>
                </pic:pic>
              </a:graphicData>
            </a:graphic>
          </wp:inline>
        </w:drawing>
      </w:r>
    </w:p>
    <w:p w14:paraId="54313F49" w14:textId="77777777" w:rsidR="00FC05A2" w:rsidRPr="00EF3324" w:rsidRDefault="00FC05A2" w:rsidP="005A3443">
      <w:pPr>
        <w:pStyle w:val="TableFigureFooter"/>
        <w:keepNext/>
        <w:keepLines/>
        <w:rPr>
          <w:b/>
          <w:bCs/>
        </w:rPr>
      </w:pPr>
      <w:r w:rsidRPr="00EF3324">
        <w:t xml:space="preserve">Abbreviations: CKD, chronic kidney disease; </w:t>
      </w:r>
      <w:proofErr w:type="spellStart"/>
      <w:r w:rsidRPr="00EF3324">
        <w:t>dapa</w:t>
      </w:r>
      <w:proofErr w:type="spellEnd"/>
      <w:r w:rsidRPr="00EF3324">
        <w:t xml:space="preserve">, dapagliflozin; </w:t>
      </w:r>
      <w:proofErr w:type="spellStart"/>
      <w:r w:rsidRPr="00EF3324">
        <w:t>empa</w:t>
      </w:r>
      <w:proofErr w:type="spellEnd"/>
      <w:r w:rsidRPr="00EF3324">
        <w:t>, empagliflozin</w:t>
      </w:r>
    </w:p>
    <w:p w14:paraId="0055A545" w14:textId="77777777" w:rsidR="00FC05A2" w:rsidRPr="00EF3324" w:rsidRDefault="00FC05A2" w:rsidP="005A3443">
      <w:pPr>
        <w:pStyle w:val="TableFigureFooter"/>
        <w:keepNext/>
        <w:keepLines/>
        <w:rPr>
          <w:b/>
          <w:bCs/>
        </w:rPr>
      </w:pPr>
      <w:r w:rsidRPr="00EF3324">
        <w:t>Note: A KM plot is not available for the PS weighted and adjusted analysis</w:t>
      </w:r>
    </w:p>
    <w:p w14:paraId="33EF11DB" w14:textId="447688B2" w:rsidR="00FC05A2" w:rsidRDefault="00FC05A2" w:rsidP="009C0DD9">
      <w:pPr>
        <w:pStyle w:val="TableFigureFooter"/>
      </w:pPr>
      <w:r w:rsidRPr="00EF3324">
        <w:t>Source: Figure 8 of the submission, p</w:t>
      </w:r>
      <w:r w:rsidR="00EF3324" w:rsidRPr="00EF3324">
        <w:t>21</w:t>
      </w:r>
    </w:p>
    <w:p w14:paraId="61E063A4" w14:textId="77777777" w:rsidR="003E23DF" w:rsidRPr="003E23DF" w:rsidRDefault="003E23DF" w:rsidP="003E23DF">
      <w:pPr>
        <w:pStyle w:val="TableFigureFooter"/>
      </w:pPr>
      <w:r w:rsidRPr="003E23DF">
        <w:rPr>
          <w:i/>
          <w:iCs/>
        </w:rPr>
        <w:t>Note that the results presented in Figure 4 is derived from retrospective RWE analyses of Optum claims data conducted by the applicant specifically for the purposes of informing PBAC consideration. Interpretation of the results and their application should therefore be limited to understanding the basis for the PBAC outcome and should not be used for any other purpose.</w:t>
      </w:r>
    </w:p>
    <w:p w14:paraId="50A862EC" w14:textId="2DACD479" w:rsidR="00076A24" w:rsidRDefault="00114731" w:rsidP="00076A24">
      <w:pPr>
        <w:pStyle w:val="COMexecsummnumbered"/>
        <w:rPr>
          <w:bCs/>
        </w:rPr>
      </w:pPr>
      <w:r>
        <w:rPr>
          <w:bCs/>
        </w:rPr>
        <w:t>Input</w:t>
      </w:r>
      <w:r w:rsidR="002E4D80">
        <w:rPr>
          <w:bCs/>
        </w:rPr>
        <w:t>s</w:t>
      </w:r>
      <w:r>
        <w:rPr>
          <w:bCs/>
        </w:rPr>
        <w:t xml:space="preserve"> from health professional</w:t>
      </w:r>
      <w:r w:rsidR="002E4D80">
        <w:rPr>
          <w:bCs/>
        </w:rPr>
        <w:t>s</w:t>
      </w:r>
      <w:r>
        <w:rPr>
          <w:bCs/>
        </w:rPr>
        <w:t xml:space="preserve"> w</w:t>
      </w:r>
      <w:r w:rsidR="002E4D80">
        <w:rPr>
          <w:bCs/>
        </w:rPr>
        <w:t>ere</w:t>
      </w:r>
      <w:r>
        <w:rPr>
          <w:bCs/>
        </w:rPr>
        <w:t xml:space="preserve"> also provided </w:t>
      </w:r>
      <w:r w:rsidR="003A76C3">
        <w:rPr>
          <w:bCs/>
        </w:rPr>
        <w:t xml:space="preserve">with the submission </w:t>
      </w:r>
      <w:r>
        <w:rPr>
          <w:bCs/>
        </w:rPr>
        <w:t xml:space="preserve">in support of the </w:t>
      </w:r>
      <w:r w:rsidR="00797303">
        <w:rPr>
          <w:bCs/>
        </w:rPr>
        <w:t>proposed flow-on changes to dapagliflozin</w:t>
      </w:r>
      <w:r>
        <w:rPr>
          <w:bCs/>
        </w:rPr>
        <w:t xml:space="preserve">. </w:t>
      </w:r>
      <w:r w:rsidR="00653365">
        <w:rPr>
          <w:bCs/>
        </w:rPr>
        <w:t>Overall, t</w:t>
      </w:r>
      <w:r>
        <w:rPr>
          <w:bCs/>
        </w:rPr>
        <w:t xml:space="preserve">he </w:t>
      </w:r>
      <w:r w:rsidR="00EC1683">
        <w:rPr>
          <w:bCs/>
        </w:rPr>
        <w:t xml:space="preserve">points raised in the </w:t>
      </w:r>
      <w:r>
        <w:rPr>
          <w:bCs/>
        </w:rPr>
        <w:t>input</w:t>
      </w:r>
      <w:r w:rsidR="00FC319B">
        <w:rPr>
          <w:bCs/>
        </w:rPr>
        <w:t>s</w:t>
      </w:r>
      <w:r>
        <w:rPr>
          <w:bCs/>
        </w:rPr>
        <w:t xml:space="preserve"> </w:t>
      </w:r>
      <w:r w:rsidR="00EC1683">
        <w:rPr>
          <w:bCs/>
        </w:rPr>
        <w:t>were</w:t>
      </w:r>
      <w:r>
        <w:rPr>
          <w:bCs/>
        </w:rPr>
        <w:t xml:space="preserve"> aligned with the </w:t>
      </w:r>
      <w:r w:rsidR="00FE07E0">
        <w:rPr>
          <w:bCs/>
        </w:rPr>
        <w:t>consumer commen</w:t>
      </w:r>
      <w:r w:rsidR="00782431">
        <w:rPr>
          <w:bCs/>
        </w:rPr>
        <w:t>t</w:t>
      </w:r>
      <w:r w:rsidR="00FE07E0">
        <w:rPr>
          <w:bCs/>
        </w:rPr>
        <w:t xml:space="preserve">s </w:t>
      </w:r>
      <w:r>
        <w:rPr>
          <w:bCs/>
        </w:rPr>
        <w:t>provided above.</w:t>
      </w:r>
      <w:r w:rsidR="00653365">
        <w:rPr>
          <w:bCs/>
        </w:rPr>
        <w:t xml:space="preserve"> One of the contributors noted they provided support for the empagliflozin submission</w:t>
      </w:r>
      <w:r w:rsidR="00CE2E16">
        <w:rPr>
          <w:bCs/>
        </w:rPr>
        <w:t xml:space="preserve"> from May</w:t>
      </w:r>
      <w:r w:rsidR="009F22FD">
        <w:rPr>
          <w:bCs/>
        </w:rPr>
        <w:t> </w:t>
      </w:r>
      <w:r w:rsidR="00CE2E16">
        <w:rPr>
          <w:bCs/>
        </w:rPr>
        <w:t>2025</w:t>
      </w:r>
      <w:r w:rsidR="00D0174A">
        <w:rPr>
          <w:bCs/>
        </w:rPr>
        <w:t>.</w:t>
      </w:r>
      <w:r w:rsidR="002C5D07">
        <w:rPr>
          <w:bCs/>
        </w:rPr>
        <w:t xml:space="preserve"> </w:t>
      </w:r>
      <w:r w:rsidR="00D0174A">
        <w:rPr>
          <w:bCs/>
        </w:rPr>
        <w:t xml:space="preserve">This contributor stated </w:t>
      </w:r>
      <w:r w:rsidR="00653365">
        <w:rPr>
          <w:bCs/>
        </w:rPr>
        <w:t xml:space="preserve">that </w:t>
      </w:r>
      <w:r w:rsidR="0060716C" w:rsidRPr="0060716C">
        <w:rPr>
          <w:bCs/>
        </w:rPr>
        <w:t>SGLT2</w:t>
      </w:r>
      <w:r w:rsidR="00FE07E0">
        <w:rPr>
          <w:bCs/>
        </w:rPr>
        <w:t xml:space="preserve"> </w:t>
      </w:r>
      <w:r w:rsidR="0060716C" w:rsidRPr="0060716C">
        <w:rPr>
          <w:bCs/>
        </w:rPr>
        <w:t>i</w:t>
      </w:r>
      <w:r w:rsidR="00FE07E0">
        <w:rPr>
          <w:bCs/>
        </w:rPr>
        <w:t>nhibitors</w:t>
      </w:r>
      <w:r w:rsidR="0060716C" w:rsidRPr="0060716C">
        <w:rPr>
          <w:bCs/>
        </w:rPr>
        <w:t xml:space="preserve"> have class specific benefits, rather than molecule specific benefits</w:t>
      </w:r>
      <w:r w:rsidR="00083F94">
        <w:rPr>
          <w:bCs/>
        </w:rPr>
        <w:t xml:space="preserve">, including </w:t>
      </w:r>
      <w:r w:rsidR="0060716C" w:rsidRPr="0060716C">
        <w:rPr>
          <w:bCs/>
        </w:rPr>
        <w:t>lowering</w:t>
      </w:r>
      <w:r w:rsidR="00276FA3">
        <w:rPr>
          <w:bCs/>
        </w:rPr>
        <w:t xml:space="preserve"> </w:t>
      </w:r>
      <w:r w:rsidR="004C63EA">
        <w:rPr>
          <w:bCs/>
        </w:rPr>
        <w:t xml:space="preserve">glucose </w:t>
      </w:r>
      <w:r w:rsidR="00715B95">
        <w:rPr>
          <w:bCs/>
        </w:rPr>
        <w:t xml:space="preserve">as well as </w:t>
      </w:r>
      <w:r w:rsidR="0060716C" w:rsidRPr="0060716C">
        <w:rPr>
          <w:bCs/>
        </w:rPr>
        <w:t>reduc</w:t>
      </w:r>
      <w:r w:rsidR="005E72A9">
        <w:rPr>
          <w:bCs/>
        </w:rPr>
        <w:t>ing</w:t>
      </w:r>
      <w:r w:rsidR="0060716C" w:rsidRPr="0060716C">
        <w:rPr>
          <w:bCs/>
        </w:rPr>
        <w:t xml:space="preserve"> cardiovascular (CV) events in patients with established atherosclerotic disease or those at risk of CV events</w:t>
      </w:r>
      <w:r w:rsidR="00C671C6">
        <w:rPr>
          <w:bCs/>
        </w:rPr>
        <w:t xml:space="preserve">; </w:t>
      </w:r>
      <w:proofErr w:type="gramStart"/>
      <w:r w:rsidR="00C671C6">
        <w:rPr>
          <w:bCs/>
        </w:rPr>
        <w:t>those</w:t>
      </w:r>
      <w:r w:rsidR="0060716C" w:rsidRPr="0060716C">
        <w:rPr>
          <w:bCs/>
        </w:rPr>
        <w:t xml:space="preserve"> </w:t>
      </w:r>
      <w:r w:rsidR="004D3AD3">
        <w:rPr>
          <w:bCs/>
        </w:rPr>
        <w:t xml:space="preserve"> </w:t>
      </w:r>
      <w:r w:rsidR="00D07DFB">
        <w:rPr>
          <w:bCs/>
        </w:rPr>
        <w:t>with</w:t>
      </w:r>
      <w:proofErr w:type="gramEnd"/>
      <w:r w:rsidR="00D07DFB">
        <w:rPr>
          <w:bCs/>
        </w:rPr>
        <w:t xml:space="preserve"> </w:t>
      </w:r>
      <w:r w:rsidR="0060716C" w:rsidRPr="0060716C">
        <w:rPr>
          <w:bCs/>
        </w:rPr>
        <w:t xml:space="preserve">heart failure </w:t>
      </w:r>
      <w:r w:rsidR="0092000D">
        <w:rPr>
          <w:bCs/>
        </w:rPr>
        <w:t>(</w:t>
      </w:r>
      <w:r w:rsidR="0060716C" w:rsidRPr="0060716C">
        <w:rPr>
          <w:bCs/>
        </w:rPr>
        <w:t>with reduced or preserved ejection fraction</w:t>
      </w:r>
      <w:r w:rsidR="0092000D">
        <w:rPr>
          <w:bCs/>
        </w:rPr>
        <w:t>)</w:t>
      </w:r>
      <w:r w:rsidR="002846E8">
        <w:rPr>
          <w:bCs/>
        </w:rPr>
        <w:t>,</w:t>
      </w:r>
      <w:r w:rsidR="0060716C" w:rsidRPr="0060716C">
        <w:rPr>
          <w:bCs/>
        </w:rPr>
        <w:t xml:space="preserve"> and </w:t>
      </w:r>
      <w:r w:rsidR="007F39A5">
        <w:rPr>
          <w:bCs/>
        </w:rPr>
        <w:t xml:space="preserve">those </w:t>
      </w:r>
      <w:r w:rsidR="0060716C" w:rsidRPr="0060716C">
        <w:rPr>
          <w:bCs/>
        </w:rPr>
        <w:t xml:space="preserve">with </w:t>
      </w:r>
      <w:r w:rsidR="0060716C">
        <w:rPr>
          <w:bCs/>
        </w:rPr>
        <w:t>CKD</w:t>
      </w:r>
      <w:r w:rsidR="0060716C" w:rsidRPr="0060716C">
        <w:rPr>
          <w:bCs/>
        </w:rPr>
        <w:t>.</w:t>
      </w:r>
      <w:r w:rsidR="0060716C">
        <w:rPr>
          <w:bCs/>
        </w:rPr>
        <w:t xml:space="preserve"> Additionally, </w:t>
      </w:r>
      <w:r w:rsidR="002C02CC">
        <w:rPr>
          <w:bCs/>
        </w:rPr>
        <w:t xml:space="preserve">the contributor noted that </w:t>
      </w:r>
      <w:r w:rsidR="004654BC">
        <w:rPr>
          <w:bCs/>
        </w:rPr>
        <w:t xml:space="preserve">they </w:t>
      </w:r>
      <w:r w:rsidR="002C02CC" w:rsidRPr="002C02CC">
        <w:rPr>
          <w:bCs/>
        </w:rPr>
        <w:t xml:space="preserve">reviewed the </w:t>
      </w:r>
      <w:r w:rsidR="001A5479" w:rsidRPr="002C02CC">
        <w:rPr>
          <w:bCs/>
        </w:rPr>
        <w:t>real-world</w:t>
      </w:r>
      <w:r w:rsidR="002C02CC" w:rsidRPr="002C02CC">
        <w:rPr>
          <w:bCs/>
        </w:rPr>
        <w:t xml:space="preserve"> data in the Optum data base, which in essence reduces the impact of selected study populations in randomised controlled studies, and </w:t>
      </w:r>
      <w:r w:rsidR="004654BC">
        <w:rPr>
          <w:bCs/>
        </w:rPr>
        <w:t xml:space="preserve">saw </w:t>
      </w:r>
      <w:r w:rsidR="002C02CC" w:rsidRPr="002C02CC">
        <w:rPr>
          <w:bCs/>
        </w:rPr>
        <w:t xml:space="preserve">no significant difference in the impact of </w:t>
      </w:r>
      <w:r w:rsidR="004654BC">
        <w:rPr>
          <w:bCs/>
        </w:rPr>
        <w:t>e</w:t>
      </w:r>
      <w:r w:rsidR="002C02CC" w:rsidRPr="002C02CC">
        <w:rPr>
          <w:bCs/>
        </w:rPr>
        <w:t xml:space="preserve">mpagliflozin and </w:t>
      </w:r>
      <w:r w:rsidR="004654BC">
        <w:rPr>
          <w:bCs/>
        </w:rPr>
        <w:t>d</w:t>
      </w:r>
      <w:r w:rsidR="002C02CC" w:rsidRPr="002C02CC">
        <w:rPr>
          <w:bCs/>
        </w:rPr>
        <w:t xml:space="preserve">apagliflozin in huge numbers of </w:t>
      </w:r>
      <w:r w:rsidR="001A5479" w:rsidRPr="002C02CC">
        <w:rPr>
          <w:bCs/>
        </w:rPr>
        <w:t>real-world</w:t>
      </w:r>
      <w:r w:rsidR="002C02CC" w:rsidRPr="002C02CC">
        <w:rPr>
          <w:bCs/>
        </w:rPr>
        <w:t xml:space="preserve"> data bases. Statistical benefits are seen in some domains, generally in favour of dapagliflozin, but </w:t>
      </w:r>
      <w:proofErr w:type="gramStart"/>
      <w:r w:rsidR="008448E5">
        <w:rPr>
          <w:bCs/>
        </w:rPr>
        <w:t>overall</w:t>
      </w:r>
      <w:proofErr w:type="gramEnd"/>
      <w:r w:rsidR="008448E5">
        <w:rPr>
          <w:bCs/>
        </w:rPr>
        <w:t xml:space="preserve"> </w:t>
      </w:r>
      <w:r w:rsidR="00BB76B4">
        <w:rPr>
          <w:bCs/>
        </w:rPr>
        <w:t>their</w:t>
      </w:r>
      <w:r w:rsidR="002C02CC" w:rsidRPr="002C02CC">
        <w:rPr>
          <w:bCs/>
        </w:rPr>
        <w:t xml:space="preserve"> view is these drugs have equivalence and should be viewed as such by the PBS.</w:t>
      </w:r>
    </w:p>
    <w:p w14:paraId="5155CCEE" w14:textId="3FAB79A9" w:rsidR="0019591F" w:rsidRPr="00DE6DD6" w:rsidRDefault="00DE6DD6" w:rsidP="00DE6DD6">
      <w:pPr>
        <w:pStyle w:val="COMexecsummnumbered"/>
      </w:pPr>
      <w:r w:rsidRPr="0010426B">
        <w:t xml:space="preserve">As a Category 3 submission, no evaluation of the clinical evidence was undertaken. </w:t>
      </w:r>
    </w:p>
    <w:p w14:paraId="0DE1CECC" w14:textId="43B9496E" w:rsidR="007E683D" w:rsidRPr="00137CBA" w:rsidRDefault="007E683D" w:rsidP="00137CBA">
      <w:pPr>
        <w:pStyle w:val="COMH2-non-numbered"/>
      </w:pPr>
      <w:r w:rsidRPr="00137CBA">
        <w:lastRenderedPageBreak/>
        <w:t>Clinical claim</w:t>
      </w:r>
    </w:p>
    <w:p w14:paraId="0CC0E6E8" w14:textId="2FC28856" w:rsidR="00ED715A" w:rsidRPr="00161270" w:rsidRDefault="00ED715A" w:rsidP="00ED715A">
      <w:pPr>
        <w:pStyle w:val="COMexecsummnumbered"/>
      </w:pPr>
      <w:bookmarkStart w:id="10" w:name="_Hlk76376200"/>
      <w:r w:rsidRPr="00161270">
        <w:t xml:space="preserve">Based on </w:t>
      </w:r>
      <w:r>
        <w:t xml:space="preserve">the results of </w:t>
      </w:r>
      <w:r w:rsidRPr="00161270">
        <w:t>Optum, the submission consider</w:t>
      </w:r>
      <w:r>
        <w:t>ed</w:t>
      </w:r>
      <w:r w:rsidRPr="00161270">
        <w:t xml:space="preserve"> dapagliflozin to be non-inferior in terms of effectiveness compared to empagliflozin as treatment for patients with CKD in the expanded population. The submission noted non-inferiority between dapagliflozin and empagliflozin has been established by the PBAC in other indications (T2DM, HF) and the current PBS listing in CKD. The submission noted at the November</w:t>
      </w:r>
      <w:r w:rsidR="009F22FD">
        <w:t> </w:t>
      </w:r>
      <w:r w:rsidRPr="00161270">
        <w:t>2023 PBAC meeting, the PBAC previously evaluated an indirect treatment comparison (ITC) of empagliflozin and dapagliflozin via placebo for the current CKD PBS cohort, with the PBAC considering “the treatment effects of empagliflozin were likely non-inferior to those for dapagliflozin” given no statistically significant differences in the results of the ITC, the class effect of SGLT2 inhibitors having been confirmed in other indications, and the recent meta-analysis presented in Nuffield et al. 2022 (paragraphs 4.11 and 7.7, empagliflozin PSD, November 2023</w:t>
      </w:r>
      <w:r w:rsidR="0059397B">
        <w:t xml:space="preserve"> PBAC meeting</w:t>
      </w:r>
      <w:r w:rsidRPr="00161270">
        <w:t>).</w:t>
      </w:r>
    </w:p>
    <w:p w14:paraId="5F670FF2" w14:textId="0B75AAFA" w:rsidR="00ED715A" w:rsidRDefault="00ED715A" w:rsidP="00ED715A">
      <w:pPr>
        <w:pStyle w:val="COMexecsummnumbered"/>
      </w:pPr>
      <w:r>
        <w:t>N</w:t>
      </w:r>
      <w:r w:rsidRPr="00F0480C">
        <w:t xml:space="preserve">o additional comparative safety data of dapagliflozin versus empagliflozin for the treatment of CKD </w:t>
      </w:r>
      <w:r w:rsidR="00CE79EC">
        <w:t>were</w:t>
      </w:r>
      <w:r w:rsidR="00CE79EC" w:rsidRPr="00F0480C">
        <w:t xml:space="preserve"> presented in this submission </w:t>
      </w:r>
      <w:r w:rsidRPr="00F0480C">
        <w:t xml:space="preserve">beyond </w:t>
      </w:r>
      <w:r w:rsidR="00CE79EC">
        <w:t>that</w:t>
      </w:r>
      <w:r w:rsidRPr="00F0480C">
        <w:t xml:space="preserve"> already reviewed</w:t>
      </w:r>
      <w:r w:rsidR="00DB75D2">
        <w:t xml:space="preserve"> by the PBAC</w:t>
      </w:r>
      <w:r w:rsidRPr="00F0480C">
        <w:t xml:space="preserve"> in prior assessments.</w:t>
      </w:r>
      <w:r>
        <w:t xml:space="preserve"> The submission noted t</w:t>
      </w:r>
      <w:r w:rsidRPr="003C0FA1">
        <w:t xml:space="preserve">he PBAC previously deemed that empagliflozin was non-inferior to dapagliflozin in terms of effectiveness </w:t>
      </w:r>
      <w:r w:rsidRPr="003C0FA1">
        <w:rPr>
          <w:iCs/>
        </w:rPr>
        <w:t>and</w:t>
      </w:r>
      <w:r w:rsidRPr="003C0FA1">
        <w:t xml:space="preserve"> safety for the treatment of CKD in the November 2023 PBAC submission for empagliflozin, as well as for HF (empagliflozin PSD, November 2021 PBAC meeting, dapagliflozin PSD, July 2023 PBAC meeting) and T2DM (empagliflozin PSD, July 2014 PBAC meeting). On</w:t>
      </w:r>
      <w:r w:rsidRPr="00F0480C">
        <w:t xml:space="preserve"> that basis, th</w:t>
      </w:r>
      <w:r>
        <w:t>e sub</w:t>
      </w:r>
      <w:r w:rsidRPr="00F0480C">
        <w:t>mission consider</w:t>
      </w:r>
      <w:r>
        <w:t xml:space="preserve">ed </w:t>
      </w:r>
      <w:r w:rsidRPr="00F0480C">
        <w:t>dapagliflozin to be non-inferior to empagliflozin in terms of safety, assuming that the currently listed CKD population is applicable to an expanded CKD population.</w:t>
      </w:r>
    </w:p>
    <w:p w14:paraId="1388B477" w14:textId="6C544A7E" w:rsidR="007E683D" w:rsidRPr="004B702D" w:rsidRDefault="007E683D" w:rsidP="00164D51">
      <w:pPr>
        <w:pStyle w:val="COMexecsummnumbered"/>
        <w:rPr>
          <w:snapToGrid w:val="0"/>
        </w:rPr>
      </w:pPr>
      <w:r w:rsidRPr="004B702D">
        <w:rPr>
          <w:iCs/>
          <w:snapToGrid w:val="0"/>
        </w:rPr>
        <w:t>The</w:t>
      </w:r>
      <w:r w:rsidRPr="004B702D">
        <w:rPr>
          <w:snapToGrid w:val="0"/>
        </w:rPr>
        <w:t xml:space="preserve"> PBAC considered that the claim of non-inferior comparative effectiveness </w:t>
      </w:r>
      <w:r w:rsidR="00F37E36" w:rsidRPr="004B702D">
        <w:rPr>
          <w:snapToGrid w:val="0"/>
        </w:rPr>
        <w:t xml:space="preserve">and safety </w:t>
      </w:r>
      <w:r w:rsidR="00ED077E">
        <w:rPr>
          <w:snapToGrid w:val="0"/>
        </w:rPr>
        <w:t xml:space="preserve">of dapagliflozin to empagliflozin </w:t>
      </w:r>
      <w:r w:rsidR="00ED077E">
        <w:t xml:space="preserve">across the </w:t>
      </w:r>
      <w:r w:rsidR="00ED077E" w:rsidRPr="00F0480C">
        <w:t>expanded CKD population</w:t>
      </w:r>
      <w:r w:rsidR="00ED077E" w:rsidRPr="004B702D">
        <w:rPr>
          <w:snapToGrid w:val="0"/>
        </w:rPr>
        <w:t xml:space="preserve"> </w:t>
      </w:r>
      <w:r w:rsidRPr="004B702D">
        <w:rPr>
          <w:snapToGrid w:val="0"/>
        </w:rPr>
        <w:t>was reasonable</w:t>
      </w:r>
      <w:r w:rsidR="00164D51" w:rsidRPr="004B702D">
        <w:rPr>
          <w:snapToGrid w:val="0"/>
        </w:rPr>
        <w:t xml:space="preserve"> and adequately </w:t>
      </w:r>
      <w:r w:rsidRPr="004B702D">
        <w:rPr>
          <w:snapToGrid w:val="0"/>
        </w:rPr>
        <w:t xml:space="preserve">supported by the </w:t>
      </w:r>
      <w:r w:rsidR="004B702D" w:rsidRPr="004B702D">
        <w:rPr>
          <w:snapToGrid w:val="0"/>
        </w:rPr>
        <w:t>evidence provided in the submission</w:t>
      </w:r>
      <w:r w:rsidRPr="004B702D">
        <w:rPr>
          <w:snapToGrid w:val="0"/>
        </w:rPr>
        <w:t>.</w:t>
      </w:r>
      <w:bookmarkEnd w:id="10"/>
    </w:p>
    <w:p w14:paraId="32EA1BD9" w14:textId="59B4EB57" w:rsidR="0064082B" w:rsidRPr="00137CBA" w:rsidRDefault="00F21C16" w:rsidP="00137CBA">
      <w:pPr>
        <w:pStyle w:val="COMH2-non-numbered"/>
      </w:pPr>
      <w:r w:rsidRPr="00137CBA">
        <w:t>Economic analysis</w:t>
      </w:r>
    </w:p>
    <w:p w14:paraId="61399DCC" w14:textId="41F46312" w:rsidR="008B639A" w:rsidRDefault="00E3763C" w:rsidP="008B639A">
      <w:pPr>
        <w:pStyle w:val="COMexecsummnumbered"/>
        <w:rPr>
          <w:lang w:val="en-GB" w:eastAsia="en-US"/>
        </w:rPr>
      </w:pPr>
      <w:r>
        <w:rPr>
          <w:lang w:eastAsia="en-US"/>
        </w:rPr>
        <w:t>The submission requested updating the listing on a cost-minimisation basis to empagliflozin</w:t>
      </w:r>
      <w:r w:rsidR="005E59AB">
        <w:rPr>
          <w:lang w:eastAsia="en-US"/>
        </w:rPr>
        <w:t>, with no change to the current prices</w:t>
      </w:r>
      <w:r>
        <w:rPr>
          <w:lang w:eastAsia="en-US"/>
        </w:rPr>
        <w:t xml:space="preserve">. </w:t>
      </w:r>
    </w:p>
    <w:p w14:paraId="235EF53C" w14:textId="0019FAC9" w:rsidR="005E6482" w:rsidRDefault="005E6482" w:rsidP="00137CBA">
      <w:pPr>
        <w:pStyle w:val="COMH2-non-numbered"/>
      </w:pPr>
      <w:r w:rsidRPr="005E6482">
        <w:t xml:space="preserve">Estimated PBS usage and financial implications </w:t>
      </w:r>
    </w:p>
    <w:p w14:paraId="1C5A37CE" w14:textId="3DCD9FF2" w:rsidR="00831B5F" w:rsidRDefault="005E6482" w:rsidP="0071350C">
      <w:pPr>
        <w:pStyle w:val="COMexecsummnumbered"/>
        <w:rPr>
          <w:lang w:eastAsia="en-US"/>
        </w:rPr>
      </w:pPr>
      <w:r>
        <w:rPr>
          <w:lang w:eastAsia="en-US"/>
        </w:rPr>
        <w:t>T</w:t>
      </w:r>
      <w:r w:rsidRPr="005E6482">
        <w:rPr>
          <w:lang w:eastAsia="en-US"/>
        </w:rPr>
        <w:t xml:space="preserve">he submission </w:t>
      </w:r>
      <w:r w:rsidR="00831B5F">
        <w:rPr>
          <w:lang w:eastAsia="en-US"/>
        </w:rPr>
        <w:t>stated e</w:t>
      </w:r>
      <w:r w:rsidR="00831B5F" w:rsidRPr="00831B5F">
        <w:rPr>
          <w:lang w:eastAsia="en-US"/>
        </w:rPr>
        <w:t>xpanding the CKD listing to include dapagliflozin is expected to have a negligible net financial impact, except for minor differences in co-payments and dispensing fees due to differing pack sizes (dapagliflozin 28-day pack, empagliflozin 30-day pack).</w:t>
      </w:r>
    </w:p>
    <w:p w14:paraId="73B04028" w14:textId="6F14CA7C" w:rsidR="002C6508" w:rsidRDefault="00F92EA1" w:rsidP="00F92EA1">
      <w:pPr>
        <w:pStyle w:val="Caption"/>
      </w:pPr>
      <w:bookmarkStart w:id="11" w:name="_Toc202790921"/>
      <w:bookmarkStart w:id="12" w:name="_Toc202791350"/>
      <w:r>
        <w:lastRenderedPageBreak/>
        <w:t xml:space="preserve">Table </w:t>
      </w:r>
      <w:r>
        <w:fldChar w:fldCharType="begin"/>
      </w:r>
      <w:r>
        <w:instrText xml:space="preserve"> SEQ Table \* ARABIC </w:instrText>
      </w:r>
      <w:r>
        <w:fldChar w:fldCharType="separate"/>
      </w:r>
      <w:r w:rsidR="00EB7AD5">
        <w:rPr>
          <w:noProof/>
        </w:rPr>
        <w:t>3</w:t>
      </w:r>
      <w:r>
        <w:fldChar w:fldCharType="end"/>
      </w:r>
      <w:r>
        <w:t xml:space="preserve">: </w:t>
      </w:r>
      <w:r w:rsidR="002C6508">
        <w:t>Net financial impact of listing dapagliflozin in the expanded CKD population</w:t>
      </w:r>
      <w:bookmarkEnd w:id="11"/>
      <w:bookmarkEnd w:id="12"/>
    </w:p>
    <w:tbl>
      <w:tblPr>
        <w:tblStyle w:val="TableGrid"/>
        <w:tblW w:w="5000" w:type="pct"/>
        <w:tblLayout w:type="fixed"/>
        <w:tblLook w:val="04A0" w:firstRow="1" w:lastRow="0" w:firstColumn="1" w:lastColumn="0" w:noHBand="0" w:noVBand="1"/>
        <w:tblCaption w:val="Net financial impact of listing dapagliflozin in the expanded CKD population"/>
      </w:tblPr>
      <w:tblGrid>
        <w:gridCol w:w="1287"/>
        <w:gridCol w:w="1287"/>
        <w:gridCol w:w="1288"/>
        <w:gridCol w:w="1288"/>
        <w:gridCol w:w="1288"/>
        <w:gridCol w:w="1288"/>
        <w:gridCol w:w="1291"/>
      </w:tblGrid>
      <w:tr w:rsidR="000D2377" w14:paraId="1E871521" w14:textId="77777777" w:rsidTr="00EA3A8D">
        <w:trPr>
          <w:trHeight w:val="255"/>
        </w:trPr>
        <w:tc>
          <w:tcPr>
            <w:tcW w:w="714" w:type="pct"/>
            <w:tcBorders>
              <w:top w:val="single" w:sz="4" w:space="0" w:color="auto"/>
              <w:left w:val="single" w:sz="4" w:space="0" w:color="auto"/>
              <w:bottom w:val="single" w:sz="4" w:space="0" w:color="auto"/>
              <w:right w:val="single" w:sz="4" w:space="0" w:color="auto"/>
            </w:tcBorders>
            <w:noWrap/>
            <w:hideMark/>
          </w:tcPr>
          <w:p w14:paraId="717442E0" w14:textId="77777777" w:rsidR="000D2377" w:rsidRDefault="000D2377" w:rsidP="00793738">
            <w:pPr>
              <w:pStyle w:val="TableText"/>
            </w:pPr>
          </w:p>
        </w:tc>
        <w:tc>
          <w:tcPr>
            <w:tcW w:w="714" w:type="pct"/>
            <w:tcBorders>
              <w:top w:val="single" w:sz="4" w:space="0" w:color="auto"/>
              <w:left w:val="single" w:sz="4" w:space="0" w:color="auto"/>
              <w:bottom w:val="single" w:sz="4" w:space="0" w:color="auto"/>
              <w:right w:val="single" w:sz="4" w:space="0" w:color="auto"/>
            </w:tcBorders>
            <w:noWrap/>
            <w:hideMark/>
          </w:tcPr>
          <w:p w14:paraId="14368031" w14:textId="77777777" w:rsidR="000D2377" w:rsidRDefault="000D2377" w:rsidP="00793738">
            <w:pPr>
              <w:pStyle w:val="TableText"/>
            </w:pPr>
            <w:r w:rsidRPr="00E20031">
              <w:t>Year 1</w:t>
            </w:r>
          </w:p>
        </w:tc>
        <w:tc>
          <w:tcPr>
            <w:tcW w:w="714" w:type="pct"/>
            <w:tcBorders>
              <w:top w:val="single" w:sz="4" w:space="0" w:color="auto"/>
              <w:left w:val="single" w:sz="4" w:space="0" w:color="auto"/>
              <w:bottom w:val="single" w:sz="4" w:space="0" w:color="auto"/>
              <w:right w:val="single" w:sz="4" w:space="0" w:color="auto"/>
            </w:tcBorders>
            <w:noWrap/>
            <w:hideMark/>
          </w:tcPr>
          <w:p w14:paraId="09E0922C" w14:textId="77777777" w:rsidR="000D2377" w:rsidRDefault="000D2377" w:rsidP="00793738">
            <w:pPr>
              <w:pStyle w:val="TableText"/>
            </w:pPr>
            <w:r w:rsidRPr="00E20031">
              <w:t>Year 2</w:t>
            </w:r>
          </w:p>
        </w:tc>
        <w:tc>
          <w:tcPr>
            <w:tcW w:w="714" w:type="pct"/>
            <w:tcBorders>
              <w:top w:val="single" w:sz="4" w:space="0" w:color="auto"/>
              <w:left w:val="single" w:sz="4" w:space="0" w:color="auto"/>
              <w:bottom w:val="single" w:sz="4" w:space="0" w:color="auto"/>
              <w:right w:val="single" w:sz="4" w:space="0" w:color="auto"/>
            </w:tcBorders>
            <w:noWrap/>
            <w:hideMark/>
          </w:tcPr>
          <w:p w14:paraId="07546892" w14:textId="77777777" w:rsidR="000D2377" w:rsidRDefault="000D2377" w:rsidP="00793738">
            <w:pPr>
              <w:pStyle w:val="TableText"/>
            </w:pPr>
            <w:r w:rsidRPr="00E20031">
              <w:t>Year 3</w:t>
            </w:r>
          </w:p>
        </w:tc>
        <w:tc>
          <w:tcPr>
            <w:tcW w:w="714" w:type="pct"/>
            <w:tcBorders>
              <w:top w:val="single" w:sz="4" w:space="0" w:color="auto"/>
              <w:left w:val="single" w:sz="4" w:space="0" w:color="auto"/>
              <w:bottom w:val="single" w:sz="4" w:space="0" w:color="auto"/>
              <w:right w:val="single" w:sz="4" w:space="0" w:color="auto"/>
            </w:tcBorders>
            <w:noWrap/>
            <w:hideMark/>
          </w:tcPr>
          <w:p w14:paraId="4C3C608F" w14:textId="77777777" w:rsidR="000D2377" w:rsidRDefault="000D2377" w:rsidP="00793738">
            <w:pPr>
              <w:pStyle w:val="TableText"/>
            </w:pPr>
            <w:r w:rsidRPr="00E20031">
              <w:t>Year 4</w:t>
            </w:r>
          </w:p>
        </w:tc>
        <w:tc>
          <w:tcPr>
            <w:tcW w:w="714" w:type="pct"/>
            <w:tcBorders>
              <w:top w:val="single" w:sz="4" w:space="0" w:color="auto"/>
              <w:left w:val="single" w:sz="4" w:space="0" w:color="auto"/>
              <w:bottom w:val="single" w:sz="4" w:space="0" w:color="auto"/>
              <w:right w:val="single" w:sz="4" w:space="0" w:color="auto"/>
            </w:tcBorders>
            <w:noWrap/>
            <w:hideMark/>
          </w:tcPr>
          <w:p w14:paraId="43513EA4" w14:textId="77777777" w:rsidR="000D2377" w:rsidRDefault="000D2377" w:rsidP="00793738">
            <w:pPr>
              <w:pStyle w:val="TableText"/>
            </w:pPr>
            <w:r w:rsidRPr="00E20031">
              <w:t>Year 5</w:t>
            </w:r>
          </w:p>
        </w:tc>
        <w:tc>
          <w:tcPr>
            <w:tcW w:w="715" w:type="pct"/>
            <w:tcBorders>
              <w:top w:val="single" w:sz="4" w:space="0" w:color="auto"/>
              <w:left w:val="single" w:sz="4" w:space="0" w:color="auto"/>
              <w:bottom w:val="single" w:sz="4" w:space="0" w:color="auto"/>
              <w:right w:val="single" w:sz="4" w:space="0" w:color="auto"/>
            </w:tcBorders>
            <w:noWrap/>
            <w:hideMark/>
          </w:tcPr>
          <w:p w14:paraId="1EDCFA9D" w14:textId="77777777" w:rsidR="000D2377" w:rsidRDefault="000D2377" w:rsidP="00793738">
            <w:pPr>
              <w:pStyle w:val="TableText"/>
            </w:pPr>
            <w:r w:rsidRPr="00E20031">
              <w:t>Year 6</w:t>
            </w:r>
          </w:p>
        </w:tc>
      </w:tr>
      <w:tr w:rsidR="000D2377" w14:paraId="7078A827" w14:textId="77777777" w:rsidTr="00EA3A8D">
        <w:trPr>
          <w:trHeight w:val="255"/>
        </w:trPr>
        <w:tc>
          <w:tcPr>
            <w:tcW w:w="5000" w:type="pct"/>
            <w:gridSpan w:val="7"/>
            <w:tcBorders>
              <w:top w:val="single" w:sz="4" w:space="0" w:color="auto"/>
              <w:left w:val="single" w:sz="4" w:space="0" w:color="auto"/>
              <w:bottom w:val="single" w:sz="4" w:space="0" w:color="auto"/>
              <w:right w:val="single" w:sz="4" w:space="0" w:color="auto"/>
            </w:tcBorders>
            <w:noWrap/>
            <w:hideMark/>
          </w:tcPr>
          <w:p w14:paraId="3F426064" w14:textId="77777777" w:rsidR="000D2377" w:rsidRDefault="000D2377" w:rsidP="00793738">
            <w:pPr>
              <w:pStyle w:val="TableText"/>
            </w:pPr>
            <w:r w:rsidRPr="008868C3">
              <w:t>Estimated extent of use</w:t>
            </w:r>
          </w:p>
        </w:tc>
      </w:tr>
      <w:tr w:rsidR="000D2377" w14:paraId="26A6E3D2" w14:textId="77777777" w:rsidTr="00EA3A8D">
        <w:trPr>
          <w:trHeight w:val="255"/>
        </w:trPr>
        <w:tc>
          <w:tcPr>
            <w:tcW w:w="714" w:type="pct"/>
            <w:tcBorders>
              <w:top w:val="single" w:sz="4" w:space="0" w:color="auto"/>
              <w:left w:val="single" w:sz="4" w:space="0" w:color="auto"/>
              <w:bottom w:val="single" w:sz="4" w:space="0" w:color="auto"/>
              <w:right w:val="single" w:sz="4" w:space="0" w:color="auto"/>
            </w:tcBorders>
            <w:noWrap/>
            <w:hideMark/>
          </w:tcPr>
          <w:p w14:paraId="5FD7D97A" w14:textId="77777777" w:rsidR="000D2377" w:rsidRDefault="000D2377" w:rsidP="00793738">
            <w:pPr>
              <w:pStyle w:val="TableText"/>
            </w:pPr>
            <w:r>
              <w:t>Dapagliflozin scripts</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76BEFA27" w14:textId="1DECF626" w:rsidR="000D2377" w:rsidRPr="00F529EF" w:rsidRDefault="009D1A67" w:rsidP="00793738">
            <w:pPr>
              <w:pStyle w:val="TableText"/>
              <w:rPr>
                <w:highlight w:val="darkGray"/>
              </w:rPr>
            </w:pPr>
            <w:r w:rsidRPr="00EE6888">
              <w:rPr>
                <w:color w:val="000000"/>
                <w:spacing w:val="53"/>
                <w:shd w:val="solid" w:color="000000" w:fill="000000"/>
                <w:fitText w:val="330" w:id="-607928320"/>
                <w14:textFill>
                  <w14:solidFill>
                    <w14:srgbClr w14:val="000000">
                      <w14:alpha w14:val="100000"/>
                    </w14:srgbClr>
                  </w14:solidFill>
                </w14:textFill>
              </w:rPr>
              <w:t>|||</w:t>
            </w:r>
            <w:r w:rsidRPr="00EE6888">
              <w:rPr>
                <w:color w:val="000000"/>
                <w:spacing w:val="1"/>
                <w:shd w:val="solid" w:color="000000" w:fill="000000"/>
                <w:fitText w:val="330" w:id="-607928320"/>
                <w14:textFill>
                  <w14:solidFill>
                    <w14:srgbClr w14:val="000000">
                      <w14:alpha w14:val="100000"/>
                    </w14:srgbClr>
                  </w14:solidFill>
                </w14:textFill>
              </w:rPr>
              <w:t>|</w:t>
            </w:r>
            <w:r w:rsidR="00EA3A8D">
              <w:rPr>
                <w:vertAlign w:val="superscript"/>
              </w:rPr>
              <w:t>2</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178FAC65" w14:textId="5F3208F7" w:rsidR="000D2377" w:rsidRPr="00F529EF" w:rsidRDefault="009D1A67" w:rsidP="00793738">
            <w:pPr>
              <w:pStyle w:val="TableText"/>
              <w:rPr>
                <w:highlight w:val="darkGray"/>
              </w:rPr>
            </w:pPr>
            <w:r w:rsidRPr="00EE6888">
              <w:rPr>
                <w:color w:val="000000"/>
                <w:spacing w:val="53"/>
                <w:shd w:val="solid" w:color="000000" w:fill="000000"/>
                <w:fitText w:val="330" w:id="-607928319"/>
                <w14:textFill>
                  <w14:solidFill>
                    <w14:srgbClr w14:val="000000">
                      <w14:alpha w14:val="100000"/>
                    </w14:srgbClr>
                  </w14:solidFill>
                </w14:textFill>
              </w:rPr>
              <w:t>|||</w:t>
            </w:r>
            <w:r w:rsidRPr="00EE6888">
              <w:rPr>
                <w:color w:val="000000"/>
                <w:spacing w:val="1"/>
                <w:shd w:val="solid" w:color="000000" w:fill="000000"/>
                <w:fitText w:val="330" w:id="-607928319"/>
                <w14:textFill>
                  <w14:solidFill>
                    <w14:srgbClr w14:val="000000">
                      <w14:alpha w14:val="100000"/>
                    </w14:srgbClr>
                  </w14:solidFill>
                </w14:textFill>
              </w:rPr>
              <w:t>|</w:t>
            </w:r>
            <w:r w:rsidR="00EA3A8D">
              <w:rPr>
                <w:vertAlign w:val="superscript"/>
              </w:rPr>
              <w:t>2</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7DD56CD7" w14:textId="404E4E99" w:rsidR="000D2377" w:rsidRPr="00F529EF" w:rsidRDefault="009D1A67" w:rsidP="00793738">
            <w:pPr>
              <w:pStyle w:val="TableText"/>
              <w:rPr>
                <w:highlight w:val="darkGray"/>
              </w:rPr>
            </w:pPr>
            <w:r w:rsidRPr="00EE6888">
              <w:rPr>
                <w:color w:val="000000"/>
                <w:spacing w:val="53"/>
                <w:shd w:val="solid" w:color="000000" w:fill="000000"/>
                <w:fitText w:val="330" w:id="-607928318"/>
                <w14:textFill>
                  <w14:solidFill>
                    <w14:srgbClr w14:val="000000">
                      <w14:alpha w14:val="100000"/>
                    </w14:srgbClr>
                  </w14:solidFill>
                </w14:textFill>
              </w:rPr>
              <w:t>|||</w:t>
            </w:r>
            <w:r w:rsidRPr="00EE6888">
              <w:rPr>
                <w:color w:val="000000"/>
                <w:spacing w:val="1"/>
                <w:shd w:val="solid" w:color="000000" w:fill="000000"/>
                <w:fitText w:val="330" w:id="-607928318"/>
                <w14:textFill>
                  <w14:solidFill>
                    <w14:srgbClr w14:val="000000">
                      <w14:alpha w14:val="100000"/>
                    </w14:srgbClr>
                  </w14:solidFill>
                </w14:textFill>
              </w:rPr>
              <w:t>|</w:t>
            </w:r>
            <w:r w:rsidR="00EA3A8D">
              <w:rPr>
                <w:vertAlign w:val="superscript"/>
              </w:rPr>
              <w:t>2</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7FBD5F40" w14:textId="02BF4D8F" w:rsidR="000D2377" w:rsidRPr="00F529EF" w:rsidRDefault="009D1A67" w:rsidP="00793738">
            <w:pPr>
              <w:pStyle w:val="TableText"/>
              <w:rPr>
                <w:highlight w:val="darkGray"/>
              </w:rPr>
            </w:pPr>
            <w:r w:rsidRPr="00B159A2">
              <w:rPr>
                <w:color w:val="000000"/>
                <w:spacing w:val="53"/>
                <w:shd w:val="solid" w:color="000000" w:fill="000000"/>
                <w:fitText w:val="330" w:id="-607928317"/>
                <w14:textFill>
                  <w14:solidFill>
                    <w14:srgbClr w14:val="000000">
                      <w14:alpha w14:val="100000"/>
                    </w14:srgbClr>
                  </w14:solidFill>
                </w14:textFill>
              </w:rPr>
              <w:t>|||</w:t>
            </w:r>
            <w:r w:rsidRPr="00B159A2">
              <w:rPr>
                <w:color w:val="000000"/>
                <w:spacing w:val="1"/>
                <w:shd w:val="solid" w:color="000000" w:fill="000000"/>
                <w:fitText w:val="330" w:id="-607928317"/>
                <w14:textFill>
                  <w14:solidFill>
                    <w14:srgbClr w14:val="000000">
                      <w14:alpha w14:val="100000"/>
                    </w14:srgbClr>
                  </w14:solidFill>
                </w14:textFill>
              </w:rPr>
              <w:t>|</w:t>
            </w:r>
            <w:r w:rsidR="00EA3A8D">
              <w:rPr>
                <w:vertAlign w:val="superscript"/>
              </w:rPr>
              <w:t>2</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1EFC10DD" w14:textId="50090526" w:rsidR="000D2377" w:rsidRPr="00F529EF" w:rsidRDefault="009D1A67" w:rsidP="00793738">
            <w:pPr>
              <w:pStyle w:val="TableText"/>
              <w:rPr>
                <w:highlight w:val="darkGray"/>
              </w:rPr>
            </w:pPr>
            <w:r w:rsidRPr="00B159A2">
              <w:rPr>
                <w:color w:val="000000"/>
                <w:spacing w:val="53"/>
                <w:shd w:val="solid" w:color="000000" w:fill="000000"/>
                <w:fitText w:val="330" w:id="-607928316"/>
                <w14:textFill>
                  <w14:solidFill>
                    <w14:srgbClr w14:val="000000">
                      <w14:alpha w14:val="100000"/>
                    </w14:srgbClr>
                  </w14:solidFill>
                </w14:textFill>
              </w:rPr>
              <w:t>|||</w:t>
            </w:r>
            <w:r w:rsidRPr="00B159A2">
              <w:rPr>
                <w:color w:val="000000"/>
                <w:spacing w:val="1"/>
                <w:shd w:val="solid" w:color="000000" w:fill="000000"/>
                <w:fitText w:val="330" w:id="-607928316"/>
                <w14:textFill>
                  <w14:solidFill>
                    <w14:srgbClr w14:val="000000">
                      <w14:alpha w14:val="100000"/>
                    </w14:srgbClr>
                  </w14:solidFill>
                </w14:textFill>
              </w:rPr>
              <w:t>|</w:t>
            </w:r>
            <w:r w:rsidR="00EA3A8D">
              <w:rPr>
                <w:vertAlign w:val="superscript"/>
              </w:rPr>
              <w:t>2</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471FB671" w14:textId="6A565CDD" w:rsidR="000D2377" w:rsidRPr="00F529EF" w:rsidRDefault="009D1A67" w:rsidP="00793738">
            <w:pPr>
              <w:pStyle w:val="TableText"/>
              <w:rPr>
                <w:highlight w:val="darkGray"/>
              </w:rPr>
            </w:pPr>
            <w:r w:rsidRPr="00B159A2">
              <w:rPr>
                <w:color w:val="000000"/>
                <w:spacing w:val="53"/>
                <w:shd w:val="solid" w:color="000000" w:fill="000000"/>
                <w:fitText w:val="330" w:id="-607928315"/>
                <w14:textFill>
                  <w14:solidFill>
                    <w14:srgbClr w14:val="000000">
                      <w14:alpha w14:val="100000"/>
                    </w14:srgbClr>
                  </w14:solidFill>
                </w14:textFill>
              </w:rPr>
              <w:t>|||</w:t>
            </w:r>
            <w:r w:rsidRPr="00B159A2">
              <w:rPr>
                <w:color w:val="000000"/>
                <w:spacing w:val="1"/>
                <w:shd w:val="solid" w:color="000000" w:fill="000000"/>
                <w:fitText w:val="330" w:id="-607928315"/>
                <w14:textFill>
                  <w14:solidFill>
                    <w14:srgbClr w14:val="000000">
                      <w14:alpha w14:val="100000"/>
                    </w14:srgbClr>
                  </w14:solidFill>
                </w14:textFill>
              </w:rPr>
              <w:t>|</w:t>
            </w:r>
            <w:r w:rsidR="00EA3A8D">
              <w:rPr>
                <w:vertAlign w:val="superscript"/>
              </w:rPr>
              <w:t>2</w:t>
            </w:r>
          </w:p>
        </w:tc>
      </w:tr>
      <w:tr w:rsidR="000D2377" w14:paraId="026BFD71" w14:textId="77777777" w:rsidTr="00EA3A8D">
        <w:trPr>
          <w:trHeight w:val="255"/>
        </w:trPr>
        <w:tc>
          <w:tcPr>
            <w:tcW w:w="714" w:type="pct"/>
            <w:tcBorders>
              <w:top w:val="single" w:sz="4" w:space="0" w:color="auto"/>
              <w:left w:val="single" w:sz="4" w:space="0" w:color="auto"/>
              <w:bottom w:val="single" w:sz="4" w:space="0" w:color="auto"/>
              <w:right w:val="single" w:sz="4" w:space="0" w:color="auto"/>
            </w:tcBorders>
            <w:noWrap/>
            <w:hideMark/>
          </w:tcPr>
          <w:p w14:paraId="6B7EAFCD" w14:textId="77777777" w:rsidR="000D2377" w:rsidRDefault="000D2377" w:rsidP="00793738">
            <w:pPr>
              <w:pStyle w:val="TableText"/>
            </w:pPr>
            <w:r>
              <w:t>Cost to PBS/RPBS less patient co-payment</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762B345F" w14:textId="0531E931" w:rsidR="000D2377" w:rsidRPr="00F22CF6" w:rsidRDefault="009D1A67" w:rsidP="00793738">
            <w:pPr>
              <w:pStyle w:val="TableText"/>
              <w:rPr>
                <w:highlight w:val="darkGray"/>
              </w:rPr>
            </w:pPr>
            <w:r w:rsidRPr="00B159A2">
              <w:rPr>
                <w:color w:val="000000"/>
                <w:spacing w:val="53"/>
                <w:shd w:val="solid" w:color="000000" w:fill="000000"/>
                <w:fitText w:val="330" w:id="-607928314"/>
                <w14:textFill>
                  <w14:solidFill>
                    <w14:srgbClr w14:val="000000">
                      <w14:alpha w14:val="100000"/>
                    </w14:srgbClr>
                  </w14:solidFill>
                </w14:textFill>
              </w:rPr>
              <w:t>|||</w:t>
            </w:r>
            <w:r w:rsidRPr="00B159A2">
              <w:rPr>
                <w:color w:val="000000"/>
                <w:spacing w:val="1"/>
                <w:shd w:val="solid" w:color="000000" w:fill="000000"/>
                <w:fitText w:val="330" w:id="-607928314"/>
                <w14:textFill>
                  <w14:solidFill>
                    <w14:srgbClr w14:val="000000">
                      <w14:alpha w14:val="100000"/>
                    </w14:srgbClr>
                  </w14:solidFill>
                </w14:textFill>
              </w:rPr>
              <w:t>|</w:t>
            </w:r>
            <w:r w:rsidR="00EA3A8D">
              <w:rPr>
                <w:vertAlign w:val="superscript"/>
              </w:rPr>
              <w:t>3</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728505BD" w14:textId="4ABB2B52" w:rsidR="000D2377" w:rsidRPr="00F22CF6" w:rsidRDefault="009D1A67" w:rsidP="00793738">
            <w:pPr>
              <w:pStyle w:val="TableText"/>
              <w:rPr>
                <w:highlight w:val="darkGray"/>
              </w:rPr>
            </w:pPr>
            <w:r w:rsidRPr="00B159A2">
              <w:rPr>
                <w:color w:val="000000"/>
                <w:spacing w:val="53"/>
                <w:shd w:val="solid" w:color="000000" w:fill="000000"/>
                <w:fitText w:val="330" w:id="-607928313"/>
                <w14:textFill>
                  <w14:solidFill>
                    <w14:srgbClr w14:val="000000">
                      <w14:alpha w14:val="100000"/>
                    </w14:srgbClr>
                  </w14:solidFill>
                </w14:textFill>
              </w:rPr>
              <w:t>|||</w:t>
            </w:r>
            <w:r w:rsidRPr="00B159A2">
              <w:rPr>
                <w:color w:val="000000"/>
                <w:spacing w:val="1"/>
                <w:shd w:val="solid" w:color="000000" w:fill="000000"/>
                <w:fitText w:val="330" w:id="-607928313"/>
                <w14:textFill>
                  <w14:solidFill>
                    <w14:srgbClr w14:val="000000">
                      <w14:alpha w14:val="100000"/>
                    </w14:srgbClr>
                  </w14:solidFill>
                </w14:textFill>
              </w:rPr>
              <w:t>|</w:t>
            </w:r>
            <w:r w:rsidR="00EA3A8D">
              <w:rPr>
                <w:vertAlign w:val="superscript"/>
              </w:rPr>
              <w:t>3</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743A0CC8" w14:textId="34B4F993" w:rsidR="000D2377" w:rsidRPr="00F22CF6" w:rsidRDefault="009D1A67" w:rsidP="00793738">
            <w:pPr>
              <w:pStyle w:val="TableText"/>
              <w:rPr>
                <w:highlight w:val="darkGray"/>
              </w:rPr>
            </w:pPr>
            <w:r w:rsidRPr="00B159A2">
              <w:rPr>
                <w:color w:val="000000"/>
                <w:spacing w:val="53"/>
                <w:shd w:val="solid" w:color="000000" w:fill="000000"/>
                <w:fitText w:val="330" w:id="-607928312"/>
                <w14:textFill>
                  <w14:solidFill>
                    <w14:srgbClr w14:val="000000">
                      <w14:alpha w14:val="100000"/>
                    </w14:srgbClr>
                  </w14:solidFill>
                </w14:textFill>
              </w:rPr>
              <w:t>|||</w:t>
            </w:r>
            <w:r w:rsidRPr="00B159A2">
              <w:rPr>
                <w:color w:val="000000"/>
                <w:spacing w:val="1"/>
                <w:shd w:val="solid" w:color="000000" w:fill="000000"/>
                <w:fitText w:val="330" w:id="-607928312"/>
                <w14:textFill>
                  <w14:solidFill>
                    <w14:srgbClr w14:val="000000">
                      <w14:alpha w14:val="100000"/>
                    </w14:srgbClr>
                  </w14:solidFill>
                </w14:textFill>
              </w:rPr>
              <w:t>|</w:t>
            </w:r>
            <w:r w:rsidR="00EA3A8D">
              <w:rPr>
                <w:vertAlign w:val="superscript"/>
              </w:rPr>
              <w:t>3</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72094EDD" w14:textId="528B5241" w:rsidR="000D2377" w:rsidRPr="00F22CF6" w:rsidRDefault="009D1A67" w:rsidP="00793738">
            <w:pPr>
              <w:pStyle w:val="TableText"/>
              <w:rPr>
                <w:highlight w:val="darkGray"/>
              </w:rPr>
            </w:pPr>
            <w:r w:rsidRPr="00B159A2">
              <w:rPr>
                <w:color w:val="000000"/>
                <w:spacing w:val="53"/>
                <w:shd w:val="solid" w:color="000000" w:fill="000000"/>
                <w:fitText w:val="330" w:id="-607928311"/>
                <w14:textFill>
                  <w14:solidFill>
                    <w14:srgbClr w14:val="000000">
                      <w14:alpha w14:val="100000"/>
                    </w14:srgbClr>
                  </w14:solidFill>
                </w14:textFill>
              </w:rPr>
              <w:t>|||</w:t>
            </w:r>
            <w:r w:rsidRPr="00B159A2">
              <w:rPr>
                <w:color w:val="000000"/>
                <w:spacing w:val="1"/>
                <w:shd w:val="solid" w:color="000000" w:fill="000000"/>
                <w:fitText w:val="330" w:id="-607928311"/>
                <w14:textFill>
                  <w14:solidFill>
                    <w14:srgbClr w14:val="000000">
                      <w14:alpha w14:val="100000"/>
                    </w14:srgbClr>
                  </w14:solidFill>
                </w14:textFill>
              </w:rPr>
              <w:t>|</w:t>
            </w:r>
            <w:r w:rsidR="00EA3A8D">
              <w:rPr>
                <w:vertAlign w:val="superscript"/>
              </w:rPr>
              <w:t>3</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6A235803" w14:textId="64531A41" w:rsidR="000D2377" w:rsidRPr="00F22CF6" w:rsidRDefault="009D1A67" w:rsidP="00793738">
            <w:pPr>
              <w:pStyle w:val="TableText"/>
              <w:rPr>
                <w:highlight w:val="darkGray"/>
              </w:rPr>
            </w:pPr>
            <w:r w:rsidRPr="00B159A2">
              <w:rPr>
                <w:color w:val="000000"/>
                <w:spacing w:val="53"/>
                <w:shd w:val="solid" w:color="000000" w:fill="000000"/>
                <w:fitText w:val="330" w:id="-607928310"/>
                <w14:textFill>
                  <w14:solidFill>
                    <w14:srgbClr w14:val="000000">
                      <w14:alpha w14:val="100000"/>
                    </w14:srgbClr>
                  </w14:solidFill>
                </w14:textFill>
              </w:rPr>
              <w:t>|||</w:t>
            </w:r>
            <w:r w:rsidRPr="00B159A2">
              <w:rPr>
                <w:color w:val="000000"/>
                <w:spacing w:val="1"/>
                <w:shd w:val="solid" w:color="000000" w:fill="000000"/>
                <w:fitText w:val="330" w:id="-607928310"/>
                <w14:textFill>
                  <w14:solidFill>
                    <w14:srgbClr w14:val="000000">
                      <w14:alpha w14:val="100000"/>
                    </w14:srgbClr>
                  </w14:solidFill>
                </w14:textFill>
              </w:rPr>
              <w:t>|</w:t>
            </w:r>
            <w:r w:rsidR="00EA3A8D">
              <w:rPr>
                <w:vertAlign w:val="superscript"/>
              </w:rPr>
              <w:t>3</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68F4624C" w14:textId="40DCA7B8" w:rsidR="000D2377" w:rsidRPr="00F22CF6" w:rsidRDefault="009D1A67" w:rsidP="00793738">
            <w:pPr>
              <w:pStyle w:val="TableText"/>
              <w:rPr>
                <w:highlight w:val="darkGray"/>
              </w:rPr>
            </w:pPr>
            <w:r w:rsidRPr="00B159A2">
              <w:rPr>
                <w:color w:val="000000"/>
                <w:spacing w:val="53"/>
                <w:shd w:val="solid" w:color="000000" w:fill="000000"/>
                <w:fitText w:val="330" w:id="-607928309"/>
                <w14:textFill>
                  <w14:solidFill>
                    <w14:srgbClr w14:val="000000">
                      <w14:alpha w14:val="100000"/>
                    </w14:srgbClr>
                  </w14:solidFill>
                </w14:textFill>
              </w:rPr>
              <w:t>|||</w:t>
            </w:r>
            <w:r w:rsidRPr="00B159A2">
              <w:rPr>
                <w:color w:val="000000"/>
                <w:spacing w:val="1"/>
                <w:shd w:val="solid" w:color="000000" w:fill="000000"/>
                <w:fitText w:val="330" w:id="-607928309"/>
                <w14:textFill>
                  <w14:solidFill>
                    <w14:srgbClr w14:val="000000">
                      <w14:alpha w14:val="100000"/>
                    </w14:srgbClr>
                  </w14:solidFill>
                </w14:textFill>
              </w:rPr>
              <w:t>|</w:t>
            </w:r>
            <w:r w:rsidR="00EA3A8D">
              <w:rPr>
                <w:vertAlign w:val="superscript"/>
              </w:rPr>
              <w:t>3</w:t>
            </w:r>
          </w:p>
        </w:tc>
      </w:tr>
      <w:tr w:rsidR="000D2377" w14:paraId="3DD153BC" w14:textId="77777777" w:rsidTr="00EA3A8D">
        <w:trPr>
          <w:trHeight w:val="255"/>
        </w:trPr>
        <w:tc>
          <w:tcPr>
            <w:tcW w:w="5000" w:type="pct"/>
            <w:gridSpan w:val="7"/>
            <w:tcBorders>
              <w:top w:val="single" w:sz="4" w:space="0" w:color="auto"/>
              <w:left w:val="single" w:sz="4" w:space="0" w:color="auto"/>
              <w:bottom w:val="single" w:sz="4" w:space="0" w:color="auto"/>
              <w:right w:val="single" w:sz="4" w:space="0" w:color="auto"/>
            </w:tcBorders>
            <w:noWrap/>
            <w:hideMark/>
          </w:tcPr>
          <w:p w14:paraId="03E686E3" w14:textId="77777777" w:rsidR="000D2377" w:rsidRPr="008868C3" w:rsidRDefault="000D2377" w:rsidP="00793738">
            <w:pPr>
              <w:pStyle w:val="TableText"/>
              <w:rPr>
                <w:rFonts w:asciiTheme="minorHAnsi" w:eastAsiaTheme="minorHAnsi" w:hAnsiTheme="minorHAnsi" w:cstheme="minorBidi"/>
              </w:rPr>
            </w:pPr>
            <w:r w:rsidRPr="008868C3">
              <w:t>Cost-offsets – substitution of empagliflozin</w:t>
            </w:r>
          </w:p>
        </w:tc>
      </w:tr>
      <w:tr w:rsidR="000D2377" w14:paraId="189CB9D7" w14:textId="77777777" w:rsidTr="00EA3A8D">
        <w:trPr>
          <w:trHeight w:val="255"/>
        </w:trPr>
        <w:tc>
          <w:tcPr>
            <w:tcW w:w="714" w:type="pct"/>
            <w:tcBorders>
              <w:top w:val="single" w:sz="4" w:space="0" w:color="auto"/>
              <w:left w:val="single" w:sz="4" w:space="0" w:color="auto"/>
              <w:bottom w:val="single" w:sz="4" w:space="0" w:color="auto"/>
              <w:right w:val="single" w:sz="4" w:space="0" w:color="auto"/>
            </w:tcBorders>
            <w:noWrap/>
            <w:hideMark/>
          </w:tcPr>
          <w:p w14:paraId="228636A5" w14:textId="77777777" w:rsidR="000D2377" w:rsidRDefault="000D2377" w:rsidP="00793738">
            <w:pPr>
              <w:pStyle w:val="TableText"/>
              <w:rPr>
                <w:rFonts w:cs="Arial"/>
              </w:rPr>
            </w:pPr>
            <w:r>
              <w:t>Empagliflozin scripts</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11EB1CF4" w14:textId="35E25070" w:rsidR="000D2377" w:rsidRPr="00F22CF6" w:rsidRDefault="009D1A67" w:rsidP="00793738">
            <w:pPr>
              <w:pStyle w:val="TableText"/>
              <w:rPr>
                <w:highlight w:val="darkGray"/>
              </w:rPr>
            </w:pPr>
            <w:r w:rsidRPr="00B159A2">
              <w:rPr>
                <w:color w:val="000000"/>
                <w:spacing w:val="53"/>
                <w:shd w:val="solid" w:color="000000" w:fill="000000"/>
                <w:fitText w:val="330" w:id="-607928308"/>
                <w14:textFill>
                  <w14:solidFill>
                    <w14:srgbClr w14:val="000000">
                      <w14:alpha w14:val="100000"/>
                    </w14:srgbClr>
                  </w14:solidFill>
                </w14:textFill>
              </w:rPr>
              <w:t>|||</w:t>
            </w:r>
            <w:r w:rsidRPr="00B159A2">
              <w:rPr>
                <w:color w:val="000000"/>
                <w:spacing w:val="1"/>
                <w:shd w:val="solid" w:color="000000" w:fill="000000"/>
                <w:fitText w:val="330" w:id="-607928308"/>
                <w14:textFill>
                  <w14:solidFill>
                    <w14:srgbClr w14:val="000000">
                      <w14:alpha w14:val="100000"/>
                    </w14:srgbClr>
                  </w14:solidFill>
                </w14:textFill>
              </w:rPr>
              <w:t>|</w:t>
            </w:r>
            <w:r w:rsidR="00EA3A8D">
              <w:rPr>
                <w:vertAlign w:val="superscript"/>
              </w:rPr>
              <w:t>1</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03C27B49" w14:textId="7D3F01C1" w:rsidR="000D2377" w:rsidRPr="00F22CF6" w:rsidRDefault="009D1A67" w:rsidP="00793738">
            <w:pPr>
              <w:pStyle w:val="TableText"/>
              <w:rPr>
                <w:highlight w:val="darkGray"/>
              </w:rPr>
            </w:pPr>
            <w:r w:rsidRPr="00B159A2">
              <w:rPr>
                <w:color w:val="000000"/>
                <w:spacing w:val="53"/>
                <w:shd w:val="solid" w:color="000000" w:fill="000000"/>
                <w:fitText w:val="330" w:id="-607928307"/>
                <w14:textFill>
                  <w14:solidFill>
                    <w14:srgbClr w14:val="000000">
                      <w14:alpha w14:val="100000"/>
                    </w14:srgbClr>
                  </w14:solidFill>
                </w14:textFill>
              </w:rPr>
              <w:t>|||</w:t>
            </w:r>
            <w:r w:rsidRPr="00B159A2">
              <w:rPr>
                <w:color w:val="000000"/>
                <w:spacing w:val="1"/>
                <w:shd w:val="solid" w:color="000000" w:fill="000000"/>
                <w:fitText w:val="330" w:id="-607928307"/>
                <w14:textFill>
                  <w14:solidFill>
                    <w14:srgbClr w14:val="000000">
                      <w14:alpha w14:val="100000"/>
                    </w14:srgbClr>
                  </w14:solidFill>
                </w14:textFill>
              </w:rPr>
              <w:t>|</w:t>
            </w:r>
            <w:r w:rsidR="00EA3A8D">
              <w:rPr>
                <w:vertAlign w:val="superscript"/>
              </w:rPr>
              <w:t>1</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57004D4D" w14:textId="43CC21F4" w:rsidR="000D2377" w:rsidRPr="00F22CF6" w:rsidRDefault="009D1A67" w:rsidP="00793738">
            <w:pPr>
              <w:pStyle w:val="TableText"/>
              <w:rPr>
                <w:highlight w:val="darkGray"/>
              </w:rPr>
            </w:pPr>
            <w:r w:rsidRPr="00B159A2">
              <w:rPr>
                <w:color w:val="000000"/>
                <w:spacing w:val="53"/>
                <w:shd w:val="solid" w:color="000000" w:fill="000000"/>
                <w:fitText w:val="330" w:id="-607928306"/>
                <w14:textFill>
                  <w14:solidFill>
                    <w14:srgbClr w14:val="000000">
                      <w14:alpha w14:val="100000"/>
                    </w14:srgbClr>
                  </w14:solidFill>
                </w14:textFill>
              </w:rPr>
              <w:t>|||</w:t>
            </w:r>
            <w:r w:rsidRPr="00B159A2">
              <w:rPr>
                <w:color w:val="000000"/>
                <w:spacing w:val="1"/>
                <w:shd w:val="solid" w:color="000000" w:fill="000000"/>
                <w:fitText w:val="330" w:id="-607928306"/>
                <w14:textFill>
                  <w14:solidFill>
                    <w14:srgbClr w14:val="000000">
                      <w14:alpha w14:val="100000"/>
                    </w14:srgbClr>
                  </w14:solidFill>
                </w14:textFill>
              </w:rPr>
              <w:t>|</w:t>
            </w:r>
            <w:r w:rsidR="00EA3A8D">
              <w:rPr>
                <w:vertAlign w:val="superscript"/>
              </w:rPr>
              <w:t>2</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41A25C23" w14:textId="64C19B38" w:rsidR="000D2377" w:rsidRPr="00F22CF6" w:rsidRDefault="009D1A67" w:rsidP="00793738">
            <w:pPr>
              <w:pStyle w:val="TableText"/>
              <w:rPr>
                <w:highlight w:val="darkGray"/>
              </w:rPr>
            </w:pPr>
            <w:r w:rsidRPr="00B159A2">
              <w:rPr>
                <w:color w:val="000000"/>
                <w:spacing w:val="53"/>
                <w:shd w:val="solid" w:color="000000" w:fill="000000"/>
                <w:fitText w:val="330" w:id="-607928305"/>
                <w14:textFill>
                  <w14:solidFill>
                    <w14:srgbClr w14:val="000000">
                      <w14:alpha w14:val="100000"/>
                    </w14:srgbClr>
                  </w14:solidFill>
                </w14:textFill>
              </w:rPr>
              <w:t>|||</w:t>
            </w:r>
            <w:r w:rsidRPr="00B159A2">
              <w:rPr>
                <w:color w:val="000000"/>
                <w:spacing w:val="1"/>
                <w:shd w:val="solid" w:color="000000" w:fill="000000"/>
                <w:fitText w:val="330" w:id="-607928305"/>
                <w14:textFill>
                  <w14:solidFill>
                    <w14:srgbClr w14:val="000000">
                      <w14:alpha w14:val="100000"/>
                    </w14:srgbClr>
                  </w14:solidFill>
                </w14:textFill>
              </w:rPr>
              <w:t>|</w:t>
            </w:r>
            <w:r w:rsidR="00EA3A8D">
              <w:rPr>
                <w:vertAlign w:val="superscript"/>
              </w:rPr>
              <w:t>2</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0CB58A67" w14:textId="14DD4B44" w:rsidR="000D2377" w:rsidRPr="00F22CF6" w:rsidRDefault="009D1A67" w:rsidP="00793738">
            <w:pPr>
              <w:pStyle w:val="TableText"/>
              <w:rPr>
                <w:highlight w:val="darkGray"/>
              </w:rPr>
            </w:pPr>
            <w:r w:rsidRPr="00B159A2">
              <w:rPr>
                <w:color w:val="000000"/>
                <w:spacing w:val="53"/>
                <w:shd w:val="solid" w:color="000000" w:fill="000000"/>
                <w:fitText w:val="330" w:id="-607928304"/>
                <w14:textFill>
                  <w14:solidFill>
                    <w14:srgbClr w14:val="000000">
                      <w14:alpha w14:val="100000"/>
                    </w14:srgbClr>
                  </w14:solidFill>
                </w14:textFill>
              </w:rPr>
              <w:t>|||</w:t>
            </w:r>
            <w:r w:rsidRPr="00B159A2">
              <w:rPr>
                <w:color w:val="000000"/>
                <w:spacing w:val="1"/>
                <w:shd w:val="solid" w:color="000000" w:fill="000000"/>
                <w:fitText w:val="330" w:id="-607928304"/>
                <w14:textFill>
                  <w14:solidFill>
                    <w14:srgbClr w14:val="000000">
                      <w14:alpha w14:val="100000"/>
                    </w14:srgbClr>
                  </w14:solidFill>
                </w14:textFill>
              </w:rPr>
              <w:t>|</w:t>
            </w:r>
            <w:r w:rsidR="00EA3A8D">
              <w:rPr>
                <w:vertAlign w:val="superscript"/>
              </w:rPr>
              <w:t>2</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2B8B432C" w14:textId="48CB14B2" w:rsidR="000D2377" w:rsidRPr="00F22CF6" w:rsidRDefault="009D1A67" w:rsidP="00793738">
            <w:pPr>
              <w:pStyle w:val="TableText"/>
              <w:rPr>
                <w:highlight w:val="darkGray"/>
              </w:rPr>
            </w:pPr>
            <w:r w:rsidRPr="00B159A2">
              <w:rPr>
                <w:color w:val="000000"/>
                <w:spacing w:val="53"/>
                <w:shd w:val="solid" w:color="000000" w:fill="000000"/>
                <w:fitText w:val="330" w:id="-607928320"/>
                <w14:textFill>
                  <w14:solidFill>
                    <w14:srgbClr w14:val="000000">
                      <w14:alpha w14:val="100000"/>
                    </w14:srgbClr>
                  </w14:solidFill>
                </w14:textFill>
              </w:rPr>
              <w:t>|||</w:t>
            </w:r>
            <w:r w:rsidRPr="00B159A2">
              <w:rPr>
                <w:color w:val="000000"/>
                <w:spacing w:val="1"/>
                <w:shd w:val="solid" w:color="000000" w:fill="000000"/>
                <w:fitText w:val="330" w:id="-607928320"/>
                <w14:textFill>
                  <w14:solidFill>
                    <w14:srgbClr w14:val="000000">
                      <w14:alpha w14:val="100000"/>
                    </w14:srgbClr>
                  </w14:solidFill>
                </w14:textFill>
              </w:rPr>
              <w:t>|</w:t>
            </w:r>
            <w:r w:rsidR="00EA3A8D">
              <w:rPr>
                <w:vertAlign w:val="superscript"/>
              </w:rPr>
              <w:t>2</w:t>
            </w:r>
          </w:p>
        </w:tc>
      </w:tr>
      <w:tr w:rsidR="000D2377" w14:paraId="646B6556" w14:textId="77777777" w:rsidTr="00EA3A8D">
        <w:trPr>
          <w:trHeight w:val="255"/>
        </w:trPr>
        <w:tc>
          <w:tcPr>
            <w:tcW w:w="714" w:type="pct"/>
            <w:tcBorders>
              <w:top w:val="single" w:sz="4" w:space="0" w:color="auto"/>
              <w:left w:val="single" w:sz="4" w:space="0" w:color="auto"/>
              <w:bottom w:val="single" w:sz="4" w:space="0" w:color="auto"/>
              <w:right w:val="single" w:sz="4" w:space="0" w:color="auto"/>
            </w:tcBorders>
            <w:noWrap/>
            <w:hideMark/>
          </w:tcPr>
          <w:p w14:paraId="4F923230" w14:textId="77777777" w:rsidR="000D2377" w:rsidRDefault="000D2377" w:rsidP="00793738">
            <w:pPr>
              <w:pStyle w:val="TableText"/>
            </w:pPr>
            <w:r>
              <w:t>Savings to PBS/RPBS less patient co-payment</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369C4769" w14:textId="3222E47A" w:rsidR="000D2377" w:rsidRPr="00F22CF6" w:rsidRDefault="009D1A67" w:rsidP="00793738">
            <w:pPr>
              <w:pStyle w:val="TableText"/>
              <w:rPr>
                <w:highlight w:val="darkGray"/>
              </w:rPr>
            </w:pPr>
            <w:r w:rsidRPr="00B159A2">
              <w:rPr>
                <w:color w:val="000000"/>
                <w:spacing w:val="53"/>
                <w:shd w:val="solid" w:color="000000" w:fill="000000"/>
                <w:fitText w:val="330" w:id="-607928319"/>
                <w14:textFill>
                  <w14:solidFill>
                    <w14:srgbClr w14:val="000000">
                      <w14:alpha w14:val="100000"/>
                    </w14:srgbClr>
                  </w14:solidFill>
                </w14:textFill>
              </w:rPr>
              <w:t>|||</w:t>
            </w:r>
            <w:r w:rsidRPr="00B159A2">
              <w:rPr>
                <w:color w:val="000000"/>
                <w:spacing w:val="1"/>
                <w:shd w:val="solid" w:color="000000" w:fill="000000"/>
                <w:fitText w:val="330" w:id="-607928319"/>
                <w14:textFill>
                  <w14:solidFill>
                    <w14:srgbClr w14:val="000000">
                      <w14:alpha w14:val="100000"/>
                    </w14:srgbClr>
                  </w14:solidFill>
                </w14:textFill>
              </w:rPr>
              <w:t>|</w:t>
            </w:r>
            <w:r w:rsidR="00EA3A8D">
              <w:rPr>
                <w:vertAlign w:val="superscript"/>
              </w:rPr>
              <w:t>3</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246C572C" w14:textId="0111D840" w:rsidR="000D2377" w:rsidRPr="00F22CF6" w:rsidRDefault="009D1A67" w:rsidP="00793738">
            <w:pPr>
              <w:pStyle w:val="TableText"/>
              <w:rPr>
                <w:highlight w:val="darkGray"/>
              </w:rPr>
            </w:pPr>
            <w:r w:rsidRPr="00B159A2">
              <w:rPr>
                <w:color w:val="000000"/>
                <w:spacing w:val="53"/>
                <w:shd w:val="solid" w:color="000000" w:fill="000000"/>
                <w:fitText w:val="330" w:id="-607928318"/>
                <w14:textFill>
                  <w14:solidFill>
                    <w14:srgbClr w14:val="000000">
                      <w14:alpha w14:val="100000"/>
                    </w14:srgbClr>
                  </w14:solidFill>
                </w14:textFill>
              </w:rPr>
              <w:t>|||</w:t>
            </w:r>
            <w:r w:rsidRPr="00B159A2">
              <w:rPr>
                <w:color w:val="000000"/>
                <w:spacing w:val="1"/>
                <w:shd w:val="solid" w:color="000000" w:fill="000000"/>
                <w:fitText w:val="330" w:id="-607928318"/>
                <w14:textFill>
                  <w14:solidFill>
                    <w14:srgbClr w14:val="000000">
                      <w14:alpha w14:val="100000"/>
                    </w14:srgbClr>
                  </w14:solidFill>
                </w14:textFill>
              </w:rPr>
              <w:t>|</w:t>
            </w:r>
            <w:r w:rsidR="00EA3A8D">
              <w:rPr>
                <w:vertAlign w:val="superscript"/>
              </w:rPr>
              <w:t>3</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6B58E628" w14:textId="3956FD30" w:rsidR="000D2377" w:rsidRPr="00F22CF6" w:rsidRDefault="009D1A67" w:rsidP="00793738">
            <w:pPr>
              <w:pStyle w:val="TableText"/>
              <w:rPr>
                <w:highlight w:val="darkGray"/>
              </w:rPr>
            </w:pPr>
            <w:r w:rsidRPr="00B159A2">
              <w:rPr>
                <w:color w:val="000000"/>
                <w:spacing w:val="53"/>
                <w:shd w:val="solid" w:color="000000" w:fill="000000"/>
                <w:fitText w:val="330" w:id="-607928317"/>
                <w14:textFill>
                  <w14:solidFill>
                    <w14:srgbClr w14:val="000000">
                      <w14:alpha w14:val="100000"/>
                    </w14:srgbClr>
                  </w14:solidFill>
                </w14:textFill>
              </w:rPr>
              <w:t>|||</w:t>
            </w:r>
            <w:r w:rsidRPr="00B159A2">
              <w:rPr>
                <w:color w:val="000000"/>
                <w:spacing w:val="1"/>
                <w:shd w:val="solid" w:color="000000" w:fill="000000"/>
                <w:fitText w:val="330" w:id="-607928317"/>
                <w14:textFill>
                  <w14:solidFill>
                    <w14:srgbClr w14:val="000000">
                      <w14:alpha w14:val="100000"/>
                    </w14:srgbClr>
                  </w14:solidFill>
                </w14:textFill>
              </w:rPr>
              <w:t>|</w:t>
            </w:r>
            <w:r w:rsidR="00EA3A8D">
              <w:rPr>
                <w:vertAlign w:val="superscript"/>
              </w:rPr>
              <w:t>3</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4C828F0E" w14:textId="05174285" w:rsidR="000D2377" w:rsidRPr="00F22CF6" w:rsidRDefault="009D1A67" w:rsidP="00793738">
            <w:pPr>
              <w:pStyle w:val="TableText"/>
              <w:rPr>
                <w:highlight w:val="darkGray"/>
              </w:rPr>
            </w:pPr>
            <w:r w:rsidRPr="00B159A2">
              <w:rPr>
                <w:color w:val="000000"/>
                <w:spacing w:val="53"/>
                <w:shd w:val="solid" w:color="000000" w:fill="000000"/>
                <w:fitText w:val="330" w:id="-607928316"/>
                <w14:textFill>
                  <w14:solidFill>
                    <w14:srgbClr w14:val="000000">
                      <w14:alpha w14:val="100000"/>
                    </w14:srgbClr>
                  </w14:solidFill>
                </w14:textFill>
              </w:rPr>
              <w:t>|||</w:t>
            </w:r>
            <w:r w:rsidRPr="00B159A2">
              <w:rPr>
                <w:color w:val="000000"/>
                <w:spacing w:val="1"/>
                <w:shd w:val="solid" w:color="000000" w:fill="000000"/>
                <w:fitText w:val="330" w:id="-607928316"/>
                <w14:textFill>
                  <w14:solidFill>
                    <w14:srgbClr w14:val="000000">
                      <w14:alpha w14:val="100000"/>
                    </w14:srgbClr>
                  </w14:solidFill>
                </w14:textFill>
              </w:rPr>
              <w:t>|</w:t>
            </w:r>
            <w:r w:rsidR="00EA3A8D">
              <w:rPr>
                <w:vertAlign w:val="superscript"/>
              </w:rPr>
              <w:t>3</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47B6F61C" w14:textId="63A0353B" w:rsidR="000D2377" w:rsidRPr="00F22CF6" w:rsidRDefault="009D1A67" w:rsidP="00793738">
            <w:pPr>
              <w:pStyle w:val="TableText"/>
              <w:rPr>
                <w:highlight w:val="darkGray"/>
              </w:rPr>
            </w:pPr>
            <w:r w:rsidRPr="00B159A2">
              <w:rPr>
                <w:color w:val="000000"/>
                <w:spacing w:val="53"/>
                <w:shd w:val="solid" w:color="000000" w:fill="000000"/>
                <w:fitText w:val="330" w:id="-607928315"/>
                <w14:textFill>
                  <w14:solidFill>
                    <w14:srgbClr w14:val="000000">
                      <w14:alpha w14:val="100000"/>
                    </w14:srgbClr>
                  </w14:solidFill>
                </w14:textFill>
              </w:rPr>
              <w:t>|||</w:t>
            </w:r>
            <w:r w:rsidRPr="00B159A2">
              <w:rPr>
                <w:color w:val="000000"/>
                <w:spacing w:val="1"/>
                <w:shd w:val="solid" w:color="000000" w:fill="000000"/>
                <w:fitText w:val="330" w:id="-607928315"/>
                <w14:textFill>
                  <w14:solidFill>
                    <w14:srgbClr w14:val="000000">
                      <w14:alpha w14:val="100000"/>
                    </w14:srgbClr>
                  </w14:solidFill>
                </w14:textFill>
              </w:rPr>
              <w:t>|</w:t>
            </w:r>
            <w:r w:rsidR="00EA3A8D">
              <w:rPr>
                <w:vertAlign w:val="superscript"/>
              </w:rPr>
              <w:t>3</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510C6AD6" w14:textId="0A11590C" w:rsidR="000D2377" w:rsidRPr="00F22CF6" w:rsidRDefault="009D1A67" w:rsidP="00793738">
            <w:pPr>
              <w:pStyle w:val="TableText"/>
              <w:rPr>
                <w:highlight w:val="darkGray"/>
              </w:rPr>
            </w:pPr>
            <w:r w:rsidRPr="00B159A2">
              <w:rPr>
                <w:color w:val="000000"/>
                <w:spacing w:val="53"/>
                <w:shd w:val="solid" w:color="000000" w:fill="000000"/>
                <w:fitText w:val="330" w:id="-607928314"/>
                <w14:textFill>
                  <w14:solidFill>
                    <w14:srgbClr w14:val="000000">
                      <w14:alpha w14:val="100000"/>
                    </w14:srgbClr>
                  </w14:solidFill>
                </w14:textFill>
              </w:rPr>
              <w:t>|||</w:t>
            </w:r>
            <w:r w:rsidRPr="00B159A2">
              <w:rPr>
                <w:color w:val="000000"/>
                <w:spacing w:val="1"/>
                <w:shd w:val="solid" w:color="000000" w:fill="000000"/>
                <w:fitText w:val="330" w:id="-607928314"/>
                <w14:textFill>
                  <w14:solidFill>
                    <w14:srgbClr w14:val="000000">
                      <w14:alpha w14:val="100000"/>
                    </w14:srgbClr>
                  </w14:solidFill>
                </w14:textFill>
              </w:rPr>
              <w:t>|</w:t>
            </w:r>
            <w:r w:rsidR="00EA3A8D">
              <w:rPr>
                <w:vertAlign w:val="superscript"/>
              </w:rPr>
              <w:t>3</w:t>
            </w:r>
          </w:p>
        </w:tc>
      </w:tr>
      <w:tr w:rsidR="000D2377" w14:paraId="65F5893D" w14:textId="77777777" w:rsidTr="00EA3A8D">
        <w:trPr>
          <w:trHeight w:val="255"/>
        </w:trPr>
        <w:tc>
          <w:tcPr>
            <w:tcW w:w="714" w:type="pct"/>
            <w:tcBorders>
              <w:top w:val="single" w:sz="4" w:space="0" w:color="auto"/>
              <w:left w:val="single" w:sz="4" w:space="0" w:color="auto"/>
              <w:bottom w:val="single" w:sz="4" w:space="0" w:color="auto"/>
              <w:right w:val="nil"/>
            </w:tcBorders>
            <w:noWrap/>
            <w:hideMark/>
          </w:tcPr>
          <w:p w14:paraId="071B8D08" w14:textId="77777777" w:rsidR="000D2377" w:rsidRPr="008868C3" w:rsidRDefault="000D2377" w:rsidP="00793738">
            <w:pPr>
              <w:pStyle w:val="TableText"/>
            </w:pPr>
            <w:r w:rsidRPr="008868C3">
              <w:t>Net financial impact</w:t>
            </w:r>
          </w:p>
        </w:tc>
        <w:tc>
          <w:tcPr>
            <w:tcW w:w="714" w:type="pct"/>
            <w:tcBorders>
              <w:top w:val="single" w:sz="4" w:space="0" w:color="auto"/>
              <w:left w:val="nil"/>
              <w:bottom w:val="single" w:sz="4" w:space="0" w:color="auto"/>
              <w:right w:val="nil"/>
            </w:tcBorders>
            <w:noWrap/>
            <w:hideMark/>
          </w:tcPr>
          <w:p w14:paraId="46FE17E4" w14:textId="77777777" w:rsidR="000D2377" w:rsidRPr="008868C3" w:rsidRDefault="000D2377" w:rsidP="000D2377">
            <w:pPr>
              <w:rPr>
                <w:b/>
              </w:rPr>
            </w:pPr>
          </w:p>
        </w:tc>
        <w:tc>
          <w:tcPr>
            <w:tcW w:w="714" w:type="pct"/>
            <w:tcBorders>
              <w:top w:val="single" w:sz="4" w:space="0" w:color="auto"/>
              <w:left w:val="nil"/>
              <w:bottom w:val="single" w:sz="4" w:space="0" w:color="auto"/>
              <w:right w:val="nil"/>
            </w:tcBorders>
            <w:noWrap/>
            <w:hideMark/>
          </w:tcPr>
          <w:p w14:paraId="1CE75135" w14:textId="77777777" w:rsidR="000D2377" w:rsidRDefault="000D2377" w:rsidP="000D2377">
            <w:pPr>
              <w:jc w:val="left"/>
              <w:rPr>
                <w:rFonts w:asciiTheme="minorHAnsi" w:eastAsiaTheme="minorHAnsi" w:hAnsiTheme="minorHAnsi" w:cstheme="minorBidi"/>
              </w:rPr>
            </w:pPr>
          </w:p>
        </w:tc>
        <w:tc>
          <w:tcPr>
            <w:tcW w:w="714" w:type="pct"/>
            <w:tcBorders>
              <w:top w:val="single" w:sz="4" w:space="0" w:color="auto"/>
              <w:left w:val="nil"/>
              <w:bottom w:val="single" w:sz="4" w:space="0" w:color="auto"/>
              <w:right w:val="nil"/>
            </w:tcBorders>
            <w:noWrap/>
            <w:hideMark/>
          </w:tcPr>
          <w:p w14:paraId="71232DC0" w14:textId="77777777" w:rsidR="000D2377" w:rsidRDefault="000D2377" w:rsidP="000D2377">
            <w:pPr>
              <w:jc w:val="left"/>
              <w:rPr>
                <w:rFonts w:asciiTheme="minorHAnsi" w:eastAsiaTheme="minorHAnsi" w:hAnsiTheme="minorHAnsi" w:cstheme="minorBidi"/>
              </w:rPr>
            </w:pPr>
          </w:p>
        </w:tc>
        <w:tc>
          <w:tcPr>
            <w:tcW w:w="714" w:type="pct"/>
            <w:tcBorders>
              <w:top w:val="single" w:sz="4" w:space="0" w:color="auto"/>
              <w:left w:val="nil"/>
              <w:bottom w:val="single" w:sz="4" w:space="0" w:color="auto"/>
              <w:right w:val="nil"/>
            </w:tcBorders>
            <w:noWrap/>
            <w:hideMark/>
          </w:tcPr>
          <w:p w14:paraId="6D9F143C" w14:textId="77777777" w:rsidR="000D2377" w:rsidRDefault="000D2377" w:rsidP="000D2377">
            <w:pPr>
              <w:jc w:val="left"/>
              <w:rPr>
                <w:rFonts w:asciiTheme="minorHAnsi" w:eastAsiaTheme="minorHAnsi" w:hAnsiTheme="minorHAnsi" w:cstheme="minorBidi"/>
              </w:rPr>
            </w:pPr>
          </w:p>
        </w:tc>
        <w:tc>
          <w:tcPr>
            <w:tcW w:w="714" w:type="pct"/>
            <w:tcBorders>
              <w:top w:val="single" w:sz="4" w:space="0" w:color="auto"/>
              <w:left w:val="nil"/>
              <w:bottom w:val="single" w:sz="4" w:space="0" w:color="auto"/>
              <w:right w:val="nil"/>
            </w:tcBorders>
            <w:noWrap/>
            <w:hideMark/>
          </w:tcPr>
          <w:p w14:paraId="0AD83ACF" w14:textId="77777777" w:rsidR="000D2377" w:rsidRDefault="000D2377" w:rsidP="000D2377">
            <w:pPr>
              <w:jc w:val="left"/>
              <w:rPr>
                <w:rFonts w:asciiTheme="minorHAnsi" w:eastAsiaTheme="minorHAnsi" w:hAnsiTheme="minorHAnsi" w:cstheme="minorBidi"/>
              </w:rPr>
            </w:pPr>
          </w:p>
        </w:tc>
        <w:tc>
          <w:tcPr>
            <w:tcW w:w="715" w:type="pct"/>
            <w:tcBorders>
              <w:top w:val="single" w:sz="4" w:space="0" w:color="auto"/>
              <w:left w:val="nil"/>
              <w:bottom w:val="single" w:sz="4" w:space="0" w:color="auto"/>
              <w:right w:val="single" w:sz="4" w:space="0" w:color="auto"/>
            </w:tcBorders>
            <w:noWrap/>
            <w:hideMark/>
          </w:tcPr>
          <w:p w14:paraId="2454D82A" w14:textId="77777777" w:rsidR="000D2377" w:rsidRDefault="000D2377" w:rsidP="000D2377">
            <w:pPr>
              <w:jc w:val="left"/>
              <w:rPr>
                <w:rFonts w:asciiTheme="minorHAnsi" w:eastAsiaTheme="minorHAnsi" w:hAnsiTheme="minorHAnsi" w:cstheme="minorBidi"/>
              </w:rPr>
            </w:pPr>
          </w:p>
        </w:tc>
      </w:tr>
      <w:tr w:rsidR="000D2377" w14:paraId="3D2F6921" w14:textId="77777777" w:rsidTr="00EA3A8D">
        <w:trPr>
          <w:trHeight w:val="255"/>
        </w:trPr>
        <w:tc>
          <w:tcPr>
            <w:tcW w:w="714" w:type="pct"/>
            <w:tcBorders>
              <w:top w:val="single" w:sz="4" w:space="0" w:color="auto"/>
              <w:left w:val="single" w:sz="4" w:space="0" w:color="auto"/>
              <w:bottom w:val="single" w:sz="4" w:space="0" w:color="auto"/>
              <w:right w:val="single" w:sz="4" w:space="0" w:color="auto"/>
            </w:tcBorders>
            <w:noWrap/>
            <w:hideMark/>
          </w:tcPr>
          <w:p w14:paraId="179EDC07" w14:textId="77777777" w:rsidR="000D2377" w:rsidRDefault="000D2377" w:rsidP="00793738">
            <w:pPr>
              <w:pStyle w:val="TableText"/>
            </w:pPr>
            <w:r>
              <w:t>Total cost to PBS/RPBS less patient co-payment</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446BBD7A" w14:textId="5274C6CD" w:rsidR="000D2377" w:rsidRPr="00143DE6" w:rsidRDefault="009D1A67" w:rsidP="00793738">
            <w:pPr>
              <w:pStyle w:val="TableText"/>
              <w:rPr>
                <w:highlight w:val="darkGray"/>
              </w:rPr>
            </w:pPr>
            <w:r w:rsidRPr="00B159A2">
              <w:rPr>
                <w:color w:val="000000"/>
                <w:spacing w:val="53"/>
                <w:shd w:val="solid" w:color="000000" w:fill="000000"/>
                <w:fitText w:val="330" w:id="-607928313"/>
                <w14:textFill>
                  <w14:solidFill>
                    <w14:srgbClr w14:val="000000">
                      <w14:alpha w14:val="100000"/>
                    </w14:srgbClr>
                  </w14:solidFill>
                </w14:textFill>
              </w:rPr>
              <w:t>|||</w:t>
            </w:r>
            <w:r w:rsidRPr="00B159A2">
              <w:rPr>
                <w:color w:val="000000"/>
                <w:spacing w:val="1"/>
                <w:shd w:val="solid" w:color="000000" w:fill="000000"/>
                <w:fitText w:val="330" w:id="-607928313"/>
                <w14:textFill>
                  <w14:solidFill>
                    <w14:srgbClr w14:val="000000">
                      <w14:alpha w14:val="100000"/>
                    </w14:srgbClr>
                  </w14:solidFill>
                </w14:textFill>
              </w:rPr>
              <w:t>|</w:t>
            </w:r>
            <w:r w:rsidR="00793738">
              <w:rPr>
                <w:vertAlign w:val="superscript"/>
              </w:rPr>
              <w:t>5</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7450CF5A" w14:textId="5D92C7AB" w:rsidR="000D2377" w:rsidRPr="00143DE6" w:rsidRDefault="009D1A67" w:rsidP="00793738">
            <w:pPr>
              <w:pStyle w:val="TableText"/>
              <w:rPr>
                <w:highlight w:val="darkGray"/>
              </w:rPr>
            </w:pPr>
            <w:r w:rsidRPr="00B159A2">
              <w:rPr>
                <w:color w:val="000000"/>
                <w:spacing w:val="53"/>
                <w:shd w:val="solid" w:color="000000" w:fill="000000"/>
                <w:fitText w:val="330" w:id="-607928312"/>
                <w14:textFill>
                  <w14:solidFill>
                    <w14:srgbClr w14:val="000000">
                      <w14:alpha w14:val="100000"/>
                    </w14:srgbClr>
                  </w14:solidFill>
                </w14:textFill>
              </w:rPr>
              <w:t>|||</w:t>
            </w:r>
            <w:r w:rsidRPr="00B159A2">
              <w:rPr>
                <w:color w:val="000000"/>
                <w:spacing w:val="1"/>
                <w:shd w:val="solid" w:color="000000" w:fill="000000"/>
                <w:fitText w:val="330" w:id="-607928312"/>
                <w14:textFill>
                  <w14:solidFill>
                    <w14:srgbClr w14:val="000000">
                      <w14:alpha w14:val="100000"/>
                    </w14:srgbClr>
                  </w14:solidFill>
                </w14:textFill>
              </w:rPr>
              <w:t>|</w:t>
            </w:r>
            <w:r w:rsidR="00793738">
              <w:rPr>
                <w:vertAlign w:val="superscript"/>
              </w:rPr>
              <w:t>5</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5B2FAE53" w14:textId="0B2FD0C2" w:rsidR="000D2377" w:rsidRPr="00143DE6" w:rsidRDefault="009D1A67" w:rsidP="00793738">
            <w:pPr>
              <w:pStyle w:val="TableText"/>
              <w:rPr>
                <w:highlight w:val="darkGray"/>
              </w:rPr>
            </w:pPr>
            <w:r w:rsidRPr="00B159A2">
              <w:rPr>
                <w:color w:val="000000"/>
                <w:spacing w:val="53"/>
                <w:shd w:val="solid" w:color="000000" w:fill="000000"/>
                <w:fitText w:val="330" w:id="-607928311"/>
                <w14:textFill>
                  <w14:solidFill>
                    <w14:srgbClr w14:val="000000">
                      <w14:alpha w14:val="100000"/>
                    </w14:srgbClr>
                  </w14:solidFill>
                </w14:textFill>
              </w:rPr>
              <w:t>|||</w:t>
            </w:r>
            <w:r w:rsidRPr="00B159A2">
              <w:rPr>
                <w:color w:val="000000"/>
                <w:spacing w:val="1"/>
                <w:shd w:val="solid" w:color="000000" w:fill="000000"/>
                <w:fitText w:val="330" w:id="-607928311"/>
                <w14:textFill>
                  <w14:solidFill>
                    <w14:srgbClr w14:val="000000">
                      <w14:alpha w14:val="100000"/>
                    </w14:srgbClr>
                  </w14:solidFill>
                </w14:textFill>
              </w:rPr>
              <w:t>|</w:t>
            </w:r>
            <w:r w:rsidR="00793738">
              <w:rPr>
                <w:vertAlign w:val="superscript"/>
              </w:rPr>
              <w:t>5</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4F3F7F17" w14:textId="552B8BB1" w:rsidR="000D2377" w:rsidRPr="00143DE6" w:rsidRDefault="009D1A67" w:rsidP="00793738">
            <w:pPr>
              <w:pStyle w:val="TableText"/>
              <w:rPr>
                <w:highlight w:val="darkGray"/>
              </w:rPr>
            </w:pPr>
            <w:r w:rsidRPr="00B159A2">
              <w:rPr>
                <w:color w:val="000000"/>
                <w:spacing w:val="53"/>
                <w:shd w:val="solid" w:color="000000" w:fill="000000"/>
                <w:fitText w:val="330" w:id="-607928310"/>
                <w14:textFill>
                  <w14:solidFill>
                    <w14:srgbClr w14:val="000000">
                      <w14:alpha w14:val="100000"/>
                    </w14:srgbClr>
                  </w14:solidFill>
                </w14:textFill>
              </w:rPr>
              <w:t>|||</w:t>
            </w:r>
            <w:r w:rsidRPr="00B159A2">
              <w:rPr>
                <w:color w:val="000000"/>
                <w:spacing w:val="1"/>
                <w:shd w:val="solid" w:color="000000" w:fill="000000"/>
                <w:fitText w:val="330" w:id="-607928310"/>
                <w14:textFill>
                  <w14:solidFill>
                    <w14:srgbClr w14:val="000000">
                      <w14:alpha w14:val="100000"/>
                    </w14:srgbClr>
                  </w14:solidFill>
                </w14:textFill>
              </w:rPr>
              <w:t>|</w:t>
            </w:r>
            <w:r w:rsidR="00793738">
              <w:rPr>
                <w:vertAlign w:val="superscript"/>
              </w:rPr>
              <w:t>5</w:t>
            </w:r>
          </w:p>
        </w:tc>
        <w:tc>
          <w:tcPr>
            <w:tcW w:w="714" w:type="pct"/>
            <w:tcBorders>
              <w:top w:val="single" w:sz="4" w:space="0" w:color="auto"/>
              <w:left w:val="single" w:sz="4" w:space="0" w:color="auto"/>
              <w:bottom w:val="single" w:sz="4" w:space="0" w:color="auto"/>
              <w:right w:val="single" w:sz="4" w:space="0" w:color="auto"/>
            </w:tcBorders>
            <w:noWrap/>
            <w:vAlign w:val="center"/>
            <w:hideMark/>
          </w:tcPr>
          <w:p w14:paraId="51FB867F" w14:textId="0C968C27" w:rsidR="000D2377" w:rsidRPr="00143DE6" w:rsidRDefault="009D1A67" w:rsidP="00793738">
            <w:pPr>
              <w:pStyle w:val="TableText"/>
              <w:rPr>
                <w:highlight w:val="darkGray"/>
              </w:rPr>
            </w:pPr>
            <w:r w:rsidRPr="00B159A2">
              <w:rPr>
                <w:color w:val="000000"/>
                <w:spacing w:val="53"/>
                <w:shd w:val="solid" w:color="000000" w:fill="000000"/>
                <w:fitText w:val="330" w:id="-607928309"/>
                <w14:textFill>
                  <w14:solidFill>
                    <w14:srgbClr w14:val="000000">
                      <w14:alpha w14:val="100000"/>
                    </w14:srgbClr>
                  </w14:solidFill>
                </w14:textFill>
              </w:rPr>
              <w:t>|||</w:t>
            </w:r>
            <w:r w:rsidRPr="00B159A2">
              <w:rPr>
                <w:color w:val="000000"/>
                <w:spacing w:val="1"/>
                <w:shd w:val="solid" w:color="000000" w:fill="000000"/>
                <w:fitText w:val="330" w:id="-607928309"/>
                <w14:textFill>
                  <w14:solidFill>
                    <w14:srgbClr w14:val="000000">
                      <w14:alpha w14:val="100000"/>
                    </w14:srgbClr>
                  </w14:solidFill>
                </w14:textFill>
              </w:rPr>
              <w:t>|</w:t>
            </w:r>
            <w:r w:rsidR="00793738">
              <w:rPr>
                <w:vertAlign w:val="superscript"/>
              </w:rPr>
              <w:t>5</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39639A9E" w14:textId="59EB7110" w:rsidR="000D2377" w:rsidRPr="00143DE6" w:rsidRDefault="009D1A67" w:rsidP="00793738">
            <w:pPr>
              <w:pStyle w:val="TableText"/>
              <w:rPr>
                <w:highlight w:val="darkGray"/>
              </w:rPr>
            </w:pPr>
            <w:r w:rsidRPr="00B159A2">
              <w:rPr>
                <w:color w:val="000000"/>
                <w:spacing w:val="53"/>
                <w:shd w:val="solid" w:color="000000" w:fill="000000"/>
                <w:fitText w:val="330" w:id="-607928308"/>
                <w14:textFill>
                  <w14:solidFill>
                    <w14:srgbClr w14:val="000000">
                      <w14:alpha w14:val="100000"/>
                    </w14:srgbClr>
                  </w14:solidFill>
                </w14:textFill>
              </w:rPr>
              <w:t>|||</w:t>
            </w:r>
            <w:r w:rsidRPr="00B159A2">
              <w:rPr>
                <w:color w:val="000000"/>
                <w:spacing w:val="1"/>
                <w:shd w:val="solid" w:color="000000" w:fill="000000"/>
                <w:fitText w:val="330" w:id="-607928308"/>
                <w14:textFill>
                  <w14:solidFill>
                    <w14:srgbClr w14:val="000000">
                      <w14:alpha w14:val="100000"/>
                    </w14:srgbClr>
                  </w14:solidFill>
                </w14:textFill>
              </w:rPr>
              <w:t>|</w:t>
            </w:r>
            <w:r w:rsidR="00793738">
              <w:rPr>
                <w:vertAlign w:val="superscript"/>
              </w:rPr>
              <w:t>5</w:t>
            </w:r>
          </w:p>
        </w:tc>
      </w:tr>
    </w:tbl>
    <w:p w14:paraId="59F98ABC" w14:textId="16E9617D" w:rsidR="002C6508" w:rsidRDefault="002C6508" w:rsidP="000D2377">
      <w:pPr>
        <w:pStyle w:val="TableFigureFooter"/>
      </w:pPr>
      <w:r>
        <w:t>Source: See UCM workbook (Attachment 7) for details</w:t>
      </w:r>
      <w:r w:rsidR="00F9738D">
        <w:t xml:space="preserve">; Table </w:t>
      </w:r>
      <w:r w:rsidR="009452C1">
        <w:t xml:space="preserve">8 Attachment 2 of the submission, </w:t>
      </w:r>
      <w:r w:rsidR="003A47F3">
        <w:t>p24.</w:t>
      </w:r>
    </w:p>
    <w:p w14:paraId="554C4296" w14:textId="77777777" w:rsidR="002C6508" w:rsidRDefault="002C6508" w:rsidP="000D2377">
      <w:pPr>
        <w:pStyle w:val="TableFigureFooter"/>
      </w:pPr>
      <w:r>
        <w:t>Abbreviations: PBS, Pharmaceutical Benefits Scheme; RPBS, Repatriation Pharmaceutical Benefits Scheme</w:t>
      </w:r>
    </w:p>
    <w:p w14:paraId="18ED1BC1" w14:textId="77777777" w:rsidR="00D277EF" w:rsidRPr="00D277EF" w:rsidRDefault="00D277EF" w:rsidP="00D277EF">
      <w:pPr>
        <w:pStyle w:val="TableFigureFooter"/>
        <w:rPr>
          <w:i/>
          <w:iCs/>
        </w:rPr>
      </w:pPr>
      <w:r w:rsidRPr="00D277EF">
        <w:rPr>
          <w:i/>
          <w:iCs/>
        </w:rPr>
        <w:t>The redacted values correspond to the following ranges:</w:t>
      </w:r>
    </w:p>
    <w:p w14:paraId="54EEC84F" w14:textId="5F2793A6" w:rsidR="00EA3A8D" w:rsidRPr="00D277EF" w:rsidRDefault="00D277EF" w:rsidP="00EA3A8D">
      <w:pPr>
        <w:pStyle w:val="TableFigureFooter"/>
        <w:rPr>
          <w:i/>
          <w:iCs/>
        </w:rPr>
      </w:pPr>
      <w:r w:rsidRPr="00D277EF">
        <w:rPr>
          <w:i/>
          <w:iCs/>
          <w:vertAlign w:val="superscript"/>
        </w:rPr>
        <w:t>1</w:t>
      </w:r>
      <w:r w:rsidRPr="00D277EF">
        <w:rPr>
          <w:i/>
          <w:iCs/>
        </w:rPr>
        <w:t xml:space="preserve"> </w:t>
      </w:r>
      <w:r w:rsidR="00EA3A8D" w:rsidRPr="00EA3A8D">
        <w:rPr>
          <w:i/>
          <w:iCs/>
        </w:rPr>
        <w:t>200,000 to &lt; 300,000</w:t>
      </w:r>
    </w:p>
    <w:p w14:paraId="5B4E7089" w14:textId="646BA37F" w:rsidR="00D277EF" w:rsidRDefault="00EA3A8D" w:rsidP="00EA3A8D">
      <w:pPr>
        <w:pStyle w:val="TableFigureFooter"/>
        <w:rPr>
          <w:i/>
          <w:iCs/>
        </w:rPr>
      </w:pPr>
      <w:r>
        <w:rPr>
          <w:i/>
          <w:iCs/>
          <w:vertAlign w:val="superscript"/>
        </w:rPr>
        <w:t>2</w:t>
      </w:r>
      <w:r w:rsidRPr="00D277EF">
        <w:rPr>
          <w:i/>
          <w:iCs/>
        </w:rPr>
        <w:t xml:space="preserve"> </w:t>
      </w:r>
      <w:r w:rsidR="00711AF8" w:rsidRPr="00711AF8">
        <w:rPr>
          <w:i/>
          <w:iCs/>
        </w:rPr>
        <w:t>300,000 to &lt; 400,000</w:t>
      </w:r>
    </w:p>
    <w:p w14:paraId="4ED31B44" w14:textId="17DFEC05" w:rsidR="00EA3A8D" w:rsidRDefault="00EA3A8D" w:rsidP="00D001E7">
      <w:pPr>
        <w:pStyle w:val="TableFigureFooter"/>
        <w:rPr>
          <w:i/>
          <w:iCs/>
        </w:rPr>
      </w:pPr>
      <w:r>
        <w:rPr>
          <w:i/>
          <w:iCs/>
          <w:vertAlign w:val="superscript"/>
        </w:rPr>
        <w:t>3</w:t>
      </w:r>
      <w:r w:rsidR="00F529EF" w:rsidRPr="00F22CF6">
        <w:rPr>
          <w:i/>
          <w:iCs/>
        </w:rPr>
        <w:t xml:space="preserve"> </w:t>
      </w:r>
      <w:r w:rsidR="00660E87" w:rsidRPr="00F22CF6">
        <w:rPr>
          <w:i/>
          <w:iCs/>
        </w:rPr>
        <w:t>$10 million to &lt; $20 million</w:t>
      </w:r>
      <w:bookmarkStart w:id="13" w:name="_Hlk113629610"/>
    </w:p>
    <w:p w14:paraId="0E0CB70B" w14:textId="046E2CC0" w:rsidR="00D001E7" w:rsidRDefault="00EA3A8D" w:rsidP="00D001E7">
      <w:pPr>
        <w:pStyle w:val="TableFigureFooter"/>
        <w:rPr>
          <w:i/>
          <w:iCs/>
        </w:rPr>
      </w:pPr>
      <w:r>
        <w:rPr>
          <w:i/>
          <w:iCs/>
          <w:vertAlign w:val="superscript"/>
        </w:rPr>
        <w:t>4</w:t>
      </w:r>
      <w:r w:rsidR="00BA44AD">
        <w:rPr>
          <w:i/>
          <w:iCs/>
        </w:rPr>
        <w:t xml:space="preserve"> </w:t>
      </w:r>
      <w:r w:rsidR="00D001E7" w:rsidRPr="00D001E7">
        <w:rPr>
          <w:i/>
          <w:iCs/>
        </w:rPr>
        <w:t>$200 million to &lt; $300 million</w:t>
      </w:r>
    </w:p>
    <w:p w14:paraId="1E0908A5" w14:textId="48D37D62" w:rsidR="0090734C" w:rsidRPr="00D001E7" w:rsidRDefault="00EA3A8D" w:rsidP="00D001E7">
      <w:pPr>
        <w:pStyle w:val="TableFigureFooter"/>
        <w:rPr>
          <w:i/>
          <w:iCs/>
        </w:rPr>
      </w:pPr>
      <w:r>
        <w:rPr>
          <w:i/>
          <w:iCs/>
          <w:vertAlign w:val="superscript"/>
        </w:rPr>
        <w:t>5</w:t>
      </w:r>
      <w:r w:rsidR="0090734C">
        <w:rPr>
          <w:i/>
          <w:iCs/>
        </w:rPr>
        <w:t xml:space="preserve"> </w:t>
      </w:r>
      <w:bookmarkStart w:id="14" w:name="_Hlk113629090"/>
      <w:r w:rsidR="0090734C" w:rsidRPr="0090734C">
        <w:rPr>
          <w:i/>
          <w:iCs/>
        </w:rPr>
        <w:t>$0 to &lt; $10 million</w:t>
      </w:r>
      <w:bookmarkEnd w:id="14"/>
    </w:p>
    <w:bookmarkEnd w:id="13"/>
    <w:p w14:paraId="621FEDA7" w14:textId="40F3607B" w:rsidR="005E6482" w:rsidRPr="00563231" w:rsidRDefault="00C56F79" w:rsidP="00997964">
      <w:pPr>
        <w:pStyle w:val="COMexecsummnumbered"/>
        <w:rPr>
          <w:color w:val="FF0000"/>
        </w:rPr>
      </w:pPr>
      <w:r>
        <w:rPr>
          <w:lang w:eastAsia="en-US"/>
        </w:rPr>
        <w:t xml:space="preserve">The submission stated that </w:t>
      </w:r>
      <w:r w:rsidR="00027131">
        <w:rPr>
          <w:lang w:eastAsia="en-US"/>
        </w:rPr>
        <w:t>i</w:t>
      </w:r>
      <w:r w:rsidR="00831B5F" w:rsidRPr="00831B5F">
        <w:rPr>
          <w:lang w:eastAsia="en-US"/>
        </w:rPr>
        <w:t>f a risk shar</w:t>
      </w:r>
      <w:r w:rsidR="00664F08">
        <w:rPr>
          <w:lang w:eastAsia="en-US"/>
        </w:rPr>
        <w:t>ing</w:t>
      </w:r>
      <w:r w:rsidR="00831B5F" w:rsidRPr="00831B5F">
        <w:rPr>
          <w:lang w:eastAsia="en-US"/>
        </w:rPr>
        <w:t xml:space="preserve"> arrangement</w:t>
      </w:r>
      <w:r w:rsidR="001C3EDD">
        <w:rPr>
          <w:lang w:eastAsia="en-US"/>
        </w:rPr>
        <w:t xml:space="preserve"> (RSA)</w:t>
      </w:r>
      <w:r w:rsidR="00831B5F" w:rsidRPr="00831B5F">
        <w:rPr>
          <w:lang w:eastAsia="en-US"/>
        </w:rPr>
        <w:t xml:space="preserve"> is established for empagliflozin, AstraZeneca is amenable to a similar arrangement for dapagliflozin.</w:t>
      </w:r>
      <w:r w:rsidR="00831B5F">
        <w:rPr>
          <w:lang w:eastAsia="en-US"/>
        </w:rPr>
        <w:t xml:space="preserve"> </w:t>
      </w:r>
      <w:r>
        <w:t xml:space="preserve">There </w:t>
      </w:r>
      <w:r w:rsidR="00FC1521">
        <w:t>i</w:t>
      </w:r>
      <w:r w:rsidRPr="0026285C">
        <w:t>s a</w:t>
      </w:r>
      <w:r w:rsidR="00094524">
        <w:t>n</w:t>
      </w:r>
      <w:r w:rsidRPr="0026285C">
        <w:t xml:space="preserve"> </w:t>
      </w:r>
      <w:r w:rsidR="00094524">
        <w:t>existing</w:t>
      </w:r>
      <w:r w:rsidRPr="0026285C">
        <w:t xml:space="preserve"> RSA for the SGLT2 inhibitor class of medications (empagliflozin and dapagliflozin) across two separate indications: chronic heart failure with left ventricular ejection fraction ≤40%; and chronic kidney disease</w:t>
      </w:r>
      <w:r w:rsidRPr="00B53D72">
        <w:t>.</w:t>
      </w:r>
    </w:p>
    <w:p w14:paraId="6DE1D654" w14:textId="31EA7134" w:rsidR="00531B73" w:rsidRPr="00531B73" w:rsidRDefault="00531B73" w:rsidP="00531B73">
      <w:pPr>
        <w:pStyle w:val="3-BodyText"/>
        <w:ind w:firstLine="0"/>
        <w:rPr>
          <w:i/>
          <w:iCs/>
        </w:rPr>
      </w:pPr>
      <w:bookmarkStart w:id="15" w:name="_Hlk76375324"/>
      <w:r w:rsidRPr="00531B73">
        <w:rPr>
          <w:i/>
          <w:iCs/>
        </w:rPr>
        <w:t xml:space="preserve">For more detail on PBAC’s view, see section </w:t>
      </w:r>
      <w:r w:rsidR="006B0C33">
        <w:rPr>
          <w:i/>
          <w:iCs/>
        </w:rPr>
        <w:t>5</w:t>
      </w:r>
      <w:r w:rsidRPr="00531B73">
        <w:rPr>
          <w:i/>
          <w:iCs/>
        </w:rPr>
        <w:t xml:space="preserve"> PBAC outcome.</w:t>
      </w:r>
    </w:p>
    <w:p w14:paraId="1E86DEEF" w14:textId="77777777" w:rsidR="0010665C" w:rsidRPr="0090150D" w:rsidRDefault="0010665C" w:rsidP="0010665C">
      <w:pPr>
        <w:pStyle w:val="COMH1-numbered"/>
      </w:pPr>
      <w:bookmarkStart w:id="16" w:name="_Hlk76381249"/>
      <w:bookmarkStart w:id="17" w:name="_Hlk76377955"/>
      <w:bookmarkEnd w:id="0"/>
      <w:bookmarkEnd w:id="1"/>
      <w:bookmarkEnd w:id="15"/>
      <w:r w:rsidRPr="0090150D">
        <w:t>PBAC Outcome</w:t>
      </w:r>
    </w:p>
    <w:p w14:paraId="21F88517" w14:textId="6154C78F" w:rsidR="00D52276" w:rsidRDefault="000F529A" w:rsidP="00C3530D">
      <w:pPr>
        <w:pStyle w:val="COMexecsummnumbered"/>
      </w:pPr>
      <w:bookmarkStart w:id="18" w:name="_Hlk111543188"/>
      <w:r w:rsidRPr="00A73FB8">
        <w:rPr>
          <w:rFonts w:cs="Arial"/>
          <w:snapToGrid w:val="0"/>
          <w:lang w:val="en-GB"/>
        </w:rPr>
        <w:t xml:space="preserve">The PBAC recommended </w:t>
      </w:r>
      <w:r w:rsidR="0031420C">
        <w:rPr>
          <w:rFonts w:cs="Arial"/>
          <w:snapToGrid w:val="0"/>
          <w:lang w:val="en-GB"/>
        </w:rPr>
        <w:t xml:space="preserve">the </w:t>
      </w:r>
      <w:r w:rsidR="0031420C" w:rsidRPr="00D27773">
        <w:rPr>
          <w:rFonts w:cs="Arial"/>
          <w:snapToGrid w:val="0"/>
          <w:lang w:val="en-GB"/>
        </w:rPr>
        <w:t xml:space="preserve">extension of the current </w:t>
      </w:r>
      <w:r w:rsidRPr="00EC32B5">
        <w:t xml:space="preserve">General Schedule Authority Required </w:t>
      </w:r>
      <w:r w:rsidR="0082674B">
        <w:t xml:space="preserve">(STREAMLINED) </w:t>
      </w:r>
      <w:r w:rsidRPr="00EC32B5">
        <w:t xml:space="preserve">listing of </w:t>
      </w:r>
      <w:r w:rsidR="0082674B">
        <w:t>dapagliflozin</w:t>
      </w:r>
      <w:r w:rsidRPr="00EC32B5">
        <w:t xml:space="preserve"> </w:t>
      </w:r>
      <w:r>
        <w:t>(</w:t>
      </w:r>
      <w:proofErr w:type="spellStart"/>
      <w:r w:rsidR="00BB5908">
        <w:t>Forxiga</w:t>
      </w:r>
      <w:proofErr w:type="spellEnd"/>
      <w:r w:rsidRPr="00AB0EA3">
        <w:rPr>
          <w:vertAlign w:val="superscript"/>
        </w:rPr>
        <w:t>®</w:t>
      </w:r>
      <w:r>
        <w:t>)</w:t>
      </w:r>
      <w:r w:rsidR="0073244D">
        <w:t xml:space="preserve"> for </w:t>
      </w:r>
      <w:r w:rsidR="0073244D" w:rsidRPr="00D27773">
        <w:rPr>
          <w:rFonts w:cs="Arial"/>
          <w:snapToGrid w:val="0"/>
          <w:lang w:val="en-GB"/>
        </w:rPr>
        <w:t xml:space="preserve">chronic kidney disease (CKD) </w:t>
      </w:r>
      <w:r w:rsidR="00592721" w:rsidRPr="00D27773">
        <w:rPr>
          <w:rFonts w:cs="Arial"/>
          <w:snapToGrid w:val="0"/>
          <w:lang w:val="en-GB"/>
        </w:rPr>
        <w:t xml:space="preserve">to </w:t>
      </w:r>
      <w:r w:rsidR="00592721">
        <w:rPr>
          <w:rFonts w:cs="Arial"/>
          <w:snapToGrid w:val="0"/>
          <w:lang w:val="en-GB"/>
        </w:rPr>
        <w:t xml:space="preserve">be </w:t>
      </w:r>
      <w:r w:rsidR="00592721" w:rsidRPr="001D7FCD">
        <w:t>consistent with the broadened CKD population recommended for empagliflozin at the May 2025 PBAC meeting</w:t>
      </w:r>
      <w:r w:rsidR="00C3530D">
        <w:t xml:space="preserve">. </w:t>
      </w:r>
      <w:r w:rsidR="00241B7A">
        <w:t>T</w:t>
      </w:r>
      <w:r w:rsidR="00241B7A" w:rsidRPr="00241B7A">
        <w:t xml:space="preserve">he PBAC’s recommendation for </w:t>
      </w:r>
      <w:r w:rsidR="003F21E5">
        <w:t xml:space="preserve">the </w:t>
      </w:r>
      <w:r w:rsidR="00241B7A" w:rsidRPr="00241B7A">
        <w:t xml:space="preserve">listing was based on its assessment that the cost-effectiveness of </w:t>
      </w:r>
      <w:r w:rsidR="005C0181">
        <w:t>dapag</w:t>
      </w:r>
      <w:r w:rsidR="00241B7A" w:rsidRPr="00241B7A">
        <w:t xml:space="preserve">liflozin would be acceptable if it were cost-minimised against </w:t>
      </w:r>
      <w:r w:rsidR="005C0181">
        <w:t>empa</w:t>
      </w:r>
      <w:r w:rsidR="00241B7A" w:rsidRPr="00241B7A">
        <w:t>gliflozin.</w:t>
      </w:r>
    </w:p>
    <w:p w14:paraId="5B3CCAAD" w14:textId="28ACC1AB" w:rsidR="00A16DB5" w:rsidRPr="00A16DB5" w:rsidRDefault="00A16DB5" w:rsidP="00C3530D">
      <w:pPr>
        <w:pStyle w:val="COMexecsummnumbered"/>
      </w:pPr>
      <w:r w:rsidRPr="00897149">
        <w:rPr>
          <w:rFonts w:cs="Arial"/>
          <w:snapToGrid w:val="0"/>
          <w:lang w:val="en-GB"/>
        </w:rPr>
        <w:t xml:space="preserve">The PBAC advised the </w:t>
      </w:r>
      <w:proofErr w:type="spellStart"/>
      <w:r w:rsidRPr="00897149">
        <w:rPr>
          <w:rFonts w:cs="Arial"/>
          <w:snapToGrid w:val="0"/>
          <w:lang w:val="en-GB"/>
        </w:rPr>
        <w:t>equi</w:t>
      </w:r>
      <w:proofErr w:type="spellEnd"/>
      <w:r w:rsidRPr="00897149">
        <w:rPr>
          <w:rFonts w:cs="Arial"/>
          <w:snapToGrid w:val="0"/>
          <w:lang w:val="en-GB"/>
        </w:rPr>
        <w:t>-effective doses to be empagliflozin 10 mg once per day and dapagliflozin 10 mg once per day</w:t>
      </w:r>
      <w:r w:rsidR="00886647">
        <w:rPr>
          <w:rFonts w:cs="Arial"/>
          <w:snapToGrid w:val="0"/>
          <w:lang w:val="en-GB"/>
        </w:rPr>
        <w:t>.</w:t>
      </w:r>
    </w:p>
    <w:p w14:paraId="7E4DA5FF" w14:textId="7725ABA6" w:rsidR="00C3530D" w:rsidRPr="002C28F0" w:rsidRDefault="00C3530D" w:rsidP="00C3530D">
      <w:pPr>
        <w:pStyle w:val="COMexecsummnumbered"/>
      </w:pPr>
      <w:r>
        <w:rPr>
          <w:rFonts w:cs="Arial"/>
          <w:snapToGrid w:val="0"/>
          <w:lang w:val="en-GB"/>
        </w:rPr>
        <w:lastRenderedPageBreak/>
        <w:t xml:space="preserve">The </w:t>
      </w:r>
      <w:r w:rsidR="0009763B">
        <w:rPr>
          <w:rFonts w:cs="Arial"/>
          <w:snapToGrid w:val="0"/>
          <w:lang w:val="en-GB"/>
        </w:rPr>
        <w:t xml:space="preserve">PBAC </w:t>
      </w:r>
      <w:r w:rsidR="004175DB" w:rsidRPr="004175DB">
        <w:rPr>
          <w:rFonts w:cs="Arial"/>
          <w:snapToGrid w:val="0"/>
        </w:rPr>
        <w:t xml:space="preserve">supported </w:t>
      </w:r>
      <w:r w:rsidR="00313D54">
        <w:rPr>
          <w:rFonts w:cs="Arial"/>
          <w:snapToGrid w:val="0"/>
        </w:rPr>
        <w:t xml:space="preserve">the proposed </w:t>
      </w:r>
      <w:r w:rsidR="004175DB" w:rsidRPr="004175DB">
        <w:rPr>
          <w:rFonts w:cs="Arial"/>
          <w:snapToGrid w:val="0"/>
        </w:rPr>
        <w:t xml:space="preserve">amendments to the existing </w:t>
      </w:r>
      <w:r w:rsidR="004175DB">
        <w:rPr>
          <w:rFonts w:cs="Arial"/>
          <w:snapToGrid w:val="0"/>
        </w:rPr>
        <w:t>dapa</w:t>
      </w:r>
      <w:r w:rsidR="004175DB" w:rsidRPr="004175DB">
        <w:rPr>
          <w:rFonts w:cs="Arial"/>
          <w:snapToGrid w:val="0"/>
        </w:rPr>
        <w:t xml:space="preserve">gliflozin restriction to allow treatment </w:t>
      </w:r>
      <w:r w:rsidR="004175DB">
        <w:rPr>
          <w:rFonts w:cs="Arial"/>
          <w:snapToGrid w:val="0"/>
        </w:rPr>
        <w:t>in</w:t>
      </w:r>
      <w:r w:rsidR="005B73E8">
        <w:rPr>
          <w:rFonts w:cs="Arial"/>
          <w:snapToGrid w:val="0"/>
        </w:rPr>
        <w:t xml:space="preserve"> the</w:t>
      </w:r>
      <w:r w:rsidR="00561127">
        <w:rPr>
          <w:rFonts w:cs="Arial"/>
          <w:snapToGrid w:val="0"/>
          <w:lang w:val="en-GB"/>
        </w:rPr>
        <w:t xml:space="preserve"> </w:t>
      </w:r>
      <w:r w:rsidRPr="002C28F0">
        <w:t>aggregated incremental subgroup</w:t>
      </w:r>
      <w:r w:rsidR="005B73E8">
        <w:t>s recently recommended</w:t>
      </w:r>
      <w:r w:rsidRPr="002C28F0">
        <w:t xml:space="preserve"> </w:t>
      </w:r>
      <w:r>
        <w:t>for empagliflozin</w:t>
      </w:r>
      <w:r w:rsidRPr="002C28F0">
        <w:t>:</w:t>
      </w:r>
    </w:p>
    <w:p w14:paraId="03E610EA" w14:textId="77777777" w:rsidR="00C3530D" w:rsidRPr="002C28F0" w:rsidRDefault="00C3530D" w:rsidP="006B0C33">
      <w:pPr>
        <w:pStyle w:val="COMexecsummbulletlist"/>
        <w:numPr>
          <w:ilvl w:val="1"/>
          <w:numId w:val="36"/>
        </w:numPr>
        <w:ind w:left="1134"/>
      </w:pPr>
      <w:r w:rsidRPr="002C28F0">
        <w:t xml:space="preserve">eGFR 20 to </w:t>
      </w:r>
      <w:r>
        <w:t>&lt;</w:t>
      </w:r>
      <w:r w:rsidRPr="002C28F0">
        <w:t>25 mL/min/1.73 m</w:t>
      </w:r>
      <w:r w:rsidRPr="002C28F0">
        <w:rPr>
          <w:vertAlign w:val="superscript"/>
        </w:rPr>
        <w:t>2</w:t>
      </w:r>
      <w:r>
        <w:t>, regardless of UACR</w:t>
      </w:r>
      <w:r w:rsidRPr="002C28F0">
        <w:t xml:space="preserve">. </w:t>
      </w:r>
    </w:p>
    <w:p w14:paraId="2C239C6D" w14:textId="77777777" w:rsidR="00C3530D" w:rsidRPr="002C28F0" w:rsidRDefault="00C3530D" w:rsidP="006B0C33">
      <w:pPr>
        <w:pStyle w:val="COMexecsummbulletlist"/>
        <w:numPr>
          <w:ilvl w:val="1"/>
          <w:numId w:val="36"/>
        </w:numPr>
        <w:ind w:left="1134"/>
      </w:pPr>
      <w:r w:rsidRPr="002C28F0">
        <w:t xml:space="preserve">eGFR 25 to </w:t>
      </w:r>
      <w:r>
        <w:t>&lt;</w:t>
      </w:r>
      <w:r w:rsidRPr="002C28F0">
        <w:t>45 mL/min/1.73 m</w:t>
      </w:r>
      <w:r w:rsidRPr="002C28F0">
        <w:rPr>
          <w:vertAlign w:val="superscript"/>
        </w:rPr>
        <w:t>2</w:t>
      </w:r>
      <w:r w:rsidRPr="002C28F0">
        <w:t xml:space="preserve"> with UACR &lt;200 mg/g.</w:t>
      </w:r>
    </w:p>
    <w:p w14:paraId="6D34DD02" w14:textId="77777777" w:rsidR="00C3530D" w:rsidRDefault="00C3530D" w:rsidP="006B0C33">
      <w:pPr>
        <w:pStyle w:val="COMexecsummbulletlist"/>
        <w:numPr>
          <w:ilvl w:val="1"/>
          <w:numId w:val="36"/>
        </w:numPr>
        <w:ind w:left="1134"/>
      </w:pPr>
      <w:r w:rsidRPr="002C28F0">
        <w:t>eGFR 25 to 75 mL/min/1.73 m</w:t>
      </w:r>
      <w:r w:rsidRPr="002C28F0">
        <w:rPr>
          <w:vertAlign w:val="superscript"/>
        </w:rPr>
        <w:t>2</w:t>
      </w:r>
      <w:r w:rsidRPr="002C28F0">
        <w:t xml:space="preserve"> with UACR &gt;5,000 mg/g. </w:t>
      </w:r>
    </w:p>
    <w:p w14:paraId="200F86A5" w14:textId="77777777" w:rsidR="00C3530D" w:rsidRDefault="00C3530D" w:rsidP="006B0C33">
      <w:pPr>
        <w:pStyle w:val="COMexecsummbulletlist"/>
        <w:numPr>
          <w:ilvl w:val="1"/>
          <w:numId w:val="36"/>
        </w:numPr>
        <w:ind w:left="1134"/>
        <w:rPr>
          <w:lang w:val="en-GB"/>
        </w:rPr>
      </w:pPr>
      <w:r w:rsidRPr="002C28F0">
        <w:t xml:space="preserve">eGFR </w:t>
      </w:r>
      <w:r>
        <w:t>&gt;</w:t>
      </w:r>
      <w:r w:rsidRPr="002C28F0">
        <w:t>75 to 90 mL/min/1.73 m</w:t>
      </w:r>
      <w:r w:rsidRPr="00F31726">
        <w:rPr>
          <w:vertAlign w:val="superscript"/>
        </w:rPr>
        <w:t>2</w:t>
      </w:r>
      <w:r w:rsidRPr="002C28F0">
        <w:t xml:space="preserve"> with UACR ≥200 mg/g.</w:t>
      </w:r>
    </w:p>
    <w:p w14:paraId="684C59DC" w14:textId="78BB75CB" w:rsidR="00870FF5" w:rsidRPr="002A1403" w:rsidRDefault="001E796F" w:rsidP="004B27B4">
      <w:pPr>
        <w:pStyle w:val="COMexecsummnumbered"/>
        <w:rPr>
          <w:rFonts w:cs="Arial"/>
          <w:snapToGrid w:val="0"/>
          <w:lang w:val="en-GB"/>
        </w:rPr>
      </w:pPr>
      <w:r w:rsidRPr="002A1403">
        <w:rPr>
          <w:rFonts w:cs="Arial"/>
          <w:snapToGrid w:val="0"/>
          <w:lang w:val="en-GB"/>
        </w:rPr>
        <w:t xml:space="preserve">The PBAC </w:t>
      </w:r>
      <w:r w:rsidR="00282922" w:rsidRPr="002A1403">
        <w:rPr>
          <w:rFonts w:cs="Arial"/>
          <w:snapToGrid w:val="0"/>
          <w:lang w:val="en-GB"/>
        </w:rPr>
        <w:t xml:space="preserve">noted and welcomed </w:t>
      </w:r>
      <w:r w:rsidR="00F1473C">
        <w:rPr>
          <w:rFonts w:cs="Arial"/>
          <w:snapToGrid w:val="0"/>
          <w:lang w:val="en-GB"/>
        </w:rPr>
        <w:t xml:space="preserve">the consumer </w:t>
      </w:r>
      <w:r w:rsidR="00E13B95">
        <w:rPr>
          <w:rFonts w:cs="Arial"/>
          <w:snapToGrid w:val="0"/>
          <w:lang w:val="en-GB"/>
        </w:rPr>
        <w:t>input</w:t>
      </w:r>
      <w:r w:rsidR="008524EC" w:rsidRPr="002A1403">
        <w:rPr>
          <w:rFonts w:cs="Arial"/>
          <w:snapToGrid w:val="0"/>
          <w:lang w:val="en-GB"/>
        </w:rPr>
        <w:t xml:space="preserve"> </w:t>
      </w:r>
      <w:r w:rsidR="00692920" w:rsidRPr="002A1403">
        <w:rPr>
          <w:rFonts w:cs="Arial"/>
          <w:snapToGrid w:val="0"/>
          <w:lang w:val="en-GB"/>
        </w:rPr>
        <w:t xml:space="preserve">from health care professionals and </w:t>
      </w:r>
      <w:r w:rsidR="005B73E8" w:rsidRPr="001070F6">
        <w:rPr>
          <w:bCs/>
          <w:iCs/>
          <w:szCs w:val="24"/>
        </w:rPr>
        <w:t xml:space="preserve">the Australian Diabetes Society </w:t>
      </w:r>
      <w:r w:rsidR="00313D54">
        <w:rPr>
          <w:rFonts w:cs="Arial"/>
          <w:snapToGrid w:val="0"/>
          <w:lang w:val="en-GB"/>
        </w:rPr>
        <w:t xml:space="preserve">that were </w:t>
      </w:r>
      <w:r w:rsidR="00607DE9">
        <w:rPr>
          <w:rFonts w:cs="Arial"/>
          <w:snapToGrid w:val="0"/>
          <w:lang w:val="en-GB"/>
        </w:rPr>
        <w:t>received after</w:t>
      </w:r>
      <w:r w:rsidR="00ED2261" w:rsidRPr="002A1403">
        <w:rPr>
          <w:rFonts w:cs="Arial"/>
          <w:snapToGrid w:val="0"/>
          <w:lang w:val="en-GB"/>
        </w:rPr>
        <w:t xml:space="preserve"> the publication of the empagliflozin outcome from the May 2025 meeting. The </w:t>
      </w:r>
      <w:r w:rsidR="00D7483A" w:rsidRPr="002A1403">
        <w:rPr>
          <w:rFonts w:cs="Arial"/>
          <w:snapToGrid w:val="0"/>
          <w:lang w:val="en-GB"/>
        </w:rPr>
        <w:t xml:space="preserve">PBAC acknowledged </w:t>
      </w:r>
      <w:r w:rsidR="004823C4" w:rsidRPr="001070F6">
        <w:rPr>
          <w:bCs/>
          <w:iCs/>
          <w:szCs w:val="24"/>
        </w:rPr>
        <w:t>that the benefits of SGLT2 inhibitors extend to a broader CKD population</w:t>
      </w:r>
      <w:r w:rsidR="004823C4" w:rsidRPr="002A1403">
        <w:rPr>
          <w:rFonts w:cs="Arial"/>
          <w:snapToGrid w:val="0"/>
          <w:lang w:val="en-GB"/>
        </w:rPr>
        <w:t xml:space="preserve"> </w:t>
      </w:r>
      <w:r w:rsidR="001C666C">
        <w:rPr>
          <w:rFonts w:cs="Arial"/>
          <w:snapToGrid w:val="0"/>
          <w:lang w:val="en-GB"/>
        </w:rPr>
        <w:t xml:space="preserve">and </w:t>
      </w:r>
      <w:r w:rsidR="00D7483A" w:rsidRPr="002A1403">
        <w:rPr>
          <w:rFonts w:cs="Arial"/>
          <w:snapToGrid w:val="0"/>
          <w:lang w:val="en-GB"/>
        </w:rPr>
        <w:t xml:space="preserve">the support for </w:t>
      </w:r>
      <w:r w:rsidR="00134C26" w:rsidRPr="002A1403">
        <w:rPr>
          <w:szCs w:val="24"/>
        </w:rPr>
        <w:t xml:space="preserve">the </w:t>
      </w:r>
      <w:r w:rsidR="00DB6753" w:rsidRPr="002A1403">
        <w:rPr>
          <w:szCs w:val="24"/>
        </w:rPr>
        <w:t xml:space="preserve">alignment of </w:t>
      </w:r>
      <w:r w:rsidR="007B3D37">
        <w:rPr>
          <w:szCs w:val="24"/>
        </w:rPr>
        <w:t xml:space="preserve">the </w:t>
      </w:r>
      <w:r w:rsidR="00DB6753" w:rsidRPr="002A1403">
        <w:rPr>
          <w:szCs w:val="24"/>
        </w:rPr>
        <w:t>dapagliflozin with empagliflozin restrictions</w:t>
      </w:r>
      <w:r w:rsidR="008656D0">
        <w:rPr>
          <w:szCs w:val="24"/>
        </w:rPr>
        <w:t xml:space="preserve"> </w:t>
      </w:r>
      <w:r w:rsidR="005648BE">
        <w:rPr>
          <w:szCs w:val="24"/>
        </w:rPr>
        <w:t xml:space="preserve">was </w:t>
      </w:r>
      <w:r w:rsidR="008656D0">
        <w:rPr>
          <w:szCs w:val="24"/>
        </w:rPr>
        <w:t xml:space="preserve">based on </w:t>
      </w:r>
      <w:r w:rsidR="008656D0" w:rsidRPr="001070F6">
        <w:rPr>
          <w:bCs/>
          <w:iCs/>
          <w:szCs w:val="24"/>
        </w:rPr>
        <w:t xml:space="preserve">evidence from clinical trials, real-world data and international </w:t>
      </w:r>
      <w:r w:rsidR="00BF0D27">
        <w:rPr>
          <w:bCs/>
          <w:iCs/>
          <w:szCs w:val="24"/>
        </w:rPr>
        <w:t>clinical practice</w:t>
      </w:r>
      <w:r w:rsidR="008656D0" w:rsidRPr="001070F6">
        <w:rPr>
          <w:bCs/>
          <w:iCs/>
          <w:szCs w:val="24"/>
        </w:rPr>
        <w:t xml:space="preserve"> guidelines</w:t>
      </w:r>
      <w:r w:rsidR="008B4289">
        <w:rPr>
          <w:szCs w:val="24"/>
        </w:rPr>
        <w:t xml:space="preserve">. </w:t>
      </w:r>
      <w:r w:rsidR="008656D0">
        <w:rPr>
          <w:szCs w:val="24"/>
        </w:rPr>
        <w:t>The input noted that</w:t>
      </w:r>
      <w:r w:rsidR="003206AF" w:rsidRPr="001070F6">
        <w:rPr>
          <w:bCs/>
          <w:iCs/>
          <w:szCs w:val="24"/>
        </w:rPr>
        <w:t xml:space="preserve"> </w:t>
      </w:r>
      <w:r w:rsidR="007A405D">
        <w:rPr>
          <w:bCs/>
          <w:iCs/>
          <w:szCs w:val="24"/>
        </w:rPr>
        <w:t>the</w:t>
      </w:r>
      <w:r w:rsidR="007A405D" w:rsidRPr="001070F6">
        <w:rPr>
          <w:bCs/>
          <w:iCs/>
          <w:szCs w:val="24"/>
        </w:rPr>
        <w:t xml:space="preserve"> </w:t>
      </w:r>
      <w:r w:rsidR="003206AF" w:rsidRPr="001070F6">
        <w:rPr>
          <w:bCs/>
          <w:iCs/>
          <w:szCs w:val="24"/>
        </w:rPr>
        <w:t>evidence includes the recent OPTIMISE-CKD study which indicate</w:t>
      </w:r>
      <w:r w:rsidR="00F16341">
        <w:rPr>
          <w:bCs/>
          <w:iCs/>
          <w:szCs w:val="24"/>
        </w:rPr>
        <w:t>d</w:t>
      </w:r>
      <w:r w:rsidR="003206AF" w:rsidRPr="001070F6">
        <w:rPr>
          <w:bCs/>
          <w:iCs/>
          <w:szCs w:val="24"/>
        </w:rPr>
        <w:t xml:space="preserve"> efficacy of dapagliflozin in individuals with CKD, including those with lower eGFR and varying </w:t>
      </w:r>
      <w:r w:rsidR="003206AF" w:rsidRPr="002B420B">
        <w:rPr>
          <w:bCs/>
          <w:iCs/>
          <w:szCs w:val="24"/>
        </w:rPr>
        <w:t>UACR</w:t>
      </w:r>
      <w:r w:rsidR="004B27B4">
        <w:rPr>
          <w:bCs/>
          <w:iCs/>
          <w:szCs w:val="24"/>
        </w:rPr>
        <w:t>.</w:t>
      </w:r>
      <w:r w:rsidR="001F2B10" w:rsidRPr="002A1403">
        <w:rPr>
          <w:bCs/>
          <w:iCs/>
          <w:szCs w:val="24"/>
        </w:rPr>
        <w:t xml:space="preserve"> Additionally, the PBAC noted </w:t>
      </w:r>
      <w:r w:rsidR="0059628E" w:rsidRPr="002A1403">
        <w:rPr>
          <w:bCs/>
          <w:iCs/>
          <w:szCs w:val="24"/>
        </w:rPr>
        <w:t>the input highlighted</w:t>
      </w:r>
      <w:r w:rsidR="006F3CE2">
        <w:rPr>
          <w:bCs/>
          <w:iCs/>
          <w:szCs w:val="24"/>
        </w:rPr>
        <w:t xml:space="preserve"> that</w:t>
      </w:r>
      <w:r w:rsidR="0059628E" w:rsidRPr="002A1403">
        <w:rPr>
          <w:bCs/>
          <w:iCs/>
          <w:szCs w:val="24"/>
        </w:rPr>
        <w:t xml:space="preserve"> </w:t>
      </w:r>
      <w:r w:rsidR="001B71C4" w:rsidRPr="002A1403">
        <w:rPr>
          <w:szCs w:val="24"/>
        </w:rPr>
        <w:t>the alignment of dapagliflozin with empagliflozin</w:t>
      </w:r>
      <w:r w:rsidR="00521D04" w:rsidRPr="002A1403">
        <w:rPr>
          <w:szCs w:val="24"/>
        </w:rPr>
        <w:t xml:space="preserve"> restrictions</w:t>
      </w:r>
      <w:r w:rsidR="001B71C4" w:rsidRPr="002A1403">
        <w:rPr>
          <w:szCs w:val="24"/>
        </w:rPr>
        <w:t xml:space="preserve"> </w:t>
      </w:r>
      <w:r w:rsidR="0059628E" w:rsidRPr="002A1403">
        <w:rPr>
          <w:szCs w:val="24"/>
        </w:rPr>
        <w:t xml:space="preserve">would </w:t>
      </w:r>
      <w:r w:rsidR="001B71C4" w:rsidRPr="002A1403">
        <w:rPr>
          <w:szCs w:val="24"/>
        </w:rPr>
        <w:t xml:space="preserve">improve quality use of </w:t>
      </w:r>
      <w:r w:rsidR="001B71C4" w:rsidRPr="002A1403">
        <w:rPr>
          <w:bCs/>
          <w:iCs/>
          <w:szCs w:val="24"/>
        </w:rPr>
        <w:t xml:space="preserve">SGLT2i </w:t>
      </w:r>
      <w:r w:rsidR="001B71C4" w:rsidRPr="002A1403">
        <w:rPr>
          <w:szCs w:val="24"/>
        </w:rPr>
        <w:t xml:space="preserve">medicines, </w:t>
      </w:r>
      <w:r w:rsidR="00193D71" w:rsidRPr="002A1403">
        <w:rPr>
          <w:szCs w:val="24"/>
        </w:rPr>
        <w:t xml:space="preserve">provide </w:t>
      </w:r>
      <w:r w:rsidR="001B71C4" w:rsidRPr="002A1403">
        <w:rPr>
          <w:szCs w:val="24"/>
        </w:rPr>
        <w:t>equitable access for patients</w:t>
      </w:r>
      <w:r w:rsidR="002E21A8">
        <w:rPr>
          <w:szCs w:val="24"/>
        </w:rPr>
        <w:t xml:space="preserve"> and</w:t>
      </w:r>
      <w:r w:rsidR="001B71C4" w:rsidRPr="002A1403">
        <w:rPr>
          <w:szCs w:val="24"/>
        </w:rPr>
        <w:t xml:space="preserve"> </w:t>
      </w:r>
      <w:r w:rsidR="00193D71" w:rsidRPr="002A1403">
        <w:rPr>
          <w:szCs w:val="24"/>
        </w:rPr>
        <w:t xml:space="preserve">give </w:t>
      </w:r>
      <w:r w:rsidR="001B71C4" w:rsidRPr="002A1403">
        <w:rPr>
          <w:szCs w:val="24"/>
        </w:rPr>
        <w:t>clinical clarity for prescribers</w:t>
      </w:r>
      <w:r w:rsidR="009B447B" w:rsidRPr="002A1403">
        <w:rPr>
          <w:szCs w:val="24"/>
        </w:rPr>
        <w:t>.</w:t>
      </w:r>
    </w:p>
    <w:p w14:paraId="3648F7E1" w14:textId="599D4CB6" w:rsidR="00AC4539" w:rsidRPr="00B8621B" w:rsidRDefault="00AC4539" w:rsidP="00AC4539">
      <w:pPr>
        <w:pStyle w:val="COMexecsummnumbered"/>
        <w:rPr>
          <w:snapToGrid w:val="0"/>
          <w:color w:val="FF0000"/>
          <w:lang w:val="en-GB"/>
        </w:rPr>
      </w:pPr>
      <w:r w:rsidRPr="00966D1C">
        <w:rPr>
          <w:rFonts w:cs="Arial"/>
          <w:snapToGrid w:val="0"/>
          <w:lang w:val="en-GB"/>
        </w:rPr>
        <w:t>The</w:t>
      </w:r>
      <w:r w:rsidRPr="00966D1C">
        <w:t xml:space="preserve"> PBAC </w:t>
      </w:r>
      <w:r w:rsidR="008D543E">
        <w:t xml:space="preserve">reiterated its view from </w:t>
      </w:r>
      <w:r w:rsidR="00966D1C">
        <w:t xml:space="preserve">May 2025 </w:t>
      </w:r>
      <w:r w:rsidR="008D543E">
        <w:t xml:space="preserve">that </w:t>
      </w:r>
      <w:r w:rsidR="001B17B3">
        <w:t xml:space="preserve">the </w:t>
      </w:r>
      <w:r w:rsidRPr="00966D1C">
        <w:rPr>
          <w:snapToGrid w:val="0"/>
          <w:lang w:val="en-GB"/>
        </w:rPr>
        <w:t xml:space="preserve">increasing prevalence of CKD in the Australian population and the higher burden of disease in Aboriginal and Torres Strait Islander people, </w:t>
      </w:r>
      <w:r w:rsidR="00101F7C">
        <w:rPr>
          <w:snapToGrid w:val="0"/>
          <w:lang w:val="en-GB"/>
        </w:rPr>
        <w:t>indicated</w:t>
      </w:r>
      <w:r w:rsidR="00101F7C" w:rsidRPr="00966D1C">
        <w:rPr>
          <w:snapToGrid w:val="0"/>
          <w:lang w:val="en-GB"/>
        </w:rPr>
        <w:t xml:space="preserve"> </w:t>
      </w:r>
      <w:r w:rsidRPr="00966D1C">
        <w:rPr>
          <w:snapToGrid w:val="0"/>
          <w:lang w:val="en-GB"/>
        </w:rPr>
        <w:t>the clinical need for effective intervention to preserve residual kidney function for patients at</w:t>
      </w:r>
      <w:r w:rsidR="00B67827" w:rsidRPr="00B67827">
        <w:rPr>
          <w:snapToGrid w:val="0"/>
          <w:lang w:val="en-GB"/>
        </w:rPr>
        <w:t xml:space="preserve"> </w:t>
      </w:r>
      <w:r w:rsidR="00B67827" w:rsidRPr="00966D1C">
        <w:rPr>
          <w:snapToGrid w:val="0"/>
          <w:lang w:val="en-GB"/>
        </w:rPr>
        <w:t>significant</w:t>
      </w:r>
      <w:r w:rsidRPr="00966D1C">
        <w:rPr>
          <w:snapToGrid w:val="0"/>
          <w:lang w:val="en-GB"/>
        </w:rPr>
        <w:t xml:space="preserve"> risk of kidney disease progression. The PBAC </w:t>
      </w:r>
      <w:r w:rsidR="003D790C">
        <w:rPr>
          <w:snapToGrid w:val="0"/>
          <w:lang w:val="en-GB"/>
        </w:rPr>
        <w:t xml:space="preserve">recalled </w:t>
      </w:r>
      <w:r w:rsidRPr="00966D1C">
        <w:rPr>
          <w:snapToGrid w:val="0"/>
          <w:lang w:val="en-GB"/>
        </w:rPr>
        <w:t>the support from health professionals, Kidney Health Australia and the Australian Diabetes Society for broader access to SGLT2 inhibitors in CKD, particularly for patients with eGFR 20 </w:t>
      </w:r>
      <w:r w:rsidRPr="00966D1C">
        <w:rPr>
          <w:rFonts w:eastAsia="Symbol" w:cs="Symbol"/>
          <w:snapToGrid w:val="0"/>
          <w:lang w:val="en-GB"/>
        </w:rPr>
        <w:t>- </w:t>
      </w:r>
      <w:r w:rsidRPr="00966D1C">
        <w:rPr>
          <w:snapToGrid w:val="0"/>
          <w:lang w:val="en-GB"/>
        </w:rPr>
        <w:t>45 mL/min/1.73 m</w:t>
      </w:r>
      <w:r w:rsidRPr="00966D1C">
        <w:rPr>
          <w:snapToGrid w:val="0"/>
          <w:vertAlign w:val="superscript"/>
          <w:lang w:val="en-GB"/>
        </w:rPr>
        <w:t>2</w:t>
      </w:r>
      <w:r w:rsidRPr="00966D1C">
        <w:rPr>
          <w:snapToGrid w:val="0"/>
          <w:lang w:val="en-GB"/>
        </w:rPr>
        <w:t>, regardless of UACR levels</w:t>
      </w:r>
      <w:r w:rsidR="009B76C1">
        <w:rPr>
          <w:snapToGrid w:val="0"/>
          <w:lang w:val="en-GB"/>
        </w:rPr>
        <w:t xml:space="preserve"> (</w:t>
      </w:r>
      <w:r w:rsidR="00DC711D">
        <w:rPr>
          <w:snapToGrid w:val="0"/>
          <w:lang w:val="en-GB"/>
        </w:rPr>
        <w:t xml:space="preserve">paragraph 7.2 </w:t>
      </w:r>
      <w:r w:rsidR="009B76C1" w:rsidRPr="003C0FA1">
        <w:t xml:space="preserve">empagliflozin </w:t>
      </w:r>
      <w:r w:rsidR="00D0275F">
        <w:t>PSD</w:t>
      </w:r>
      <w:r w:rsidR="009B76C1" w:rsidRPr="003C0FA1">
        <w:t xml:space="preserve">, </w:t>
      </w:r>
      <w:r w:rsidR="009B76C1">
        <w:t>May 2025</w:t>
      </w:r>
      <w:r w:rsidR="009B76C1" w:rsidRPr="003C0FA1">
        <w:t xml:space="preserve"> PBAC meeting</w:t>
      </w:r>
      <w:r w:rsidR="00DC711D">
        <w:t>)</w:t>
      </w:r>
      <w:r w:rsidRPr="00966D1C">
        <w:rPr>
          <w:snapToGrid w:val="0"/>
          <w:lang w:val="en-GB"/>
        </w:rPr>
        <w:t xml:space="preserve">. The PBAC noted that the risk of CKD progression in the </w:t>
      </w:r>
      <w:r w:rsidR="00BB3AED">
        <w:rPr>
          <w:snapToGrid w:val="0"/>
          <w:lang w:val="en-GB"/>
        </w:rPr>
        <w:t xml:space="preserve">expanded </w:t>
      </w:r>
      <w:r w:rsidRPr="00966D1C">
        <w:rPr>
          <w:snapToGrid w:val="0"/>
          <w:lang w:val="en-GB"/>
        </w:rPr>
        <w:t xml:space="preserve">population ranged from </w:t>
      </w:r>
      <w:r w:rsidRPr="00966D1C">
        <w:t xml:space="preserve">moderately increased risk to very high risk, </w:t>
      </w:r>
      <w:proofErr w:type="gramStart"/>
      <w:r w:rsidRPr="00966D1C">
        <w:t>similar to</w:t>
      </w:r>
      <w:proofErr w:type="gramEnd"/>
      <w:r w:rsidRPr="00966D1C">
        <w:t xml:space="preserve"> the population currently eligible for PBS treatment with an SGLT2 inhibitor. </w:t>
      </w:r>
    </w:p>
    <w:p w14:paraId="362C33AD" w14:textId="6958AEDC" w:rsidR="00A378E8" w:rsidRDefault="00A378E8" w:rsidP="002637DE">
      <w:pPr>
        <w:pStyle w:val="COMexecsummnumbered"/>
      </w:pPr>
      <w:r>
        <w:t>The PBAC noted the TGA indication for dapagliflozin was updated in April 2025 to remove the U</w:t>
      </w:r>
      <w:r w:rsidRPr="00FE3D0B">
        <w:t xml:space="preserve">ACR </w:t>
      </w:r>
      <w:r>
        <w:t xml:space="preserve">minimum requirement, whereby </w:t>
      </w:r>
      <w:r w:rsidRPr="00484131">
        <w:t xml:space="preserve">the consideration of clinical characteristics defining </w:t>
      </w:r>
      <w:proofErr w:type="spellStart"/>
      <w:r w:rsidRPr="00484131">
        <w:t>proteinuric</w:t>
      </w:r>
      <w:proofErr w:type="spellEnd"/>
      <w:r w:rsidRPr="00484131">
        <w:t xml:space="preserve"> CKD is </w:t>
      </w:r>
      <w:r>
        <w:t xml:space="preserve">now </w:t>
      </w:r>
      <w:r w:rsidRPr="00484131">
        <w:t>left to clinical judgement</w:t>
      </w:r>
      <w:r>
        <w:t>.</w:t>
      </w:r>
    </w:p>
    <w:p w14:paraId="1640BF98" w14:textId="79EE8878" w:rsidR="008F5179" w:rsidRDefault="00E4782E" w:rsidP="002637DE">
      <w:pPr>
        <w:pStyle w:val="COMexecsummnumbered"/>
      </w:pPr>
      <w:r>
        <w:t xml:space="preserve">The PBAC </w:t>
      </w:r>
      <w:r w:rsidR="00B2599E">
        <w:t>recalled that it had previously considered dapagliflozin and empagliflozin t</w:t>
      </w:r>
      <w:r w:rsidR="00BC3EFC">
        <w:t>o</w:t>
      </w:r>
      <w:r w:rsidR="00B2599E">
        <w:t xml:space="preserve"> have </w:t>
      </w:r>
      <w:r w:rsidR="001A5479">
        <w:t>non-inferior comparative effectiveness</w:t>
      </w:r>
      <w:r w:rsidR="00B2599E">
        <w:t xml:space="preserve"> in</w:t>
      </w:r>
      <w:r w:rsidR="00D64E92">
        <w:t xml:space="preserve"> the CKD population where the clinical trial</w:t>
      </w:r>
      <w:r w:rsidR="00A03775">
        <w:t xml:space="preserve"> populations were overlapping, with </w:t>
      </w:r>
      <w:r w:rsidR="00BC3EFC">
        <w:t>n</w:t>
      </w:r>
      <w:r w:rsidR="00A03775">
        <w:t>o signal of any difference (</w:t>
      </w:r>
      <w:r w:rsidR="00203820">
        <w:rPr>
          <w:snapToGrid w:val="0"/>
          <w:lang w:val="en-GB"/>
        </w:rPr>
        <w:t xml:space="preserve">paragraph 7.7 </w:t>
      </w:r>
      <w:r w:rsidR="00203820" w:rsidRPr="003C0FA1">
        <w:t xml:space="preserve">empagliflozin PSD, </w:t>
      </w:r>
      <w:r w:rsidR="00203820">
        <w:t>November 2023</w:t>
      </w:r>
      <w:r w:rsidR="00203820" w:rsidRPr="003C0FA1">
        <w:t xml:space="preserve"> PBAC meeting</w:t>
      </w:r>
      <w:r w:rsidR="00203820">
        <w:t>)</w:t>
      </w:r>
      <w:r w:rsidR="00BC3EFC">
        <w:t>. The PBAC</w:t>
      </w:r>
      <w:r w:rsidR="00203820">
        <w:t xml:space="preserve"> </w:t>
      </w:r>
      <w:r>
        <w:t xml:space="preserve">considered the OPTIMISE-CKD data showed dapagliflozin demonstrated </w:t>
      </w:r>
      <w:r w:rsidRPr="00DA34D5">
        <w:t xml:space="preserve">similar </w:t>
      </w:r>
      <w:r w:rsidR="001A5479">
        <w:t>efficacy</w:t>
      </w:r>
      <w:r w:rsidR="001A5479" w:rsidRPr="00DA34D5">
        <w:t xml:space="preserve"> </w:t>
      </w:r>
      <w:r>
        <w:t xml:space="preserve">based on </w:t>
      </w:r>
      <w:r w:rsidRPr="00DA34D5">
        <w:t xml:space="preserve">eGFR </w:t>
      </w:r>
      <w:r>
        <w:t>change, cardiorenal and mortality risk development</w:t>
      </w:r>
      <w:r w:rsidRPr="00DA34D5">
        <w:t xml:space="preserve"> in those with higher and lower albuminuria</w:t>
      </w:r>
      <w:r>
        <w:t xml:space="preserve">. </w:t>
      </w:r>
      <w:r w:rsidR="00380C5A">
        <w:t xml:space="preserve">The PBAC </w:t>
      </w:r>
      <w:r>
        <w:t xml:space="preserve">considered </w:t>
      </w:r>
      <w:r w:rsidR="007D0D7C">
        <w:t xml:space="preserve">the results from Optum demonstrated </w:t>
      </w:r>
      <w:r w:rsidR="00380C5A">
        <w:lastRenderedPageBreak/>
        <w:t>similar eGFR slope changes</w:t>
      </w:r>
      <w:r w:rsidR="004905DA">
        <w:t xml:space="preserve"> and</w:t>
      </w:r>
      <w:r w:rsidR="00380C5A">
        <w:t xml:space="preserve"> </w:t>
      </w:r>
      <w:r w:rsidR="0077043F">
        <w:t>n</w:t>
      </w:r>
      <w:r w:rsidR="00380C5A" w:rsidRPr="00CA2B43">
        <w:t>o differences across various eGFR categories and degrees of albuminuria for time to hospitalisation for CKD</w:t>
      </w:r>
      <w:r w:rsidR="00380C5A">
        <w:t xml:space="preserve">, </w:t>
      </w:r>
      <w:r w:rsidR="000B587B">
        <w:t xml:space="preserve">and </w:t>
      </w:r>
      <w:r w:rsidR="00380C5A">
        <w:t xml:space="preserve">time to death in hospital between </w:t>
      </w:r>
      <w:r w:rsidR="00380C5A" w:rsidRPr="00DA34D5">
        <w:t>dapa</w:t>
      </w:r>
      <w:r w:rsidR="00380C5A">
        <w:t>gliflozin</w:t>
      </w:r>
      <w:r w:rsidR="00380C5A" w:rsidRPr="00DA34D5">
        <w:t xml:space="preserve"> and empa</w:t>
      </w:r>
      <w:r w:rsidR="00380C5A">
        <w:t>gliflozin.</w:t>
      </w:r>
      <w:r w:rsidR="00853F8E">
        <w:t xml:space="preserve"> </w:t>
      </w:r>
      <w:r w:rsidR="002637DE" w:rsidRPr="001B0800">
        <w:rPr>
          <w:bCs/>
          <w:snapToGrid w:val="0"/>
        </w:rPr>
        <w:t xml:space="preserve">The PBAC acknowledged </w:t>
      </w:r>
      <w:r w:rsidR="00081E5A">
        <w:rPr>
          <w:bCs/>
          <w:snapToGrid w:val="0"/>
        </w:rPr>
        <w:t xml:space="preserve">the </w:t>
      </w:r>
      <w:r w:rsidR="002637DE" w:rsidRPr="001B0800">
        <w:rPr>
          <w:bCs/>
          <w:snapToGrid w:val="0"/>
        </w:rPr>
        <w:t xml:space="preserve">limitations associated with observational data. </w:t>
      </w:r>
      <w:r w:rsidR="002637DE">
        <w:t xml:space="preserve">The PBAC also noted the differences in trial design and </w:t>
      </w:r>
      <w:r w:rsidR="002637DE" w:rsidRPr="006979DE">
        <w:t>eligibility criteria</w:t>
      </w:r>
      <w:r w:rsidR="002637DE">
        <w:t xml:space="preserve"> across the available evidence</w:t>
      </w:r>
      <w:r w:rsidR="002637DE" w:rsidRPr="006979DE">
        <w:t>.</w:t>
      </w:r>
      <w:r w:rsidR="002637DE">
        <w:t xml:space="preserve"> </w:t>
      </w:r>
      <w:r w:rsidR="002637DE" w:rsidRPr="001B0800">
        <w:rPr>
          <w:bCs/>
          <w:snapToGrid w:val="0"/>
        </w:rPr>
        <w:t xml:space="preserve">However, the PBAC considered the identified observational studies </w:t>
      </w:r>
      <w:r w:rsidR="004A2C52">
        <w:rPr>
          <w:bCs/>
          <w:snapToGrid w:val="0"/>
        </w:rPr>
        <w:t>were relevant</w:t>
      </w:r>
      <w:r w:rsidR="00334D3C">
        <w:rPr>
          <w:bCs/>
          <w:snapToGrid w:val="0"/>
        </w:rPr>
        <w:t xml:space="preserve"> and supported by clinical </w:t>
      </w:r>
      <w:r w:rsidR="00505B2F">
        <w:rPr>
          <w:bCs/>
          <w:snapToGrid w:val="0"/>
        </w:rPr>
        <w:t xml:space="preserve">guidelines and </w:t>
      </w:r>
      <w:r w:rsidR="00334D3C">
        <w:rPr>
          <w:bCs/>
          <w:snapToGrid w:val="0"/>
        </w:rPr>
        <w:t xml:space="preserve">practice </w:t>
      </w:r>
      <w:r w:rsidR="00832E5A">
        <w:rPr>
          <w:bCs/>
          <w:snapToGrid w:val="0"/>
        </w:rPr>
        <w:t xml:space="preserve">and were therefore a sufficient </w:t>
      </w:r>
      <w:r w:rsidR="002637DE" w:rsidRPr="001B0800">
        <w:rPr>
          <w:bCs/>
          <w:snapToGrid w:val="0"/>
        </w:rPr>
        <w:t xml:space="preserve">source of comparative evidence of dapagliflozin and empagliflozin for this submission. </w:t>
      </w:r>
      <w:r w:rsidR="00151556">
        <w:t>T</w:t>
      </w:r>
      <w:r w:rsidR="00853F8E">
        <w:t>he PBAC considered</w:t>
      </w:r>
      <w:r w:rsidR="00151556">
        <w:t xml:space="preserve"> that, on balance,</w:t>
      </w:r>
      <w:r w:rsidR="00853F8E">
        <w:t xml:space="preserve"> the </w:t>
      </w:r>
      <w:r w:rsidR="00B26923">
        <w:t xml:space="preserve">evidence </w:t>
      </w:r>
      <w:r w:rsidR="00853F8E">
        <w:t xml:space="preserve">provided in the submission were supportive of the clinical claim that </w:t>
      </w:r>
      <w:r w:rsidR="00853F8E" w:rsidRPr="00790D63">
        <w:t>dapagliflozin is non-inferior in</w:t>
      </w:r>
      <w:r w:rsidR="00853F8E">
        <w:t xml:space="preserve"> terms of comparative effectiveness to empagliflozin </w:t>
      </w:r>
      <w:r w:rsidR="00853F8E" w:rsidRPr="00BE2D57">
        <w:t xml:space="preserve">in the </w:t>
      </w:r>
      <w:r w:rsidR="000F444D">
        <w:t>ex</w:t>
      </w:r>
      <w:r w:rsidR="004A5F12">
        <w:t>pa</w:t>
      </w:r>
      <w:r w:rsidR="000F444D">
        <w:t xml:space="preserve">nded </w:t>
      </w:r>
      <w:r w:rsidR="00853F8E" w:rsidRPr="00BE2D57">
        <w:t>CKD population</w:t>
      </w:r>
      <w:r w:rsidR="00853F8E">
        <w:t>.</w:t>
      </w:r>
    </w:p>
    <w:p w14:paraId="6F85D9CA" w14:textId="2234D067" w:rsidR="003964DE" w:rsidRDefault="003964DE" w:rsidP="003964DE">
      <w:pPr>
        <w:pStyle w:val="COMexecsummnumbered"/>
      </w:pPr>
      <w:r>
        <w:t xml:space="preserve">The </w:t>
      </w:r>
      <w:r w:rsidRPr="003C0FA1">
        <w:t xml:space="preserve">PBAC </w:t>
      </w:r>
      <w:r>
        <w:t xml:space="preserve">maintained </w:t>
      </w:r>
      <w:r w:rsidR="006512D1">
        <w:t xml:space="preserve">its view that </w:t>
      </w:r>
      <w:r w:rsidR="006512D1" w:rsidRPr="00790D63">
        <w:t>dapagliflozin is non-inferior in</w:t>
      </w:r>
      <w:r w:rsidR="006512D1">
        <w:t xml:space="preserve"> terms of comparative safety to empagliflozin </w:t>
      </w:r>
      <w:r w:rsidR="006512D1" w:rsidRPr="00BE2D57">
        <w:t xml:space="preserve">in the </w:t>
      </w:r>
      <w:r w:rsidR="00FB2DDC">
        <w:t>expanded</w:t>
      </w:r>
      <w:r w:rsidR="006512D1" w:rsidRPr="00BE2D57">
        <w:t xml:space="preserve"> CKD</w:t>
      </w:r>
      <w:r w:rsidR="005D129A">
        <w:t xml:space="preserve"> </w:t>
      </w:r>
      <w:r w:rsidR="00FB2DDC">
        <w:t>population</w:t>
      </w:r>
      <w:r w:rsidR="00887FE0">
        <w:t xml:space="preserve">. This was </w:t>
      </w:r>
      <w:r w:rsidR="005D129A">
        <w:t xml:space="preserve">based on </w:t>
      </w:r>
      <w:r w:rsidR="00887FE0">
        <w:t xml:space="preserve">the Committee’s </w:t>
      </w:r>
      <w:r w:rsidR="00673782">
        <w:t xml:space="preserve">view </w:t>
      </w:r>
      <w:r w:rsidR="00FB2DDC">
        <w:t>for CKD</w:t>
      </w:r>
      <w:r w:rsidR="00673782">
        <w:t xml:space="preserve"> (</w:t>
      </w:r>
      <w:r w:rsidR="00673782" w:rsidRPr="003C0FA1">
        <w:t>empagliflozin</w:t>
      </w:r>
      <w:r w:rsidR="00673782">
        <w:t xml:space="preserve"> PSD, </w:t>
      </w:r>
      <w:r w:rsidR="00673782" w:rsidRPr="003C0FA1">
        <w:t>November 2023</w:t>
      </w:r>
      <w:r w:rsidR="00602AD0">
        <w:t xml:space="preserve"> meeting</w:t>
      </w:r>
      <w:r w:rsidR="00673782">
        <w:t>)</w:t>
      </w:r>
      <w:r w:rsidRPr="003C0FA1">
        <w:t>, as well as for HF (empagliflozin PSD, November 2021 PBAC meeting</w:t>
      </w:r>
      <w:r w:rsidR="00602AD0">
        <w:t>;</w:t>
      </w:r>
      <w:r w:rsidRPr="003C0FA1">
        <w:t xml:space="preserve"> dapagliflozin PSD, July 2023 PBAC meeting) and T2DM (empagliflozin PSD, July 2014 PBAC meeting)</w:t>
      </w:r>
      <w:r w:rsidRPr="00F0480C">
        <w:t>.</w:t>
      </w:r>
    </w:p>
    <w:p w14:paraId="329DCA91" w14:textId="6F872AC7" w:rsidR="00E4782E" w:rsidRPr="00E16825" w:rsidRDefault="00E4782E" w:rsidP="002B2CDB">
      <w:pPr>
        <w:pStyle w:val="COMexecsummnumbered"/>
      </w:pPr>
      <w:r w:rsidRPr="00407104">
        <w:rPr>
          <w:snapToGrid w:val="0"/>
          <w:lang w:val="en-GB"/>
        </w:rPr>
        <w:t xml:space="preserve">The PBAC </w:t>
      </w:r>
      <w:r w:rsidR="0098557C">
        <w:t xml:space="preserve">noted </w:t>
      </w:r>
      <w:r w:rsidR="00CB0BFD">
        <w:t xml:space="preserve">that aligning the dapagliflozin and empagliflozin restrictions </w:t>
      </w:r>
      <w:r w:rsidR="002B2CDB">
        <w:t xml:space="preserve">would make </w:t>
      </w:r>
      <w:r w:rsidR="00920B0C">
        <w:t>the listings</w:t>
      </w:r>
      <w:r w:rsidR="002B2CDB">
        <w:t xml:space="preserve"> consistent with </w:t>
      </w:r>
      <w:r>
        <w:t xml:space="preserve">the </w:t>
      </w:r>
      <w:r w:rsidRPr="00C04318">
        <w:t xml:space="preserve">Australian and international guidelines (KDIGO, 2024; UK Kidney Association, 2023; European Kidney Association, 2023) </w:t>
      </w:r>
      <w:r w:rsidR="002B2CDB">
        <w:t xml:space="preserve">which </w:t>
      </w:r>
      <w:r w:rsidRPr="00C04318">
        <w:t>were recently updated to include the use of SGLT2 inhibitors in the treatment of CKD.</w:t>
      </w:r>
      <w:r w:rsidR="002B2CDB" w:rsidRPr="002B2CDB">
        <w:t xml:space="preserve"> </w:t>
      </w:r>
      <w:r w:rsidR="002B2CDB">
        <w:t xml:space="preserve">The PBAC </w:t>
      </w:r>
      <w:r w:rsidR="0098557C">
        <w:t xml:space="preserve">also </w:t>
      </w:r>
      <w:r w:rsidR="002B2CDB">
        <w:t xml:space="preserve">considered </w:t>
      </w:r>
      <w:r w:rsidR="00027EE4">
        <w:t xml:space="preserve">there was a </w:t>
      </w:r>
      <w:r w:rsidR="00027EE4" w:rsidRPr="00027EE4">
        <w:rPr>
          <w:lang w:val="en-GB"/>
        </w:rPr>
        <w:t xml:space="preserve">risk of confusion arising if </w:t>
      </w:r>
      <w:r w:rsidR="00027EE4">
        <w:rPr>
          <w:lang w:val="en-GB"/>
        </w:rPr>
        <w:t>the PBS had</w:t>
      </w:r>
      <w:r w:rsidR="00027EE4" w:rsidRPr="00027EE4">
        <w:rPr>
          <w:lang w:val="en-GB"/>
        </w:rPr>
        <w:t xml:space="preserve"> different restrictions</w:t>
      </w:r>
      <w:r w:rsidR="007B4948">
        <w:rPr>
          <w:lang w:val="en-GB"/>
        </w:rPr>
        <w:t xml:space="preserve"> for </w:t>
      </w:r>
      <w:r w:rsidR="00BE3D66">
        <w:rPr>
          <w:lang w:val="en-GB"/>
        </w:rPr>
        <w:t xml:space="preserve">dapagliflozin and empagliflozin </w:t>
      </w:r>
      <w:r w:rsidR="007B4948">
        <w:rPr>
          <w:lang w:val="en-GB"/>
        </w:rPr>
        <w:t>for the same indication, and therefore</w:t>
      </w:r>
      <w:r w:rsidR="00027EE4" w:rsidRPr="00027EE4">
        <w:t xml:space="preserve"> </w:t>
      </w:r>
      <w:r w:rsidR="002B2CDB">
        <w:t>aligning the restrictions for dapagliflozin and empagliflozin would m</w:t>
      </w:r>
      <w:r w:rsidR="002B2CDB" w:rsidRPr="00155605">
        <w:t>inimis</w:t>
      </w:r>
      <w:r w:rsidR="002B2CDB">
        <w:t>e</w:t>
      </w:r>
      <w:r w:rsidR="002B2CDB" w:rsidRPr="00155605">
        <w:t xml:space="preserve"> clinician and patient confusion</w:t>
      </w:r>
      <w:r w:rsidR="002B2CDB">
        <w:t xml:space="preserve"> and allow for </w:t>
      </w:r>
      <w:r w:rsidR="002B2CDB" w:rsidRPr="00155605">
        <w:t>equitable access</w:t>
      </w:r>
      <w:r w:rsidR="007E6726">
        <w:t xml:space="preserve"> across the two drugs</w:t>
      </w:r>
      <w:r w:rsidR="002B2CDB" w:rsidRPr="00155605">
        <w:t>.</w:t>
      </w:r>
    </w:p>
    <w:p w14:paraId="58310C4B" w14:textId="56ECD31B" w:rsidR="00CA2B43" w:rsidRDefault="00636E27" w:rsidP="00305DFD">
      <w:pPr>
        <w:pStyle w:val="COMexecsummnumbered"/>
      </w:pPr>
      <w:r w:rsidRPr="009117EF">
        <w:t xml:space="preserve">The PBAC considered that the </w:t>
      </w:r>
      <w:r>
        <w:t xml:space="preserve">change to the </w:t>
      </w:r>
      <w:r w:rsidRPr="009117EF">
        <w:t xml:space="preserve">listing of </w:t>
      </w:r>
      <w:r>
        <w:t xml:space="preserve">dapagliflozin </w:t>
      </w:r>
      <w:r w:rsidRPr="009117EF">
        <w:t>would not result in a net cost to the PBS as it would</w:t>
      </w:r>
      <w:r>
        <w:t xml:space="preserve"> </w:t>
      </w:r>
      <w:r w:rsidRPr="00222546">
        <w:t xml:space="preserve">substitute </w:t>
      </w:r>
      <w:r>
        <w:t>for empagliflozin and not increase the overall market utilisation.</w:t>
      </w:r>
      <w:r w:rsidR="00C821D2" w:rsidRPr="00C821D2">
        <w:t xml:space="preserve"> </w:t>
      </w:r>
    </w:p>
    <w:p w14:paraId="77E8B856" w14:textId="3075430D" w:rsidR="003A2FA9" w:rsidRPr="00BE559B" w:rsidRDefault="004E2F52">
      <w:pPr>
        <w:pStyle w:val="COMexecsummnumbered"/>
        <w:rPr>
          <w:rFonts w:cs="Arial"/>
          <w:snapToGrid w:val="0"/>
          <w:lang w:val="en-GB"/>
        </w:rPr>
      </w:pPr>
      <w:r>
        <w:t xml:space="preserve">The PBAC noted </w:t>
      </w:r>
      <w:r w:rsidRPr="00015DF0">
        <w:t xml:space="preserve">the current risk sharing arrangement (RSA) for the SGLT2 inhibitor class of medications (empagliflozin and dapagliflozin) across two indications: chronic heart failure with left ventricular ejection fraction ≤40%; and </w:t>
      </w:r>
      <w:r w:rsidR="00EA6062">
        <w:t>CKD</w:t>
      </w:r>
      <w:r w:rsidRPr="00015DF0">
        <w:t>.</w:t>
      </w:r>
      <w:r w:rsidR="00BE559B" w:rsidRPr="00015DF0">
        <w:t xml:space="preserve"> In May 2025, t</w:t>
      </w:r>
      <w:r w:rsidR="00BE559B" w:rsidRPr="00015DF0">
        <w:rPr>
          <w:snapToGrid w:val="0"/>
          <w:lang w:val="en-GB"/>
        </w:rPr>
        <w:t xml:space="preserve">he PBAC </w:t>
      </w:r>
      <w:r w:rsidR="005C5A55">
        <w:rPr>
          <w:snapToGrid w:val="0"/>
          <w:lang w:val="en-GB"/>
        </w:rPr>
        <w:t xml:space="preserve">had </w:t>
      </w:r>
      <w:r w:rsidR="00BE559B" w:rsidRPr="00015DF0">
        <w:rPr>
          <w:snapToGrid w:val="0"/>
          <w:lang w:val="en-GB"/>
        </w:rPr>
        <w:t xml:space="preserve">considered that an increase to the current </w:t>
      </w:r>
      <w:r w:rsidR="005C5A55">
        <w:rPr>
          <w:snapToGrid w:val="0"/>
          <w:lang w:val="en-GB"/>
        </w:rPr>
        <w:t>RSA</w:t>
      </w:r>
      <w:r w:rsidR="00BE559B" w:rsidRPr="00015DF0">
        <w:rPr>
          <w:snapToGrid w:val="0"/>
          <w:lang w:val="en-GB"/>
        </w:rPr>
        <w:t xml:space="preserve"> expenditure caps </w:t>
      </w:r>
      <w:r w:rsidR="002D3783" w:rsidRPr="002D3783">
        <w:rPr>
          <w:snapToGrid w:val="0"/>
        </w:rPr>
        <w:t>to account for the incremental population</w:t>
      </w:r>
      <w:r w:rsidR="002D3783">
        <w:rPr>
          <w:snapToGrid w:val="0"/>
        </w:rPr>
        <w:t xml:space="preserve"> </w:t>
      </w:r>
      <w:r w:rsidR="00BE559B" w:rsidRPr="00015DF0">
        <w:rPr>
          <w:snapToGrid w:val="0"/>
          <w:lang w:val="en-GB"/>
        </w:rPr>
        <w:t xml:space="preserve">was appropriate </w:t>
      </w:r>
      <w:r w:rsidR="0059397B" w:rsidRPr="00015DF0">
        <w:rPr>
          <w:snapToGrid w:val="0"/>
          <w:lang w:val="en-GB"/>
        </w:rPr>
        <w:t>(</w:t>
      </w:r>
      <w:r w:rsidR="0059397B" w:rsidRPr="00015DF0">
        <w:t xml:space="preserve">paragraph 7.14 empagliflozin </w:t>
      </w:r>
      <w:r w:rsidR="002E79DE">
        <w:t>PSD</w:t>
      </w:r>
      <w:r w:rsidR="0059397B" w:rsidRPr="00015DF0">
        <w:t>, May 2025 PBAC meeting)</w:t>
      </w:r>
      <w:r w:rsidR="00BE559B" w:rsidRPr="00015DF0">
        <w:rPr>
          <w:snapToGrid w:val="0"/>
          <w:lang w:val="en-GB"/>
        </w:rPr>
        <w:t xml:space="preserve">. </w:t>
      </w:r>
      <w:r w:rsidR="0024795F" w:rsidRPr="00015DF0">
        <w:rPr>
          <w:rFonts w:cs="Arial"/>
          <w:snapToGrid w:val="0"/>
          <w:lang w:val="en-GB"/>
        </w:rPr>
        <w:t>T</w:t>
      </w:r>
      <w:r w:rsidR="00651E4E" w:rsidRPr="00015DF0">
        <w:rPr>
          <w:rFonts w:cs="Arial"/>
          <w:snapToGrid w:val="0"/>
          <w:lang w:val="en-GB"/>
        </w:rPr>
        <w:t>he PBAC</w:t>
      </w:r>
      <w:r w:rsidR="00BE559B" w:rsidRPr="00015DF0">
        <w:rPr>
          <w:rFonts w:cs="Arial"/>
          <w:snapToGrid w:val="0"/>
          <w:lang w:val="en-GB"/>
        </w:rPr>
        <w:t xml:space="preserve"> </w:t>
      </w:r>
      <w:r w:rsidR="00F42915" w:rsidRPr="00015DF0">
        <w:rPr>
          <w:rFonts w:cs="Arial"/>
          <w:snapToGrid w:val="0"/>
          <w:lang w:val="en-GB"/>
        </w:rPr>
        <w:t xml:space="preserve">maintained </w:t>
      </w:r>
      <w:r w:rsidR="00171E9F" w:rsidRPr="00015DF0">
        <w:rPr>
          <w:rFonts w:cs="Arial"/>
          <w:snapToGrid w:val="0"/>
          <w:lang w:val="en-GB"/>
        </w:rPr>
        <w:t xml:space="preserve">that </w:t>
      </w:r>
      <w:r w:rsidR="00F42915" w:rsidRPr="00015DF0">
        <w:rPr>
          <w:rFonts w:cs="Arial"/>
          <w:snapToGrid w:val="0"/>
          <w:lang w:val="en-GB"/>
        </w:rPr>
        <w:t xml:space="preserve">the increase to the </w:t>
      </w:r>
      <w:r w:rsidR="00692BC4">
        <w:rPr>
          <w:rFonts w:cs="Arial"/>
          <w:snapToGrid w:val="0"/>
          <w:lang w:val="en-GB"/>
        </w:rPr>
        <w:t xml:space="preserve">joint subsidisation caps </w:t>
      </w:r>
      <w:r w:rsidR="00F42915" w:rsidRPr="00015DF0">
        <w:rPr>
          <w:rFonts w:cs="Arial"/>
          <w:snapToGrid w:val="0"/>
          <w:lang w:val="en-GB"/>
        </w:rPr>
        <w:t xml:space="preserve">as recommended </w:t>
      </w:r>
      <w:r w:rsidR="0081777C">
        <w:rPr>
          <w:rFonts w:cs="Arial"/>
          <w:snapToGrid w:val="0"/>
          <w:lang w:val="en-GB"/>
        </w:rPr>
        <w:t xml:space="preserve">for empagliflozin </w:t>
      </w:r>
      <w:r w:rsidR="00F42915" w:rsidRPr="00015DF0">
        <w:rPr>
          <w:rFonts w:cs="Arial"/>
          <w:snapToGrid w:val="0"/>
          <w:lang w:val="en-GB"/>
        </w:rPr>
        <w:t>in May 2025</w:t>
      </w:r>
      <w:r w:rsidR="00F42915">
        <w:rPr>
          <w:rFonts w:cs="Arial"/>
          <w:snapToGrid w:val="0"/>
          <w:lang w:val="en-GB"/>
        </w:rPr>
        <w:t xml:space="preserve"> should apply with the change in dapagli</w:t>
      </w:r>
      <w:r w:rsidR="000A63A1">
        <w:rPr>
          <w:rFonts w:cs="Arial"/>
          <w:snapToGrid w:val="0"/>
          <w:lang w:val="en-GB"/>
        </w:rPr>
        <w:t>flozin restrictions</w:t>
      </w:r>
      <w:r w:rsidR="00B26923">
        <w:rPr>
          <w:rFonts w:cs="Arial"/>
          <w:snapToGrid w:val="0"/>
          <w:lang w:val="en-GB"/>
        </w:rPr>
        <w:t>, with no further adjustment with the PBS listing update for dapagliflozin</w:t>
      </w:r>
      <w:r w:rsidR="00651E4E" w:rsidRPr="00BE559B">
        <w:rPr>
          <w:rFonts w:cs="Arial"/>
          <w:snapToGrid w:val="0"/>
          <w:lang w:val="en-GB"/>
        </w:rPr>
        <w:t>.</w:t>
      </w:r>
    </w:p>
    <w:p w14:paraId="3C96A289" w14:textId="2AB241D6" w:rsidR="00D6484A" w:rsidRPr="009F22FD" w:rsidRDefault="00D6484A" w:rsidP="00D6484A">
      <w:pPr>
        <w:pStyle w:val="COMexecsummnumbered"/>
        <w:rPr>
          <w:rFonts w:eastAsia="Calibri" w:cs="Arial"/>
          <w:bCs/>
          <w:snapToGrid w:val="0"/>
          <w:lang w:eastAsia="en-US"/>
        </w:rPr>
      </w:pPr>
      <w:r w:rsidRPr="009F22FD">
        <w:t xml:space="preserve">The PBAC noted its recommendation was on a cost-minimisation basis and advised that, because </w:t>
      </w:r>
      <w:r w:rsidR="00C91390" w:rsidRPr="009F22FD">
        <w:t xml:space="preserve">dapagliflozin </w:t>
      </w:r>
      <w:r w:rsidRPr="009F22FD">
        <w:t xml:space="preserve">is not expected to provide a substantial and clinically relevant improvement in efficacy, or reduction of toxicity over </w:t>
      </w:r>
      <w:r w:rsidR="0059397B" w:rsidRPr="009F22FD">
        <w:t>empagliflozin</w:t>
      </w:r>
      <w:r w:rsidRPr="009F22FD">
        <w:t xml:space="preserve">, or to address a high and urgent unmet clinical need, the criteria prescribed by the </w:t>
      </w:r>
      <w:r w:rsidRPr="009F22FD">
        <w:rPr>
          <w:i/>
        </w:rPr>
        <w:t xml:space="preserve">National </w:t>
      </w:r>
      <w:r w:rsidRPr="009F22FD">
        <w:rPr>
          <w:i/>
        </w:rPr>
        <w:lastRenderedPageBreak/>
        <w:t>Health (Pharmaceuticals and Vaccines – Cost Recovery) Regulations 2022</w:t>
      </w:r>
      <w:r w:rsidRPr="009F22FD">
        <w:t xml:space="preserve"> for Pricing Pathway A were not met.</w:t>
      </w:r>
    </w:p>
    <w:p w14:paraId="76ECC0E2" w14:textId="165F0F6D" w:rsidR="005E5F24" w:rsidRPr="009F22FD" w:rsidRDefault="00D6484A" w:rsidP="00F269C7">
      <w:pPr>
        <w:pStyle w:val="COMexecsummnumbered"/>
        <w:rPr>
          <w:snapToGrid w:val="0"/>
          <w:lang w:eastAsia="en-US"/>
        </w:rPr>
      </w:pPr>
      <w:r w:rsidRPr="009F22FD">
        <w:rPr>
          <w:snapToGrid w:val="0"/>
          <w:lang w:eastAsia="en-US"/>
        </w:rPr>
        <w:t>The PBAC noted this submission is not eligible for an Independent Review as it received a positive recommendation</w:t>
      </w:r>
      <w:r w:rsidR="00F269C7" w:rsidRPr="009F22FD">
        <w:rPr>
          <w:snapToGrid w:val="0"/>
          <w:lang w:eastAsia="en-US"/>
        </w:rPr>
        <w:t>.</w:t>
      </w:r>
    </w:p>
    <w:bookmarkEnd w:id="18"/>
    <w:p w14:paraId="73585523" w14:textId="77777777" w:rsidR="0010665C" w:rsidRPr="00525B39" w:rsidRDefault="0010665C" w:rsidP="0010665C">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AF13689" w14:textId="2AAF5009" w:rsidR="009B0BE7" w:rsidRDefault="0010665C" w:rsidP="00A06134">
      <w:pPr>
        <w:rPr>
          <w:snapToGrid w:val="0"/>
          <w:lang w:eastAsia="en-US"/>
        </w:rPr>
      </w:pPr>
      <w:r w:rsidRPr="00525B39">
        <w:rPr>
          <w:rFonts w:asciiTheme="minorHAnsi" w:hAnsiTheme="minorHAnsi"/>
          <w:bCs/>
          <w:snapToGrid w:val="0"/>
          <w:lang w:val="en-GB"/>
        </w:rPr>
        <w:t>Recommended</w:t>
      </w:r>
    </w:p>
    <w:bookmarkEnd w:id="16"/>
    <w:p w14:paraId="5E7E14E5" w14:textId="77777777" w:rsidR="0010665C" w:rsidRPr="00907671" w:rsidRDefault="0010665C" w:rsidP="0010665C">
      <w:pPr>
        <w:pStyle w:val="COMH1-numbered"/>
      </w:pPr>
      <w:r w:rsidRPr="00907671">
        <w:t>Recommended listing</w:t>
      </w:r>
    </w:p>
    <w:p w14:paraId="5EC31645" w14:textId="48146770" w:rsidR="00C65626" w:rsidRPr="00041C51" w:rsidRDefault="00C65626" w:rsidP="00041C51">
      <w:pPr>
        <w:pStyle w:val="COMexecsummnumbered"/>
        <w:rPr>
          <w:b/>
          <w:snapToGrid w:val="0"/>
        </w:rPr>
      </w:pPr>
      <w:r w:rsidRPr="005510B7">
        <w:rPr>
          <w:snapToGrid w:val="0"/>
        </w:rPr>
        <w:t>Amend existin</w:t>
      </w:r>
      <w:r>
        <w:rPr>
          <w:snapToGrid w:val="0"/>
        </w:rPr>
        <w:t xml:space="preserve">g </w:t>
      </w:r>
      <w:r w:rsidRPr="005510B7">
        <w:rPr>
          <w:snapToGrid w:val="0"/>
        </w:rPr>
        <w:t>listing as follows: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3824"/>
        <w:gridCol w:w="927"/>
        <w:gridCol w:w="812"/>
        <w:gridCol w:w="811"/>
        <w:gridCol w:w="812"/>
        <w:gridCol w:w="1831"/>
      </w:tblGrid>
      <w:tr w:rsidR="00C65626" w:rsidRPr="00431AF1" w14:paraId="13DD002A" w14:textId="77777777" w:rsidTr="00EA3A8D">
        <w:trPr>
          <w:cantSplit/>
          <w:trHeight w:val="20"/>
        </w:trPr>
        <w:tc>
          <w:tcPr>
            <w:tcW w:w="3824" w:type="dxa"/>
            <w:vAlign w:val="center"/>
          </w:tcPr>
          <w:p w14:paraId="7D3A3F63" w14:textId="77777777" w:rsidR="00C65626" w:rsidRPr="00431AF1" w:rsidRDefault="00C65626">
            <w:pPr>
              <w:keepLines/>
              <w:rPr>
                <w:rFonts w:ascii="Arial Narrow" w:hAnsi="Arial Narrow"/>
                <w:b/>
                <w:bCs/>
                <w:iCs/>
                <w:sz w:val="20"/>
                <w:szCs w:val="20"/>
              </w:rPr>
            </w:pPr>
            <w:r w:rsidRPr="00431AF1">
              <w:rPr>
                <w:rFonts w:ascii="Arial Narrow" w:hAnsi="Arial Narrow"/>
                <w:b/>
                <w:bCs/>
                <w:iCs/>
                <w:sz w:val="20"/>
                <w:szCs w:val="20"/>
              </w:rPr>
              <w:t>MEDICINAL PRODUCT</w:t>
            </w:r>
          </w:p>
          <w:p w14:paraId="3E9EAF80" w14:textId="77777777" w:rsidR="00C65626" w:rsidRPr="00431AF1" w:rsidRDefault="00C65626">
            <w:pPr>
              <w:keepLines/>
              <w:rPr>
                <w:rFonts w:ascii="Arial Narrow" w:hAnsi="Arial Narrow"/>
                <w:b/>
                <w:iCs/>
                <w:sz w:val="20"/>
                <w:szCs w:val="20"/>
              </w:rPr>
            </w:pPr>
            <w:r w:rsidRPr="00431AF1">
              <w:rPr>
                <w:rFonts w:ascii="Arial Narrow" w:hAnsi="Arial Narrow"/>
                <w:b/>
                <w:bCs/>
                <w:iCs/>
                <w:sz w:val="20"/>
                <w:szCs w:val="20"/>
              </w:rPr>
              <w:t>medicinal product pack</w:t>
            </w:r>
          </w:p>
        </w:tc>
        <w:tc>
          <w:tcPr>
            <w:tcW w:w="927" w:type="dxa"/>
            <w:vAlign w:val="center"/>
          </w:tcPr>
          <w:p w14:paraId="68BFA920" w14:textId="77777777" w:rsidR="00C65626" w:rsidRPr="00431AF1" w:rsidRDefault="00C65626">
            <w:pPr>
              <w:keepLines/>
              <w:jc w:val="center"/>
              <w:rPr>
                <w:rFonts w:ascii="Arial Narrow" w:hAnsi="Arial Narrow"/>
                <w:b/>
                <w:iCs/>
                <w:sz w:val="20"/>
                <w:szCs w:val="20"/>
              </w:rPr>
            </w:pPr>
            <w:r w:rsidRPr="00431AF1">
              <w:rPr>
                <w:rFonts w:ascii="Arial Narrow" w:hAnsi="Arial Narrow"/>
                <w:b/>
                <w:iCs/>
                <w:sz w:val="20"/>
                <w:szCs w:val="20"/>
              </w:rPr>
              <w:t>PBS item code</w:t>
            </w:r>
          </w:p>
        </w:tc>
        <w:tc>
          <w:tcPr>
            <w:tcW w:w="812" w:type="dxa"/>
            <w:vAlign w:val="center"/>
          </w:tcPr>
          <w:p w14:paraId="1BC8127C" w14:textId="77777777" w:rsidR="00C65626" w:rsidRPr="00431AF1" w:rsidRDefault="00C65626">
            <w:pPr>
              <w:keepLines/>
              <w:jc w:val="center"/>
              <w:rPr>
                <w:rFonts w:ascii="Arial Narrow" w:hAnsi="Arial Narrow"/>
                <w:b/>
                <w:iCs/>
                <w:sz w:val="20"/>
                <w:szCs w:val="20"/>
              </w:rPr>
            </w:pPr>
            <w:r w:rsidRPr="00431AF1">
              <w:rPr>
                <w:rFonts w:ascii="Arial Narrow" w:hAnsi="Arial Narrow"/>
                <w:b/>
                <w:iCs/>
                <w:sz w:val="20"/>
                <w:szCs w:val="20"/>
              </w:rPr>
              <w:t>Max. qty packs</w:t>
            </w:r>
          </w:p>
        </w:tc>
        <w:tc>
          <w:tcPr>
            <w:tcW w:w="811" w:type="dxa"/>
            <w:vAlign w:val="center"/>
          </w:tcPr>
          <w:p w14:paraId="6579DB10" w14:textId="77777777" w:rsidR="00C65626" w:rsidRPr="00431AF1" w:rsidRDefault="00C65626">
            <w:pPr>
              <w:keepLines/>
              <w:jc w:val="center"/>
              <w:rPr>
                <w:rFonts w:ascii="Arial Narrow" w:hAnsi="Arial Narrow"/>
                <w:b/>
                <w:iCs/>
                <w:sz w:val="20"/>
                <w:szCs w:val="20"/>
              </w:rPr>
            </w:pPr>
            <w:r w:rsidRPr="00431AF1">
              <w:rPr>
                <w:rFonts w:ascii="Arial Narrow" w:hAnsi="Arial Narrow"/>
                <w:b/>
                <w:iCs/>
                <w:sz w:val="20"/>
                <w:szCs w:val="20"/>
              </w:rPr>
              <w:t>Max. qty units</w:t>
            </w:r>
          </w:p>
        </w:tc>
        <w:tc>
          <w:tcPr>
            <w:tcW w:w="812" w:type="dxa"/>
            <w:vAlign w:val="center"/>
          </w:tcPr>
          <w:p w14:paraId="0ED5E19D" w14:textId="77777777" w:rsidR="00C65626" w:rsidRPr="00431AF1" w:rsidRDefault="00C65626">
            <w:pPr>
              <w:keepLines/>
              <w:jc w:val="center"/>
              <w:rPr>
                <w:rFonts w:ascii="Arial Narrow" w:hAnsi="Arial Narrow"/>
                <w:b/>
                <w:bCs/>
                <w:iCs/>
                <w:sz w:val="20"/>
                <w:szCs w:val="20"/>
              </w:rPr>
            </w:pPr>
            <w:proofErr w:type="gramStart"/>
            <w:r w:rsidRPr="00431AF1">
              <w:rPr>
                <w:rFonts w:ascii="Arial Narrow" w:hAnsi="Arial Narrow"/>
                <w:b/>
                <w:bCs/>
                <w:iCs/>
                <w:sz w:val="20"/>
                <w:szCs w:val="20"/>
              </w:rPr>
              <w:t>№.of</w:t>
            </w:r>
            <w:proofErr w:type="gramEnd"/>
          </w:p>
          <w:p w14:paraId="3E3CED9F" w14:textId="77777777" w:rsidR="00C65626" w:rsidRPr="00431AF1" w:rsidRDefault="00C65626">
            <w:pPr>
              <w:keepLines/>
              <w:jc w:val="center"/>
              <w:rPr>
                <w:rFonts w:ascii="Arial Narrow" w:hAnsi="Arial Narrow"/>
                <w:b/>
                <w:bCs/>
                <w:iCs/>
                <w:sz w:val="20"/>
                <w:szCs w:val="20"/>
              </w:rPr>
            </w:pPr>
            <w:proofErr w:type="spellStart"/>
            <w:r w:rsidRPr="00431AF1">
              <w:rPr>
                <w:rFonts w:ascii="Arial Narrow" w:hAnsi="Arial Narrow"/>
                <w:b/>
                <w:bCs/>
                <w:iCs/>
                <w:sz w:val="20"/>
                <w:szCs w:val="20"/>
              </w:rPr>
              <w:t>Rpts</w:t>
            </w:r>
            <w:proofErr w:type="spellEnd"/>
          </w:p>
        </w:tc>
        <w:tc>
          <w:tcPr>
            <w:tcW w:w="1831" w:type="dxa"/>
            <w:vAlign w:val="center"/>
          </w:tcPr>
          <w:p w14:paraId="4274BF55" w14:textId="77777777" w:rsidR="00C65626" w:rsidRPr="00431AF1" w:rsidRDefault="00C65626">
            <w:pPr>
              <w:keepLines/>
              <w:rPr>
                <w:rFonts w:ascii="Arial Narrow" w:hAnsi="Arial Narrow"/>
                <w:b/>
                <w:iCs/>
                <w:sz w:val="20"/>
                <w:szCs w:val="20"/>
                <w:lang w:val="fr-FR"/>
              </w:rPr>
            </w:pPr>
            <w:r w:rsidRPr="00431AF1">
              <w:rPr>
                <w:rFonts w:ascii="Arial Narrow" w:hAnsi="Arial Narrow"/>
                <w:b/>
                <w:iCs/>
                <w:sz w:val="20"/>
                <w:szCs w:val="20"/>
              </w:rPr>
              <w:t>Available brands</w:t>
            </w:r>
          </w:p>
        </w:tc>
      </w:tr>
      <w:tr w:rsidR="00C65626" w:rsidRPr="00431AF1" w14:paraId="06A108F2" w14:textId="77777777" w:rsidTr="00EA3A8D">
        <w:trPr>
          <w:cantSplit/>
          <w:trHeight w:val="20"/>
        </w:trPr>
        <w:tc>
          <w:tcPr>
            <w:tcW w:w="9017" w:type="dxa"/>
            <w:gridSpan w:val="6"/>
            <w:vAlign w:val="center"/>
          </w:tcPr>
          <w:p w14:paraId="205C0E65" w14:textId="5576E8F7" w:rsidR="00C65626" w:rsidRPr="00431AF1" w:rsidRDefault="00C65626">
            <w:pPr>
              <w:keepLines/>
              <w:rPr>
                <w:rFonts w:ascii="Arial Narrow" w:hAnsi="Arial Narrow"/>
                <w:iCs/>
                <w:sz w:val="20"/>
                <w:szCs w:val="20"/>
              </w:rPr>
            </w:pPr>
            <w:r>
              <w:rPr>
                <w:rFonts w:ascii="Arial Narrow" w:hAnsi="Arial Narrow"/>
                <w:iCs/>
                <w:sz w:val="20"/>
                <w:szCs w:val="20"/>
              </w:rPr>
              <w:t>DA</w:t>
            </w:r>
            <w:r w:rsidRPr="00431AF1">
              <w:rPr>
                <w:rFonts w:ascii="Arial Narrow" w:hAnsi="Arial Narrow"/>
                <w:iCs/>
                <w:sz w:val="20"/>
                <w:szCs w:val="20"/>
              </w:rPr>
              <w:t>PAGLIFLOZIN</w:t>
            </w:r>
          </w:p>
        </w:tc>
      </w:tr>
      <w:tr w:rsidR="00C65626" w:rsidRPr="00431AF1" w14:paraId="24A90BC7" w14:textId="77777777" w:rsidTr="00EA3A8D">
        <w:trPr>
          <w:cantSplit/>
          <w:trHeight w:val="20"/>
        </w:trPr>
        <w:tc>
          <w:tcPr>
            <w:tcW w:w="3824" w:type="dxa"/>
            <w:vAlign w:val="center"/>
          </w:tcPr>
          <w:p w14:paraId="6AE0CDA1" w14:textId="6C18D94D" w:rsidR="00C65626" w:rsidRPr="00431AF1" w:rsidRDefault="008D7951">
            <w:pPr>
              <w:keepLines/>
              <w:rPr>
                <w:rFonts w:ascii="Arial Narrow" w:hAnsi="Arial Narrow"/>
                <w:iCs/>
                <w:sz w:val="20"/>
                <w:szCs w:val="20"/>
              </w:rPr>
            </w:pPr>
            <w:r>
              <w:rPr>
                <w:rFonts w:ascii="Arial Narrow" w:hAnsi="Arial Narrow"/>
                <w:iCs/>
                <w:sz w:val="20"/>
                <w:szCs w:val="20"/>
              </w:rPr>
              <w:t>da</w:t>
            </w:r>
            <w:r w:rsidR="00C65626" w:rsidRPr="00431AF1">
              <w:rPr>
                <w:rFonts w:ascii="Arial Narrow" w:hAnsi="Arial Narrow"/>
                <w:iCs/>
                <w:sz w:val="20"/>
                <w:szCs w:val="20"/>
              </w:rPr>
              <w:t xml:space="preserve">pagliflozin 10 mg tablet, </w:t>
            </w:r>
            <w:r>
              <w:rPr>
                <w:rFonts w:ascii="Arial Narrow" w:hAnsi="Arial Narrow"/>
                <w:iCs/>
                <w:sz w:val="20"/>
                <w:szCs w:val="20"/>
              </w:rPr>
              <w:t>28</w:t>
            </w:r>
          </w:p>
        </w:tc>
        <w:tc>
          <w:tcPr>
            <w:tcW w:w="927" w:type="dxa"/>
            <w:vAlign w:val="center"/>
          </w:tcPr>
          <w:p w14:paraId="4D3D8FA6" w14:textId="735A5F53" w:rsidR="00C65626" w:rsidRPr="00431AF1" w:rsidRDefault="00E21D1A">
            <w:pPr>
              <w:keepLines/>
              <w:jc w:val="center"/>
              <w:rPr>
                <w:rFonts w:ascii="Arial Narrow" w:hAnsi="Arial Narrow"/>
                <w:iCs/>
                <w:sz w:val="20"/>
                <w:szCs w:val="20"/>
              </w:rPr>
            </w:pPr>
            <w:r>
              <w:rPr>
                <w:rFonts w:ascii="Arial Narrow" w:hAnsi="Arial Narrow"/>
                <w:iCs/>
                <w:sz w:val="20"/>
                <w:szCs w:val="20"/>
              </w:rPr>
              <w:t>13106T</w:t>
            </w:r>
          </w:p>
        </w:tc>
        <w:tc>
          <w:tcPr>
            <w:tcW w:w="812" w:type="dxa"/>
            <w:vAlign w:val="center"/>
          </w:tcPr>
          <w:p w14:paraId="4DBCBE60" w14:textId="77777777" w:rsidR="00C65626" w:rsidRPr="00431AF1" w:rsidRDefault="00C65626">
            <w:pPr>
              <w:keepLines/>
              <w:jc w:val="center"/>
              <w:rPr>
                <w:rFonts w:ascii="Arial Narrow" w:hAnsi="Arial Narrow"/>
                <w:iCs/>
                <w:sz w:val="20"/>
                <w:szCs w:val="20"/>
              </w:rPr>
            </w:pPr>
            <w:r w:rsidRPr="00431AF1">
              <w:rPr>
                <w:rFonts w:ascii="Arial Narrow" w:hAnsi="Arial Narrow"/>
                <w:iCs/>
                <w:sz w:val="20"/>
                <w:szCs w:val="20"/>
              </w:rPr>
              <w:t>1</w:t>
            </w:r>
          </w:p>
        </w:tc>
        <w:tc>
          <w:tcPr>
            <w:tcW w:w="811" w:type="dxa"/>
            <w:vAlign w:val="center"/>
          </w:tcPr>
          <w:p w14:paraId="5CE0585E" w14:textId="459E191C" w:rsidR="00C65626" w:rsidRPr="00431AF1" w:rsidRDefault="008D7951">
            <w:pPr>
              <w:keepLines/>
              <w:jc w:val="center"/>
              <w:rPr>
                <w:rFonts w:ascii="Arial Narrow" w:hAnsi="Arial Narrow"/>
                <w:iCs/>
                <w:sz w:val="20"/>
                <w:szCs w:val="20"/>
              </w:rPr>
            </w:pPr>
            <w:r>
              <w:rPr>
                <w:rFonts w:ascii="Arial Narrow" w:hAnsi="Arial Narrow"/>
                <w:iCs/>
                <w:sz w:val="20"/>
                <w:szCs w:val="20"/>
              </w:rPr>
              <w:t>28</w:t>
            </w:r>
          </w:p>
        </w:tc>
        <w:tc>
          <w:tcPr>
            <w:tcW w:w="812" w:type="dxa"/>
            <w:vAlign w:val="center"/>
          </w:tcPr>
          <w:p w14:paraId="25AAF2C7" w14:textId="77777777" w:rsidR="00C65626" w:rsidRPr="00431AF1" w:rsidRDefault="00C65626">
            <w:pPr>
              <w:keepLines/>
              <w:jc w:val="center"/>
              <w:rPr>
                <w:rFonts w:ascii="Arial Narrow" w:hAnsi="Arial Narrow"/>
                <w:iCs/>
                <w:sz w:val="20"/>
                <w:szCs w:val="20"/>
              </w:rPr>
            </w:pPr>
            <w:r w:rsidRPr="00431AF1">
              <w:rPr>
                <w:rFonts w:ascii="Arial Narrow" w:hAnsi="Arial Narrow"/>
                <w:iCs/>
                <w:sz w:val="20"/>
                <w:szCs w:val="20"/>
              </w:rPr>
              <w:t>5</w:t>
            </w:r>
          </w:p>
        </w:tc>
        <w:tc>
          <w:tcPr>
            <w:tcW w:w="1831" w:type="dxa"/>
            <w:vAlign w:val="center"/>
          </w:tcPr>
          <w:p w14:paraId="2A3093F6" w14:textId="486F5B5A" w:rsidR="00C65626" w:rsidRPr="00431AF1" w:rsidRDefault="008D7951">
            <w:pPr>
              <w:keepLines/>
              <w:rPr>
                <w:rFonts w:ascii="Arial Narrow" w:hAnsi="Arial Narrow"/>
                <w:iCs/>
                <w:sz w:val="20"/>
                <w:szCs w:val="20"/>
              </w:rPr>
            </w:pPr>
            <w:proofErr w:type="spellStart"/>
            <w:r>
              <w:rPr>
                <w:rFonts w:ascii="Arial Narrow" w:hAnsi="Arial Narrow"/>
                <w:iCs/>
                <w:sz w:val="20"/>
                <w:szCs w:val="20"/>
              </w:rPr>
              <w:t>Forxiga</w:t>
            </w:r>
            <w:proofErr w:type="spellEnd"/>
          </w:p>
        </w:tc>
      </w:tr>
      <w:tr w:rsidR="00C65626" w:rsidRPr="00431AF1" w14:paraId="14CBA463" w14:textId="77777777" w:rsidTr="00EA3A8D">
        <w:tblPrEx>
          <w:tblCellMar>
            <w:top w:w="15" w:type="dxa"/>
            <w:bottom w:w="15" w:type="dxa"/>
          </w:tblCellMar>
          <w:tblLook w:val="04A0" w:firstRow="1" w:lastRow="0" w:firstColumn="1" w:lastColumn="0" w:noHBand="0" w:noVBand="1"/>
        </w:tblPrEx>
        <w:trPr>
          <w:trHeight w:val="20"/>
        </w:trPr>
        <w:tc>
          <w:tcPr>
            <w:tcW w:w="9017" w:type="dxa"/>
            <w:gridSpan w:val="6"/>
            <w:tcBorders>
              <w:top w:val="single" w:sz="4" w:space="0" w:color="auto"/>
              <w:left w:val="single" w:sz="4" w:space="0" w:color="auto"/>
              <w:right w:val="single" w:sz="4" w:space="0" w:color="auto"/>
            </w:tcBorders>
            <w:vAlign w:val="center"/>
          </w:tcPr>
          <w:p w14:paraId="043588BE" w14:textId="77777777" w:rsidR="00C65626" w:rsidRPr="00431AF1" w:rsidRDefault="00C65626">
            <w:pPr>
              <w:rPr>
                <w:rFonts w:ascii="Arial Narrow" w:hAnsi="Arial Narrow"/>
                <w:iCs/>
                <w:sz w:val="20"/>
                <w:szCs w:val="20"/>
              </w:rPr>
            </w:pPr>
          </w:p>
        </w:tc>
      </w:tr>
      <w:tr w:rsidR="00C65626" w:rsidRPr="00431AF1" w14:paraId="141E5633" w14:textId="77777777" w:rsidTr="00EA3A8D">
        <w:tblPrEx>
          <w:tblCellMar>
            <w:top w:w="15" w:type="dxa"/>
            <w:bottom w:w="15" w:type="dxa"/>
          </w:tblCellMar>
          <w:tblLook w:val="04A0" w:firstRow="1" w:lastRow="0" w:firstColumn="1" w:lastColumn="0" w:noHBand="0" w:noVBand="1"/>
        </w:tblPrEx>
        <w:trPr>
          <w:trHeight w:val="20"/>
        </w:trPr>
        <w:tc>
          <w:tcPr>
            <w:tcW w:w="9017" w:type="dxa"/>
            <w:gridSpan w:val="6"/>
            <w:tcBorders>
              <w:top w:val="single" w:sz="4" w:space="0" w:color="auto"/>
              <w:left w:val="single" w:sz="4" w:space="0" w:color="auto"/>
              <w:right w:val="single" w:sz="4" w:space="0" w:color="auto"/>
            </w:tcBorders>
            <w:vAlign w:val="center"/>
          </w:tcPr>
          <w:p w14:paraId="636E28C1" w14:textId="77777777" w:rsidR="00C65626" w:rsidRPr="00431AF1" w:rsidRDefault="00C65626">
            <w:pPr>
              <w:keepLines/>
              <w:rPr>
                <w:rFonts w:ascii="Arial Narrow" w:hAnsi="Arial Narrow"/>
                <w:b/>
                <w:iCs/>
                <w:sz w:val="20"/>
                <w:szCs w:val="20"/>
              </w:rPr>
            </w:pPr>
            <w:r w:rsidRPr="00431AF1">
              <w:rPr>
                <w:rFonts w:ascii="Arial Narrow" w:hAnsi="Arial Narrow"/>
                <w:b/>
                <w:iCs/>
                <w:sz w:val="20"/>
                <w:szCs w:val="20"/>
              </w:rPr>
              <w:t>Restriction Summary 13230 / Treatment of Concept 13230</w:t>
            </w:r>
          </w:p>
        </w:tc>
      </w:tr>
      <w:tr w:rsidR="00EA3A8D" w:rsidRPr="00431AF1" w14:paraId="0291D7C0" w14:textId="77777777" w:rsidTr="00EA3A8D">
        <w:tblPrEx>
          <w:tblCellMar>
            <w:top w:w="15" w:type="dxa"/>
            <w:bottom w:w="15" w:type="dxa"/>
          </w:tblCellMar>
          <w:tblLook w:val="04A0" w:firstRow="1" w:lastRow="0" w:firstColumn="1" w:lastColumn="0" w:noHBand="0" w:noVBand="1"/>
        </w:tblPrEx>
        <w:trPr>
          <w:trHeight w:val="20"/>
        </w:trPr>
        <w:tc>
          <w:tcPr>
            <w:tcW w:w="9014" w:type="dxa"/>
            <w:gridSpan w:val="6"/>
            <w:tcBorders>
              <w:top w:val="single" w:sz="4" w:space="0" w:color="auto"/>
              <w:left w:val="single" w:sz="4" w:space="0" w:color="auto"/>
              <w:bottom w:val="single" w:sz="4" w:space="0" w:color="auto"/>
              <w:right w:val="single" w:sz="4" w:space="0" w:color="auto"/>
            </w:tcBorders>
            <w:vAlign w:val="center"/>
          </w:tcPr>
          <w:p w14:paraId="507A656D" w14:textId="77777777" w:rsidR="00EA3A8D" w:rsidRPr="00431AF1" w:rsidRDefault="00EA3A8D">
            <w:pPr>
              <w:keepLines/>
              <w:rPr>
                <w:rFonts w:ascii="Arial Narrow" w:hAnsi="Arial Narrow"/>
                <w:iCs/>
                <w:sz w:val="20"/>
                <w:szCs w:val="20"/>
              </w:rPr>
            </w:pPr>
            <w:r w:rsidRPr="00431AF1">
              <w:rPr>
                <w:rFonts w:ascii="Arial Narrow" w:hAnsi="Arial Narrow"/>
                <w:b/>
                <w:iCs/>
                <w:sz w:val="20"/>
                <w:szCs w:val="20"/>
              </w:rPr>
              <w:t>Category / Program:</w:t>
            </w:r>
            <w:r w:rsidRPr="00431AF1">
              <w:rPr>
                <w:rFonts w:ascii="Arial Narrow" w:hAnsi="Arial Narrow"/>
                <w:iCs/>
                <w:color w:val="FF0000"/>
                <w:sz w:val="20"/>
                <w:szCs w:val="20"/>
              </w:rPr>
              <w:t xml:space="preserve"> </w:t>
            </w:r>
            <w:r w:rsidRPr="00431AF1">
              <w:rPr>
                <w:rFonts w:ascii="Arial Narrow" w:eastAsia="Calibri" w:hAnsi="Arial Narrow"/>
                <w:iCs/>
                <w:sz w:val="20"/>
                <w:szCs w:val="20"/>
              </w:rPr>
              <w:fldChar w:fldCharType="begin">
                <w:ffData>
                  <w:name w:val="Check1"/>
                  <w:enabled/>
                  <w:calcOnExit w:val="0"/>
                  <w:checkBox>
                    <w:sizeAuto/>
                    <w:default w:val="1"/>
                  </w:checkBox>
                </w:ffData>
              </w:fldChar>
            </w:r>
            <w:bookmarkStart w:id="19" w:name="Check1"/>
            <w:r w:rsidRPr="00431AF1">
              <w:rPr>
                <w:rFonts w:ascii="Arial Narrow" w:eastAsia="Calibri" w:hAnsi="Arial Narrow"/>
                <w:iCs/>
                <w:sz w:val="20"/>
                <w:szCs w:val="20"/>
              </w:rPr>
              <w:instrText xml:space="preserve"> FORMCHECKBOX </w:instrText>
            </w:r>
            <w:r w:rsidRPr="00431AF1">
              <w:rPr>
                <w:rFonts w:ascii="Arial Narrow" w:eastAsia="Calibri" w:hAnsi="Arial Narrow"/>
                <w:iCs/>
                <w:sz w:val="20"/>
                <w:szCs w:val="20"/>
              </w:rPr>
            </w:r>
            <w:r w:rsidRPr="00431AF1">
              <w:rPr>
                <w:rFonts w:ascii="Arial Narrow" w:eastAsia="Calibri" w:hAnsi="Arial Narrow"/>
                <w:iCs/>
                <w:sz w:val="20"/>
                <w:szCs w:val="20"/>
              </w:rPr>
              <w:fldChar w:fldCharType="separate"/>
            </w:r>
            <w:r w:rsidRPr="00431AF1">
              <w:rPr>
                <w:rFonts w:ascii="Arial Narrow" w:eastAsia="Calibri" w:hAnsi="Arial Narrow"/>
                <w:iCs/>
                <w:sz w:val="20"/>
                <w:szCs w:val="20"/>
              </w:rPr>
              <w:fldChar w:fldCharType="end"/>
            </w:r>
            <w:bookmarkEnd w:id="19"/>
            <w:r w:rsidRPr="00431AF1">
              <w:rPr>
                <w:rFonts w:ascii="Arial Narrow" w:eastAsia="Calibri" w:hAnsi="Arial Narrow"/>
                <w:iCs/>
                <w:sz w:val="20"/>
                <w:szCs w:val="20"/>
              </w:rPr>
              <w:t xml:space="preserve"> GENERAL - General Schedule (Code GE) </w:t>
            </w:r>
          </w:p>
        </w:tc>
      </w:tr>
      <w:tr w:rsidR="00EA3A8D" w:rsidRPr="00431AF1" w14:paraId="1819DD46" w14:textId="77777777" w:rsidTr="00EA3A8D">
        <w:tblPrEx>
          <w:tblCellMar>
            <w:top w:w="15" w:type="dxa"/>
            <w:bottom w:w="15" w:type="dxa"/>
          </w:tblCellMar>
          <w:tblLook w:val="04A0" w:firstRow="1" w:lastRow="0" w:firstColumn="1" w:lastColumn="0" w:noHBand="0" w:noVBand="1"/>
        </w:tblPrEx>
        <w:trPr>
          <w:trHeight w:val="20"/>
        </w:trPr>
        <w:tc>
          <w:tcPr>
            <w:tcW w:w="9014" w:type="dxa"/>
            <w:gridSpan w:val="6"/>
            <w:tcBorders>
              <w:top w:val="single" w:sz="4" w:space="0" w:color="auto"/>
              <w:left w:val="single" w:sz="4" w:space="0" w:color="auto"/>
              <w:bottom w:val="single" w:sz="4" w:space="0" w:color="auto"/>
              <w:right w:val="single" w:sz="4" w:space="0" w:color="auto"/>
            </w:tcBorders>
            <w:vAlign w:val="center"/>
          </w:tcPr>
          <w:p w14:paraId="38B8797F" w14:textId="77777777" w:rsidR="00EA3A8D" w:rsidRPr="00431AF1" w:rsidRDefault="00EA3A8D">
            <w:pPr>
              <w:keepLines/>
              <w:rPr>
                <w:rFonts w:ascii="Arial Narrow" w:hAnsi="Arial Narrow"/>
                <w:b/>
                <w:iCs/>
                <w:sz w:val="20"/>
                <w:szCs w:val="20"/>
              </w:rPr>
            </w:pPr>
            <w:r w:rsidRPr="00431AF1">
              <w:rPr>
                <w:rFonts w:ascii="Arial Narrow" w:hAnsi="Arial Narrow"/>
                <w:b/>
                <w:iCs/>
                <w:sz w:val="20"/>
                <w:szCs w:val="20"/>
              </w:rPr>
              <w:t xml:space="preserve">Prescriber type: </w:t>
            </w:r>
            <w:r w:rsidRPr="00431AF1">
              <w:rPr>
                <w:rFonts w:ascii="Arial Narrow" w:hAnsi="Arial Narrow"/>
                <w:iCs/>
                <w:sz w:val="20"/>
                <w:szCs w:val="20"/>
              </w:rPr>
              <w:fldChar w:fldCharType="begin">
                <w:ffData>
                  <w:name w:val=""/>
                  <w:enabled/>
                  <w:calcOnExit w:val="0"/>
                  <w:checkBox>
                    <w:sizeAuto/>
                    <w:default w:val="1"/>
                  </w:checkBox>
                </w:ffData>
              </w:fldChar>
            </w:r>
            <w:r w:rsidRPr="00431AF1">
              <w:rPr>
                <w:rFonts w:ascii="Arial Narrow" w:hAnsi="Arial Narrow"/>
                <w:iCs/>
                <w:sz w:val="20"/>
                <w:szCs w:val="20"/>
              </w:rPr>
              <w:instrText xml:space="preserve"> FORMCHECKBOX </w:instrText>
            </w:r>
            <w:r w:rsidRPr="00431AF1">
              <w:rPr>
                <w:rFonts w:ascii="Arial Narrow" w:hAnsi="Arial Narrow"/>
                <w:iCs/>
                <w:sz w:val="20"/>
                <w:szCs w:val="20"/>
              </w:rPr>
            </w:r>
            <w:r w:rsidRPr="00431AF1">
              <w:rPr>
                <w:rFonts w:ascii="Arial Narrow" w:hAnsi="Arial Narrow"/>
                <w:iCs/>
                <w:sz w:val="20"/>
                <w:szCs w:val="20"/>
              </w:rPr>
              <w:fldChar w:fldCharType="separate"/>
            </w:r>
            <w:r w:rsidRPr="00431AF1">
              <w:rPr>
                <w:rFonts w:ascii="Arial Narrow" w:hAnsi="Arial Narrow"/>
                <w:iCs/>
                <w:sz w:val="20"/>
                <w:szCs w:val="20"/>
              </w:rPr>
              <w:fldChar w:fldCharType="end"/>
            </w:r>
            <w:r w:rsidRPr="00431AF1">
              <w:rPr>
                <w:rFonts w:ascii="Arial Narrow" w:hAnsi="Arial Narrow"/>
                <w:iCs/>
                <w:sz w:val="20"/>
                <w:szCs w:val="20"/>
              </w:rPr>
              <w:t xml:space="preserve">Medical Practitioners </w:t>
            </w:r>
            <w:r w:rsidRPr="00431AF1">
              <w:rPr>
                <w:rFonts w:ascii="Arial Narrow" w:hAnsi="Arial Narrow"/>
                <w:iCs/>
                <w:sz w:val="20"/>
                <w:szCs w:val="20"/>
              </w:rPr>
              <w:fldChar w:fldCharType="begin">
                <w:ffData>
                  <w:name w:val="Check3"/>
                  <w:enabled/>
                  <w:calcOnExit w:val="0"/>
                  <w:checkBox>
                    <w:sizeAuto/>
                    <w:default w:val="1"/>
                  </w:checkBox>
                </w:ffData>
              </w:fldChar>
            </w:r>
            <w:r w:rsidRPr="00431AF1">
              <w:rPr>
                <w:rFonts w:ascii="Arial Narrow" w:hAnsi="Arial Narrow"/>
                <w:iCs/>
                <w:sz w:val="20"/>
                <w:szCs w:val="20"/>
              </w:rPr>
              <w:instrText xml:space="preserve"> FORMCHECKBOX </w:instrText>
            </w:r>
            <w:r w:rsidRPr="00431AF1">
              <w:rPr>
                <w:rFonts w:ascii="Arial Narrow" w:hAnsi="Arial Narrow"/>
                <w:iCs/>
                <w:sz w:val="20"/>
                <w:szCs w:val="20"/>
              </w:rPr>
            </w:r>
            <w:r w:rsidRPr="00431AF1">
              <w:rPr>
                <w:rFonts w:ascii="Arial Narrow" w:hAnsi="Arial Narrow"/>
                <w:iCs/>
                <w:sz w:val="20"/>
                <w:szCs w:val="20"/>
              </w:rPr>
              <w:fldChar w:fldCharType="separate"/>
            </w:r>
            <w:r w:rsidRPr="00431AF1">
              <w:rPr>
                <w:rFonts w:ascii="Arial Narrow" w:hAnsi="Arial Narrow"/>
                <w:iCs/>
                <w:sz w:val="20"/>
                <w:szCs w:val="20"/>
              </w:rPr>
              <w:fldChar w:fldCharType="end"/>
            </w:r>
            <w:r w:rsidRPr="00431AF1">
              <w:rPr>
                <w:rFonts w:ascii="Arial Narrow" w:hAnsi="Arial Narrow"/>
                <w:iCs/>
                <w:sz w:val="20"/>
                <w:szCs w:val="20"/>
              </w:rPr>
              <w:t xml:space="preserve">Nurse practitioners </w:t>
            </w:r>
          </w:p>
        </w:tc>
      </w:tr>
      <w:tr w:rsidR="00EA3A8D" w:rsidRPr="00431AF1" w14:paraId="7BBA0F83" w14:textId="77777777" w:rsidTr="00EA3A8D">
        <w:tblPrEx>
          <w:tblCellMar>
            <w:top w:w="15" w:type="dxa"/>
            <w:bottom w:w="15" w:type="dxa"/>
          </w:tblCellMar>
          <w:tblLook w:val="04A0" w:firstRow="1" w:lastRow="0" w:firstColumn="1" w:lastColumn="0" w:noHBand="0" w:noVBand="1"/>
        </w:tblPrEx>
        <w:trPr>
          <w:trHeight w:val="20"/>
        </w:trPr>
        <w:tc>
          <w:tcPr>
            <w:tcW w:w="9014" w:type="dxa"/>
            <w:gridSpan w:val="6"/>
            <w:tcBorders>
              <w:top w:val="single" w:sz="4" w:space="0" w:color="auto"/>
              <w:left w:val="single" w:sz="4" w:space="0" w:color="auto"/>
              <w:bottom w:val="single" w:sz="4" w:space="0" w:color="auto"/>
              <w:right w:val="single" w:sz="4" w:space="0" w:color="auto"/>
            </w:tcBorders>
            <w:vAlign w:val="center"/>
          </w:tcPr>
          <w:p w14:paraId="4B75A7FA" w14:textId="77777777" w:rsidR="00EA3A8D" w:rsidRPr="00431AF1" w:rsidRDefault="00EA3A8D">
            <w:pPr>
              <w:keepLines/>
              <w:rPr>
                <w:rFonts w:ascii="Arial Narrow" w:eastAsia="Calibri" w:hAnsi="Arial Narrow"/>
                <w:iCs/>
                <w:color w:val="FF0000"/>
                <w:sz w:val="20"/>
                <w:szCs w:val="20"/>
              </w:rPr>
            </w:pPr>
            <w:r w:rsidRPr="00431AF1">
              <w:rPr>
                <w:rFonts w:ascii="Arial Narrow" w:hAnsi="Arial Narrow"/>
                <w:b/>
                <w:iCs/>
                <w:sz w:val="20"/>
                <w:szCs w:val="20"/>
              </w:rPr>
              <w:t xml:space="preserve">Restriction type: </w:t>
            </w:r>
            <w:r w:rsidRPr="00431AF1">
              <w:rPr>
                <w:rFonts w:ascii="Arial Narrow" w:eastAsia="Calibri" w:hAnsi="Arial Narrow"/>
                <w:iCs/>
                <w:sz w:val="20"/>
                <w:szCs w:val="20"/>
              </w:rPr>
              <w:fldChar w:fldCharType="begin">
                <w:ffData>
                  <w:name w:val=""/>
                  <w:enabled/>
                  <w:calcOnExit w:val="0"/>
                  <w:checkBox>
                    <w:sizeAuto/>
                    <w:default w:val="1"/>
                  </w:checkBox>
                </w:ffData>
              </w:fldChar>
            </w:r>
            <w:r w:rsidRPr="00431AF1">
              <w:rPr>
                <w:rFonts w:ascii="Arial Narrow" w:eastAsia="Calibri" w:hAnsi="Arial Narrow"/>
                <w:iCs/>
                <w:sz w:val="20"/>
                <w:szCs w:val="20"/>
              </w:rPr>
              <w:instrText xml:space="preserve"> FORMCHECKBOX </w:instrText>
            </w:r>
            <w:r w:rsidRPr="00431AF1">
              <w:rPr>
                <w:rFonts w:ascii="Arial Narrow" w:eastAsia="Calibri" w:hAnsi="Arial Narrow"/>
                <w:iCs/>
                <w:sz w:val="20"/>
                <w:szCs w:val="20"/>
              </w:rPr>
            </w:r>
            <w:r w:rsidRPr="00431AF1">
              <w:rPr>
                <w:rFonts w:ascii="Arial Narrow" w:eastAsia="Calibri" w:hAnsi="Arial Narrow"/>
                <w:iCs/>
                <w:sz w:val="20"/>
                <w:szCs w:val="20"/>
              </w:rPr>
              <w:fldChar w:fldCharType="separate"/>
            </w:r>
            <w:r w:rsidRPr="00431AF1">
              <w:rPr>
                <w:rFonts w:ascii="Arial Narrow" w:eastAsia="Calibri" w:hAnsi="Arial Narrow"/>
                <w:iCs/>
                <w:sz w:val="20"/>
                <w:szCs w:val="20"/>
              </w:rPr>
              <w:fldChar w:fldCharType="end"/>
            </w:r>
            <w:r w:rsidRPr="00431AF1">
              <w:rPr>
                <w:rFonts w:ascii="Arial Narrow" w:eastAsia="Calibri" w:hAnsi="Arial Narrow"/>
                <w:iCs/>
                <w:sz w:val="20"/>
                <w:szCs w:val="20"/>
              </w:rPr>
              <w:t xml:space="preserve">Authority Required (Streamlined) [new/existing code] </w:t>
            </w:r>
          </w:p>
        </w:tc>
      </w:tr>
      <w:tr w:rsidR="00EA3A8D" w:rsidRPr="00431AF1" w14:paraId="15149C90" w14:textId="77777777" w:rsidTr="00EA3A8D">
        <w:tblPrEx>
          <w:tblCellMar>
            <w:top w:w="15" w:type="dxa"/>
            <w:bottom w:w="15" w:type="dxa"/>
          </w:tblCellMar>
          <w:tblLook w:val="04A0" w:firstRow="1" w:lastRow="0" w:firstColumn="1" w:lastColumn="0" w:noHBand="0" w:noVBand="1"/>
        </w:tblPrEx>
        <w:trPr>
          <w:trHeight w:val="20"/>
        </w:trPr>
        <w:tc>
          <w:tcPr>
            <w:tcW w:w="9014" w:type="dxa"/>
            <w:gridSpan w:val="6"/>
            <w:vAlign w:val="center"/>
          </w:tcPr>
          <w:p w14:paraId="4AF43150" w14:textId="77777777" w:rsidR="00EA3A8D" w:rsidRPr="00431AF1" w:rsidRDefault="00EA3A8D">
            <w:pPr>
              <w:rPr>
                <w:rFonts w:ascii="Arial Narrow" w:hAnsi="Arial Narrow"/>
                <w:iCs/>
                <w:color w:val="333333"/>
                <w:sz w:val="20"/>
                <w:szCs w:val="20"/>
              </w:rPr>
            </w:pPr>
            <w:r w:rsidRPr="00431AF1">
              <w:rPr>
                <w:rFonts w:ascii="Arial Narrow" w:hAnsi="Arial Narrow"/>
                <w:b/>
                <w:bCs/>
                <w:iCs/>
                <w:color w:val="333333"/>
                <w:sz w:val="20"/>
                <w:szCs w:val="20"/>
              </w:rPr>
              <w:t xml:space="preserve">Administrative Advice: </w:t>
            </w:r>
            <w:r w:rsidRPr="00431AF1">
              <w:rPr>
                <w:rFonts w:ascii="Arial Narrow" w:hAnsi="Arial Narrow"/>
                <w:iCs/>
                <w:color w:val="333333"/>
                <w:sz w:val="20"/>
                <w:szCs w:val="20"/>
              </w:rPr>
              <w:t>No increase in the maximum quantity or number of units may be authorised.</w:t>
            </w:r>
          </w:p>
        </w:tc>
      </w:tr>
      <w:tr w:rsidR="00EA3A8D" w:rsidRPr="00431AF1" w14:paraId="32ED9D21" w14:textId="77777777" w:rsidTr="00EA3A8D">
        <w:tblPrEx>
          <w:tblCellMar>
            <w:top w:w="15" w:type="dxa"/>
            <w:bottom w:w="15" w:type="dxa"/>
          </w:tblCellMar>
          <w:tblLook w:val="04A0" w:firstRow="1" w:lastRow="0" w:firstColumn="1" w:lastColumn="0" w:noHBand="0" w:noVBand="1"/>
        </w:tblPrEx>
        <w:trPr>
          <w:trHeight w:val="20"/>
        </w:trPr>
        <w:tc>
          <w:tcPr>
            <w:tcW w:w="9014" w:type="dxa"/>
            <w:gridSpan w:val="6"/>
            <w:vAlign w:val="center"/>
          </w:tcPr>
          <w:p w14:paraId="07CF333F" w14:textId="77777777" w:rsidR="00EA3A8D" w:rsidRPr="00431AF1" w:rsidRDefault="00EA3A8D">
            <w:pPr>
              <w:rPr>
                <w:rFonts w:ascii="Arial Narrow" w:hAnsi="Arial Narrow"/>
                <w:iCs/>
                <w:color w:val="333333"/>
                <w:sz w:val="20"/>
                <w:szCs w:val="20"/>
              </w:rPr>
            </w:pPr>
            <w:r w:rsidRPr="00431AF1">
              <w:rPr>
                <w:rFonts w:ascii="Arial Narrow" w:hAnsi="Arial Narrow"/>
                <w:b/>
                <w:bCs/>
                <w:iCs/>
                <w:color w:val="333333"/>
                <w:sz w:val="20"/>
                <w:szCs w:val="20"/>
              </w:rPr>
              <w:t xml:space="preserve">Administrative Advice: </w:t>
            </w:r>
            <w:r w:rsidRPr="00431AF1">
              <w:rPr>
                <w:rFonts w:ascii="Arial Narrow" w:hAnsi="Arial Narrow"/>
                <w:iCs/>
                <w:color w:val="333333"/>
                <w:sz w:val="20"/>
                <w:szCs w:val="20"/>
              </w:rPr>
              <w:t>No increase in the maximum number of repeats may be authorised.</w:t>
            </w:r>
          </w:p>
        </w:tc>
      </w:tr>
      <w:tr w:rsidR="00EA3A8D" w:rsidRPr="00431AF1" w14:paraId="29B5B5E5"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tcPr>
          <w:p w14:paraId="1D142AAB" w14:textId="77777777" w:rsidR="00EA3A8D" w:rsidRPr="00431AF1" w:rsidRDefault="00EA3A8D">
            <w:pPr>
              <w:keepLines/>
              <w:rPr>
                <w:rFonts w:ascii="Arial Narrow" w:hAnsi="Arial Narrow"/>
                <w:iCs/>
                <w:sz w:val="20"/>
                <w:szCs w:val="20"/>
              </w:rPr>
            </w:pPr>
            <w:proofErr w:type="spellStart"/>
            <w:r w:rsidRPr="00431AF1">
              <w:rPr>
                <w:rFonts w:ascii="Arial Narrow" w:hAnsi="Arial Narrow"/>
                <w:b/>
                <w:bCs/>
                <w:iCs/>
                <w:sz w:val="20"/>
                <w:szCs w:val="20"/>
              </w:rPr>
              <w:t>Episodicity</w:t>
            </w:r>
            <w:proofErr w:type="spellEnd"/>
            <w:r w:rsidRPr="00431AF1">
              <w:rPr>
                <w:rFonts w:ascii="Arial Narrow" w:hAnsi="Arial Narrow"/>
                <w:b/>
                <w:bCs/>
                <w:iCs/>
                <w:sz w:val="20"/>
                <w:szCs w:val="20"/>
              </w:rPr>
              <w:t xml:space="preserve">: </w:t>
            </w:r>
            <w:r w:rsidRPr="00431AF1">
              <w:rPr>
                <w:rFonts w:ascii="Arial Narrow" w:hAnsi="Arial Narrow"/>
                <w:iCs/>
                <w:sz w:val="20"/>
                <w:szCs w:val="20"/>
              </w:rPr>
              <w:t>Chronic</w:t>
            </w:r>
          </w:p>
        </w:tc>
      </w:tr>
      <w:tr w:rsidR="00EA3A8D" w:rsidRPr="00431AF1" w14:paraId="0A2EB6FC" w14:textId="77777777" w:rsidTr="00EA3A8D">
        <w:tblPrEx>
          <w:tblCellMar>
            <w:top w:w="15" w:type="dxa"/>
            <w:bottom w:w="15" w:type="dxa"/>
          </w:tblCellMar>
          <w:tblLook w:val="04A0" w:firstRow="1" w:lastRow="0" w:firstColumn="1" w:lastColumn="0" w:noHBand="0" w:noVBand="1"/>
        </w:tblPrEx>
        <w:trPr>
          <w:cantSplit/>
          <w:trHeight w:val="35"/>
        </w:trPr>
        <w:tc>
          <w:tcPr>
            <w:tcW w:w="9014" w:type="dxa"/>
            <w:gridSpan w:val="6"/>
            <w:vAlign w:val="center"/>
          </w:tcPr>
          <w:p w14:paraId="678C3DE0" w14:textId="77777777" w:rsidR="00EA3A8D" w:rsidRPr="00431AF1" w:rsidRDefault="00EA3A8D">
            <w:pPr>
              <w:keepLines/>
              <w:rPr>
                <w:rFonts w:ascii="Arial Narrow" w:hAnsi="Arial Narrow"/>
                <w:b/>
                <w:bCs/>
                <w:iCs/>
                <w:sz w:val="20"/>
                <w:szCs w:val="20"/>
              </w:rPr>
            </w:pPr>
            <w:r w:rsidRPr="00431AF1">
              <w:rPr>
                <w:rFonts w:ascii="Arial Narrow" w:hAnsi="Arial Narrow"/>
                <w:b/>
                <w:bCs/>
                <w:iCs/>
                <w:sz w:val="20"/>
                <w:szCs w:val="20"/>
              </w:rPr>
              <w:t xml:space="preserve">Severity: </w:t>
            </w:r>
            <w:r w:rsidRPr="00431AF1">
              <w:rPr>
                <w:rFonts w:ascii="Arial Narrow" w:hAnsi="Arial Narrow"/>
                <w:bCs/>
                <w:iCs/>
                <w:sz w:val="20"/>
                <w:szCs w:val="20"/>
              </w:rPr>
              <w:t>n/a</w:t>
            </w:r>
          </w:p>
        </w:tc>
      </w:tr>
      <w:tr w:rsidR="00EA3A8D" w:rsidRPr="00431AF1" w14:paraId="248776C3"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tcPr>
          <w:p w14:paraId="3F7C7453" w14:textId="77777777" w:rsidR="00EA3A8D" w:rsidRPr="00431AF1" w:rsidRDefault="00EA3A8D">
            <w:pPr>
              <w:keepLines/>
              <w:rPr>
                <w:rFonts w:ascii="Arial Narrow" w:hAnsi="Arial Narrow"/>
                <w:b/>
                <w:bCs/>
                <w:iCs/>
                <w:color w:val="333333"/>
                <w:sz w:val="20"/>
                <w:szCs w:val="20"/>
              </w:rPr>
            </w:pPr>
            <w:r w:rsidRPr="00431AF1">
              <w:rPr>
                <w:rFonts w:ascii="Arial Narrow" w:hAnsi="Arial Narrow"/>
                <w:b/>
                <w:bCs/>
                <w:iCs/>
                <w:color w:val="333333"/>
                <w:sz w:val="20"/>
                <w:szCs w:val="20"/>
              </w:rPr>
              <w:t xml:space="preserve">Condition: </w:t>
            </w:r>
            <w:r w:rsidRPr="00431AF1">
              <w:rPr>
                <w:rFonts w:ascii="Arial Narrow" w:hAnsi="Arial Narrow"/>
                <w:bCs/>
                <w:iCs/>
                <w:color w:val="333333"/>
                <w:sz w:val="20"/>
                <w:szCs w:val="20"/>
              </w:rPr>
              <w:t>Kidney disease</w:t>
            </w:r>
          </w:p>
        </w:tc>
      </w:tr>
      <w:tr w:rsidR="00EA3A8D" w:rsidRPr="00431AF1" w14:paraId="6CFB796F"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hideMark/>
          </w:tcPr>
          <w:p w14:paraId="6D0ED482" w14:textId="77777777" w:rsidR="00EA3A8D" w:rsidRPr="00431AF1" w:rsidRDefault="00EA3A8D">
            <w:pPr>
              <w:keepLines/>
              <w:rPr>
                <w:rFonts w:ascii="Arial Narrow" w:hAnsi="Arial Narrow"/>
                <w:iCs/>
                <w:color w:val="333333"/>
                <w:sz w:val="20"/>
                <w:szCs w:val="20"/>
              </w:rPr>
            </w:pPr>
            <w:r w:rsidRPr="00431AF1">
              <w:rPr>
                <w:rFonts w:ascii="Arial Narrow" w:hAnsi="Arial Narrow"/>
                <w:b/>
                <w:bCs/>
                <w:iCs/>
                <w:color w:val="333333"/>
                <w:sz w:val="20"/>
                <w:szCs w:val="20"/>
              </w:rPr>
              <w:t>Indication:</w:t>
            </w:r>
            <w:r w:rsidRPr="00431AF1">
              <w:rPr>
                <w:rFonts w:ascii="Arial Narrow" w:hAnsi="Arial Narrow"/>
                <w:iCs/>
                <w:color w:val="333333"/>
                <w:sz w:val="20"/>
                <w:szCs w:val="20"/>
              </w:rPr>
              <w:t xml:space="preserve"> Chronic kidney disease</w:t>
            </w:r>
          </w:p>
        </w:tc>
      </w:tr>
      <w:tr w:rsidR="00EA3A8D" w:rsidRPr="00431AF1" w14:paraId="08BEE24B"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hideMark/>
          </w:tcPr>
          <w:p w14:paraId="577398EF" w14:textId="77777777" w:rsidR="00EA3A8D" w:rsidRPr="00431AF1" w:rsidRDefault="00EA3A8D">
            <w:pPr>
              <w:rPr>
                <w:rFonts w:ascii="Arial Narrow" w:hAnsi="Arial Narrow"/>
                <w:iCs/>
                <w:sz w:val="20"/>
                <w:szCs w:val="20"/>
              </w:rPr>
            </w:pPr>
            <w:r w:rsidRPr="00431AF1">
              <w:rPr>
                <w:rFonts w:ascii="Arial Narrow" w:hAnsi="Arial Narrow"/>
                <w:b/>
                <w:bCs/>
                <w:iCs/>
                <w:color w:val="333333"/>
                <w:sz w:val="20"/>
                <w:szCs w:val="20"/>
              </w:rPr>
              <w:t xml:space="preserve">Treatment </w:t>
            </w:r>
            <w:r w:rsidRPr="00431AF1">
              <w:rPr>
                <w:rFonts w:ascii="Arial Narrow" w:hAnsi="Arial Narrow"/>
                <w:b/>
                <w:bCs/>
                <w:iCs/>
                <w:sz w:val="20"/>
                <w:szCs w:val="20"/>
              </w:rPr>
              <w:t>Phase:</w:t>
            </w:r>
            <w:r w:rsidRPr="00431AF1">
              <w:rPr>
                <w:rFonts w:ascii="Arial Narrow" w:hAnsi="Arial Narrow"/>
                <w:iCs/>
                <w:sz w:val="20"/>
                <w:szCs w:val="20"/>
              </w:rPr>
              <w:t xml:space="preserve"> n/a</w:t>
            </w:r>
          </w:p>
        </w:tc>
      </w:tr>
      <w:tr w:rsidR="00EA3A8D" w:rsidRPr="00431AF1" w14:paraId="741555DA"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hideMark/>
          </w:tcPr>
          <w:p w14:paraId="0A798CA5" w14:textId="04C4507F" w:rsidR="00EA3A8D" w:rsidRPr="00041C51" w:rsidRDefault="00EA3A8D">
            <w:pPr>
              <w:rPr>
                <w:rFonts w:ascii="Arial Narrow" w:hAnsi="Arial Narrow"/>
                <w:bCs/>
                <w:iCs/>
                <w:color w:val="FF0000"/>
                <w:sz w:val="20"/>
                <w:szCs w:val="20"/>
              </w:rPr>
            </w:pPr>
            <w:r w:rsidRPr="00431AF1">
              <w:rPr>
                <w:rFonts w:ascii="Arial Narrow" w:hAnsi="Arial Narrow"/>
                <w:b/>
                <w:bCs/>
                <w:iCs/>
                <w:color w:val="333333"/>
                <w:sz w:val="20"/>
                <w:szCs w:val="20"/>
              </w:rPr>
              <w:t xml:space="preserve">Clinical criteria: </w:t>
            </w:r>
          </w:p>
        </w:tc>
      </w:tr>
      <w:tr w:rsidR="00EA3A8D" w:rsidRPr="00431AF1" w14:paraId="66A0446C"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tcPr>
          <w:p w14:paraId="113CDABD" w14:textId="77777777" w:rsidR="00EA3A8D" w:rsidRPr="00431AF1" w:rsidRDefault="00EA3A8D">
            <w:pPr>
              <w:rPr>
                <w:rFonts w:ascii="Arial Narrow" w:hAnsi="Arial Narrow"/>
                <w:iCs/>
                <w:sz w:val="20"/>
                <w:szCs w:val="20"/>
              </w:rPr>
            </w:pPr>
            <w:r w:rsidRPr="00431AF1">
              <w:rPr>
                <w:rFonts w:ascii="Arial Narrow" w:hAnsi="Arial Narrow"/>
                <w:iCs/>
                <w:sz w:val="20"/>
                <w:szCs w:val="20"/>
              </w:rPr>
              <w:t>Patient must have a diagnosis of chronic kidney disease, defined as abnormalities of at least one of: (</w:t>
            </w:r>
            <w:proofErr w:type="spellStart"/>
            <w:r w:rsidRPr="00431AF1">
              <w:rPr>
                <w:rFonts w:ascii="Arial Narrow" w:hAnsi="Arial Narrow"/>
                <w:iCs/>
                <w:sz w:val="20"/>
                <w:szCs w:val="20"/>
              </w:rPr>
              <w:t>i</w:t>
            </w:r>
            <w:proofErr w:type="spellEnd"/>
            <w:r w:rsidRPr="00431AF1">
              <w:rPr>
                <w:rFonts w:ascii="Arial Narrow" w:hAnsi="Arial Narrow"/>
                <w:iCs/>
                <w:sz w:val="20"/>
                <w:szCs w:val="20"/>
              </w:rPr>
              <w:t>) kidney structure, (ii) kidney function, present for at least 3 months, prior to initiating treatment with this drug</w:t>
            </w:r>
          </w:p>
        </w:tc>
      </w:tr>
      <w:tr w:rsidR="00EA3A8D" w:rsidRPr="00431AF1" w14:paraId="08E60D8B"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tcPr>
          <w:p w14:paraId="694B4D6C" w14:textId="77777777" w:rsidR="00EA3A8D" w:rsidRPr="00431AF1" w:rsidRDefault="00EA3A8D">
            <w:pPr>
              <w:rPr>
                <w:rFonts w:ascii="Arial Narrow" w:hAnsi="Arial Narrow"/>
                <w:iCs/>
                <w:sz w:val="20"/>
                <w:szCs w:val="20"/>
              </w:rPr>
            </w:pPr>
            <w:r w:rsidRPr="00431AF1">
              <w:rPr>
                <w:rFonts w:ascii="Arial Narrow" w:hAnsi="Arial Narrow"/>
                <w:b/>
                <w:bCs/>
                <w:iCs/>
                <w:color w:val="333333"/>
                <w:sz w:val="20"/>
                <w:szCs w:val="20"/>
              </w:rPr>
              <w:t>AND</w:t>
            </w:r>
          </w:p>
        </w:tc>
      </w:tr>
      <w:tr w:rsidR="00EA3A8D" w:rsidRPr="00431AF1" w14:paraId="468F0D25"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tcPr>
          <w:p w14:paraId="75367E0F" w14:textId="77777777" w:rsidR="00EA3A8D" w:rsidRPr="00431AF1" w:rsidRDefault="00EA3A8D">
            <w:pPr>
              <w:rPr>
                <w:rFonts w:ascii="Arial Narrow" w:hAnsi="Arial Narrow"/>
                <w:iCs/>
                <w:sz w:val="20"/>
                <w:szCs w:val="20"/>
              </w:rPr>
            </w:pPr>
            <w:r w:rsidRPr="00431AF1">
              <w:rPr>
                <w:rFonts w:ascii="Arial Narrow" w:hAnsi="Arial Narrow"/>
                <w:b/>
                <w:bCs/>
                <w:iCs/>
                <w:color w:val="333333"/>
                <w:sz w:val="20"/>
                <w:szCs w:val="20"/>
              </w:rPr>
              <w:t>Clinical criteria:</w:t>
            </w:r>
          </w:p>
        </w:tc>
      </w:tr>
      <w:tr w:rsidR="00EA3A8D" w:rsidRPr="00431AF1" w14:paraId="281D8E2E"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hideMark/>
          </w:tcPr>
          <w:p w14:paraId="616984EE" w14:textId="77777777" w:rsidR="00EA3A8D" w:rsidRPr="00431AF1" w:rsidRDefault="00EA3A8D">
            <w:pPr>
              <w:rPr>
                <w:rFonts w:ascii="Arial Narrow" w:hAnsi="Arial Narrow"/>
                <w:iCs/>
                <w:sz w:val="20"/>
                <w:szCs w:val="20"/>
              </w:rPr>
            </w:pPr>
            <w:r w:rsidRPr="00431AF1">
              <w:rPr>
                <w:rFonts w:ascii="Arial Narrow" w:hAnsi="Arial Narrow"/>
                <w:iCs/>
                <w:sz w:val="20"/>
                <w:szCs w:val="20"/>
              </w:rPr>
              <w:t>Patient must have an estimated glomerular filtration rate of between 20 to 90 mL/min/1.73 m2 inclusive prior to initiating treatment with this drug</w:t>
            </w:r>
          </w:p>
        </w:tc>
      </w:tr>
      <w:tr w:rsidR="00EA3A8D" w:rsidRPr="00431AF1" w14:paraId="2B3F3850"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hideMark/>
          </w:tcPr>
          <w:p w14:paraId="218CA268" w14:textId="77777777" w:rsidR="00EA3A8D" w:rsidRPr="00431AF1" w:rsidRDefault="00EA3A8D">
            <w:pPr>
              <w:rPr>
                <w:rFonts w:ascii="Arial Narrow" w:hAnsi="Arial Narrow"/>
                <w:iCs/>
                <w:color w:val="333333"/>
                <w:sz w:val="20"/>
                <w:szCs w:val="20"/>
              </w:rPr>
            </w:pPr>
            <w:r w:rsidRPr="00431AF1">
              <w:rPr>
                <w:rFonts w:ascii="Arial Narrow" w:hAnsi="Arial Narrow"/>
                <w:b/>
                <w:bCs/>
                <w:iCs/>
                <w:color w:val="333333"/>
                <w:sz w:val="20"/>
                <w:szCs w:val="20"/>
              </w:rPr>
              <w:t>AND</w:t>
            </w:r>
          </w:p>
        </w:tc>
      </w:tr>
      <w:tr w:rsidR="00EA3A8D" w:rsidRPr="00431AF1" w14:paraId="481E84DE"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hideMark/>
          </w:tcPr>
          <w:p w14:paraId="0AF730F9" w14:textId="77777777" w:rsidR="00EA3A8D" w:rsidRPr="00431AF1" w:rsidRDefault="00EA3A8D">
            <w:pPr>
              <w:rPr>
                <w:rFonts w:ascii="Arial Narrow" w:hAnsi="Arial Narrow"/>
                <w:iCs/>
                <w:color w:val="333333"/>
                <w:sz w:val="20"/>
                <w:szCs w:val="20"/>
              </w:rPr>
            </w:pPr>
            <w:r w:rsidRPr="00431AF1">
              <w:rPr>
                <w:rFonts w:ascii="Arial Narrow" w:hAnsi="Arial Narrow"/>
                <w:b/>
                <w:bCs/>
                <w:iCs/>
                <w:color w:val="333333"/>
                <w:sz w:val="20"/>
                <w:szCs w:val="20"/>
              </w:rPr>
              <w:t>Clinical criteria:</w:t>
            </w:r>
          </w:p>
        </w:tc>
      </w:tr>
      <w:tr w:rsidR="00EA3A8D" w:rsidRPr="00431AF1" w14:paraId="34B40518"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hideMark/>
          </w:tcPr>
          <w:p w14:paraId="75CF81D0" w14:textId="77777777" w:rsidR="00EA3A8D" w:rsidRPr="00431AF1" w:rsidRDefault="00EA3A8D">
            <w:pPr>
              <w:rPr>
                <w:rFonts w:ascii="Arial Narrow" w:hAnsi="Arial Narrow"/>
                <w:iCs/>
                <w:sz w:val="20"/>
                <w:szCs w:val="20"/>
              </w:rPr>
            </w:pPr>
            <w:r w:rsidRPr="00431AF1">
              <w:rPr>
                <w:rFonts w:ascii="Arial Narrow" w:hAnsi="Arial Narrow"/>
                <w:iCs/>
                <w:sz w:val="20"/>
                <w:szCs w:val="20"/>
              </w:rPr>
              <w:t>Patient must have a urinary albumin to creatinine ratio of at least 200 mg/g (22.6mg/mmol) if the patient has an estimated glomerular filtration rate of between 45 to 90 mL/min/1.73 m</w:t>
            </w:r>
            <w:r w:rsidRPr="00431AF1">
              <w:rPr>
                <w:rFonts w:ascii="Arial Narrow" w:hAnsi="Arial Narrow"/>
                <w:iCs/>
                <w:sz w:val="20"/>
                <w:szCs w:val="20"/>
                <w:vertAlign w:val="superscript"/>
              </w:rPr>
              <w:t xml:space="preserve">2 </w:t>
            </w:r>
            <w:r w:rsidRPr="00431AF1">
              <w:rPr>
                <w:rFonts w:ascii="Arial Narrow" w:hAnsi="Arial Narrow"/>
                <w:iCs/>
                <w:sz w:val="20"/>
                <w:szCs w:val="20"/>
              </w:rPr>
              <w:t>inclusive prior to initiating treatment with this drug</w:t>
            </w:r>
          </w:p>
        </w:tc>
      </w:tr>
      <w:tr w:rsidR="00EA3A8D" w:rsidRPr="00431AF1" w14:paraId="2908016D"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hideMark/>
          </w:tcPr>
          <w:p w14:paraId="646F9DDD" w14:textId="77777777" w:rsidR="00EA3A8D" w:rsidRPr="00431AF1" w:rsidRDefault="00EA3A8D">
            <w:pPr>
              <w:rPr>
                <w:rFonts w:ascii="Arial Narrow" w:hAnsi="Arial Narrow"/>
                <w:iCs/>
                <w:color w:val="333333"/>
                <w:sz w:val="20"/>
                <w:szCs w:val="20"/>
              </w:rPr>
            </w:pPr>
            <w:r w:rsidRPr="00431AF1">
              <w:rPr>
                <w:rFonts w:ascii="Arial Narrow" w:hAnsi="Arial Narrow"/>
                <w:b/>
                <w:bCs/>
                <w:iCs/>
                <w:color w:val="333333"/>
                <w:sz w:val="20"/>
                <w:szCs w:val="20"/>
              </w:rPr>
              <w:t>AND</w:t>
            </w:r>
          </w:p>
        </w:tc>
      </w:tr>
      <w:tr w:rsidR="00EA3A8D" w:rsidRPr="00431AF1" w14:paraId="5EC78209"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hideMark/>
          </w:tcPr>
          <w:p w14:paraId="25EBB690" w14:textId="77777777" w:rsidR="00EA3A8D" w:rsidRPr="00431AF1" w:rsidRDefault="00EA3A8D">
            <w:pPr>
              <w:rPr>
                <w:rFonts w:ascii="Arial Narrow" w:hAnsi="Arial Narrow"/>
                <w:iCs/>
                <w:color w:val="333333"/>
                <w:sz w:val="20"/>
                <w:szCs w:val="20"/>
              </w:rPr>
            </w:pPr>
            <w:r w:rsidRPr="00431AF1">
              <w:rPr>
                <w:rFonts w:ascii="Arial Narrow" w:hAnsi="Arial Narrow"/>
                <w:b/>
                <w:bCs/>
                <w:iCs/>
                <w:color w:val="333333"/>
                <w:sz w:val="20"/>
                <w:szCs w:val="20"/>
              </w:rPr>
              <w:t>Clinical criteria:</w:t>
            </w:r>
          </w:p>
        </w:tc>
      </w:tr>
      <w:tr w:rsidR="00EA3A8D" w:rsidRPr="00431AF1" w14:paraId="307824FD"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hideMark/>
          </w:tcPr>
          <w:p w14:paraId="3FF18B41" w14:textId="77777777" w:rsidR="00EA3A8D" w:rsidRPr="00431AF1" w:rsidRDefault="00EA3A8D">
            <w:pPr>
              <w:rPr>
                <w:rFonts w:ascii="Arial Narrow" w:hAnsi="Arial Narrow"/>
                <w:iCs/>
                <w:sz w:val="20"/>
                <w:szCs w:val="20"/>
              </w:rPr>
            </w:pPr>
            <w:r w:rsidRPr="00431AF1">
              <w:rPr>
                <w:rFonts w:ascii="Arial Narrow" w:hAnsi="Arial Narrow"/>
                <w:iCs/>
                <w:sz w:val="20"/>
                <w:szCs w:val="20"/>
              </w:rPr>
              <w:t>Patient must discontinue treatment with this drug prior to initiating renal replacement therapy, defined as dialysis or kidney transplant</w:t>
            </w:r>
          </w:p>
        </w:tc>
      </w:tr>
      <w:tr w:rsidR="00EA3A8D" w:rsidRPr="00431AF1" w14:paraId="0B811335"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hideMark/>
          </w:tcPr>
          <w:p w14:paraId="229A10BE" w14:textId="77777777" w:rsidR="00EA3A8D" w:rsidRPr="00431AF1" w:rsidRDefault="00EA3A8D">
            <w:pPr>
              <w:keepNext/>
              <w:rPr>
                <w:rFonts w:ascii="Arial Narrow" w:hAnsi="Arial Narrow"/>
                <w:iCs/>
                <w:color w:val="333333"/>
                <w:sz w:val="20"/>
                <w:szCs w:val="20"/>
              </w:rPr>
            </w:pPr>
            <w:r w:rsidRPr="00431AF1">
              <w:rPr>
                <w:rFonts w:ascii="Arial Narrow" w:hAnsi="Arial Narrow"/>
                <w:b/>
                <w:bCs/>
                <w:iCs/>
                <w:color w:val="333333"/>
                <w:sz w:val="20"/>
                <w:szCs w:val="20"/>
              </w:rPr>
              <w:t>AND</w:t>
            </w:r>
          </w:p>
        </w:tc>
      </w:tr>
      <w:tr w:rsidR="00EA3A8D" w:rsidRPr="00431AF1" w14:paraId="59C9178A"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tcPr>
          <w:p w14:paraId="015CA240" w14:textId="77777777" w:rsidR="00EA3A8D" w:rsidRPr="00431AF1" w:rsidRDefault="00EA3A8D">
            <w:pPr>
              <w:keepNext/>
              <w:rPr>
                <w:rFonts w:ascii="Arial Narrow" w:hAnsi="Arial Narrow"/>
                <w:b/>
                <w:bCs/>
                <w:iCs/>
                <w:color w:val="333333"/>
                <w:sz w:val="20"/>
                <w:szCs w:val="20"/>
              </w:rPr>
            </w:pPr>
            <w:r w:rsidRPr="00431AF1">
              <w:rPr>
                <w:rFonts w:ascii="Arial Narrow" w:hAnsi="Arial Narrow"/>
                <w:b/>
                <w:bCs/>
                <w:iCs/>
                <w:color w:val="333333"/>
                <w:sz w:val="20"/>
                <w:szCs w:val="20"/>
              </w:rPr>
              <w:t>Clinical criteria:</w:t>
            </w:r>
          </w:p>
        </w:tc>
      </w:tr>
      <w:tr w:rsidR="00EA3A8D" w:rsidRPr="00431AF1" w14:paraId="765AEBC2"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hideMark/>
          </w:tcPr>
          <w:p w14:paraId="0D3CF3A0" w14:textId="77777777" w:rsidR="00EA3A8D" w:rsidRPr="00431AF1" w:rsidRDefault="00EA3A8D">
            <w:pPr>
              <w:rPr>
                <w:rFonts w:ascii="Arial Narrow" w:hAnsi="Arial Narrow"/>
                <w:iCs/>
                <w:sz w:val="20"/>
                <w:szCs w:val="20"/>
              </w:rPr>
            </w:pPr>
            <w:r w:rsidRPr="00431AF1">
              <w:rPr>
                <w:rFonts w:ascii="Arial Narrow" w:hAnsi="Arial Narrow"/>
                <w:iCs/>
                <w:sz w:val="20"/>
                <w:szCs w:val="20"/>
              </w:rPr>
              <w:t>Patient must not be receiving treatment with another sodium-glucose co-transporter 2 (SGLT2) inhibitor</w:t>
            </w:r>
          </w:p>
        </w:tc>
      </w:tr>
      <w:tr w:rsidR="00EA3A8D" w:rsidRPr="00431AF1" w14:paraId="02CD5AB0"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tcPr>
          <w:p w14:paraId="16457CB1" w14:textId="77777777" w:rsidR="00EA3A8D" w:rsidRPr="00431AF1" w:rsidRDefault="00EA3A8D">
            <w:pPr>
              <w:rPr>
                <w:rFonts w:ascii="Arial Narrow" w:hAnsi="Arial Narrow"/>
                <w:iCs/>
                <w:sz w:val="20"/>
                <w:szCs w:val="20"/>
              </w:rPr>
            </w:pPr>
            <w:r w:rsidRPr="00431AF1">
              <w:rPr>
                <w:rFonts w:ascii="Arial Narrow" w:hAnsi="Arial Narrow"/>
                <w:b/>
                <w:bCs/>
                <w:iCs/>
                <w:color w:val="333333"/>
                <w:sz w:val="20"/>
                <w:szCs w:val="20"/>
              </w:rPr>
              <w:t>AND</w:t>
            </w:r>
          </w:p>
        </w:tc>
      </w:tr>
      <w:tr w:rsidR="00EA3A8D" w:rsidRPr="00431AF1" w14:paraId="31E39010"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tcPr>
          <w:p w14:paraId="36BAA89E" w14:textId="77777777" w:rsidR="00EA3A8D" w:rsidRPr="00431AF1" w:rsidRDefault="00EA3A8D">
            <w:pPr>
              <w:rPr>
                <w:rFonts w:ascii="Arial Narrow" w:hAnsi="Arial Narrow"/>
                <w:iCs/>
                <w:sz w:val="20"/>
                <w:szCs w:val="20"/>
              </w:rPr>
            </w:pPr>
            <w:r w:rsidRPr="00431AF1">
              <w:rPr>
                <w:rFonts w:ascii="Arial Narrow" w:hAnsi="Arial Narrow"/>
                <w:b/>
                <w:bCs/>
                <w:iCs/>
                <w:color w:val="333333"/>
                <w:sz w:val="20"/>
                <w:szCs w:val="20"/>
              </w:rPr>
              <w:lastRenderedPageBreak/>
              <w:t>Clinical criteria:</w:t>
            </w:r>
          </w:p>
        </w:tc>
      </w:tr>
      <w:tr w:rsidR="00EA3A8D" w:rsidRPr="00431AF1" w14:paraId="27152207"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tcPr>
          <w:p w14:paraId="4EC99991" w14:textId="77777777" w:rsidR="00EA3A8D" w:rsidRPr="00431AF1" w:rsidRDefault="00EA3A8D">
            <w:pPr>
              <w:rPr>
                <w:rFonts w:ascii="Arial Narrow" w:hAnsi="Arial Narrow"/>
                <w:iCs/>
                <w:sz w:val="20"/>
                <w:szCs w:val="20"/>
              </w:rPr>
            </w:pPr>
            <w:r w:rsidRPr="00431AF1">
              <w:rPr>
                <w:rFonts w:ascii="Arial Narrow" w:hAnsi="Arial Narrow"/>
                <w:iCs/>
                <w:sz w:val="20"/>
                <w:szCs w:val="20"/>
              </w:rPr>
              <w:t>Patient must be stabilised, for at least 4 weeks, on either: (</w:t>
            </w:r>
            <w:proofErr w:type="spellStart"/>
            <w:r w:rsidRPr="00431AF1">
              <w:rPr>
                <w:rFonts w:ascii="Arial Narrow" w:hAnsi="Arial Narrow"/>
                <w:iCs/>
                <w:sz w:val="20"/>
                <w:szCs w:val="20"/>
              </w:rPr>
              <w:t>i</w:t>
            </w:r>
            <w:proofErr w:type="spellEnd"/>
            <w:r w:rsidRPr="00431AF1">
              <w:rPr>
                <w:rFonts w:ascii="Arial Narrow" w:hAnsi="Arial Narrow"/>
                <w:iCs/>
                <w:sz w:val="20"/>
                <w:szCs w:val="20"/>
              </w:rPr>
              <w:t>) an ACE inhibitor or (ii) an angiotensin II receptor antagonist, unless medically contraindicated, prior to initiation of combination therapy with this drug</w:t>
            </w:r>
          </w:p>
        </w:tc>
      </w:tr>
      <w:tr w:rsidR="00EA3A8D" w:rsidRPr="00431AF1" w14:paraId="7E73D355"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tcPr>
          <w:p w14:paraId="2285B4BF" w14:textId="77777777" w:rsidR="00EA3A8D" w:rsidRPr="00431AF1" w:rsidRDefault="00EA3A8D">
            <w:pPr>
              <w:rPr>
                <w:rFonts w:ascii="Arial Narrow" w:hAnsi="Arial Narrow"/>
                <w:iCs/>
                <w:color w:val="333333"/>
                <w:sz w:val="20"/>
                <w:szCs w:val="20"/>
              </w:rPr>
            </w:pPr>
          </w:p>
        </w:tc>
      </w:tr>
      <w:tr w:rsidR="00EA3A8D" w:rsidRPr="00431AF1" w14:paraId="2EC042B6" w14:textId="77777777" w:rsidTr="00EA3A8D">
        <w:tblPrEx>
          <w:tblCellMar>
            <w:top w:w="15" w:type="dxa"/>
            <w:bottom w:w="15" w:type="dxa"/>
          </w:tblCellMar>
          <w:tblLook w:val="04A0" w:firstRow="1" w:lastRow="0" w:firstColumn="1" w:lastColumn="0" w:noHBand="0" w:noVBand="1"/>
        </w:tblPrEx>
        <w:trPr>
          <w:cantSplit/>
          <w:trHeight w:val="20"/>
        </w:trPr>
        <w:tc>
          <w:tcPr>
            <w:tcW w:w="9014" w:type="dxa"/>
            <w:gridSpan w:val="6"/>
            <w:vAlign w:val="center"/>
            <w:hideMark/>
          </w:tcPr>
          <w:p w14:paraId="7D1877FE" w14:textId="77777777" w:rsidR="00EA3A8D" w:rsidRPr="00431AF1" w:rsidRDefault="00EA3A8D">
            <w:pPr>
              <w:rPr>
                <w:rFonts w:ascii="Arial Narrow" w:hAnsi="Arial Narrow"/>
                <w:iCs/>
                <w:sz w:val="20"/>
                <w:szCs w:val="20"/>
              </w:rPr>
            </w:pPr>
            <w:r w:rsidRPr="00431AF1">
              <w:rPr>
                <w:rFonts w:ascii="Arial Narrow" w:hAnsi="Arial Narrow"/>
                <w:b/>
                <w:bCs/>
                <w:iCs/>
                <w:color w:val="333333"/>
                <w:sz w:val="20"/>
                <w:szCs w:val="20"/>
              </w:rPr>
              <w:t>Prescribing Instructions</w:t>
            </w:r>
            <w:r w:rsidRPr="00431AF1">
              <w:rPr>
                <w:rFonts w:ascii="Arial Narrow" w:hAnsi="Arial Narrow"/>
                <w:b/>
                <w:bCs/>
                <w:iCs/>
                <w:sz w:val="20"/>
                <w:szCs w:val="20"/>
              </w:rPr>
              <w:t xml:space="preserve">: </w:t>
            </w:r>
            <w:r w:rsidRPr="00431AF1">
              <w:rPr>
                <w:rFonts w:ascii="Arial Narrow" w:hAnsi="Arial Narrow"/>
                <w:iCs/>
                <w:sz w:val="20"/>
                <w:szCs w:val="20"/>
              </w:rPr>
              <w:t>Patients with polycystic kidney disease, lupus nephritis or ANCA-associated vasculitis; patients requiring or with a recent history of cytotoxic or immunosuppressive therapy for kidney disease; and patients with an organ transplant are not eligible for treatment with this drug.</w:t>
            </w:r>
          </w:p>
        </w:tc>
      </w:tr>
    </w:tbl>
    <w:p w14:paraId="019DD090" w14:textId="699FB139" w:rsidR="005E6482" w:rsidRDefault="00C65626" w:rsidP="00CC7D7D">
      <w:pPr>
        <w:spacing w:before="120"/>
        <w:rPr>
          <w:rFonts w:asciiTheme="minorHAnsi" w:hAnsiTheme="minorHAnsi"/>
          <w:b/>
          <w:i/>
          <w:iCs/>
          <w:snapToGrid w:val="0"/>
          <w:lang w:val="en-GB"/>
        </w:rPr>
      </w:pPr>
      <w:r w:rsidRPr="00204532">
        <w:rPr>
          <w:rFonts w:asciiTheme="minorHAnsi" w:hAnsiTheme="minorHAnsi"/>
          <w:b/>
          <w:i/>
          <w:iCs/>
          <w:snapToGrid w:val="0"/>
          <w:lang w:val="en-GB"/>
        </w:rPr>
        <w:t>These restrictions may be subject to further review. Should there be any changes made to the restriction the sponsor will be informed.</w:t>
      </w:r>
      <w:bookmarkEnd w:id="17"/>
    </w:p>
    <w:p w14:paraId="2977F917" w14:textId="77777777" w:rsidR="00BE6C5D" w:rsidRPr="00BE6C5D" w:rsidRDefault="00BE6C5D" w:rsidP="00BE6C5D">
      <w:pPr>
        <w:pStyle w:val="COMH1-numbered"/>
        <w:rPr>
          <w:bCs/>
        </w:rPr>
      </w:pPr>
      <w:r w:rsidRPr="00BE6C5D">
        <w:t>Context for Decision</w:t>
      </w:r>
    </w:p>
    <w:p w14:paraId="7A9BB979" w14:textId="77777777" w:rsidR="00BE6C5D" w:rsidRPr="00BE6C5D" w:rsidRDefault="00BE6C5D" w:rsidP="00BE6C5D">
      <w:pPr>
        <w:spacing w:after="120"/>
        <w:ind w:left="720"/>
        <w:rPr>
          <w:rFonts w:asciiTheme="minorHAnsi" w:hAnsiTheme="minorHAnsi"/>
          <w:bCs/>
        </w:rPr>
      </w:pPr>
      <w:r w:rsidRPr="00BE6C5D">
        <w:rPr>
          <w:rFonts w:asciiTheme="minorHAnsi" w:hAnsiTheme="minorHAnsi"/>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3275A28" w14:textId="77777777" w:rsidR="00BE6C5D" w:rsidRPr="00BE6C5D" w:rsidRDefault="00BE6C5D" w:rsidP="004C4EF6">
      <w:pPr>
        <w:pStyle w:val="COMH1-numbered"/>
      </w:pPr>
      <w:r w:rsidRPr="00BE6C5D">
        <w:t>Sponsor’s Comment</w:t>
      </w:r>
    </w:p>
    <w:p w14:paraId="42738DC6" w14:textId="02A22DFA" w:rsidR="00BE6C5D" w:rsidRPr="00CC7D7D" w:rsidRDefault="00BE6C5D" w:rsidP="00A06134">
      <w:pPr>
        <w:spacing w:after="120"/>
        <w:ind w:left="720"/>
        <w:rPr>
          <w:rFonts w:asciiTheme="minorHAnsi" w:hAnsiTheme="minorHAnsi"/>
          <w:b/>
          <w:i/>
          <w:iCs/>
          <w:snapToGrid w:val="0"/>
          <w:lang w:val="en-GB"/>
        </w:rPr>
      </w:pPr>
      <w:r w:rsidRPr="00BE6C5D">
        <w:rPr>
          <w:rFonts w:asciiTheme="minorHAnsi" w:hAnsiTheme="minorHAnsi"/>
          <w:bCs/>
        </w:rPr>
        <w:t>The sponsor had no comment.</w:t>
      </w:r>
    </w:p>
    <w:sectPr w:rsidR="00BE6C5D" w:rsidRPr="00CC7D7D" w:rsidSect="003A1B36">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ED1B" w14:textId="77777777" w:rsidR="003027B8" w:rsidRDefault="003027B8" w:rsidP="00124A51">
      <w:r>
        <w:separator/>
      </w:r>
    </w:p>
    <w:p w14:paraId="07CBD6B7" w14:textId="77777777" w:rsidR="003027B8" w:rsidRDefault="003027B8"/>
    <w:p w14:paraId="31F8DCE9" w14:textId="77777777" w:rsidR="003027B8" w:rsidRDefault="003027B8"/>
    <w:p w14:paraId="333F937D" w14:textId="77777777" w:rsidR="003027B8" w:rsidRDefault="003027B8"/>
  </w:endnote>
  <w:endnote w:type="continuationSeparator" w:id="0">
    <w:p w14:paraId="7C33968B" w14:textId="77777777" w:rsidR="003027B8" w:rsidRDefault="003027B8" w:rsidP="00124A51">
      <w:r>
        <w:continuationSeparator/>
      </w:r>
    </w:p>
    <w:p w14:paraId="62234F8D" w14:textId="77777777" w:rsidR="003027B8" w:rsidRDefault="003027B8"/>
    <w:p w14:paraId="7FAFB434" w14:textId="77777777" w:rsidR="003027B8" w:rsidRDefault="003027B8"/>
    <w:p w14:paraId="12A122E2" w14:textId="77777777" w:rsidR="003027B8" w:rsidRDefault="003027B8"/>
  </w:endnote>
  <w:endnote w:type="continuationNotice" w:id="1">
    <w:p w14:paraId="5A39D28A" w14:textId="77777777" w:rsidR="003027B8" w:rsidRDefault="00302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E488" w14:textId="75235723" w:rsidR="009D1A67" w:rsidRDefault="00C4108A">
    <w:pPr>
      <w:pStyle w:val="Footer"/>
    </w:pPr>
    <w:r>
      <w:rPr>
        <w:noProof/>
      </w:rPr>
      <mc:AlternateContent>
        <mc:Choice Requires="wps">
          <w:drawing>
            <wp:anchor distT="0" distB="0" distL="0" distR="0" simplePos="0" relativeHeight="251669509" behindDoc="0" locked="0" layoutInCell="1" allowOverlap="1" wp14:anchorId="67D2C8AE" wp14:editId="5123714F">
              <wp:simplePos x="635" y="635"/>
              <wp:positionH relativeFrom="page">
                <wp:align>center</wp:align>
              </wp:positionH>
              <wp:positionV relativeFrom="page">
                <wp:align>bottom</wp:align>
              </wp:positionV>
              <wp:extent cx="622300" cy="376555"/>
              <wp:effectExtent l="0" t="0" r="6350" b="0"/>
              <wp:wrapNone/>
              <wp:docPr id="74931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58E268" w14:textId="2FF27072" w:rsidR="00C4108A" w:rsidRPr="00C4108A" w:rsidRDefault="00C4108A" w:rsidP="00C4108A">
                          <w:pPr>
                            <w:rPr>
                              <w:rFonts w:ascii="Aptos" w:eastAsia="Aptos" w:hAnsi="Aptos" w:cs="Aptos"/>
                              <w:noProof/>
                              <w:color w:val="FF0000"/>
                            </w:rPr>
                          </w:pPr>
                          <w:r w:rsidRPr="00C4108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D2C8AE"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1F58E268" w14:textId="2FF27072" w:rsidR="00C4108A" w:rsidRPr="00C4108A" w:rsidRDefault="00C4108A" w:rsidP="00C4108A">
                    <w:pPr>
                      <w:rPr>
                        <w:rFonts w:ascii="Aptos" w:eastAsia="Aptos" w:hAnsi="Aptos" w:cs="Aptos"/>
                        <w:noProof/>
                        <w:color w:val="FF0000"/>
                      </w:rPr>
                    </w:pPr>
                    <w:r w:rsidRPr="00C4108A">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48B5" w14:textId="4BED23A2" w:rsidR="00130B3D" w:rsidRDefault="00C4108A">
    <w:pPr>
      <w:pStyle w:val="Footer"/>
    </w:pPr>
    <w:r>
      <w:rPr>
        <w:noProof/>
      </w:rPr>
      <mc:AlternateContent>
        <mc:Choice Requires="wps">
          <w:drawing>
            <wp:anchor distT="0" distB="0" distL="0" distR="0" simplePos="0" relativeHeight="251670533" behindDoc="0" locked="0" layoutInCell="1" allowOverlap="1" wp14:anchorId="637CCBDA" wp14:editId="4716893F">
              <wp:simplePos x="635" y="635"/>
              <wp:positionH relativeFrom="page">
                <wp:align>center</wp:align>
              </wp:positionH>
              <wp:positionV relativeFrom="page">
                <wp:align>bottom</wp:align>
              </wp:positionV>
              <wp:extent cx="622300" cy="376555"/>
              <wp:effectExtent l="0" t="0" r="6350" b="0"/>
              <wp:wrapNone/>
              <wp:docPr id="14053912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B1391E" w14:textId="59E93A05" w:rsidR="00C4108A" w:rsidRPr="00C4108A" w:rsidRDefault="00C4108A" w:rsidP="00C4108A">
                          <w:pPr>
                            <w:rPr>
                              <w:rFonts w:ascii="Aptos" w:eastAsia="Aptos" w:hAnsi="Aptos" w:cs="Aptos"/>
                              <w:noProof/>
                              <w:color w:val="FF0000"/>
                            </w:rPr>
                          </w:pPr>
                          <w:r w:rsidRPr="00C4108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CCBDA"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0B1391E" w14:textId="59E93A05" w:rsidR="00C4108A" w:rsidRPr="00C4108A" w:rsidRDefault="00C4108A" w:rsidP="00C4108A">
                    <w:pPr>
                      <w:rPr>
                        <w:rFonts w:ascii="Aptos" w:eastAsia="Aptos" w:hAnsi="Aptos" w:cs="Aptos"/>
                        <w:noProof/>
                        <w:color w:val="FF0000"/>
                      </w:rPr>
                    </w:pPr>
                    <w:r w:rsidRPr="00C4108A">
                      <w:rPr>
                        <w:rFonts w:ascii="Aptos" w:eastAsia="Aptos" w:hAnsi="Aptos" w:cs="Aptos"/>
                        <w:noProof/>
                        <w:color w:val="FF0000"/>
                      </w:rPr>
                      <w:t>OFFICIAL</w:t>
                    </w:r>
                  </w:p>
                </w:txbxContent>
              </v:textbox>
              <w10:wrap anchorx="page" anchory="page"/>
            </v:shape>
          </w:pict>
        </mc:Fallback>
      </mc:AlternateContent>
    </w:r>
  </w:p>
  <w:sdt>
    <w:sdtPr>
      <w:id w:val="-1033648399"/>
      <w:docPartObj>
        <w:docPartGallery w:val="Page Numbers (Bottom of Page)"/>
        <w:docPartUnique/>
      </w:docPartObj>
    </w:sdtPr>
    <w:sdtEndPr>
      <w:rPr>
        <w:b/>
        <w:bCs/>
        <w:noProof/>
      </w:rPr>
    </w:sdtEndPr>
    <w:sdtContent>
      <w:p w14:paraId="080CFF68" w14:textId="22DB11B6" w:rsidR="00130B3D" w:rsidRPr="00AF3DFA" w:rsidRDefault="00AF3DFA" w:rsidP="00AF3DFA">
        <w:pPr>
          <w:pStyle w:val="Footer"/>
          <w:jc w:val="center"/>
          <w:rPr>
            <w:b/>
            <w:bCs/>
          </w:rPr>
        </w:pPr>
        <w:r w:rsidRPr="005A5CEE">
          <w:rPr>
            <w:b/>
            <w:bCs/>
          </w:rPr>
          <w:fldChar w:fldCharType="begin"/>
        </w:r>
        <w:r w:rsidRPr="005A5CEE">
          <w:rPr>
            <w:b/>
            <w:bCs/>
          </w:rPr>
          <w:instrText xml:space="preserve"> PAGE   \* MERGEFORMAT </w:instrText>
        </w:r>
        <w:r w:rsidRPr="005A5CEE">
          <w:rPr>
            <w:b/>
            <w:bCs/>
          </w:rPr>
          <w:fldChar w:fldCharType="separate"/>
        </w:r>
        <w:r>
          <w:rPr>
            <w:b/>
            <w:bCs/>
          </w:rPr>
          <w:t>1</w:t>
        </w:r>
        <w:r w:rsidRPr="005A5CEE">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313C" w14:textId="77BB4223" w:rsidR="009D1A67" w:rsidRDefault="00C4108A">
    <w:pPr>
      <w:pStyle w:val="Footer"/>
    </w:pPr>
    <w:r>
      <w:rPr>
        <w:noProof/>
      </w:rPr>
      <mc:AlternateContent>
        <mc:Choice Requires="wps">
          <w:drawing>
            <wp:anchor distT="0" distB="0" distL="0" distR="0" simplePos="0" relativeHeight="251668485" behindDoc="0" locked="0" layoutInCell="1" allowOverlap="1" wp14:anchorId="65E52D14" wp14:editId="74E45A1A">
              <wp:simplePos x="635" y="635"/>
              <wp:positionH relativeFrom="page">
                <wp:align>center</wp:align>
              </wp:positionH>
              <wp:positionV relativeFrom="page">
                <wp:align>bottom</wp:align>
              </wp:positionV>
              <wp:extent cx="622300" cy="376555"/>
              <wp:effectExtent l="0" t="0" r="6350" b="0"/>
              <wp:wrapNone/>
              <wp:docPr id="17204139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B64189" w14:textId="3AFCDA0B" w:rsidR="00C4108A" w:rsidRPr="00C4108A" w:rsidRDefault="00C4108A" w:rsidP="00C4108A">
                          <w:pPr>
                            <w:rPr>
                              <w:rFonts w:ascii="Aptos" w:eastAsia="Aptos" w:hAnsi="Aptos" w:cs="Aptos"/>
                              <w:noProof/>
                              <w:color w:val="FF0000"/>
                            </w:rPr>
                          </w:pPr>
                          <w:r w:rsidRPr="00C4108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E52D14"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0B64189" w14:textId="3AFCDA0B" w:rsidR="00C4108A" w:rsidRPr="00C4108A" w:rsidRDefault="00C4108A" w:rsidP="00C4108A">
                    <w:pPr>
                      <w:rPr>
                        <w:rFonts w:ascii="Aptos" w:eastAsia="Aptos" w:hAnsi="Aptos" w:cs="Aptos"/>
                        <w:noProof/>
                        <w:color w:val="FF0000"/>
                      </w:rPr>
                    </w:pPr>
                    <w:r w:rsidRPr="00C4108A">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C41E" w14:textId="77777777" w:rsidR="003027B8" w:rsidRDefault="003027B8">
      <w:r>
        <w:separator/>
      </w:r>
    </w:p>
  </w:footnote>
  <w:footnote w:type="continuationSeparator" w:id="0">
    <w:p w14:paraId="6EB3D515" w14:textId="77777777" w:rsidR="003027B8" w:rsidRDefault="003027B8">
      <w:r>
        <w:continuationSeparator/>
      </w:r>
    </w:p>
  </w:footnote>
  <w:footnote w:type="continuationNotice" w:id="1">
    <w:p w14:paraId="6E661D6F" w14:textId="77777777" w:rsidR="003027B8" w:rsidRDefault="00302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2BBE" w14:textId="0FDF900F" w:rsidR="009D1A67" w:rsidRDefault="00C4108A">
    <w:pPr>
      <w:pStyle w:val="Header"/>
    </w:pPr>
    <w:r>
      <w:rPr>
        <w:noProof/>
      </w:rPr>
      <mc:AlternateContent>
        <mc:Choice Requires="wps">
          <w:drawing>
            <wp:anchor distT="0" distB="0" distL="0" distR="0" simplePos="0" relativeHeight="251666437" behindDoc="0" locked="0" layoutInCell="1" allowOverlap="1" wp14:anchorId="0EA63CA2" wp14:editId="0E22EC3B">
              <wp:simplePos x="635" y="635"/>
              <wp:positionH relativeFrom="page">
                <wp:align>center</wp:align>
              </wp:positionH>
              <wp:positionV relativeFrom="page">
                <wp:align>top</wp:align>
              </wp:positionV>
              <wp:extent cx="622300" cy="376555"/>
              <wp:effectExtent l="0" t="0" r="6350" b="4445"/>
              <wp:wrapNone/>
              <wp:docPr id="3669947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805323" w14:textId="34026133" w:rsidR="00C4108A" w:rsidRPr="00C4108A" w:rsidRDefault="00C4108A" w:rsidP="00C4108A">
                          <w:pPr>
                            <w:rPr>
                              <w:rFonts w:ascii="Aptos" w:eastAsia="Aptos" w:hAnsi="Aptos" w:cs="Aptos"/>
                              <w:noProof/>
                              <w:color w:val="FF0000"/>
                            </w:rPr>
                          </w:pPr>
                          <w:r w:rsidRPr="00C4108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A63CA2"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6805323" w14:textId="34026133" w:rsidR="00C4108A" w:rsidRPr="00C4108A" w:rsidRDefault="00C4108A" w:rsidP="00C4108A">
                    <w:pPr>
                      <w:rPr>
                        <w:rFonts w:ascii="Aptos" w:eastAsia="Aptos" w:hAnsi="Aptos" w:cs="Aptos"/>
                        <w:noProof/>
                        <w:color w:val="FF0000"/>
                      </w:rPr>
                    </w:pPr>
                    <w:r w:rsidRPr="00C4108A">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C94F" w14:textId="184EBF87" w:rsidR="00130B3D" w:rsidRPr="00C56D78" w:rsidRDefault="00C4108A" w:rsidP="00130B3D">
    <w:pPr>
      <w:keepNext/>
      <w:tabs>
        <w:tab w:val="center" w:pos="4513"/>
        <w:tab w:val="right" w:pos="9026"/>
      </w:tabs>
      <w:jc w:val="center"/>
      <w:rPr>
        <w:rFonts w:asciiTheme="minorHAnsi" w:eastAsiaTheme="minorEastAsia" w:hAnsiTheme="minorHAnsi" w:cstheme="minorHAnsi"/>
        <w:i/>
        <w:color w:val="808080"/>
      </w:rPr>
    </w:pPr>
    <w:bookmarkStart w:id="20" w:name="_Hlk175733429"/>
    <w:r>
      <w:rPr>
        <w:rFonts w:asciiTheme="minorHAnsi" w:eastAsiaTheme="minorEastAsia" w:hAnsiTheme="minorHAnsi" w:cstheme="minorHAnsi"/>
        <w:i/>
        <w:noProof/>
        <w:color w:val="808080"/>
      </w:rPr>
      <mc:AlternateContent>
        <mc:Choice Requires="wps">
          <w:drawing>
            <wp:anchor distT="0" distB="0" distL="0" distR="0" simplePos="0" relativeHeight="251667461" behindDoc="0" locked="0" layoutInCell="1" allowOverlap="1" wp14:anchorId="201668E6" wp14:editId="0EC34EF3">
              <wp:simplePos x="635" y="635"/>
              <wp:positionH relativeFrom="page">
                <wp:align>center</wp:align>
              </wp:positionH>
              <wp:positionV relativeFrom="page">
                <wp:align>top</wp:align>
              </wp:positionV>
              <wp:extent cx="622300" cy="376555"/>
              <wp:effectExtent l="0" t="0" r="6350" b="4445"/>
              <wp:wrapNone/>
              <wp:docPr id="19720066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95CD30" w14:textId="57ED7A76" w:rsidR="00C4108A" w:rsidRPr="00C4108A" w:rsidRDefault="00C4108A" w:rsidP="00C4108A">
                          <w:pPr>
                            <w:rPr>
                              <w:rFonts w:ascii="Aptos" w:eastAsia="Aptos" w:hAnsi="Aptos" w:cs="Aptos"/>
                              <w:noProof/>
                              <w:color w:val="FF0000"/>
                            </w:rPr>
                          </w:pPr>
                          <w:r w:rsidRPr="00C4108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1668E6"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295CD30" w14:textId="57ED7A76" w:rsidR="00C4108A" w:rsidRPr="00C4108A" w:rsidRDefault="00C4108A" w:rsidP="00C4108A">
                    <w:pPr>
                      <w:rPr>
                        <w:rFonts w:ascii="Aptos" w:eastAsia="Aptos" w:hAnsi="Aptos" w:cs="Aptos"/>
                        <w:noProof/>
                        <w:color w:val="FF0000"/>
                      </w:rPr>
                    </w:pPr>
                    <w:r w:rsidRPr="00C4108A">
                      <w:rPr>
                        <w:rFonts w:ascii="Aptos" w:eastAsia="Aptos" w:hAnsi="Aptos" w:cs="Aptos"/>
                        <w:noProof/>
                        <w:color w:val="FF0000"/>
                      </w:rPr>
                      <w:t>OFFICIAL</w:t>
                    </w:r>
                  </w:p>
                </w:txbxContent>
              </v:textbox>
              <w10:wrap anchorx="page" anchory="page"/>
            </v:shape>
          </w:pict>
        </mc:Fallback>
      </mc:AlternateContent>
    </w:r>
    <w:r w:rsidR="00702A5C" w:rsidRPr="00702A5C">
      <w:rPr>
        <w:rFonts w:asciiTheme="minorHAnsi" w:eastAsiaTheme="minorEastAsia" w:hAnsiTheme="minorHAnsi" w:cstheme="minorHAnsi"/>
        <w:i/>
        <w:color w:val="808080"/>
      </w:rPr>
      <w:t>Public Summary Document</w:t>
    </w:r>
    <w:bookmarkEnd w:id="20"/>
    <w:r w:rsidR="00702A5C" w:rsidRPr="00702A5C">
      <w:rPr>
        <w:rFonts w:asciiTheme="minorHAnsi" w:eastAsiaTheme="minorEastAsia" w:hAnsiTheme="minorHAnsi" w:cstheme="minorHAnsi"/>
        <w:i/>
        <w:color w:val="808080"/>
      </w:rPr>
      <w:t xml:space="preserve"> </w:t>
    </w:r>
    <w:r w:rsidR="00130B3D">
      <w:rPr>
        <w:rFonts w:asciiTheme="minorHAnsi" w:eastAsiaTheme="minorEastAsia" w:hAnsiTheme="minorHAnsi" w:cstheme="minorHAnsi"/>
        <w:i/>
        <w:color w:val="808080"/>
      </w:rPr>
      <w:t>– September 2025</w:t>
    </w:r>
    <w:r w:rsidR="00130B3D" w:rsidRPr="00C56D78">
      <w:rPr>
        <w:rFonts w:asciiTheme="minorHAnsi" w:eastAsiaTheme="minorEastAsia" w:hAnsiTheme="minorHAnsi" w:cstheme="minorHAnsi"/>
        <w:i/>
        <w:color w:val="808080"/>
      </w:rPr>
      <w:t xml:space="preserve"> PBAC Meeting</w:t>
    </w:r>
  </w:p>
  <w:p w14:paraId="38C98D8C" w14:textId="77777777" w:rsidR="00130B3D" w:rsidRDefault="00130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BEDF" w14:textId="489B1DA2" w:rsidR="009D1A67" w:rsidRDefault="00C4108A">
    <w:pPr>
      <w:pStyle w:val="Header"/>
    </w:pPr>
    <w:r>
      <w:rPr>
        <w:noProof/>
      </w:rPr>
      <mc:AlternateContent>
        <mc:Choice Requires="wps">
          <w:drawing>
            <wp:anchor distT="0" distB="0" distL="0" distR="0" simplePos="0" relativeHeight="251665413" behindDoc="0" locked="0" layoutInCell="1" allowOverlap="1" wp14:anchorId="01CC9B29" wp14:editId="56079712">
              <wp:simplePos x="635" y="635"/>
              <wp:positionH relativeFrom="page">
                <wp:align>center</wp:align>
              </wp:positionH>
              <wp:positionV relativeFrom="page">
                <wp:align>top</wp:align>
              </wp:positionV>
              <wp:extent cx="622300" cy="376555"/>
              <wp:effectExtent l="0" t="0" r="6350" b="4445"/>
              <wp:wrapNone/>
              <wp:docPr id="49115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80370F" w14:textId="6CCD23B9" w:rsidR="00C4108A" w:rsidRPr="00C4108A" w:rsidRDefault="00C4108A" w:rsidP="00C4108A">
                          <w:pPr>
                            <w:rPr>
                              <w:rFonts w:ascii="Aptos" w:eastAsia="Aptos" w:hAnsi="Aptos" w:cs="Aptos"/>
                              <w:noProof/>
                              <w:color w:val="FF0000"/>
                            </w:rPr>
                          </w:pPr>
                          <w:r w:rsidRPr="00C4108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CC9B29"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5780370F" w14:textId="6CCD23B9" w:rsidR="00C4108A" w:rsidRPr="00C4108A" w:rsidRDefault="00C4108A" w:rsidP="00C4108A">
                    <w:pPr>
                      <w:rPr>
                        <w:rFonts w:ascii="Aptos" w:eastAsia="Aptos" w:hAnsi="Aptos" w:cs="Aptos"/>
                        <w:noProof/>
                        <w:color w:val="FF0000"/>
                      </w:rPr>
                    </w:pPr>
                    <w:r w:rsidRPr="00C4108A">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9E1156"/>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85358B"/>
    <w:multiLevelType w:val="hybridMultilevel"/>
    <w:tmpl w:val="BDC4BE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5C27A86"/>
    <w:multiLevelType w:val="hybridMultilevel"/>
    <w:tmpl w:val="78AE1838"/>
    <w:lvl w:ilvl="0" w:tplc="0C090001">
      <w:start w:val="1"/>
      <w:numFmt w:val="bullet"/>
      <w:lvlText w:val=""/>
      <w:lvlJc w:val="left"/>
      <w:pPr>
        <w:ind w:left="1496" w:hanging="360"/>
      </w:pPr>
      <w:rPr>
        <w:rFonts w:ascii="Symbol" w:hAnsi="Symbol" w:hint="default"/>
      </w:rPr>
    </w:lvl>
    <w:lvl w:ilvl="1" w:tplc="0C090003">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5" w15:restartNumberingAfterBreak="0">
    <w:nsid w:val="1FB219F8"/>
    <w:multiLevelType w:val="hybridMultilevel"/>
    <w:tmpl w:val="CC8A3E0E"/>
    <w:lvl w:ilvl="0" w:tplc="C7800C28">
      <w:start w:val="1"/>
      <w:numFmt w:val="bullet"/>
      <w:pStyle w:val="COMexecsummmainissuesbullets"/>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CF5BAA"/>
    <w:multiLevelType w:val="hybridMultilevel"/>
    <w:tmpl w:val="C0062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5A346A"/>
    <w:multiLevelType w:val="hybridMultilevel"/>
    <w:tmpl w:val="EAF8B600"/>
    <w:lvl w:ilvl="0" w:tplc="C1740402">
      <w:start w:val="1"/>
      <w:numFmt w:val="bullet"/>
      <w:lvlText w:val=""/>
      <w:lvlJc w:val="left"/>
      <w:pPr>
        <w:ind w:left="1080" w:hanging="360"/>
      </w:pPr>
      <w:rPr>
        <w:rFonts w:ascii="Symbol" w:hAnsi="Symbol"/>
      </w:rPr>
    </w:lvl>
    <w:lvl w:ilvl="1" w:tplc="23ACC652">
      <w:start w:val="1"/>
      <w:numFmt w:val="bullet"/>
      <w:lvlText w:val=""/>
      <w:lvlJc w:val="left"/>
      <w:pPr>
        <w:ind w:left="1080" w:hanging="360"/>
      </w:pPr>
      <w:rPr>
        <w:rFonts w:ascii="Symbol" w:hAnsi="Symbol"/>
      </w:rPr>
    </w:lvl>
    <w:lvl w:ilvl="2" w:tplc="CC1CF8FC">
      <w:start w:val="1"/>
      <w:numFmt w:val="bullet"/>
      <w:lvlText w:val=""/>
      <w:lvlJc w:val="left"/>
      <w:pPr>
        <w:ind w:left="1080" w:hanging="360"/>
      </w:pPr>
      <w:rPr>
        <w:rFonts w:ascii="Symbol" w:hAnsi="Symbol"/>
      </w:rPr>
    </w:lvl>
    <w:lvl w:ilvl="3" w:tplc="66B6C7FE">
      <w:start w:val="1"/>
      <w:numFmt w:val="bullet"/>
      <w:lvlText w:val=""/>
      <w:lvlJc w:val="left"/>
      <w:pPr>
        <w:ind w:left="1080" w:hanging="360"/>
      </w:pPr>
      <w:rPr>
        <w:rFonts w:ascii="Symbol" w:hAnsi="Symbol"/>
      </w:rPr>
    </w:lvl>
    <w:lvl w:ilvl="4" w:tplc="DB1C44B0">
      <w:start w:val="1"/>
      <w:numFmt w:val="bullet"/>
      <w:lvlText w:val=""/>
      <w:lvlJc w:val="left"/>
      <w:pPr>
        <w:ind w:left="1080" w:hanging="360"/>
      </w:pPr>
      <w:rPr>
        <w:rFonts w:ascii="Symbol" w:hAnsi="Symbol"/>
      </w:rPr>
    </w:lvl>
    <w:lvl w:ilvl="5" w:tplc="9AC879AE">
      <w:start w:val="1"/>
      <w:numFmt w:val="bullet"/>
      <w:lvlText w:val=""/>
      <w:lvlJc w:val="left"/>
      <w:pPr>
        <w:ind w:left="1080" w:hanging="360"/>
      </w:pPr>
      <w:rPr>
        <w:rFonts w:ascii="Symbol" w:hAnsi="Symbol"/>
      </w:rPr>
    </w:lvl>
    <w:lvl w:ilvl="6" w:tplc="9A7021A2">
      <w:start w:val="1"/>
      <w:numFmt w:val="bullet"/>
      <w:lvlText w:val=""/>
      <w:lvlJc w:val="left"/>
      <w:pPr>
        <w:ind w:left="1080" w:hanging="360"/>
      </w:pPr>
      <w:rPr>
        <w:rFonts w:ascii="Symbol" w:hAnsi="Symbol"/>
      </w:rPr>
    </w:lvl>
    <w:lvl w:ilvl="7" w:tplc="CC9862AA">
      <w:start w:val="1"/>
      <w:numFmt w:val="bullet"/>
      <w:lvlText w:val=""/>
      <w:lvlJc w:val="left"/>
      <w:pPr>
        <w:ind w:left="1080" w:hanging="360"/>
      </w:pPr>
      <w:rPr>
        <w:rFonts w:ascii="Symbol" w:hAnsi="Symbol"/>
      </w:rPr>
    </w:lvl>
    <w:lvl w:ilvl="8" w:tplc="7A8822F6">
      <w:start w:val="1"/>
      <w:numFmt w:val="bullet"/>
      <w:lvlText w:val=""/>
      <w:lvlJc w:val="left"/>
      <w:pPr>
        <w:ind w:left="1080" w:hanging="360"/>
      </w:pPr>
      <w:rPr>
        <w:rFonts w:ascii="Symbol" w:hAnsi="Symbol"/>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AB3AF4"/>
    <w:multiLevelType w:val="hybridMultilevel"/>
    <w:tmpl w:val="769EFA5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FAB8EED8"/>
    <w:lvl w:ilvl="0" w:tplc="8708BECA">
      <w:start w:val="1"/>
      <w:numFmt w:val="bullet"/>
      <w:pStyle w:val="COMexecsumm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2452D"/>
    <w:multiLevelType w:val="multilevel"/>
    <w:tmpl w:val="19AA0AA8"/>
    <w:lvl w:ilvl="0">
      <w:start w:val="1"/>
      <w:numFmt w:val="decimal"/>
      <w:pStyle w:val="COMH1-numbered"/>
      <w:lvlText w:val="%1"/>
      <w:lvlJc w:val="left"/>
      <w:pPr>
        <w:ind w:left="2563"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585744"/>
    <w:multiLevelType w:val="multilevel"/>
    <w:tmpl w:val="BF54A9BE"/>
    <w:lvl w:ilvl="0">
      <w:start w:val="7"/>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val="0"/>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9A25F4"/>
    <w:multiLevelType w:val="multilevel"/>
    <w:tmpl w:val="6C42BFB2"/>
    <w:styleLink w:val="Style1"/>
    <w:lvl w:ilvl="0">
      <w:start w:val="2"/>
      <w:numFmt w:val="upperLetter"/>
      <w:lvlText w:val="%1(ii)."/>
      <w:lvlJc w:val="left"/>
      <w:pPr>
        <w:ind w:left="1077" w:hanging="1077"/>
      </w:pPr>
      <w:rPr>
        <w:rFonts w:asciiTheme="minorHAnsi" w:hAnsiTheme="minorHAnsi" w:hint="default"/>
        <w:b/>
        <w:i w:val="0"/>
        <w:sz w:val="32"/>
      </w:rPr>
    </w:lvl>
    <w:lvl w:ilvl="1">
      <w:start w:val="1"/>
      <w:numFmt w:val="decimal"/>
      <w:lvlText w:val="%1(ii).%2"/>
      <w:lvlJc w:val="left"/>
      <w:pPr>
        <w:ind w:left="1077" w:hanging="1077"/>
      </w:pPr>
      <w:rPr>
        <w:rFonts w:asciiTheme="minorHAnsi" w:hAnsiTheme="minorHAnsi" w:hint="default"/>
        <w:b/>
        <w:i w:val="0"/>
        <w:sz w:val="28"/>
      </w:rPr>
    </w:lvl>
    <w:lvl w:ilvl="2">
      <w:start w:val="1"/>
      <w:numFmt w:val="decimal"/>
      <w:lvlText w:val="%1(ii).%2.%3"/>
      <w:lvlJc w:val="left"/>
      <w:pPr>
        <w:ind w:left="1077" w:hanging="1077"/>
      </w:pPr>
      <w:rPr>
        <w:rFonts w:asciiTheme="minorHAnsi" w:hAnsiTheme="minorHAnsi" w:hint="default"/>
        <w:b/>
        <w:i w:val="0"/>
        <w:sz w:val="28"/>
      </w:rPr>
    </w:lvl>
    <w:lvl w:ilvl="3">
      <w:start w:val="1"/>
      <w:numFmt w:val="decimal"/>
      <w:lvlText w:val="%1(ii).%2.%3.%4"/>
      <w:lvlJc w:val="left"/>
      <w:pPr>
        <w:ind w:left="1077" w:hanging="1077"/>
      </w:pPr>
      <w:rPr>
        <w:rFonts w:ascii="Arial" w:hAnsi="Arial" w:hint="default"/>
        <w:b/>
        <w:sz w:val="22"/>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CB703F8"/>
    <w:multiLevelType w:val="hybridMultilevel"/>
    <w:tmpl w:val="C0CCF3D6"/>
    <w:lvl w:ilvl="0" w:tplc="E1E82EE4">
      <w:start w:val="1"/>
      <w:numFmt w:val="bullet"/>
      <w:lvlText w:val=""/>
      <w:lvlJc w:val="left"/>
      <w:pPr>
        <w:ind w:left="720" w:hanging="360"/>
      </w:pPr>
      <w:rPr>
        <w:rFonts w:ascii="Symbol" w:hAnsi="Symbol"/>
      </w:rPr>
    </w:lvl>
    <w:lvl w:ilvl="1" w:tplc="350A4DD6">
      <w:start w:val="1"/>
      <w:numFmt w:val="bullet"/>
      <w:lvlText w:val=""/>
      <w:lvlJc w:val="left"/>
      <w:pPr>
        <w:ind w:left="720" w:hanging="360"/>
      </w:pPr>
      <w:rPr>
        <w:rFonts w:ascii="Symbol" w:hAnsi="Symbol"/>
      </w:rPr>
    </w:lvl>
    <w:lvl w:ilvl="2" w:tplc="873A2E38">
      <w:start w:val="1"/>
      <w:numFmt w:val="bullet"/>
      <w:lvlText w:val=""/>
      <w:lvlJc w:val="left"/>
      <w:pPr>
        <w:ind w:left="720" w:hanging="360"/>
      </w:pPr>
      <w:rPr>
        <w:rFonts w:ascii="Symbol" w:hAnsi="Symbol"/>
      </w:rPr>
    </w:lvl>
    <w:lvl w:ilvl="3" w:tplc="8B885C36">
      <w:start w:val="1"/>
      <w:numFmt w:val="bullet"/>
      <w:lvlText w:val=""/>
      <w:lvlJc w:val="left"/>
      <w:pPr>
        <w:ind w:left="720" w:hanging="360"/>
      </w:pPr>
      <w:rPr>
        <w:rFonts w:ascii="Symbol" w:hAnsi="Symbol"/>
      </w:rPr>
    </w:lvl>
    <w:lvl w:ilvl="4" w:tplc="0D82A59A">
      <w:start w:val="1"/>
      <w:numFmt w:val="bullet"/>
      <w:lvlText w:val=""/>
      <w:lvlJc w:val="left"/>
      <w:pPr>
        <w:ind w:left="720" w:hanging="360"/>
      </w:pPr>
      <w:rPr>
        <w:rFonts w:ascii="Symbol" w:hAnsi="Symbol"/>
      </w:rPr>
    </w:lvl>
    <w:lvl w:ilvl="5" w:tplc="AC8E4AD8">
      <w:start w:val="1"/>
      <w:numFmt w:val="bullet"/>
      <w:lvlText w:val=""/>
      <w:lvlJc w:val="left"/>
      <w:pPr>
        <w:ind w:left="720" w:hanging="360"/>
      </w:pPr>
      <w:rPr>
        <w:rFonts w:ascii="Symbol" w:hAnsi="Symbol"/>
      </w:rPr>
    </w:lvl>
    <w:lvl w:ilvl="6" w:tplc="C736E812">
      <w:start w:val="1"/>
      <w:numFmt w:val="bullet"/>
      <w:lvlText w:val=""/>
      <w:lvlJc w:val="left"/>
      <w:pPr>
        <w:ind w:left="720" w:hanging="360"/>
      </w:pPr>
      <w:rPr>
        <w:rFonts w:ascii="Symbol" w:hAnsi="Symbol"/>
      </w:rPr>
    </w:lvl>
    <w:lvl w:ilvl="7" w:tplc="8556D598">
      <w:start w:val="1"/>
      <w:numFmt w:val="bullet"/>
      <w:lvlText w:val=""/>
      <w:lvlJc w:val="left"/>
      <w:pPr>
        <w:ind w:left="720" w:hanging="360"/>
      </w:pPr>
      <w:rPr>
        <w:rFonts w:ascii="Symbol" w:hAnsi="Symbol"/>
      </w:rPr>
    </w:lvl>
    <w:lvl w:ilvl="8" w:tplc="CC6CC816">
      <w:start w:val="1"/>
      <w:numFmt w:val="bullet"/>
      <w:lvlText w:val=""/>
      <w:lvlJc w:val="left"/>
      <w:pPr>
        <w:ind w:left="720" w:hanging="360"/>
      </w:pPr>
      <w:rPr>
        <w:rFonts w:ascii="Symbol" w:hAnsi="Symbol"/>
      </w:rPr>
    </w:lvl>
  </w:abstractNum>
  <w:abstractNum w:abstractNumId="2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15D4EDC"/>
    <w:multiLevelType w:val="hybridMultilevel"/>
    <w:tmpl w:val="7968F776"/>
    <w:lvl w:ilvl="0" w:tplc="B926701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4D033C"/>
    <w:multiLevelType w:val="multilevel"/>
    <w:tmpl w:val="6E6EEF34"/>
    <w:lvl w:ilvl="0">
      <w:start w:val="1"/>
      <w:numFmt w:val="decimal"/>
      <w:lvlText w:val="%1"/>
      <w:lvlJc w:val="left"/>
      <w:pPr>
        <w:ind w:left="720" w:hanging="720"/>
      </w:pPr>
      <w:rPr>
        <w:rFonts w:hint="default"/>
        <w:b/>
        <w:i w:val="0"/>
      </w:rPr>
    </w:lvl>
    <w:lvl w:ilvl="1">
      <w:start w:val="6"/>
      <w:numFmt w:val="decimal"/>
      <w:lvlText w:val="%1.%2"/>
      <w:lvlJc w:val="left"/>
      <w:pPr>
        <w:ind w:left="720" w:hanging="720"/>
      </w:pPr>
      <w:rPr>
        <w:rFonts w:asciiTheme="minorHAnsi" w:hAnsiTheme="minorHAnsi" w:cstheme="minorHAnsi"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17793048">
    <w:abstractNumId w:val="12"/>
  </w:num>
  <w:num w:numId="2" w16cid:durableId="521091235">
    <w:abstractNumId w:val="0"/>
  </w:num>
  <w:num w:numId="3" w16cid:durableId="2123836775">
    <w:abstractNumId w:val="13"/>
  </w:num>
  <w:num w:numId="4" w16cid:durableId="690643893">
    <w:abstractNumId w:val="5"/>
  </w:num>
  <w:num w:numId="5" w16cid:durableId="1075084198">
    <w:abstractNumId w:val="18"/>
  </w:num>
  <w:num w:numId="6" w16cid:durableId="209997201">
    <w:abstractNumId w:val="21"/>
  </w:num>
  <w:num w:numId="7" w16cid:durableId="121121426">
    <w:abstractNumId w:val="14"/>
  </w:num>
  <w:num w:numId="8" w16cid:durableId="339351848">
    <w:abstractNumId w:val="15"/>
  </w:num>
  <w:num w:numId="9" w16cid:durableId="1111242883">
    <w:abstractNumId w:val="23"/>
  </w:num>
  <w:num w:numId="10" w16cid:durableId="408699874">
    <w:abstractNumId w:val="16"/>
  </w:num>
  <w:num w:numId="11" w16cid:durableId="1569418770">
    <w:abstractNumId w:val="2"/>
  </w:num>
  <w:num w:numId="12" w16cid:durableId="705176722">
    <w:abstractNumId w:val="1"/>
  </w:num>
  <w:num w:numId="13" w16cid:durableId="1926569401">
    <w:abstractNumId w:val="7"/>
  </w:num>
  <w:num w:numId="14" w16cid:durableId="1979457665">
    <w:abstractNumId w:val="10"/>
  </w:num>
  <w:num w:numId="15" w16cid:durableId="2038313566">
    <w:abstractNumId w:val="6"/>
  </w:num>
  <w:num w:numId="16" w16cid:durableId="129744317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5115578">
    <w:abstractNumId w:val="19"/>
  </w:num>
  <w:num w:numId="18" w16cid:durableId="1437020853">
    <w:abstractNumId w:val="14"/>
  </w:num>
  <w:num w:numId="19" w16cid:durableId="711998345">
    <w:abstractNumId w:val="14"/>
  </w:num>
  <w:num w:numId="20" w16cid:durableId="930237086">
    <w:abstractNumId w:val="17"/>
  </w:num>
  <w:num w:numId="21" w16cid:durableId="2076389850">
    <w:abstractNumId w:val="14"/>
  </w:num>
  <w:num w:numId="22" w16cid:durableId="1040518256">
    <w:abstractNumId w:val="14"/>
  </w:num>
  <w:num w:numId="23" w16cid:durableId="1209075927">
    <w:abstractNumId w:val="13"/>
  </w:num>
  <w:num w:numId="24" w16cid:durableId="1156141536">
    <w:abstractNumId w:val="9"/>
  </w:num>
  <w:num w:numId="25" w16cid:durableId="110325088">
    <w:abstractNumId w:val="14"/>
  </w:num>
  <w:num w:numId="26" w16cid:durableId="759331885">
    <w:abstractNumId w:val="14"/>
  </w:num>
  <w:num w:numId="27" w16cid:durableId="698504646">
    <w:abstractNumId w:val="14"/>
  </w:num>
  <w:num w:numId="28" w16cid:durableId="1509564765">
    <w:abstractNumId w:val="14"/>
  </w:num>
  <w:num w:numId="29" w16cid:durableId="517430822">
    <w:abstractNumId w:val="14"/>
  </w:num>
  <w:num w:numId="30" w16cid:durableId="609824170">
    <w:abstractNumId w:val="14"/>
  </w:num>
  <w:num w:numId="31" w16cid:durableId="1139541841">
    <w:abstractNumId w:val="14"/>
  </w:num>
  <w:num w:numId="32" w16cid:durableId="1388994169">
    <w:abstractNumId w:val="14"/>
  </w:num>
  <w:num w:numId="33" w16cid:durableId="1742172508">
    <w:abstractNumId w:val="14"/>
  </w:num>
  <w:num w:numId="34" w16cid:durableId="846140967">
    <w:abstractNumId w:val="14"/>
  </w:num>
  <w:num w:numId="35" w16cid:durableId="1282498535">
    <w:abstractNumId w:val="20"/>
  </w:num>
  <w:num w:numId="36" w16cid:durableId="1632397787">
    <w:abstractNumId w:val="11"/>
  </w:num>
  <w:num w:numId="37" w16cid:durableId="559172879">
    <w:abstractNumId w:val="14"/>
  </w:num>
  <w:num w:numId="38" w16cid:durableId="74058971">
    <w:abstractNumId w:val="22"/>
  </w:num>
  <w:num w:numId="39" w16cid:durableId="1404983568">
    <w:abstractNumId w:val="4"/>
  </w:num>
  <w:num w:numId="40" w16cid:durableId="1049108371">
    <w:abstractNumId w:val="14"/>
  </w:num>
  <w:num w:numId="41" w16cid:durableId="1105729994">
    <w:abstractNumId w:val="14"/>
  </w:num>
  <w:num w:numId="42" w16cid:durableId="1039357115">
    <w:abstractNumId w:val="3"/>
  </w:num>
  <w:num w:numId="43" w16cid:durableId="742987337">
    <w:abstractNumId w:val="8"/>
  </w:num>
  <w:num w:numId="44" w16cid:durableId="1572042158">
    <w:abstractNumId w:val="14"/>
  </w:num>
  <w:num w:numId="45" w16cid:durableId="99230253">
    <w:abstractNumId w:val="14"/>
  </w:num>
  <w:num w:numId="46" w16cid:durableId="92199281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56"/>
    <w:rsid w:val="00000790"/>
    <w:rsid w:val="00000C66"/>
    <w:rsid w:val="0000110B"/>
    <w:rsid w:val="00001844"/>
    <w:rsid w:val="0000221E"/>
    <w:rsid w:val="000022C9"/>
    <w:rsid w:val="0000234E"/>
    <w:rsid w:val="000025AE"/>
    <w:rsid w:val="00002B01"/>
    <w:rsid w:val="000030D6"/>
    <w:rsid w:val="00003499"/>
    <w:rsid w:val="00003834"/>
    <w:rsid w:val="000039B7"/>
    <w:rsid w:val="00003A8A"/>
    <w:rsid w:val="00004BE1"/>
    <w:rsid w:val="00005289"/>
    <w:rsid w:val="000056B9"/>
    <w:rsid w:val="00005AF2"/>
    <w:rsid w:val="00006021"/>
    <w:rsid w:val="0000612E"/>
    <w:rsid w:val="0000639A"/>
    <w:rsid w:val="000063E3"/>
    <w:rsid w:val="00006456"/>
    <w:rsid w:val="00007905"/>
    <w:rsid w:val="00010E6B"/>
    <w:rsid w:val="0001106A"/>
    <w:rsid w:val="00011154"/>
    <w:rsid w:val="00011558"/>
    <w:rsid w:val="000120EA"/>
    <w:rsid w:val="00012297"/>
    <w:rsid w:val="00013247"/>
    <w:rsid w:val="0001349C"/>
    <w:rsid w:val="000142C1"/>
    <w:rsid w:val="000145E9"/>
    <w:rsid w:val="00015061"/>
    <w:rsid w:val="0001518A"/>
    <w:rsid w:val="000153AB"/>
    <w:rsid w:val="00015886"/>
    <w:rsid w:val="00015DF0"/>
    <w:rsid w:val="000160AD"/>
    <w:rsid w:val="000162EF"/>
    <w:rsid w:val="00016350"/>
    <w:rsid w:val="000163DB"/>
    <w:rsid w:val="00016A44"/>
    <w:rsid w:val="00016ADE"/>
    <w:rsid w:val="00017321"/>
    <w:rsid w:val="000173AA"/>
    <w:rsid w:val="0001751A"/>
    <w:rsid w:val="000176B1"/>
    <w:rsid w:val="000179F7"/>
    <w:rsid w:val="0002033F"/>
    <w:rsid w:val="000207C9"/>
    <w:rsid w:val="00021A22"/>
    <w:rsid w:val="00021E92"/>
    <w:rsid w:val="0002225F"/>
    <w:rsid w:val="00022FDB"/>
    <w:rsid w:val="00023763"/>
    <w:rsid w:val="00023B03"/>
    <w:rsid w:val="00023DCD"/>
    <w:rsid w:val="00024E7C"/>
    <w:rsid w:val="00024E97"/>
    <w:rsid w:val="00024EB5"/>
    <w:rsid w:val="00025038"/>
    <w:rsid w:val="00025FF0"/>
    <w:rsid w:val="00026288"/>
    <w:rsid w:val="00026300"/>
    <w:rsid w:val="00026735"/>
    <w:rsid w:val="00027131"/>
    <w:rsid w:val="000274B8"/>
    <w:rsid w:val="000279FB"/>
    <w:rsid w:val="00027DC7"/>
    <w:rsid w:val="00027EE4"/>
    <w:rsid w:val="00030921"/>
    <w:rsid w:val="00030A3D"/>
    <w:rsid w:val="0003171C"/>
    <w:rsid w:val="00032178"/>
    <w:rsid w:val="00032256"/>
    <w:rsid w:val="00032377"/>
    <w:rsid w:val="00032638"/>
    <w:rsid w:val="000327D5"/>
    <w:rsid w:val="00032C5B"/>
    <w:rsid w:val="00032D11"/>
    <w:rsid w:val="000333FF"/>
    <w:rsid w:val="00033639"/>
    <w:rsid w:val="00033863"/>
    <w:rsid w:val="000339F6"/>
    <w:rsid w:val="00033C0E"/>
    <w:rsid w:val="00033D8C"/>
    <w:rsid w:val="000344B6"/>
    <w:rsid w:val="0003496A"/>
    <w:rsid w:val="00034B2C"/>
    <w:rsid w:val="0003559B"/>
    <w:rsid w:val="0003576F"/>
    <w:rsid w:val="00035981"/>
    <w:rsid w:val="0003598F"/>
    <w:rsid w:val="00035DC0"/>
    <w:rsid w:val="000360D2"/>
    <w:rsid w:val="000363CC"/>
    <w:rsid w:val="0003674E"/>
    <w:rsid w:val="00036829"/>
    <w:rsid w:val="00036A56"/>
    <w:rsid w:val="000370EC"/>
    <w:rsid w:val="00037128"/>
    <w:rsid w:val="00037565"/>
    <w:rsid w:val="000375F4"/>
    <w:rsid w:val="0003779A"/>
    <w:rsid w:val="0004060A"/>
    <w:rsid w:val="00040895"/>
    <w:rsid w:val="0004093E"/>
    <w:rsid w:val="000410A0"/>
    <w:rsid w:val="00041C51"/>
    <w:rsid w:val="00042790"/>
    <w:rsid w:val="000427E2"/>
    <w:rsid w:val="00042D88"/>
    <w:rsid w:val="00042FD0"/>
    <w:rsid w:val="000435EE"/>
    <w:rsid w:val="00043C37"/>
    <w:rsid w:val="000442EC"/>
    <w:rsid w:val="00044425"/>
    <w:rsid w:val="0004442A"/>
    <w:rsid w:val="000444BE"/>
    <w:rsid w:val="00044FCF"/>
    <w:rsid w:val="00045017"/>
    <w:rsid w:val="00045A2B"/>
    <w:rsid w:val="0004613A"/>
    <w:rsid w:val="0004655D"/>
    <w:rsid w:val="000466EA"/>
    <w:rsid w:val="0004698F"/>
    <w:rsid w:val="00046D64"/>
    <w:rsid w:val="0004748D"/>
    <w:rsid w:val="00047BAB"/>
    <w:rsid w:val="00047CB9"/>
    <w:rsid w:val="00047F34"/>
    <w:rsid w:val="000502AF"/>
    <w:rsid w:val="000502BB"/>
    <w:rsid w:val="0005033C"/>
    <w:rsid w:val="00050398"/>
    <w:rsid w:val="000508C2"/>
    <w:rsid w:val="00051288"/>
    <w:rsid w:val="000515D8"/>
    <w:rsid w:val="00052EDC"/>
    <w:rsid w:val="000538FE"/>
    <w:rsid w:val="0005391D"/>
    <w:rsid w:val="000539D0"/>
    <w:rsid w:val="00053BF7"/>
    <w:rsid w:val="00054111"/>
    <w:rsid w:val="00054621"/>
    <w:rsid w:val="000546D7"/>
    <w:rsid w:val="00054A8D"/>
    <w:rsid w:val="00054F6E"/>
    <w:rsid w:val="00054FE8"/>
    <w:rsid w:val="000555A4"/>
    <w:rsid w:val="0005563E"/>
    <w:rsid w:val="000557C1"/>
    <w:rsid w:val="00055B7F"/>
    <w:rsid w:val="00056EB3"/>
    <w:rsid w:val="00056ECF"/>
    <w:rsid w:val="00057F71"/>
    <w:rsid w:val="000604DF"/>
    <w:rsid w:val="00060A16"/>
    <w:rsid w:val="00061E78"/>
    <w:rsid w:val="000622B6"/>
    <w:rsid w:val="00062324"/>
    <w:rsid w:val="00062BE6"/>
    <w:rsid w:val="00063789"/>
    <w:rsid w:val="00063B27"/>
    <w:rsid w:val="00063CD9"/>
    <w:rsid w:val="00063D2E"/>
    <w:rsid w:val="00064FC2"/>
    <w:rsid w:val="000653B5"/>
    <w:rsid w:val="00065A3D"/>
    <w:rsid w:val="00066293"/>
    <w:rsid w:val="00066360"/>
    <w:rsid w:val="00066830"/>
    <w:rsid w:val="00066AF8"/>
    <w:rsid w:val="00066B93"/>
    <w:rsid w:val="00066F55"/>
    <w:rsid w:val="00067042"/>
    <w:rsid w:val="00067245"/>
    <w:rsid w:val="00067453"/>
    <w:rsid w:val="00067502"/>
    <w:rsid w:val="00067E7F"/>
    <w:rsid w:val="000707E5"/>
    <w:rsid w:val="00070CF7"/>
    <w:rsid w:val="00070EDE"/>
    <w:rsid w:val="00070EE3"/>
    <w:rsid w:val="000711AE"/>
    <w:rsid w:val="0007123B"/>
    <w:rsid w:val="00071248"/>
    <w:rsid w:val="0007180C"/>
    <w:rsid w:val="0007185A"/>
    <w:rsid w:val="00071B37"/>
    <w:rsid w:val="000720B9"/>
    <w:rsid w:val="00072137"/>
    <w:rsid w:val="00072744"/>
    <w:rsid w:val="00072ADF"/>
    <w:rsid w:val="00073081"/>
    <w:rsid w:val="000737F7"/>
    <w:rsid w:val="00073D87"/>
    <w:rsid w:val="0007407E"/>
    <w:rsid w:val="00074758"/>
    <w:rsid w:val="000748C6"/>
    <w:rsid w:val="00074E6B"/>
    <w:rsid w:val="0007519D"/>
    <w:rsid w:val="000762C5"/>
    <w:rsid w:val="000763C6"/>
    <w:rsid w:val="0007672F"/>
    <w:rsid w:val="000768AA"/>
    <w:rsid w:val="000769E1"/>
    <w:rsid w:val="00076A0B"/>
    <w:rsid w:val="00076A24"/>
    <w:rsid w:val="00076B54"/>
    <w:rsid w:val="00076E71"/>
    <w:rsid w:val="00076EF4"/>
    <w:rsid w:val="00076F71"/>
    <w:rsid w:val="00077208"/>
    <w:rsid w:val="000773AC"/>
    <w:rsid w:val="00077495"/>
    <w:rsid w:val="000774F0"/>
    <w:rsid w:val="00080909"/>
    <w:rsid w:val="00080F3E"/>
    <w:rsid w:val="000812CA"/>
    <w:rsid w:val="00081E5A"/>
    <w:rsid w:val="00081E63"/>
    <w:rsid w:val="00081EAE"/>
    <w:rsid w:val="00081FCD"/>
    <w:rsid w:val="00082305"/>
    <w:rsid w:val="0008258D"/>
    <w:rsid w:val="00082D1F"/>
    <w:rsid w:val="00083BD8"/>
    <w:rsid w:val="00083E99"/>
    <w:rsid w:val="00083F94"/>
    <w:rsid w:val="00084FA8"/>
    <w:rsid w:val="00085329"/>
    <w:rsid w:val="000856C5"/>
    <w:rsid w:val="00085816"/>
    <w:rsid w:val="00085B63"/>
    <w:rsid w:val="00085C31"/>
    <w:rsid w:val="00085FFF"/>
    <w:rsid w:val="000861D0"/>
    <w:rsid w:val="00086B97"/>
    <w:rsid w:val="00086D1B"/>
    <w:rsid w:val="00086E95"/>
    <w:rsid w:val="00086EA7"/>
    <w:rsid w:val="00086F77"/>
    <w:rsid w:val="000874F4"/>
    <w:rsid w:val="000902D9"/>
    <w:rsid w:val="00090496"/>
    <w:rsid w:val="00090C7E"/>
    <w:rsid w:val="00090CE6"/>
    <w:rsid w:val="000911AC"/>
    <w:rsid w:val="0009131C"/>
    <w:rsid w:val="0009148E"/>
    <w:rsid w:val="000918EC"/>
    <w:rsid w:val="000920B2"/>
    <w:rsid w:val="00092111"/>
    <w:rsid w:val="00092600"/>
    <w:rsid w:val="0009262B"/>
    <w:rsid w:val="00093310"/>
    <w:rsid w:val="00093462"/>
    <w:rsid w:val="00093864"/>
    <w:rsid w:val="0009445C"/>
    <w:rsid w:val="00094524"/>
    <w:rsid w:val="00094D45"/>
    <w:rsid w:val="000950E8"/>
    <w:rsid w:val="00095200"/>
    <w:rsid w:val="00095FDA"/>
    <w:rsid w:val="00095FE5"/>
    <w:rsid w:val="00096284"/>
    <w:rsid w:val="000962DC"/>
    <w:rsid w:val="00096884"/>
    <w:rsid w:val="00096D0C"/>
    <w:rsid w:val="00096D42"/>
    <w:rsid w:val="0009763B"/>
    <w:rsid w:val="000A0094"/>
    <w:rsid w:val="000A07BA"/>
    <w:rsid w:val="000A0CFF"/>
    <w:rsid w:val="000A1A63"/>
    <w:rsid w:val="000A1BC0"/>
    <w:rsid w:val="000A1ED2"/>
    <w:rsid w:val="000A2760"/>
    <w:rsid w:val="000A2B56"/>
    <w:rsid w:val="000A2F9E"/>
    <w:rsid w:val="000A381E"/>
    <w:rsid w:val="000A3E47"/>
    <w:rsid w:val="000A4FE9"/>
    <w:rsid w:val="000A522B"/>
    <w:rsid w:val="000A5549"/>
    <w:rsid w:val="000A5B4F"/>
    <w:rsid w:val="000A5CF9"/>
    <w:rsid w:val="000A6039"/>
    <w:rsid w:val="000A60FF"/>
    <w:rsid w:val="000A63A1"/>
    <w:rsid w:val="000A6487"/>
    <w:rsid w:val="000A66FD"/>
    <w:rsid w:val="000A6D63"/>
    <w:rsid w:val="000A732D"/>
    <w:rsid w:val="000A7453"/>
    <w:rsid w:val="000A7ADF"/>
    <w:rsid w:val="000A7D08"/>
    <w:rsid w:val="000B0121"/>
    <w:rsid w:val="000B0670"/>
    <w:rsid w:val="000B075E"/>
    <w:rsid w:val="000B0E75"/>
    <w:rsid w:val="000B156E"/>
    <w:rsid w:val="000B160D"/>
    <w:rsid w:val="000B2145"/>
    <w:rsid w:val="000B246F"/>
    <w:rsid w:val="000B25DB"/>
    <w:rsid w:val="000B2850"/>
    <w:rsid w:val="000B2DCB"/>
    <w:rsid w:val="000B3407"/>
    <w:rsid w:val="000B3794"/>
    <w:rsid w:val="000B40EC"/>
    <w:rsid w:val="000B42EC"/>
    <w:rsid w:val="000B583A"/>
    <w:rsid w:val="000B587B"/>
    <w:rsid w:val="000B58A6"/>
    <w:rsid w:val="000B5CE0"/>
    <w:rsid w:val="000B6894"/>
    <w:rsid w:val="000B6CAC"/>
    <w:rsid w:val="000B7612"/>
    <w:rsid w:val="000B78AE"/>
    <w:rsid w:val="000B7BCE"/>
    <w:rsid w:val="000C01B4"/>
    <w:rsid w:val="000C0294"/>
    <w:rsid w:val="000C1196"/>
    <w:rsid w:val="000C1279"/>
    <w:rsid w:val="000C1AE9"/>
    <w:rsid w:val="000C1E6A"/>
    <w:rsid w:val="000C245D"/>
    <w:rsid w:val="000C29EA"/>
    <w:rsid w:val="000C3BF7"/>
    <w:rsid w:val="000C3DF9"/>
    <w:rsid w:val="000C4CF2"/>
    <w:rsid w:val="000C5629"/>
    <w:rsid w:val="000C5649"/>
    <w:rsid w:val="000C5E13"/>
    <w:rsid w:val="000C5E62"/>
    <w:rsid w:val="000C627F"/>
    <w:rsid w:val="000C6713"/>
    <w:rsid w:val="000C6C83"/>
    <w:rsid w:val="000C6FDD"/>
    <w:rsid w:val="000C72BD"/>
    <w:rsid w:val="000C7C1B"/>
    <w:rsid w:val="000C7EEE"/>
    <w:rsid w:val="000D024A"/>
    <w:rsid w:val="000D0511"/>
    <w:rsid w:val="000D072D"/>
    <w:rsid w:val="000D0F89"/>
    <w:rsid w:val="000D0FDD"/>
    <w:rsid w:val="000D16A0"/>
    <w:rsid w:val="000D1BFC"/>
    <w:rsid w:val="000D1D5D"/>
    <w:rsid w:val="000D2377"/>
    <w:rsid w:val="000D281A"/>
    <w:rsid w:val="000D2848"/>
    <w:rsid w:val="000D2A9A"/>
    <w:rsid w:val="000D2ADD"/>
    <w:rsid w:val="000D2C3E"/>
    <w:rsid w:val="000D326A"/>
    <w:rsid w:val="000D3BFE"/>
    <w:rsid w:val="000D3E8B"/>
    <w:rsid w:val="000D4538"/>
    <w:rsid w:val="000D49DD"/>
    <w:rsid w:val="000D51FB"/>
    <w:rsid w:val="000D527F"/>
    <w:rsid w:val="000D5C6C"/>
    <w:rsid w:val="000D6A43"/>
    <w:rsid w:val="000E00D7"/>
    <w:rsid w:val="000E0640"/>
    <w:rsid w:val="000E07D2"/>
    <w:rsid w:val="000E07EB"/>
    <w:rsid w:val="000E087E"/>
    <w:rsid w:val="000E0E88"/>
    <w:rsid w:val="000E1107"/>
    <w:rsid w:val="000E135D"/>
    <w:rsid w:val="000E1FD5"/>
    <w:rsid w:val="000E21A8"/>
    <w:rsid w:val="000E248B"/>
    <w:rsid w:val="000E2F44"/>
    <w:rsid w:val="000E4182"/>
    <w:rsid w:val="000E46BE"/>
    <w:rsid w:val="000E54DC"/>
    <w:rsid w:val="000E55AA"/>
    <w:rsid w:val="000E5E45"/>
    <w:rsid w:val="000E6AFA"/>
    <w:rsid w:val="000E6EFD"/>
    <w:rsid w:val="000E6FDE"/>
    <w:rsid w:val="000F00BA"/>
    <w:rsid w:val="000F00C8"/>
    <w:rsid w:val="000F028B"/>
    <w:rsid w:val="000F0BEE"/>
    <w:rsid w:val="000F183B"/>
    <w:rsid w:val="000F21C5"/>
    <w:rsid w:val="000F2983"/>
    <w:rsid w:val="000F2AE0"/>
    <w:rsid w:val="000F2EA4"/>
    <w:rsid w:val="000F2EF8"/>
    <w:rsid w:val="000F316A"/>
    <w:rsid w:val="000F32C2"/>
    <w:rsid w:val="000F3866"/>
    <w:rsid w:val="000F39BD"/>
    <w:rsid w:val="000F3C74"/>
    <w:rsid w:val="000F42C2"/>
    <w:rsid w:val="000F444D"/>
    <w:rsid w:val="000F4BB8"/>
    <w:rsid w:val="000F4D5D"/>
    <w:rsid w:val="000F4FA9"/>
    <w:rsid w:val="000F529A"/>
    <w:rsid w:val="000F529D"/>
    <w:rsid w:val="000F53FB"/>
    <w:rsid w:val="000F57B4"/>
    <w:rsid w:val="000F5E1F"/>
    <w:rsid w:val="000F6049"/>
    <w:rsid w:val="000F60A7"/>
    <w:rsid w:val="000F7127"/>
    <w:rsid w:val="000F7A3A"/>
    <w:rsid w:val="000F7B54"/>
    <w:rsid w:val="000F7C05"/>
    <w:rsid w:val="000F7C31"/>
    <w:rsid w:val="001000B3"/>
    <w:rsid w:val="00100637"/>
    <w:rsid w:val="00100F8A"/>
    <w:rsid w:val="0010122A"/>
    <w:rsid w:val="001012BB"/>
    <w:rsid w:val="00101F7C"/>
    <w:rsid w:val="00101FAE"/>
    <w:rsid w:val="0010200D"/>
    <w:rsid w:val="00102239"/>
    <w:rsid w:val="00102857"/>
    <w:rsid w:val="00102871"/>
    <w:rsid w:val="00103CB4"/>
    <w:rsid w:val="00103CF6"/>
    <w:rsid w:val="00104361"/>
    <w:rsid w:val="0010452E"/>
    <w:rsid w:val="001047F1"/>
    <w:rsid w:val="00104ADB"/>
    <w:rsid w:val="00105715"/>
    <w:rsid w:val="00105AE2"/>
    <w:rsid w:val="00105F57"/>
    <w:rsid w:val="001060C6"/>
    <w:rsid w:val="001062D4"/>
    <w:rsid w:val="0010665C"/>
    <w:rsid w:val="00106ACE"/>
    <w:rsid w:val="00106B80"/>
    <w:rsid w:val="0010703F"/>
    <w:rsid w:val="001070F6"/>
    <w:rsid w:val="00107C23"/>
    <w:rsid w:val="00107C3E"/>
    <w:rsid w:val="0011032E"/>
    <w:rsid w:val="00110F3E"/>
    <w:rsid w:val="00111247"/>
    <w:rsid w:val="00111280"/>
    <w:rsid w:val="001119AD"/>
    <w:rsid w:val="00111EC1"/>
    <w:rsid w:val="0011231D"/>
    <w:rsid w:val="001124DC"/>
    <w:rsid w:val="00112C61"/>
    <w:rsid w:val="001130C1"/>
    <w:rsid w:val="0011348B"/>
    <w:rsid w:val="001141C7"/>
    <w:rsid w:val="001143E8"/>
    <w:rsid w:val="0011472C"/>
    <w:rsid w:val="00114731"/>
    <w:rsid w:val="001154A7"/>
    <w:rsid w:val="0011575B"/>
    <w:rsid w:val="00115982"/>
    <w:rsid w:val="00115BE1"/>
    <w:rsid w:val="0011653C"/>
    <w:rsid w:val="00116C53"/>
    <w:rsid w:val="0011739E"/>
    <w:rsid w:val="0011739F"/>
    <w:rsid w:val="00117CF3"/>
    <w:rsid w:val="001203FC"/>
    <w:rsid w:val="00120F4F"/>
    <w:rsid w:val="00121058"/>
    <w:rsid w:val="00121799"/>
    <w:rsid w:val="001217F8"/>
    <w:rsid w:val="001219BE"/>
    <w:rsid w:val="001219C8"/>
    <w:rsid w:val="00121A79"/>
    <w:rsid w:val="00121CDF"/>
    <w:rsid w:val="001222FC"/>
    <w:rsid w:val="001227B8"/>
    <w:rsid w:val="00122906"/>
    <w:rsid w:val="001233BE"/>
    <w:rsid w:val="00123681"/>
    <w:rsid w:val="00123902"/>
    <w:rsid w:val="0012432C"/>
    <w:rsid w:val="00124A51"/>
    <w:rsid w:val="001253BC"/>
    <w:rsid w:val="00125873"/>
    <w:rsid w:val="001260D6"/>
    <w:rsid w:val="0012637C"/>
    <w:rsid w:val="001263E0"/>
    <w:rsid w:val="00126621"/>
    <w:rsid w:val="001269D4"/>
    <w:rsid w:val="00126B1D"/>
    <w:rsid w:val="00127048"/>
    <w:rsid w:val="001277C0"/>
    <w:rsid w:val="001301E9"/>
    <w:rsid w:val="00130B3D"/>
    <w:rsid w:val="00130BC3"/>
    <w:rsid w:val="00130FDA"/>
    <w:rsid w:val="001310D8"/>
    <w:rsid w:val="00131268"/>
    <w:rsid w:val="00131D82"/>
    <w:rsid w:val="00131F0A"/>
    <w:rsid w:val="001324D2"/>
    <w:rsid w:val="00132B22"/>
    <w:rsid w:val="00132ED8"/>
    <w:rsid w:val="001333E7"/>
    <w:rsid w:val="00133413"/>
    <w:rsid w:val="00133841"/>
    <w:rsid w:val="00133968"/>
    <w:rsid w:val="00133D36"/>
    <w:rsid w:val="001346DF"/>
    <w:rsid w:val="00134C26"/>
    <w:rsid w:val="00134D25"/>
    <w:rsid w:val="00135111"/>
    <w:rsid w:val="00135980"/>
    <w:rsid w:val="00136621"/>
    <w:rsid w:val="00136FFD"/>
    <w:rsid w:val="00137645"/>
    <w:rsid w:val="00137CBA"/>
    <w:rsid w:val="0014015A"/>
    <w:rsid w:val="00140CB8"/>
    <w:rsid w:val="00140CF3"/>
    <w:rsid w:val="00140E99"/>
    <w:rsid w:val="001412DA"/>
    <w:rsid w:val="00141591"/>
    <w:rsid w:val="0014174D"/>
    <w:rsid w:val="00141BD3"/>
    <w:rsid w:val="00142254"/>
    <w:rsid w:val="0014288E"/>
    <w:rsid w:val="00143B08"/>
    <w:rsid w:val="00143C43"/>
    <w:rsid w:val="00143C82"/>
    <w:rsid w:val="00143C8B"/>
    <w:rsid w:val="00143CBF"/>
    <w:rsid w:val="00143D68"/>
    <w:rsid w:val="00143DE6"/>
    <w:rsid w:val="00143F67"/>
    <w:rsid w:val="00145234"/>
    <w:rsid w:val="001452B9"/>
    <w:rsid w:val="00145540"/>
    <w:rsid w:val="001456B0"/>
    <w:rsid w:val="00145C17"/>
    <w:rsid w:val="00145DCF"/>
    <w:rsid w:val="00146324"/>
    <w:rsid w:val="001465BA"/>
    <w:rsid w:val="0014777A"/>
    <w:rsid w:val="00151556"/>
    <w:rsid w:val="001516C0"/>
    <w:rsid w:val="00151B2D"/>
    <w:rsid w:val="00151E4C"/>
    <w:rsid w:val="00152205"/>
    <w:rsid w:val="00152333"/>
    <w:rsid w:val="00153182"/>
    <w:rsid w:val="00153615"/>
    <w:rsid w:val="00153DED"/>
    <w:rsid w:val="00153F6D"/>
    <w:rsid w:val="00153F96"/>
    <w:rsid w:val="001541E1"/>
    <w:rsid w:val="001547AB"/>
    <w:rsid w:val="001548C7"/>
    <w:rsid w:val="00154922"/>
    <w:rsid w:val="0015494A"/>
    <w:rsid w:val="00154990"/>
    <w:rsid w:val="00155023"/>
    <w:rsid w:val="00155500"/>
    <w:rsid w:val="00155605"/>
    <w:rsid w:val="00155609"/>
    <w:rsid w:val="001569DD"/>
    <w:rsid w:val="00156F8F"/>
    <w:rsid w:val="00156FC3"/>
    <w:rsid w:val="00157130"/>
    <w:rsid w:val="001574EC"/>
    <w:rsid w:val="001575EA"/>
    <w:rsid w:val="001576B1"/>
    <w:rsid w:val="00157975"/>
    <w:rsid w:val="00157ACC"/>
    <w:rsid w:val="00157B4F"/>
    <w:rsid w:val="00157FDE"/>
    <w:rsid w:val="0016019E"/>
    <w:rsid w:val="0016047B"/>
    <w:rsid w:val="00160A4C"/>
    <w:rsid w:val="00161270"/>
    <w:rsid w:val="00161D02"/>
    <w:rsid w:val="00161F6D"/>
    <w:rsid w:val="00162171"/>
    <w:rsid w:val="00162913"/>
    <w:rsid w:val="00162C95"/>
    <w:rsid w:val="00162D19"/>
    <w:rsid w:val="0016347C"/>
    <w:rsid w:val="001639CD"/>
    <w:rsid w:val="00163C58"/>
    <w:rsid w:val="00163EFF"/>
    <w:rsid w:val="00163F66"/>
    <w:rsid w:val="0016419A"/>
    <w:rsid w:val="00164623"/>
    <w:rsid w:val="0016478E"/>
    <w:rsid w:val="001647EC"/>
    <w:rsid w:val="00164D51"/>
    <w:rsid w:val="00165C3A"/>
    <w:rsid w:val="00165EC4"/>
    <w:rsid w:val="001661FB"/>
    <w:rsid w:val="001667D9"/>
    <w:rsid w:val="00166BE8"/>
    <w:rsid w:val="00166D57"/>
    <w:rsid w:val="001671A0"/>
    <w:rsid w:val="00167534"/>
    <w:rsid w:val="0016767F"/>
    <w:rsid w:val="00167AFB"/>
    <w:rsid w:val="001708D3"/>
    <w:rsid w:val="00170E83"/>
    <w:rsid w:val="00171982"/>
    <w:rsid w:val="00171A25"/>
    <w:rsid w:val="00171BA1"/>
    <w:rsid w:val="00171E9F"/>
    <w:rsid w:val="0017218B"/>
    <w:rsid w:val="00172FD8"/>
    <w:rsid w:val="0017319D"/>
    <w:rsid w:val="001731C8"/>
    <w:rsid w:val="00173565"/>
    <w:rsid w:val="001737B8"/>
    <w:rsid w:val="00173B07"/>
    <w:rsid w:val="00174B22"/>
    <w:rsid w:val="00174F7A"/>
    <w:rsid w:val="001751FA"/>
    <w:rsid w:val="00175FC6"/>
    <w:rsid w:val="001768F6"/>
    <w:rsid w:val="0017694F"/>
    <w:rsid w:val="00176CED"/>
    <w:rsid w:val="00177064"/>
    <w:rsid w:val="00177317"/>
    <w:rsid w:val="00177B0E"/>
    <w:rsid w:val="00177B26"/>
    <w:rsid w:val="00177F64"/>
    <w:rsid w:val="00180310"/>
    <w:rsid w:val="00180B6D"/>
    <w:rsid w:val="00180BFF"/>
    <w:rsid w:val="00180CBD"/>
    <w:rsid w:val="001815C7"/>
    <w:rsid w:val="0018191D"/>
    <w:rsid w:val="00181991"/>
    <w:rsid w:val="00181A11"/>
    <w:rsid w:val="00181C10"/>
    <w:rsid w:val="00181D9C"/>
    <w:rsid w:val="001827FA"/>
    <w:rsid w:val="0018366A"/>
    <w:rsid w:val="001837FF"/>
    <w:rsid w:val="00183989"/>
    <w:rsid w:val="00184B0E"/>
    <w:rsid w:val="00184E21"/>
    <w:rsid w:val="00185C44"/>
    <w:rsid w:val="0018711B"/>
    <w:rsid w:val="0018752F"/>
    <w:rsid w:val="00187803"/>
    <w:rsid w:val="00187AB9"/>
    <w:rsid w:val="00187C7F"/>
    <w:rsid w:val="00187F13"/>
    <w:rsid w:val="001909D7"/>
    <w:rsid w:val="00190B4C"/>
    <w:rsid w:val="00190D4B"/>
    <w:rsid w:val="00191125"/>
    <w:rsid w:val="001915A6"/>
    <w:rsid w:val="00192045"/>
    <w:rsid w:val="001920D5"/>
    <w:rsid w:val="0019223E"/>
    <w:rsid w:val="00193635"/>
    <w:rsid w:val="001937E8"/>
    <w:rsid w:val="00193838"/>
    <w:rsid w:val="00193D71"/>
    <w:rsid w:val="00193E43"/>
    <w:rsid w:val="001945BF"/>
    <w:rsid w:val="00194AD8"/>
    <w:rsid w:val="00194E79"/>
    <w:rsid w:val="00194E9C"/>
    <w:rsid w:val="00195222"/>
    <w:rsid w:val="00195452"/>
    <w:rsid w:val="0019591F"/>
    <w:rsid w:val="001959CB"/>
    <w:rsid w:val="00196223"/>
    <w:rsid w:val="001963BF"/>
    <w:rsid w:val="00196A84"/>
    <w:rsid w:val="001975D8"/>
    <w:rsid w:val="0019793B"/>
    <w:rsid w:val="001A062F"/>
    <w:rsid w:val="001A07DE"/>
    <w:rsid w:val="001A090E"/>
    <w:rsid w:val="001A1423"/>
    <w:rsid w:val="001A16E3"/>
    <w:rsid w:val="001A178E"/>
    <w:rsid w:val="001A1D31"/>
    <w:rsid w:val="001A1F86"/>
    <w:rsid w:val="001A2408"/>
    <w:rsid w:val="001A255A"/>
    <w:rsid w:val="001A2AEB"/>
    <w:rsid w:val="001A2FE9"/>
    <w:rsid w:val="001A39D1"/>
    <w:rsid w:val="001A3A0C"/>
    <w:rsid w:val="001A3B6C"/>
    <w:rsid w:val="001A4108"/>
    <w:rsid w:val="001A43FA"/>
    <w:rsid w:val="001A47B5"/>
    <w:rsid w:val="001A47C5"/>
    <w:rsid w:val="001A4A00"/>
    <w:rsid w:val="001A4EBC"/>
    <w:rsid w:val="001A5479"/>
    <w:rsid w:val="001A59FB"/>
    <w:rsid w:val="001A5A9F"/>
    <w:rsid w:val="001A5AE8"/>
    <w:rsid w:val="001A5E9E"/>
    <w:rsid w:val="001A632D"/>
    <w:rsid w:val="001A6354"/>
    <w:rsid w:val="001A6366"/>
    <w:rsid w:val="001A6B6A"/>
    <w:rsid w:val="001A7A27"/>
    <w:rsid w:val="001A7AE8"/>
    <w:rsid w:val="001B0800"/>
    <w:rsid w:val="001B0BE3"/>
    <w:rsid w:val="001B1280"/>
    <w:rsid w:val="001B17B3"/>
    <w:rsid w:val="001B204E"/>
    <w:rsid w:val="001B2372"/>
    <w:rsid w:val="001B2396"/>
    <w:rsid w:val="001B23CE"/>
    <w:rsid w:val="001B2FC0"/>
    <w:rsid w:val="001B3443"/>
    <w:rsid w:val="001B360D"/>
    <w:rsid w:val="001B3761"/>
    <w:rsid w:val="001B3A5C"/>
    <w:rsid w:val="001B46F4"/>
    <w:rsid w:val="001B4957"/>
    <w:rsid w:val="001B4D20"/>
    <w:rsid w:val="001B4DFD"/>
    <w:rsid w:val="001B593F"/>
    <w:rsid w:val="001B5DEB"/>
    <w:rsid w:val="001B63AA"/>
    <w:rsid w:val="001B6793"/>
    <w:rsid w:val="001B6969"/>
    <w:rsid w:val="001B6E99"/>
    <w:rsid w:val="001B71C4"/>
    <w:rsid w:val="001B736D"/>
    <w:rsid w:val="001B74AB"/>
    <w:rsid w:val="001B7A1A"/>
    <w:rsid w:val="001B7F84"/>
    <w:rsid w:val="001C002E"/>
    <w:rsid w:val="001C0094"/>
    <w:rsid w:val="001C1F9B"/>
    <w:rsid w:val="001C271E"/>
    <w:rsid w:val="001C2A9B"/>
    <w:rsid w:val="001C2C3F"/>
    <w:rsid w:val="001C2D91"/>
    <w:rsid w:val="001C303C"/>
    <w:rsid w:val="001C3050"/>
    <w:rsid w:val="001C3B8A"/>
    <w:rsid w:val="001C3DD6"/>
    <w:rsid w:val="001C3EDD"/>
    <w:rsid w:val="001C4299"/>
    <w:rsid w:val="001C4874"/>
    <w:rsid w:val="001C4FF6"/>
    <w:rsid w:val="001C5DD9"/>
    <w:rsid w:val="001C5ED9"/>
    <w:rsid w:val="001C5F94"/>
    <w:rsid w:val="001C666C"/>
    <w:rsid w:val="001C6E66"/>
    <w:rsid w:val="001C7112"/>
    <w:rsid w:val="001C7862"/>
    <w:rsid w:val="001C7DC7"/>
    <w:rsid w:val="001D0DE0"/>
    <w:rsid w:val="001D10EF"/>
    <w:rsid w:val="001D1100"/>
    <w:rsid w:val="001D1391"/>
    <w:rsid w:val="001D19D9"/>
    <w:rsid w:val="001D1A42"/>
    <w:rsid w:val="001D1AA2"/>
    <w:rsid w:val="001D25D7"/>
    <w:rsid w:val="001D28D7"/>
    <w:rsid w:val="001D3C8C"/>
    <w:rsid w:val="001D4400"/>
    <w:rsid w:val="001D4E10"/>
    <w:rsid w:val="001D50B2"/>
    <w:rsid w:val="001D51D6"/>
    <w:rsid w:val="001D53EE"/>
    <w:rsid w:val="001D6FD1"/>
    <w:rsid w:val="001D71F4"/>
    <w:rsid w:val="001D75E7"/>
    <w:rsid w:val="001D7645"/>
    <w:rsid w:val="001D7A56"/>
    <w:rsid w:val="001D7DAE"/>
    <w:rsid w:val="001D7FCD"/>
    <w:rsid w:val="001E0423"/>
    <w:rsid w:val="001E0BC1"/>
    <w:rsid w:val="001E0DB4"/>
    <w:rsid w:val="001E14B3"/>
    <w:rsid w:val="001E15AE"/>
    <w:rsid w:val="001E18E8"/>
    <w:rsid w:val="001E1985"/>
    <w:rsid w:val="001E1E86"/>
    <w:rsid w:val="001E1F78"/>
    <w:rsid w:val="001E2178"/>
    <w:rsid w:val="001E226F"/>
    <w:rsid w:val="001E238E"/>
    <w:rsid w:val="001E2483"/>
    <w:rsid w:val="001E28CC"/>
    <w:rsid w:val="001E2B1E"/>
    <w:rsid w:val="001E2CFF"/>
    <w:rsid w:val="001E2F24"/>
    <w:rsid w:val="001E30D4"/>
    <w:rsid w:val="001E34DF"/>
    <w:rsid w:val="001E3B5D"/>
    <w:rsid w:val="001E3D9C"/>
    <w:rsid w:val="001E4249"/>
    <w:rsid w:val="001E51D1"/>
    <w:rsid w:val="001E52EB"/>
    <w:rsid w:val="001E61D2"/>
    <w:rsid w:val="001E62AB"/>
    <w:rsid w:val="001E6E21"/>
    <w:rsid w:val="001E6E70"/>
    <w:rsid w:val="001E7092"/>
    <w:rsid w:val="001E727A"/>
    <w:rsid w:val="001E740C"/>
    <w:rsid w:val="001E766C"/>
    <w:rsid w:val="001E78CE"/>
    <w:rsid w:val="001E796F"/>
    <w:rsid w:val="001E7FDF"/>
    <w:rsid w:val="001F0182"/>
    <w:rsid w:val="001F0401"/>
    <w:rsid w:val="001F045F"/>
    <w:rsid w:val="001F07A9"/>
    <w:rsid w:val="001F0949"/>
    <w:rsid w:val="001F0AB4"/>
    <w:rsid w:val="001F0C9B"/>
    <w:rsid w:val="001F0D0B"/>
    <w:rsid w:val="001F0DAE"/>
    <w:rsid w:val="001F0F3E"/>
    <w:rsid w:val="001F103B"/>
    <w:rsid w:val="001F1235"/>
    <w:rsid w:val="001F1CA9"/>
    <w:rsid w:val="001F1CB3"/>
    <w:rsid w:val="001F22D9"/>
    <w:rsid w:val="001F289C"/>
    <w:rsid w:val="001F2B10"/>
    <w:rsid w:val="001F310C"/>
    <w:rsid w:val="001F38B5"/>
    <w:rsid w:val="001F3928"/>
    <w:rsid w:val="001F4081"/>
    <w:rsid w:val="001F4112"/>
    <w:rsid w:val="001F5F33"/>
    <w:rsid w:val="001F64A5"/>
    <w:rsid w:val="001F6684"/>
    <w:rsid w:val="001F7361"/>
    <w:rsid w:val="001F74A2"/>
    <w:rsid w:val="0020057F"/>
    <w:rsid w:val="0020069E"/>
    <w:rsid w:val="00200C2A"/>
    <w:rsid w:val="002011B0"/>
    <w:rsid w:val="002015BA"/>
    <w:rsid w:val="00201796"/>
    <w:rsid w:val="0020218B"/>
    <w:rsid w:val="00202C37"/>
    <w:rsid w:val="00202ECC"/>
    <w:rsid w:val="00203019"/>
    <w:rsid w:val="00203154"/>
    <w:rsid w:val="00203181"/>
    <w:rsid w:val="002033C7"/>
    <w:rsid w:val="00203564"/>
    <w:rsid w:val="00203783"/>
    <w:rsid w:val="00203820"/>
    <w:rsid w:val="0020385F"/>
    <w:rsid w:val="00203F98"/>
    <w:rsid w:val="0020431A"/>
    <w:rsid w:val="00204532"/>
    <w:rsid w:val="0020471C"/>
    <w:rsid w:val="00204E1E"/>
    <w:rsid w:val="00205509"/>
    <w:rsid w:val="00205C9F"/>
    <w:rsid w:val="00206061"/>
    <w:rsid w:val="00206793"/>
    <w:rsid w:val="002068A0"/>
    <w:rsid w:val="00206CA9"/>
    <w:rsid w:val="00207021"/>
    <w:rsid w:val="002071B5"/>
    <w:rsid w:val="002071F3"/>
    <w:rsid w:val="002071FE"/>
    <w:rsid w:val="0020732F"/>
    <w:rsid w:val="00207B3E"/>
    <w:rsid w:val="00207D00"/>
    <w:rsid w:val="002105C1"/>
    <w:rsid w:val="002107D2"/>
    <w:rsid w:val="002109E4"/>
    <w:rsid w:val="002116FD"/>
    <w:rsid w:val="00211913"/>
    <w:rsid w:val="00211F8C"/>
    <w:rsid w:val="002121F5"/>
    <w:rsid w:val="0021285F"/>
    <w:rsid w:val="0021331B"/>
    <w:rsid w:val="002138CE"/>
    <w:rsid w:val="00213EF5"/>
    <w:rsid w:val="002140A1"/>
    <w:rsid w:val="00214E3A"/>
    <w:rsid w:val="002156CD"/>
    <w:rsid w:val="00215BEE"/>
    <w:rsid w:val="00215D6B"/>
    <w:rsid w:val="00215D75"/>
    <w:rsid w:val="00216BF5"/>
    <w:rsid w:val="0021739E"/>
    <w:rsid w:val="002174D9"/>
    <w:rsid w:val="00217528"/>
    <w:rsid w:val="00217904"/>
    <w:rsid w:val="00217D9F"/>
    <w:rsid w:val="00217FB8"/>
    <w:rsid w:val="00217FF6"/>
    <w:rsid w:val="00220244"/>
    <w:rsid w:val="002203E2"/>
    <w:rsid w:val="00220480"/>
    <w:rsid w:val="00221DFD"/>
    <w:rsid w:val="00222303"/>
    <w:rsid w:val="00222841"/>
    <w:rsid w:val="00222C49"/>
    <w:rsid w:val="00223B49"/>
    <w:rsid w:val="00223D5A"/>
    <w:rsid w:val="00223E55"/>
    <w:rsid w:val="002241B7"/>
    <w:rsid w:val="002244B2"/>
    <w:rsid w:val="00224671"/>
    <w:rsid w:val="00224DCA"/>
    <w:rsid w:val="00224DD4"/>
    <w:rsid w:val="0022547F"/>
    <w:rsid w:val="00225518"/>
    <w:rsid w:val="0022568F"/>
    <w:rsid w:val="00225D2C"/>
    <w:rsid w:val="00226203"/>
    <w:rsid w:val="0022625D"/>
    <w:rsid w:val="002265F9"/>
    <w:rsid w:val="00227321"/>
    <w:rsid w:val="002278A0"/>
    <w:rsid w:val="002279E1"/>
    <w:rsid w:val="00227C12"/>
    <w:rsid w:val="00227D84"/>
    <w:rsid w:val="002309CC"/>
    <w:rsid w:val="00230AED"/>
    <w:rsid w:val="00231BA9"/>
    <w:rsid w:val="00231BCD"/>
    <w:rsid w:val="00231DD4"/>
    <w:rsid w:val="00231DE6"/>
    <w:rsid w:val="0023209F"/>
    <w:rsid w:val="002327F3"/>
    <w:rsid w:val="00232A34"/>
    <w:rsid w:val="00232CAD"/>
    <w:rsid w:val="00232F04"/>
    <w:rsid w:val="002337D9"/>
    <w:rsid w:val="00233C01"/>
    <w:rsid w:val="0023413C"/>
    <w:rsid w:val="002342C4"/>
    <w:rsid w:val="002346F0"/>
    <w:rsid w:val="00234810"/>
    <w:rsid w:val="00234B3B"/>
    <w:rsid w:val="00235035"/>
    <w:rsid w:val="00235A3C"/>
    <w:rsid w:val="0023624E"/>
    <w:rsid w:val="0023629D"/>
    <w:rsid w:val="00236C84"/>
    <w:rsid w:val="00237044"/>
    <w:rsid w:val="00237233"/>
    <w:rsid w:val="00237255"/>
    <w:rsid w:val="002373D3"/>
    <w:rsid w:val="0023791E"/>
    <w:rsid w:val="00237F76"/>
    <w:rsid w:val="002404ED"/>
    <w:rsid w:val="00240557"/>
    <w:rsid w:val="00240AAA"/>
    <w:rsid w:val="00240D65"/>
    <w:rsid w:val="00240DEF"/>
    <w:rsid w:val="002411CB"/>
    <w:rsid w:val="00241248"/>
    <w:rsid w:val="00241AC6"/>
    <w:rsid w:val="00241B7A"/>
    <w:rsid w:val="00241C9C"/>
    <w:rsid w:val="00241D19"/>
    <w:rsid w:val="00242346"/>
    <w:rsid w:val="002424AF"/>
    <w:rsid w:val="0024263E"/>
    <w:rsid w:val="002429F6"/>
    <w:rsid w:val="00242D4C"/>
    <w:rsid w:val="00242F0F"/>
    <w:rsid w:val="00242F8A"/>
    <w:rsid w:val="00243978"/>
    <w:rsid w:val="002439DC"/>
    <w:rsid w:val="002440FA"/>
    <w:rsid w:val="00244111"/>
    <w:rsid w:val="002441D2"/>
    <w:rsid w:val="0024430A"/>
    <w:rsid w:val="00244519"/>
    <w:rsid w:val="00244DC8"/>
    <w:rsid w:val="002455D5"/>
    <w:rsid w:val="00245688"/>
    <w:rsid w:val="002458BA"/>
    <w:rsid w:val="00245CD4"/>
    <w:rsid w:val="00245CE9"/>
    <w:rsid w:val="00245EE6"/>
    <w:rsid w:val="0024636C"/>
    <w:rsid w:val="00246E97"/>
    <w:rsid w:val="002470B6"/>
    <w:rsid w:val="00247910"/>
    <w:rsid w:val="00247925"/>
    <w:rsid w:val="0024795F"/>
    <w:rsid w:val="00247CCB"/>
    <w:rsid w:val="00247FE5"/>
    <w:rsid w:val="00250712"/>
    <w:rsid w:val="00250ABF"/>
    <w:rsid w:val="00250BAE"/>
    <w:rsid w:val="00250C13"/>
    <w:rsid w:val="00251006"/>
    <w:rsid w:val="002513C3"/>
    <w:rsid w:val="002524D5"/>
    <w:rsid w:val="00252696"/>
    <w:rsid w:val="002529D4"/>
    <w:rsid w:val="00252C38"/>
    <w:rsid w:val="00252D25"/>
    <w:rsid w:val="00252E84"/>
    <w:rsid w:val="00252FD7"/>
    <w:rsid w:val="002530C2"/>
    <w:rsid w:val="0025322C"/>
    <w:rsid w:val="00253344"/>
    <w:rsid w:val="00253B1D"/>
    <w:rsid w:val="002546A3"/>
    <w:rsid w:val="002548EC"/>
    <w:rsid w:val="002549DE"/>
    <w:rsid w:val="00254D0A"/>
    <w:rsid w:val="00254DCF"/>
    <w:rsid w:val="002551A8"/>
    <w:rsid w:val="00255327"/>
    <w:rsid w:val="0025534B"/>
    <w:rsid w:val="00255BB7"/>
    <w:rsid w:val="00255C47"/>
    <w:rsid w:val="002568DB"/>
    <w:rsid w:val="0025693A"/>
    <w:rsid w:val="002569DF"/>
    <w:rsid w:val="00256C80"/>
    <w:rsid w:val="00257526"/>
    <w:rsid w:val="00257541"/>
    <w:rsid w:val="002578AD"/>
    <w:rsid w:val="00257A39"/>
    <w:rsid w:val="00257AC4"/>
    <w:rsid w:val="00257BBE"/>
    <w:rsid w:val="00261EEF"/>
    <w:rsid w:val="0026203D"/>
    <w:rsid w:val="00262165"/>
    <w:rsid w:val="002626C6"/>
    <w:rsid w:val="00262A1A"/>
    <w:rsid w:val="00262A87"/>
    <w:rsid w:val="002637DE"/>
    <w:rsid w:val="0026385E"/>
    <w:rsid w:val="00263E7D"/>
    <w:rsid w:val="00264D26"/>
    <w:rsid w:val="002655AA"/>
    <w:rsid w:val="00265728"/>
    <w:rsid w:val="00265AE1"/>
    <w:rsid w:val="00265D22"/>
    <w:rsid w:val="0026633C"/>
    <w:rsid w:val="00266DBB"/>
    <w:rsid w:val="00266FF4"/>
    <w:rsid w:val="0026749C"/>
    <w:rsid w:val="00267501"/>
    <w:rsid w:val="00267642"/>
    <w:rsid w:val="002676FF"/>
    <w:rsid w:val="00267A7D"/>
    <w:rsid w:val="00267AEA"/>
    <w:rsid w:val="00267AF7"/>
    <w:rsid w:val="00267E41"/>
    <w:rsid w:val="002700CB"/>
    <w:rsid w:val="002700E6"/>
    <w:rsid w:val="0027089E"/>
    <w:rsid w:val="00270B3D"/>
    <w:rsid w:val="00271571"/>
    <w:rsid w:val="00271F71"/>
    <w:rsid w:val="002723A5"/>
    <w:rsid w:val="002724B2"/>
    <w:rsid w:val="00272619"/>
    <w:rsid w:val="0027294B"/>
    <w:rsid w:val="00273056"/>
    <w:rsid w:val="0027333B"/>
    <w:rsid w:val="00273AD4"/>
    <w:rsid w:val="00273EB4"/>
    <w:rsid w:val="00274250"/>
    <w:rsid w:val="002745AA"/>
    <w:rsid w:val="00274682"/>
    <w:rsid w:val="00274A4D"/>
    <w:rsid w:val="00275158"/>
    <w:rsid w:val="0027541E"/>
    <w:rsid w:val="00275C5A"/>
    <w:rsid w:val="00275F27"/>
    <w:rsid w:val="0027696F"/>
    <w:rsid w:val="00276BE3"/>
    <w:rsid w:val="00276D72"/>
    <w:rsid w:val="00276FA3"/>
    <w:rsid w:val="00277A67"/>
    <w:rsid w:val="00277B23"/>
    <w:rsid w:val="00277B89"/>
    <w:rsid w:val="00280277"/>
    <w:rsid w:val="002802DC"/>
    <w:rsid w:val="00280853"/>
    <w:rsid w:val="00281014"/>
    <w:rsid w:val="002812CE"/>
    <w:rsid w:val="00281847"/>
    <w:rsid w:val="002819C0"/>
    <w:rsid w:val="00282733"/>
    <w:rsid w:val="00282922"/>
    <w:rsid w:val="00283C78"/>
    <w:rsid w:val="0028414C"/>
    <w:rsid w:val="002842AF"/>
    <w:rsid w:val="002846E8"/>
    <w:rsid w:val="002847C7"/>
    <w:rsid w:val="00284B47"/>
    <w:rsid w:val="00284CE2"/>
    <w:rsid w:val="002859DB"/>
    <w:rsid w:val="00285BCE"/>
    <w:rsid w:val="0028665D"/>
    <w:rsid w:val="002866EE"/>
    <w:rsid w:val="00286D57"/>
    <w:rsid w:val="00287145"/>
    <w:rsid w:val="002874F9"/>
    <w:rsid w:val="00287B3B"/>
    <w:rsid w:val="002909F8"/>
    <w:rsid w:val="002910A3"/>
    <w:rsid w:val="0029124A"/>
    <w:rsid w:val="00291BED"/>
    <w:rsid w:val="00291EDD"/>
    <w:rsid w:val="00292028"/>
    <w:rsid w:val="00292362"/>
    <w:rsid w:val="00292B43"/>
    <w:rsid w:val="00292BC4"/>
    <w:rsid w:val="00293DEE"/>
    <w:rsid w:val="00293FBC"/>
    <w:rsid w:val="002945E9"/>
    <w:rsid w:val="00295B5E"/>
    <w:rsid w:val="002965D7"/>
    <w:rsid w:val="002972BF"/>
    <w:rsid w:val="0029760A"/>
    <w:rsid w:val="00297718"/>
    <w:rsid w:val="00297C90"/>
    <w:rsid w:val="002A01F6"/>
    <w:rsid w:val="002A04F6"/>
    <w:rsid w:val="002A066D"/>
    <w:rsid w:val="002A11F8"/>
    <w:rsid w:val="002A1298"/>
    <w:rsid w:val="002A1403"/>
    <w:rsid w:val="002A1420"/>
    <w:rsid w:val="002A14AB"/>
    <w:rsid w:val="002A1571"/>
    <w:rsid w:val="002A1AE7"/>
    <w:rsid w:val="002A2ADE"/>
    <w:rsid w:val="002A2F50"/>
    <w:rsid w:val="002A3D2F"/>
    <w:rsid w:val="002A3EE0"/>
    <w:rsid w:val="002A4012"/>
    <w:rsid w:val="002A555D"/>
    <w:rsid w:val="002A56D1"/>
    <w:rsid w:val="002A58C3"/>
    <w:rsid w:val="002A598B"/>
    <w:rsid w:val="002A63AE"/>
    <w:rsid w:val="002A6E82"/>
    <w:rsid w:val="002A7496"/>
    <w:rsid w:val="002A7943"/>
    <w:rsid w:val="002A7A6A"/>
    <w:rsid w:val="002B00EF"/>
    <w:rsid w:val="002B031A"/>
    <w:rsid w:val="002B05A1"/>
    <w:rsid w:val="002B09A4"/>
    <w:rsid w:val="002B0DDF"/>
    <w:rsid w:val="002B1295"/>
    <w:rsid w:val="002B1428"/>
    <w:rsid w:val="002B179B"/>
    <w:rsid w:val="002B18FA"/>
    <w:rsid w:val="002B195F"/>
    <w:rsid w:val="002B1C1F"/>
    <w:rsid w:val="002B209A"/>
    <w:rsid w:val="002B29EA"/>
    <w:rsid w:val="002B2CDB"/>
    <w:rsid w:val="002B33E4"/>
    <w:rsid w:val="002B420B"/>
    <w:rsid w:val="002B432F"/>
    <w:rsid w:val="002B4449"/>
    <w:rsid w:val="002B49E5"/>
    <w:rsid w:val="002B4B7E"/>
    <w:rsid w:val="002B4BB3"/>
    <w:rsid w:val="002B4D88"/>
    <w:rsid w:val="002B4DEA"/>
    <w:rsid w:val="002B554C"/>
    <w:rsid w:val="002B57CF"/>
    <w:rsid w:val="002B59F2"/>
    <w:rsid w:val="002B62B3"/>
    <w:rsid w:val="002B6754"/>
    <w:rsid w:val="002B67C0"/>
    <w:rsid w:val="002B6A08"/>
    <w:rsid w:val="002B6CCE"/>
    <w:rsid w:val="002B70CB"/>
    <w:rsid w:val="002B7E65"/>
    <w:rsid w:val="002C02CC"/>
    <w:rsid w:val="002C0436"/>
    <w:rsid w:val="002C1390"/>
    <w:rsid w:val="002C1985"/>
    <w:rsid w:val="002C1B70"/>
    <w:rsid w:val="002C1C03"/>
    <w:rsid w:val="002C1E09"/>
    <w:rsid w:val="002C2491"/>
    <w:rsid w:val="002C2510"/>
    <w:rsid w:val="002C2680"/>
    <w:rsid w:val="002C2775"/>
    <w:rsid w:val="002C27C1"/>
    <w:rsid w:val="002C28F0"/>
    <w:rsid w:val="002C2ADD"/>
    <w:rsid w:val="002C2DFB"/>
    <w:rsid w:val="002C3453"/>
    <w:rsid w:val="002C35E6"/>
    <w:rsid w:val="002C36E3"/>
    <w:rsid w:val="002C3822"/>
    <w:rsid w:val="002C3F08"/>
    <w:rsid w:val="002C3FF8"/>
    <w:rsid w:val="002C40FA"/>
    <w:rsid w:val="002C4550"/>
    <w:rsid w:val="002C4904"/>
    <w:rsid w:val="002C4E57"/>
    <w:rsid w:val="002C5099"/>
    <w:rsid w:val="002C5889"/>
    <w:rsid w:val="002C5D07"/>
    <w:rsid w:val="002C5DCD"/>
    <w:rsid w:val="002C5E54"/>
    <w:rsid w:val="002C5EFC"/>
    <w:rsid w:val="002C6415"/>
    <w:rsid w:val="002C641D"/>
    <w:rsid w:val="002C6508"/>
    <w:rsid w:val="002C6DB3"/>
    <w:rsid w:val="002C6F0C"/>
    <w:rsid w:val="002C6F47"/>
    <w:rsid w:val="002C71CE"/>
    <w:rsid w:val="002C735B"/>
    <w:rsid w:val="002C7880"/>
    <w:rsid w:val="002C79B5"/>
    <w:rsid w:val="002C7DCC"/>
    <w:rsid w:val="002D08F8"/>
    <w:rsid w:val="002D0A69"/>
    <w:rsid w:val="002D0EBB"/>
    <w:rsid w:val="002D0F74"/>
    <w:rsid w:val="002D10FC"/>
    <w:rsid w:val="002D11FA"/>
    <w:rsid w:val="002D138A"/>
    <w:rsid w:val="002D1ADA"/>
    <w:rsid w:val="002D2572"/>
    <w:rsid w:val="002D2660"/>
    <w:rsid w:val="002D2AF6"/>
    <w:rsid w:val="002D2B57"/>
    <w:rsid w:val="002D335D"/>
    <w:rsid w:val="002D3783"/>
    <w:rsid w:val="002D3A2D"/>
    <w:rsid w:val="002D409D"/>
    <w:rsid w:val="002D4201"/>
    <w:rsid w:val="002D4697"/>
    <w:rsid w:val="002D469B"/>
    <w:rsid w:val="002D4936"/>
    <w:rsid w:val="002D5224"/>
    <w:rsid w:val="002D543D"/>
    <w:rsid w:val="002D577C"/>
    <w:rsid w:val="002D5DCD"/>
    <w:rsid w:val="002D5FA8"/>
    <w:rsid w:val="002D6437"/>
    <w:rsid w:val="002D697E"/>
    <w:rsid w:val="002D70AC"/>
    <w:rsid w:val="002D7432"/>
    <w:rsid w:val="002D7832"/>
    <w:rsid w:val="002E0338"/>
    <w:rsid w:val="002E081E"/>
    <w:rsid w:val="002E0D09"/>
    <w:rsid w:val="002E1071"/>
    <w:rsid w:val="002E15B9"/>
    <w:rsid w:val="002E180E"/>
    <w:rsid w:val="002E1DB8"/>
    <w:rsid w:val="002E2104"/>
    <w:rsid w:val="002E2158"/>
    <w:rsid w:val="002E21A8"/>
    <w:rsid w:val="002E2449"/>
    <w:rsid w:val="002E27F1"/>
    <w:rsid w:val="002E3159"/>
    <w:rsid w:val="002E31E9"/>
    <w:rsid w:val="002E3C8B"/>
    <w:rsid w:val="002E448E"/>
    <w:rsid w:val="002E44C9"/>
    <w:rsid w:val="002E469E"/>
    <w:rsid w:val="002E48DF"/>
    <w:rsid w:val="002E4D80"/>
    <w:rsid w:val="002E4E0A"/>
    <w:rsid w:val="002E4F02"/>
    <w:rsid w:val="002E50E9"/>
    <w:rsid w:val="002E5401"/>
    <w:rsid w:val="002E545D"/>
    <w:rsid w:val="002E5547"/>
    <w:rsid w:val="002E55E7"/>
    <w:rsid w:val="002E5675"/>
    <w:rsid w:val="002E5B59"/>
    <w:rsid w:val="002E5C42"/>
    <w:rsid w:val="002E67D4"/>
    <w:rsid w:val="002E7722"/>
    <w:rsid w:val="002E77E3"/>
    <w:rsid w:val="002E7972"/>
    <w:rsid w:val="002E79DE"/>
    <w:rsid w:val="002F0205"/>
    <w:rsid w:val="002F04D2"/>
    <w:rsid w:val="002F07BA"/>
    <w:rsid w:val="002F08F2"/>
    <w:rsid w:val="002F0DA9"/>
    <w:rsid w:val="002F1014"/>
    <w:rsid w:val="002F1A3A"/>
    <w:rsid w:val="002F1E3B"/>
    <w:rsid w:val="002F1FF7"/>
    <w:rsid w:val="002F228D"/>
    <w:rsid w:val="002F251C"/>
    <w:rsid w:val="002F2B2D"/>
    <w:rsid w:val="002F2CC7"/>
    <w:rsid w:val="002F32F3"/>
    <w:rsid w:val="002F33D6"/>
    <w:rsid w:val="002F3585"/>
    <w:rsid w:val="002F359B"/>
    <w:rsid w:val="002F375A"/>
    <w:rsid w:val="002F43AD"/>
    <w:rsid w:val="002F5174"/>
    <w:rsid w:val="002F53F6"/>
    <w:rsid w:val="002F56B0"/>
    <w:rsid w:val="002F585F"/>
    <w:rsid w:val="002F58F7"/>
    <w:rsid w:val="002F5979"/>
    <w:rsid w:val="002F5D87"/>
    <w:rsid w:val="002F61A0"/>
    <w:rsid w:val="002F643C"/>
    <w:rsid w:val="002F66C3"/>
    <w:rsid w:val="002F67B6"/>
    <w:rsid w:val="002F6D72"/>
    <w:rsid w:val="002F6FD3"/>
    <w:rsid w:val="002F6FFC"/>
    <w:rsid w:val="002F7116"/>
    <w:rsid w:val="002F71C0"/>
    <w:rsid w:val="002F7254"/>
    <w:rsid w:val="002F73A9"/>
    <w:rsid w:val="002F74F1"/>
    <w:rsid w:val="002F792D"/>
    <w:rsid w:val="002F7CB2"/>
    <w:rsid w:val="003006CF"/>
    <w:rsid w:val="00301017"/>
    <w:rsid w:val="0030155F"/>
    <w:rsid w:val="003019AE"/>
    <w:rsid w:val="00302321"/>
    <w:rsid w:val="003027B8"/>
    <w:rsid w:val="00302900"/>
    <w:rsid w:val="00302DDD"/>
    <w:rsid w:val="00303127"/>
    <w:rsid w:val="0030388D"/>
    <w:rsid w:val="003039AB"/>
    <w:rsid w:val="0030430D"/>
    <w:rsid w:val="0030561F"/>
    <w:rsid w:val="0030587B"/>
    <w:rsid w:val="00305A02"/>
    <w:rsid w:val="00305DFD"/>
    <w:rsid w:val="0030692C"/>
    <w:rsid w:val="00306D98"/>
    <w:rsid w:val="00306DDB"/>
    <w:rsid w:val="003073F4"/>
    <w:rsid w:val="003074A0"/>
    <w:rsid w:val="0030760E"/>
    <w:rsid w:val="0030786C"/>
    <w:rsid w:val="00307B0B"/>
    <w:rsid w:val="00307FBA"/>
    <w:rsid w:val="0031031A"/>
    <w:rsid w:val="00310981"/>
    <w:rsid w:val="00310DCD"/>
    <w:rsid w:val="0031134B"/>
    <w:rsid w:val="00311D9B"/>
    <w:rsid w:val="003124D9"/>
    <w:rsid w:val="00312594"/>
    <w:rsid w:val="003129C8"/>
    <w:rsid w:val="003136DA"/>
    <w:rsid w:val="00313BAF"/>
    <w:rsid w:val="00313C7A"/>
    <w:rsid w:val="00313D54"/>
    <w:rsid w:val="0031420C"/>
    <w:rsid w:val="00314A0F"/>
    <w:rsid w:val="00314F7F"/>
    <w:rsid w:val="003153CC"/>
    <w:rsid w:val="00315498"/>
    <w:rsid w:val="00315717"/>
    <w:rsid w:val="00315EFA"/>
    <w:rsid w:val="00316474"/>
    <w:rsid w:val="00316BAA"/>
    <w:rsid w:val="00316FB0"/>
    <w:rsid w:val="00317CF0"/>
    <w:rsid w:val="003206AF"/>
    <w:rsid w:val="00320CAA"/>
    <w:rsid w:val="00320D9A"/>
    <w:rsid w:val="00320DC7"/>
    <w:rsid w:val="0032106E"/>
    <w:rsid w:val="00321160"/>
    <w:rsid w:val="00322107"/>
    <w:rsid w:val="00322355"/>
    <w:rsid w:val="00322846"/>
    <w:rsid w:val="00322ABC"/>
    <w:rsid w:val="00323749"/>
    <w:rsid w:val="00323FC9"/>
    <w:rsid w:val="003241F6"/>
    <w:rsid w:val="00324366"/>
    <w:rsid w:val="003243C4"/>
    <w:rsid w:val="003246C6"/>
    <w:rsid w:val="00324EE5"/>
    <w:rsid w:val="00325343"/>
    <w:rsid w:val="00325367"/>
    <w:rsid w:val="0032644B"/>
    <w:rsid w:val="00326DA7"/>
    <w:rsid w:val="00326EC2"/>
    <w:rsid w:val="003270D5"/>
    <w:rsid w:val="003270E4"/>
    <w:rsid w:val="00327F04"/>
    <w:rsid w:val="00330537"/>
    <w:rsid w:val="00330667"/>
    <w:rsid w:val="00330C68"/>
    <w:rsid w:val="00330D5F"/>
    <w:rsid w:val="00330DAA"/>
    <w:rsid w:val="00330F5C"/>
    <w:rsid w:val="00331972"/>
    <w:rsid w:val="00331A22"/>
    <w:rsid w:val="00331CA9"/>
    <w:rsid w:val="0033224A"/>
    <w:rsid w:val="00332D9D"/>
    <w:rsid w:val="00332E0E"/>
    <w:rsid w:val="00333237"/>
    <w:rsid w:val="0033326F"/>
    <w:rsid w:val="003335E8"/>
    <w:rsid w:val="00333967"/>
    <w:rsid w:val="00333E43"/>
    <w:rsid w:val="00333EDD"/>
    <w:rsid w:val="00333FE1"/>
    <w:rsid w:val="00334259"/>
    <w:rsid w:val="0033426C"/>
    <w:rsid w:val="00334901"/>
    <w:rsid w:val="00334B1C"/>
    <w:rsid w:val="00334D3C"/>
    <w:rsid w:val="00334FE7"/>
    <w:rsid w:val="0033514A"/>
    <w:rsid w:val="00335242"/>
    <w:rsid w:val="00335959"/>
    <w:rsid w:val="003366C9"/>
    <w:rsid w:val="0033681C"/>
    <w:rsid w:val="00336ACE"/>
    <w:rsid w:val="003371B0"/>
    <w:rsid w:val="00337B16"/>
    <w:rsid w:val="0034016E"/>
    <w:rsid w:val="0034028D"/>
    <w:rsid w:val="0034057D"/>
    <w:rsid w:val="0034095B"/>
    <w:rsid w:val="00340DF1"/>
    <w:rsid w:val="00341F74"/>
    <w:rsid w:val="00342093"/>
    <w:rsid w:val="0034218E"/>
    <w:rsid w:val="003445C3"/>
    <w:rsid w:val="003462F5"/>
    <w:rsid w:val="0034649F"/>
    <w:rsid w:val="00346644"/>
    <w:rsid w:val="003467B9"/>
    <w:rsid w:val="00346A7B"/>
    <w:rsid w:val="00346A8B"/>
    <w:rsid w:val="00347395"/>
    <w:rsid w:val="00347745"/>
    <w:rsid w:val="00347958"/>
    <w:rsid w:val="00347C5D"/>
    <w:rsid w:val="00347EF3"/>
    <w:rsid w:val="0035007D"/>
    <w:rsid w:val="0035028A"/>
    <w:rsid w:val="003507ED"/>
    <w:rsid w:val="0035096F"/>
    <w:rsid w:val="003517F9"/>
    <w:rsid w:val="00351BA9"/>
    <w:rsid w:val="00351D2D"/>
    <w:rsid w:val="00352A34"/>
    <w:rsid w:val="00353655"/>
    <w:rsid w:val="00353961"/>
    <w:rsid w:val="00354062"/>
    <w:rsid w:val="003540C8"/>
    <w:rsid w:val="003541D5"/>
    <w:rsid w:val="003549F6"/>
    <w:rsid w:val="00354F64"/>
    <w:rsid w:val="00355185"/>
    <w:rsid w:val="003556BB"/>
    <w:rsid w:val="00355888"/>
    <w:rsid w:val="00355987"/>
    <w:rsid w:val="00355E92"/>
    <w:rsid w:val="0035620E"/>
    <w:rsid w:val="00356478"/>
    <w:rsid w:val="00356FB3"/>
    <w:rsid w:val="003575BE"/>
    <w:rsid w:val="0036019C"/>
    <w:rsid w:val="00360345"/>
    <w:rsid w:val="00361375"/>
    <w:rsid w:val="00361A05"/>
    <w:rsid w:val="00361A25"/>
    <w:rsid w:val="00361A4A"/>
    <w:rsid w:val="003624C4"/>
    <w:rsid w:val="00362C3D"/>
    <w:rsid w:val="00362F22"/>
    <w:rsid w:val="003631D4"/>
    <w:rsid w:val="00363243"/>
    <w:rsid w:val="003632D7"/>
    <w:rsid w:val="00363495"/>
    <w:rsid w:val="00363AD8"/>
    <w:rsid w:val="00363B00"/>
    <w:rsid w:val="00363E28"/>
    <w:rsid w:val="003654AC"/>
    <w:rsid w:val="003657FE"/>
    <w:rsid w:val="003658D4"/>
    <w:rsid w:val="003665D8"/>
    <w:rsid w:val="00366626"/>
    <w:rsid w:val="00366790"/>
    <w:rsid w:val="00366C9F"/>
    <w:rsid w:val="0036752A"/>
    <w:rsid w:val="00367C60"/>
    <w:rsid w:val="00370025"/>
    <w:rsid w:val="00370485"/>
    <w:rsid w:val="0037080E"/>
    <w:rsid w:val="003710CF"/>
    <w:rsid w:val="0037116E"/>
    <w:rsid w:val="00371359"/>
    <w:rsid w:val="003717EA"/>
    <w:rsid w:val="003721BB"/>
    <w:rsid w:val="00372509"/>
    <w:rsid w:val="003727B7"/>
    <w:rsid w:val="00372AD3"/>
    <w:rsid w:val="00372BB7"/>
    <w:rsid w:val="00372C5E"/>
    <w:rsid w:val="0037313E"/>
    <w:rsid w:val="003732CF"/>
    <w:rsid w:val="0037358A"/>
    <w:rsid w:val="00373D11"/>
    <w:rsid w:val="0037429A"/>
    <w:rsid w:val="003743FB"/>
    <w:rsid w:val="00374BE5"/>
    <w:rsid w:val="00374FEC"/>
    <w:rsid w:val="003750B8"/>
    <w:rsid w:val="003750EB"/>
    <w:rsid w:val="003750F6"/>
    <w:rsid w:val="003751D6"/>
    <w:rsid w:val="00375478"/>
    <w:rsid w:val="00375AE4"/>
    <w:rsid w:val="003760DB"/>
    <w:rsid w:val="003760FC"/>
    <w:rsid w:val="003762F8"/>
    <w:rsid w:val="00376988"/>
    <w:rsid w:val="003769F6"/>
    <w:rsid w:val="00376D95"/>
    <w:rsid w:val="0037720B"/>
    <w:rsid w:val="003772C7"/>
    <w:rsid w:val="0037791D"/>
    <w:rsid w:val="00377AA0"/>
    <w:rsid w:val="003805D6"/>
    <w:rsid w:val="00380832"/>
    <w:rsid w:val="00380C5A"/>
    <w:rsid w:val="00380E39"/>
    <w:rsid w:val="00381B5B"/>
    <w:rsid w:val="00381C9F"/>
    <w:rsid w:val="00381D4A"/>
    <w:rsid w:val="00381DDB"/>
    <w:rsid w:val="003825C3"/>
    <w:rsid w:val="00382A2D"/>
    <w:rsid w:val="00382C33"/>
    <w:rsid w:val="00382E9D"/>
    <w:rsid w:val="003835E8"/>
    <w:rsid w:val="0038365C"/>
    <w:rsid w:val="0038369B"/>
    <w:rsid w:val="0038391D"/>
    <w:rsid w:val="00383B78"/>
    <w:rsid w:val="00383B9C"/>
    <w:rsid w:val="00383EC5"/>
    <w:rsid w:val="0038454E"/>
    <w:rsid w:val="003852A7"/>
    <w:rsid w:val="00385A9D"/>
    <w:rsid w:val="00386678"/>
    <w:rsid w:val="00387121"/>
    <w:rsid w:val="00387BF3"/>
    <w:rsid w:val="00387FBE"/>
    <w:rsid w:val="003902B1"/>
    <w:rsid w:val="00390E0E"/>
    <w:rsid w:val="0039179C"/>
    <w:rsid w:val="00391814"/>
    <w:rsid w:val="00391D1C"/>
    <w:rsid w:val="00392121"/>
    <w:rsid w:val="0039278C"/>
    <w:rsid w:val="0039309D"/>
    <w:rsid w:val="00393409"/>
    <w:rsid w:val="0039379B"/>
    <w:rsid w:val="00393A24"/>
    <w:rsid w:val="00394392"/>
    <w:rsid w:val="00394528"/>
    <w:rsid w:val="0039462C"/>
    <w:rsid w:val="003950AA"/>
    <w:rsid w:val="00395B79"/>
    <w:rsid w:val="00395EC7"/>
    <w:rsid w:val="0039627C"/>
    <w:rsid w:val="003964DE"/>
    <w:rsid w:val="00396896"/>
    <w:rsid w:val="00396A8E"/>
    <w:rsid w:val="00396D29"/>
    <w:rsid w:val="00396FD0"/>
    <w:rsid w:val="003975FA"/>
    <w:rsid w:val="00397946"/>
    <w:rsid w:val="00397CDF"/>
    <w:rsid w:val="00397D47"/>
    <w:rsid w:val="003A04FC"/>
    <w:rsid w:val="003A0AC4"/>
    <w:rsid w:val="003A10B2"/>
    <w:rsid w:val="003A16B6"/>
    <w:rsid w:val="003A1876"/>
    <w:rsid w:val="003A1A7A"/>
    <w:rsid w:val="003A1B36"/>
    <w:rsid w:val="003A1D15"/>
    <w:rsid w:val="003A2392"/>
    <w:rsid w:val="003A24E6"/>
    <w:rsid w:val="003A26FC"/>
    <w:rsid w:val="003A2831"/>
    <w:rsid w:val="003A2FA9"/>
    <w:rsid w:val="003A302D"/>
    <w:rsid w:val="003A3106"/>
    <w:rsid w:val="003A3569"/>
    <w:rsid w:val="003A3575"/>
    <w:rsid w:val="003A39A0"/>
    <w:rsid w:val="003A3CB6"/>
    <w:rsid w:val="003A3ED1"/>
    <w:rsid w:val="003A433D"/>
    <w:rsid w:val="003A44DB"/>
    <w:rsid w:val="003A47F3"/>
    <w:rsid w:val="003A4AD2"/>
    <w:rsid w:val="003A4B72"/>
    <w:rsid w:val="003A4C14"/>
    <w:rsid w:val="003A503E"/>
    <w:rsid w:val="003A6314"/>
    <w:rsid w:val="003A6362"/>
    <w:rsid w:val="003A7199"/>
    <w:rsid w:val="003A76C3"/>
    <w:rsid w:val="003A78BF"/>
    <w:rsid w:val="003A7CD1"/>
    <w:rsid w:val="003B0A35"/>
    <w:rsid w:val="003B0C8E"/>
    <w:rsid w:val="003B0FED"/>
    <w:rsid w:val="003B16CA"/>
    <w:rsid w:val="003B1AE0"/>
    <w:rsid w:val="003B24A9"/>
    <w:rsid w:val="003B3971"/>
    <w:rsid w:val="003B3A0C"/>
    <w:rsid w:val="003B40E9"/>
    <w:rsid w:val="003B4F3E"/>
    <w:rsid w:val="003B4F8B"/>
    <w:rsid w:val="003B5147"/>
    <w:rsid w:val="003B5252"/>
    <w:rsid w:val="003B55D1"/>
    <w:rsid w:val="003B5B61"/>
    <w:rsid w:val="003B60D1"/>
    <w:rsid w:val="003B68BB"/>
    <w:rsid w:val="003B6E52"/>
    <w:rsid w:val="003B709B"/>
    <w:rsid w:val="003B7839"/>
    <w:rsid w:val="003B7B32"/>
    <w:rsid w:val="003B7B9F"/>
    <w:rsid w:val="003B7BFC"/>
    <w:rsid w:val="003B7C02"/>
    <w:rsid w:val="003C0FA1"/>
    <w:rsid w:val="003C1329"/>
    <w:rsid w:val="003C13C4"/>
    <w:rsid w:val="003C14C3"/>
    <w:rsid w:val="003C1654"/>
    <w:rsid w:val="003C1F29"/>
    <w:rsid w:val="003C1F6C"/>
    <w:rsid w:val="003C2D96"/>
    <w:rsid w:val="003C3102"/>
    <w:rsid w:val="003C3224"/>
    <w:rsid w:val="003C4332"/>
    <w:rsid w:val="003C4909"/>
    <w:rsid w:val="003C50E2"/>
    <w:rsid w:val="003C5542"/>
    <w:rsid w:val="003C56B4"/>
    <w:rsid w:val="003C5960"/>
    <w:rsid w:val="003C60E3"/>
    <w:rsid w:val="003C6AB6"/>
    <w:rsid w:val="003C6F89"/>
    <w:rsid w:val="003C6FF8"/>
    <w:rsid w:val="003C7648"/>
    <w:rsid w:val="003C7C15"/>
    <w:rsid w:val="003C7D19"/>
    <w:rsid w:val="003C7D2F"/>
    <w:rsid w:val="003C7E4F"/>
    <w:rsid w:val="003C7F95"/>
    <w:rsid w:val="003D07AD"/>
    <w:rsid w:val="003D0C5A"/>
    <w:rsid w:val="003D1828"/>
    <w:rsid w:val="003D1DE4"/>
    <w:rsid w:val="003D1E9A"/>
    <w:rsid w:val="003D2422"/>
    <w:rsid w:val="003D2742"/>
    <w:rsid w:val="003D2EA4"/>
    <w:rsid w:val="003D33BC"/>
    <w:rsid w:val="003D39A1"/>
    <w:rsid w:val="003D3D99"/>
    <w:rsid w:val="003D3FBF"/>
    <w:rsid w:val="003D4214"/>
    <w:rsid w:val="003D42DA"/>
    <w:rsid w:val="003D45C3"/>
    <w:rsid w:val="003D4865"/>
    <w:rsid w:val="003D4A30"/>
    <w:rsid w:val="003D4FD3"/>
    <w:rsid w:val="003D5670"/>
    <w:rsid w:val="003D595F"/>
    <w:rsid w:val="003D5DC6"/>
    <w:rsid w:val="003D5DE7"/>
    <w:rsid w:val="003D6DDB"/>
    <w:rsid w:val="003D72F9"/>
    <w:rsid w:val="003D7452"/>
    <w:rsid w:val="003D790C"/>
    <w:rsid w:val="003D79BB"/>
    <w:rsid w:val="003D7C98"/>
    <w:rsid w:val="003D7D9D"/>
    <w:rsid w:val="003E0543"/>
    <w:rsid w:val="003E129A"/>
    <w:rsid w:val="003E1C2D"/>
    <w:rsid w:val="003E1E4D"/>
    <w:rsid w:val="003E1F44"/>
    <w:rsid w:val="003E212B"/>
    <w:rsid w:val="003E23DF"/>
    <w:rsid w:val="003E2E85"/>
    <w:rsid w:val="003E42F0"/>
    <w:rsid w:val="003E4484"/>
    <w:rsid w:val="003E4654"/>
    <w:rsid w:val="003E49BF"/>
    <w:rsid w:val="003E5603"/>
    <w:rsid w:val="003E563C"/>
    <w:rsid w:val="003E56AA"/>
    <w:rsid w:val="003E59DB"/>
    <w:rsid w:val="003E5D95"/>
    <w:rsid w:val="003E5DC3"/>
    <w:rsid w:val="003E6047"/>
    <w:rsid w:val="003E6345"/>
    <w:rsid w:val="003E749E"/>
    <w:rsid w:val="003E753F"/>
    <w:rsid w:val="003E756F"/>
    <w:rsid w:val="003E76CF"/>
    <w:rsid w:val="003F0732"/>
    <w:rsid w:val="003F1CA7"/>
    <w:rsid w:val="003F21E5"/>
    <w:rsid w:val="003F2556"/>
    <w:rsid w:val="003F295D"/>
    <w:rsid w:val="003F3A5D"/>
    <w:rsid w:val="003F3F18"/>
    <w:rsid w:val="003F4156"/>
    <w:rsid w:val="003F49C2"/>
    <w:rsid w:val="003F4ABB"/>
    <w:rsid w:val="003F5783"/>
    <w:rsid w:val="003F5892"/>
    <w:rsid w:val="003F5ADF"/>
    <w:rsid w:val="003F5CE2"/>
    <w:rsid w:val="003F5D51"/>
    <w:rsid w:val="003F663A"/>
    <w:rsid w:val="003F6949"/>
    <w:rsid w:val="003F7068"/>
    <w:rsid w:val="00400047"/>
    <w:rsid w:val="004002BB"/>
    <w:rsid w:val="004005A5"/>
    <w:rsid w:val="004008C4"/>
    <w:rsid w:val="00400B29"/>
    <w:rsid w:val="004025FF"/>
    <w:rsid w:val="0040276E"/>
    <w:rsid w:val="00402812"/>
    <w:rsid w:val="00402845"/>
    <w:rsid w:val="004043AE"/>
    <w:rsid w:val="00404600"/>
    <w:rsid w:val="004047C5"/>
    <w:rsid w:val="004049F3"/>
    <w:rsid w:val="0040504B"/>
    <w:rsid w:val="00405145"/>
    <w:rsid w:val="0040573C"/>
    <w:rsid w:val="004059F4"/>
    <w:rsid w:val="00406165"/>
    <w:rsid w:val="00406284"/>
    <w:rsid w:val="0040629F"/>
    <w:rsid w:val="004063F8"/>
    <w:rsid w:val="004066FE"/>
    <w:rsid w:val="00406C2B"/>
    <w:rsid w:val="00407104"/>
    <w:rsid w:val="00407E8A"/>
    <w:rsid w:val="00407FE5"/>
    <w:rsid w:val="0041010D"/>
    <w:rsid w:val="004101B0"/>
    <w:rsid w:val="004102AC"/>
    <w:rsid w:val="00410326"/>
    <w:rsid w:val="004105EB"/>
    <w:rsid w:val="004105F5"/>
    <w:rsid w:val="00410708"/>
    <w:rsid w:val="00410745"/>
    <w:rsid w:val="00410A88"/>
    <w:rsid w:val="00410EC7"/>
    <w:rsid w:val="0041148C"/>
    <w:rsid w:val="00411B39"/>
    <w:rsid w:val="0041259B"/>
    <w:rsid w:val="004127A7"/>
    <w:rsid w:val="004127CA"/>
    <w:rsid w:val="004131BC"/>
    <w:rsid w:val="00413A1E"/>
    <w:rsid w:val="00413C15"/>
    <w:rsid w:val="00413D8A"/>
    <w:rsid w:val="00414476"/>
    <w:rsid w:val="00414C2E"/>
    <w:rsid w:val="00414F1D"/>
    <w:rsid w:val="004150C0"/>
    <w:rsid w:val="004151CF"/>
    <w:rsid w:val="004157F6"/>
    <w:rsid w:val="00415F42"/>
    <w:rsid w:val="0041621C"/>
    <w:rsid w:val="00416364"/>
    <w:rsid w:val="004163B8"/>
    <w:rsid w:val="00416897"/>
    <w:rsid w:val="00416DA8"/>
    <w:rsid w:val="00416EA4"/>
    <w:rsid w:val="00417260"/>
    <w:rsid w:val="004175DB"/>
    <w:rsid w:val="00417F3E"/>
    <w:rsid w:val="00420129"/>
    <w:rsid w:val="00420399"/>
    <w:rsid w:val="0042047F"/>
    <w:rsid w:val="00420AA6"/>
    <w:rsid w:val="00420B9F"/>
    <w:rsid w:val="0042104F"/>
    <w:rsid w:val="0042121D"/>
    <w:rsid w:val="00421241"/>
    <w:rsid w:val="0042192C"/>
    <w:rsid w:val="00421ACD"/>
    <w:rsid w:val="0042213C"/>
    <w:rsid w:val="00422260"/>
    <w:rsid w:val="0042293C"/>
    <w:rsid w:val="00422E31"/>
    <w:rsid w:val="004230EA"/>
    <w:rsid w:val="004238C9"/>
    <w:rsid w:val="00423DCA"/>
    <w:rsid w:val="0042413F"/>
    <w:rsid w:val="00424659"/>
    <w:rsid w:val="004246BE"/>
    <w:rsid w:val="004246F5"/>
    <w:rsid w:val="00424AE6"/>
    <w:rsid w:val="00424AF8"/>
    <w:rsid w:val="004257FA"/>
    <w:rsid w:val="00425EE3"/>
    <w:rsid w:val="004263D6"/>
    <w:rsid w:val="0042651B"/>
    <w:rsid w:val="004269C9"/>
    <w:rsid w:val="0042758E"/>
    <w:rsid w:val="00430A87"/>
    <w:rsid w:val="004319F8"/>
    <w:rsid w:val="00431AF1"/>
    <w:rsid w:val="00431E55"/>
    <w:rsid w:val="004321F6"/>
    <w:rsid w:val="00432BDC"/>
    <w:rsid w:val="00433044"/>
    <w:rsid w:val="00433764"/>
    <w:rsid w:val="00433992"/>
    <w:rsid w:val="00433EDC"/>
    <w:rsid w:val="00434088"/>
    <w:rsid w:val="004352AF"/>
    <w:rsid w:val="00435377"/>
    <w:rsid w:val="004368F9"/>
    <w:rsid w:val="00436951"/>
    <w:rsid w:val="00436989"/>
    <w:rsid w:val="004375B9"/>
    <w:rsid w:val="004379CA"/>
    <w:rsid w:val="00437B36"/>
    <w:rsid w:val="00440347"/>
    <w:rsid w:val="004408C0"/>
    <w:rsid w:val="0044124A"/>
    <w:rsid w:val="00441753"/>
    <w:rsid w:val="00441B75"/>
    <w:rsid w:val="00441C6E"/>
    <w:rsid w:val="0044231B"/>
    <w:rsid w:val="004428D0"/>
    <w:rsid w:val="00442C4B"/>
    <w:rsid w:val="00443467"/>
    <w:rsid w:val="0044348E"/>
    <w:rsid w:val="00443A8D"/>
    <w:rsid w:val="00443CF5"/>
    <w:rsid w:val="00443FDE"/>
    <w:rsid w:val="00444185"/>
    <w:rsid w:val="004443A7"/>
    <w:rsid w:val="0044442C"/>
    <w:rsid w:val="0044553E"/>
    <w:rsid w:val="00445941"/>
    <w:rsid w:val="004464A1"/>
    <w:rsid w:val="004464EB"/>
    <w:rsid w:val="00446569"/>
    <w:rsid w:val="00446CF2"/>
    <w:rsid w:val="004470D1"/>
    <w:rsid w:val="004478E4"/>
    <w:rsid w:val="004479C8"/>
    <w:rsid w:val="00447CB7"/>
    <w:rsid w:val="00447D26"/>
    <w:rsid w:val="00447DFC"/>
    <w:rsid w:val="00447EEE"/>
    <w:rsid w:val="00450138"/>
    <w:rsid w:val="00450143"/>
    <w:rsid w:val="0045015B"/>
    <w:rsid w:val="004506E4"/>
    <w:rsid w:val="004507B9"/>
    <w:rsid w:val="00450DA3"/>
    <w:rsid w:val="004521D8"/>
    <w:rsid w:val="004522B3"/>
    <w:rsid w:val="004524A9"/>
    <w:rsid w:val="0045259C"/>
    <w:rsid w:val="004525D2"/>
    <w:rsid w:val="00452ACE"/>
    <w:rsid w:val="00453178"/>
    <w:rsid w:val="00453190"/>
    <w:rsid w:val="004531AC"/>
    <w:rsid w:val="00453802"/>
    <w:rsid w:val="004540CE"/>
    <w:rsid w:val="00454E1D"/>
    <w:rsid w:val="004552F9"/>
    <w:rsid w:val="00455557"/>
    <w:rsid w:val="00455D45"/>
    <w:rsid w:val="00456BDF"/>
    <w:rsid w:val="00456D3A"/>
    <w:rsid w:val="00456F1D"/>
    <w:rsid w:val="00457615"/>
    <w:rsid w:val="00457744"/>
    <w:rsid w:val="00457AE2"/>
    <w:rsid w:val="00457CB2"/>
    <w:rsid w:val="0046019B"/>
    <w:rsid w:val="004604AE"/>
    <w:rsid w:val="00460CD3"/>
    <w:rsid w:val="00461546"/>
    <w:rsid w:val="004615D6"/>
    <w:rsid w:val="00461ADD"/>
    <w:rsid w:val="00462CFA"/>
    <w:rsid w:val="00462E62"/>
    <w:rsid w:val="004636EC"/>
    <w:rsid w:val="00464595"/>
    <w:rsid w:val="00464A3C"/>
    <w:rsid w:val="004654BC"/>
    <w:rsid w:val="00465609"/>
    <w:rsid w:val="004658B5"/>
    <w:rsid w:val="00465C29"/>
    <w:rsid w:val="004664C2"/>
    <w:rsid w:val="0046747B"/>
    <w:rsid w:val="00467842"/>
    <w:rsid w:val="00467D94"/>
    <w:rsid w:val="00470936"/>
    <w:rsid w:val="00471902"/>
    <w:rsid w:val="00471BBB"/>
    <w:rsid w:val="00471EA5"/>
    <w:rsid w:val="00472273"/>
    <w:rsid w:val="0047276B"/>
    <w:rsid w:val="004727CB"/>
    <w:rsid w:val="00472988"/>
    <w:rsid w:val="00472A79"/>
    <w:rsid w:val="00472C01"/>
    <w:rsid w:val="00473133"/>
    <w:rsid w:val="00473243"/>
    <w:rsid w:val="004738B9"/>
    <w:rsid w:val="004738EF"/>
    <w:rsid w:val="00473F19"/>
    <w:rsid w:val="00473F40"/>
    <w:rsid w:val="00473FD6"/>
    <w:rsid w:val="004744D2"/>
    <w:rsid w:val="00475076"/>
    <w:rsid w:val="004758C4"/>
    <w:rsid w:val="00475A49"/>
    <w:rsid w:val="00475B1D"/>
    <w:rsid w:val="00475E22"/>
    <w:rsid w:val="004766A4"/>
    <w:rsid w:val="00477A13"/>
    <w:rsid w:val="00477BE3"/>
    <w:rsid w:val="0048088E"/>
    <w:rsid w:val="00480AB4"/>
    <w:rsid w:val="00480E94"/>
    <w:rsid w:val="00480F2B"/>
    <w:rsid w:val="004814D3"/>
    <w:rsid w:val="00481507"/>
    <w:rsid w:val="00481597"/>
    <w:rsid w:val="00481D22"/>
    <w:rsid w:val="004823C4"/>
    <w:rsid w:val="00482720"/>
    <w:rsid w:val="00482B0A"/>
    <w:rsid w:val="00482B59"/>
    <w:rsid w:val="004835E7"/>
    <w:rsid w:val="004837DA"/>
    <w:rsid w:val="00483A7D"/>
    <w:rsid w:val="00483DA9"/>
    <w:rsid w:val="00484131"/>
    <w:rsid w:val="00484630"/>
    <w:rsid w:val="004846DD"/>
    <w:rsid w:val="00484EDE"/>
    <w:rsid w:val="00485086"/>
    <w:rsid w:val="00485990"/>
    <w:rsid w:val="004859E1"/>
    <w:rsid w:val="00485BAB"/>
    <w:rsid w:val="00486186"/>
    <w:rsid w:val="004867AB"/>
    <w:rsid w:val="004867E2"/>
    <w:rsid w:val="00486A09"/>
    <w:rsid w:val="004874B4"/>
    <w:rsid w:val="00487BE2"/>
    <w:rsid w:val="004905DA"/>
    <w:rsid w:val="004908F7"/>
    <w:rsid w:val="00490AD2"/>
    <w:rsid w:val="00490B17"/>
    <w:rsid w:val="00491B3A"/>
    <w:rsid w:val="004927E7"/>
    <w:rsid w:val="004929CD"/>
    <w:rsid w:val="00492CFD"/>
    <w:rsid w:val="00493209"/>
    <w:rsid w:val="004932A2"/>
    <w:rsid w:val="004936F3"/>
    <w:rsid w:val="0049417B"/>
    <w:rsid w:val="00494207"/>
    <w:rsid w:val="00494DD5"/>
    <w:rsid w:val="004956B1"/>
    <w:rsid w:val="004959C4"/>
    <w:rsid w:val="004960E6"/>
    <w:rsid w:val="004962D2"/>
    <w:rsid w:val="0049630F"/>
    <w:rsid w:val="004968AB"/>
    <w:rsid w:val="0049690E"/>
    <w:rsid w:val="00496DED"/>
    <w:rsid w:val="00497790"/>
    <w:rsid w:val="004979B4"/>
    <w:rsid w:val="00497D64"/>
    <w:rsid w:val="00497F4C"/>
    <w:rsid w:val="004A050B"/>
    <w:rsid w:val="004A0657"/>
    <w:rsid w:val="004A08B3"/>
    <w:rsid w:val="004A0DA1"/>
    <w:rsid w:val="004A1085"/>
    <w:rsid w:val="004A13D6"/>
    <w:rsid w:val="004A2A2B"/>
    <w:rsid w:val="004A2BD3"/>
    <w:rsid w:val="004A2C52"/>
    <w:rsid w:val="004A2E8D"/>
    <w:rsid w:val="004A388C"/>
    <w:rsid w:val="004A38B5"/>
    <w:rsid w:val="004A3936"/>
    <w:rsid w:val="004A3ED8"/>
    <w:rsid w:val="004A4789"/>
    <w:rsid w:val="004A52E9"/>
    <w:rsid w:val="004A5E0B"/>
    <w:rsid w:val="004A5F12"/>
    <w:rsid w:val="004A6040"/>
    <w:rsid w:val="004A60C9"/>
    <w:rsid w:val="004A6597"/>
    <w:rsid w:val="004A717D"/>
    <w:rsid w:val="004A723C"/>
    <w:rsid w:val="004A7296"/>
    <w:rsid w:val="004A7848"/>
    <w:rsid w:val="004A793B"/>
    <w:rsid w:val="004A7AB3"/>
    <w:rsid w:val="004B04E6"/>
    <w:rsid w:val="004B1117"/>
    <w:rsid w:val="004B1CB4"/>
    <w:rsid w:val="004B20C8"/>
    <w:rsid w:val="004B2322"/>
    <w:rsid w:val="004B23AB"/>
    <w:rsid w:val="004B27B4"/>
    <w:rsid w:val="004B2C15"/>
    <w:rsid w:val="004B2DBD"/>
    <w:rsid w:val="004B2E92"/>
    <w:rsid w:val="004B2F18"/>
    <w:rsid w:val="004B345A"/>
    <w:rsid w:val="004B3DDB"/>
    <w:rsid w:val="004B44CE"/>
    <w:rsid w:val="004B44FD"/>
    <w:rsid w:val="004B46E3"/>
    <w:rsid w:val="004B4B2A"/>
    <w:rsid w:val="004B4BC6"/>
    <w:rsid w:val="004B4E41"/>
    <w:rsid w:val="004B52B0"/>
    <w:rsid w:val="004B5CFC"/>
    <w:rsid w:val="004B625A"/>
    <w:rsid w:val="004B646C"/>
    <w:rsid w:val="004B6F79"/>
    <w:rsid w:val="004B6FBB"/>
    <w:rsid w:val="004B702D"/>
    <w:rsid w:val="004B774D"/>
    <w:rsid w:val="004B7885"/>
    <w:rsid w:val="004B7A6E"/>
    <w:rsid w:val="004B7B3B"/>
    <w:rsid w:val="004B7D92"/>
    <w:rsid w:val="004C01F9"/>
    <w:rsid w:val="004C057D"/>
    <w:rsid w:val="004C067E"/>
    <w:rsid w:val="004C0BD8"/>
    <w:rsid w:val="004C1868"/>
    <w:rsid w:val="004C1B2B"/>
    <w:rsid w:val="004C1C83"/>
    <w:rsid w:val="004C1D8F"/>
    <w:rsid w:val="004C2091"/>
    <w:rsid w:val="004C2AC2"/>
    <w:rsid w:val="004C2FB2"/>
    <w:rsid w:val="004C3B02"/>
    <w:rsid w:val="004C3FF0"/>
    <w:rsid w:val="004C43B4"/>
    <w:rsid w:val="004C4858"/>
    <w:rsid w:val="004C4AED"/>
    <w:rsid w:val="004C4EF6"/>
    <w:rsid w:val="004C5569"/>
    <w:rsid w:val="004C5770"/>
    <w:rsid w:val="004C6374"/>
    <w:rsid w:val="004C63EA"/>
    <w:rsid w:val="004C7881"/>
    <w:rsid w:val="004C7A11"/>
    <w:rsid w:val="004D0496"/>
    <w:rsid w:val="004D053D"/>
    <w:rsid w:val="004D0747"/>
    <w:rsid w:val="004D0914"/>
    <w:rsid w:val="004D0D07"/>
    <w:rsid w:val="004D1562"/>
    <w:rsid w:val="004D199A"/>
    <w:rsid w:val="004D1A71"/>
    <w:rsid w:val="004D2101"/>
    <w:rsid w:val="004D241E"/>
    <w:rsid w:val="004D26B7"/>
    <w:rsid w:val="004D2C2D"/>
    <w:rsid w:val="004D2CD0"/>
    <w:rsid w:val="004D31E8"/>
    <w:rsid w:val="004D3883"/>
    <w:rsid w:val="004D394A"/>
    <w:rsid w:val="004D3990"/>
    <w:rsid w:val="004D3AD3"/>
    <w:rsid w:val="004D4280"/>
    <w:rsid w:val="004D431B"/>
    <w:rsid w:val="004D462F"/>
    <w:rsid w:val="004D5363"/>
    <w:rsid w:val="004D568C"/>
    <w:rsid w:val="004D5BC3"/>
    <w:rsid w:val="004D69B5"/>
    <w:rsid w:val="004D7227"/>
    <w:rsid w:val="004D7B5E"/>
    <w:rsid w:val="004D7B94"/>
    <w:rsid w:val="004E00FE"/>
    <w:rsid w:val="004E017C"/>
    <w:rsid w:val="004E05F4"/>
    <w:rsid w:val="004E0900"/>
    <w:rsid w:val="004E0992"/>
    <w:rsid w:val="004E0E7F"/>
    <w:rsid w:val="004E0EB8"/>
    <w:rsid w:val="004E14EC"/>
    <w:rsid w:val="004E18E9"/>
    <w:rsid w:val="004E2656"/>
    <w:rsid w:val="004E2ADC"/>
    <w:rsid w:val="004E2D16"/>
    <w:rsid w:val="004E2F52"/>
    <w:rsid w:val="004E2F8C"/>
    <w:rsid w:val="004E34D1"/>
    <w:rsid w:val="004E3621"/>
    <w:rsid w:val="004E364E"/>
    <w:rsid w:val="004E3BDA"/>
    <w:rsid w:val="004E3DF0"/>
    <w:rsid w:val="004E4000"/>
    <w:rsid w:val="004E411C"/>
    <w:rsid w:val="004E424C"/>
    <w:rsid w:val="004E43B2"/>
    <w:rsid w:val="004E489D"/>
    <w:rsid w:val="004E4B08"/>
    <w:rsid w:val="004E5C40"/>
    <w:rsid w:val="004E6169"/>
    <w:rsid w:val="004E64DF"/>
    <w:rsid w:val="004E6B51"/>
    <w:rsid w:val="004E7135"/>
    <w:rsid w:val="004E7DE6"/>
    <w:rsid w:val="004E7F5E"/>
    <w:rsid w:val="004E7FDD"/>
    <w:rsid w:val="004F0366"/>
    <w:rsid w:val="004F0800"/>
    <w:rsid w:val="004F0B60"/>
    <w:rsid w:val="004F15DE"/>
    <w:rsid w:val="004F1C97"/>
    <w:rsid w:val="004F1D02"/>
    <w:rsid w:val="004F1D73"/>
    <w:rsid w:val="004F2679"/>
    <w:rsid w:val="004F2959"/>
    <w:rsid w:val="004F2F21"/>
    <w:rsid w:val="004F3099"/>
    <w:rsid w:val="004F3677"/>
    <w:rsid w:val="004F3DE5"/>
    <w:rsid w:val="004F3F75"/>
    <w:rsid w:val="004F4DAD"/>
    <w:rsid w:val="004F598B"/>
    <w:rsid w:val="004F616A"/>
    <w:rsid w:val="004F6913"/>
    <w:rsid w:val="004F6975"/>
    <w:rsid w:val="004F6C04"/>
    <w:rsid w:val="004F6E94"/>
    <w:rsid w:val="004F72F8"/>
    <w:rsid w:val="004F7865"/>
    <w:rsid w:val="004F7926"/>
    <w:rsid w:val="004F7C76"/>
    <w:rsid w:val="005002D9"/>
    <w:rsid w:val="00500354"/>
    <w:rsid w:val="0050116D"/>
    <w:rsid w:val="0050174E"/>
    <w:rsid w:val="00501854"/>
    <w:rsid w:val="0050219B"/>
    <w:rsid w:val="0050269C"/>
    <w:rsid w:val="00502BF5"/>
    <w:rsid w:val="00502F63"/>
    <w:rsid w:val="00503708"/>
    <w:rsid w:val="00503B8C"/>
    <w:rsid w:val="00503F17"/>
    <w:rsid w:val="00503F3A"/>
    <w:rsid w:val="005043F3"/>
    <w:rsid w:val="00504499"/>
    <w:rsid w:val="00504C17"/>
    <w:rsid w:val="00505B0F"/>
    <w:rsid w:val="00505B2F"/>
    <w:rsid w:val="0050604D"/>
    <w:rsid w:val="005068D3"/>
    <w:rsid w:val="00506928"/>
    <w:rsid w:val="00506DCA"/>
    <w:rsid w:val="00506F8F"/>
    <w:rsid w:val="00507142"/>
    <w:rsid w:val="00507192"/>
    <w:rsid w:val="00507577"/>
    <w:rsid w:val="005077EF"/>
    <w:rsid w:val="0050795C"/>
    <w:rsid w:val="005079CA"/>
    <w:rsid w:val="00510444"/>
    <w:rsid w:val="00510E29"/>
    <w:rsid w:val="0051199C"/>
    <w:rsid w:val="00511AD5"/>
    <w:rsid w:val="00511D0F"/>
    <w:rsid w:val="00511DC7"/>
    <w:rsid w:val="0051386E"/>
    <w:rsid w:val="005142C5"/>
    <w:rsid w:val="00514691"/>
    <w:rsid w:val="005146E4"/>
    <w:rsid w:val="00514FA8"/>
    <w:rsid w:val="0051501B"/>
    <w:rsid w:val="0051506D"/>
    <w:rsid w:val="005152B5"/>
    <w:rsid w:val="0051580A"/>
    <w:rsid w:val="00515886"/>
    <w:rsid w:val="00515D18"/>
    <w:rsid w:val="005160B9"/>
    <w:rsid w:val="00516871"/>
    <w:rsid w:val="00517845"/>
    <w:rsid w:val="00520679"/>
    <w:rsid w:val="00520C04"/>
    <w:rsid w:val="005211DA"/>
    <w:rsid w:val="0052123C"/>
    <w:rsid w:val="00521319"/>
    <w:rsid w:val="005216DE"/>
    <w:rsid w:val="00521898"/>
    <w:rsid w:val="00521D04"/>
    <w:rsid w:val="00521F4D"/>
    <w:rsid w:val="00522924"/>
    <w:rsid w:val="00522BC8"/>
    <w:rsid w:val="00522E9E"/>
    <w:rsid w:val="0052322A"/>
    <w:rsid w:val="0052362E"/>
    <w:rsid w:val="00523705"/>
    <w:rsid w:val="00523AF2"/>
    <w:rsid w:val="00523C28"/>
    <w:rsid w:val="00523FCA"/>
    <w:rsid w:val="0052472E"/>
    <w:rsid w:val="00524F34"/>
    <w:rsid w:val="0052549A"/>
    <w:rsid w:val="00525C1E"/>
    <w:rsid w:val="00526057"/>
    <w:rsid w:val="0052622F"/>
    <w:rsid w:val="00526C1D"/>
    <w:rsid w:val="00526C8B"/>
    <w:rsid w:val="00526DB5"/>
    <w:rsid w:val="00527B3D"/>
    <w:rsid w:val="005302F0"/>
    <w:rsid w:val="00530B6A"/>
    <w:rsid w:val="005315BC"/>
    <w:rsid w:val="0053176B"/>
    <w:rsid w:val="0053180A"/>
    <w:rsid w:val="005319EC"/>
    <w:rsid w:val="00531B73"/>
    <w:rsid w:val="00532D1F"/>
    <w:rsid w:val="00532DAD"/>
    <w:rsid w:val="00532E3B"/>
    <w:rsid w:val="00532F08"/>
    <w:rsid w:val="005341B3"/>
    <w:rsid w:val="0053455D"/>
    <w:rsid w:val="00535297"/>
    <w:rsid w:val="00535EEE"/>
    <w:rsid w:val="005367EF"/>
    <w:rsid w:val="00536CA6"/>
    <w:rsid w:val="00536F42"/>
    <w:rsid w:val="00537182"/>
    <w:rsid w:val="00537672"/>
    <w:rsid w:val="0053796B"/>
    <w:rsid w:val="00540A65"/>
    <w:rsid w:val="00540CE0"/>
    <w:rsid w:val="005417C1"/>
    <w:rsid w:val="005418DA"/>
    <w:rsid w:val="005419C4"/>
    <w:rsid w:val="00541D45"/>
    <w:rsid w:val="00541EDD"/>
    <w:rsid w:val="00542354"/>
    <w:rsid w:val="00542594"/>
    <w:rsid w:val="0054268C"/>
    <w:rsid w:val="005426E1"/>
    <w:rsid w:val="00542743"/>
    <w:rsid w:val="00542C2D"/>
    <w:rsid w:val="00542F0A"/>
    <w:rsid w:val="00543926"/>
    <w:rsid w:val="00543CEE"/>
    <w:rsid w:val="005441D6"/>
    <w:rsid w:val="00544CD2"/>
    <w:rsid w:val="005450B1"/>
    <w:rsid w:val="00545222"/>
    <w:rsid w:val="005452E7"/>
    <w:rsid w:val="005453AF"/>
    <w:rsid w:val="00545546"/>
    <w:rsid w:val="00545A2C"/>
    <w:rsid w:val="00546668"/>
    <w:rsid w:val="00546BEE"/>
    <w:rsid w:val="0054733C"/>
    <w:rsid w:val="00547393"/>
    <w:rsid w:val="0054757F"/>
    <w:rsid w:val="005478BD"/>
    <w:rsid w:val="005479E3"/>
    <w:rsid w:val="0055034A"/>
    <w:rsid w:val="005510B7"/>
    <w:rsid w:val="005510EE"/>
    <w:rsid w:val="00551411"/>
    <w:rsid w:val="00551985"/>
    <w:rsid w:val="00551B27"/>
    <w:rsid w:val="00552113"/>
    <w:rsid w:val="0055273A"/>
    <w:rsid w:val="0055290B"/>
    <w:rsid w:val="00552A0A"/>
    <w:rsid w:val="00552B96"/>
    <w:rsid w:val="00552BD3"/>
    <w:rsid w:val="00552E2B"/>
    <w:rsid w:val="00552E9B"/>
    <w:rsid w:val="005532A0"/>
    <w:rsid w:val="005533D6"/>
    <w:rsid w:val="00553448"/>
    <w:rsid w:val="00554AEA"/>
    <w:rsid w:val="00554B88"/>
    <w:rsid w:val="00554F1D"/>
    <w:rsid w:val="00554FDD"/>
    <w:rsid w:val="00555109"/>
    <w:rsid w:val="00555232"/>
    <w:rsid w:val="005552F1"/>
    <w:rsid w:val="00555779"/>
    <w:rsid w:val="00555D19"/>
    <w:rsid w:val="005560E3"/>
    <w:rsid w:val="0055637F"/>
    <w:rsid w:val="005569E5"/>
    <w:rsid w:val="00556B35"/>
    <w:rsid w:val="00557227"/>
    <w:rsid w:val="00557406"/>
    <w:rsid w:val="0055741A"/>
    <w:rsid w:val="00557B27"/>
    <w:rsid w:val="00561127"/>
    <w:rsid w:val="005611B7"/>
    <w:rsid w:val="005618D4"/>
    <w:rsid w:val="00561D35"/>
    <w:rsid w:val="00562DA4"/>
    <w:rsid w:val="00562F15"/>
    <w:rsid w:val="00563231"/>
    <w:rsid w:val="00563C9B"/>
    <w:rsid w:val="005645A1"/>
    <w:rsid w:val="00564793"/>
    <w:rsid w:val="00564867"/>
    <w:rsid w:val="005648BE"/>
    <w:rsid w:val="00565336"/>
    <w:rsid w:val="00565525"/>
    <w:rsid w:val="00565C79"/>
    <w:rsid w:val="00565DF0"/>
    <w:rsid w:val="0056696F"/>
    <w:rsid w:val="00567274"/>
    <w:rsid w:val="005673F6"/>
    <w:rsid w:val="00567A64"/>
    <w:rsid w:val="005705A9"/>
    <w:rsid w:val="00571A98"/>
    <w:rsid w:val="00571B08"/>
    <w:rsid w:val="00571C0D"/>
    <w:rsid w:val="00571DC4"/>
    <w:rsid w:val="00571F80"/>
    <w:rsid w:val="00572269"/>
    <w:rsid w:val="0057244A"/>
    <w:rsid w:val="00572B2E"/>
    <w:rsid w:val="00572BD0"/>
    <w:rsid w:val="00572F26"/>
    <w:rsid w:val="00573360"/>
    <w:rsid w:val="0057473E"/>
    <w:rsid w:val="005748A2"/>
    <w:rsid w:val="005750C5"/>
    <w:rsid w:val="005752DE"/>
    <w:rsid w:val="005756A3"/>
    <w:rsid w:val="00575D60"/>
    <w:rsid w:val="00575D8D"/>
    <w:rsid w:val="00576741"/>
    <w:rsid w:val="00576972"/>
    <w:rsid w:val="00577248"/>
    <w:rsid w:val="005779BC"/>
    <w:rsid w:val="005801A2"/>
    <w:rsid w:val="0058041F"/>
    <w:rsid w:val="005806DF"/>
    <w:rsid w:val="00580A03"/>
    <w:rsid w:val="00581397"/>
    <w:rsid w:val="005816D5"/>
    <w:rsid w:val="00581A23"/>
    <w:rsid w:val="00582309"/>
    <w:rsid w:val="00583320"/>
    <w:rsid w:val="005834DA"/>
    <w:rsid w:val="0058361A"/>
    <w:rsid w:val="00583699"/>
    <w:rsid w:val="005837D1"/>
    <w:rsid w:val="0058396A"/>
    <w:rsid w:val="00583974"/>
    <w:rsid w:val="00583A3F"/>
    <w:rsid w:val="00583D92"/>
    <w:rsid w:val="00584302"/>
    <w:rsid w:val="0058441F"/>
    <w:rsid w:val="00584FF0"/>
    <w:rsid w:val="00585173"/>
    <w:rsid w:val="00585CDD"/>
    <w:rsid w:val="00586755"/>
    <w:rsid w:val="00586DA4"/>
    <w:rsid w:val="00587058"/>
    <w:rsid w:val="00587911"/>
    <w:rsid w:val="00587EC4"/>
    <w:rsid w:val="0059163D"/>
    <w:rsid w:val="00591957"/>
    <w:rsid w:val="00591D81"/>
    <w:rsid w:val="00591EBB"/>
    <w:rsid w:val="0059208D"/>
    <w:rsid w:val="0059208F"/>
    <w:rsid w:val="00592721"/>
    <w:rsid w:val="00592E17"/>
    <w:rsid w:val="00592EE4"/>
    <w:rsid w:val="0059392D"/>
    <w:rsid w:val="0059397B"/>
    <w:rsid w:val="00593C35"/>
    <w:rsid w:val="00593C47"/>
    <w:rsid w:val="005946D2"/>
    <w:rsid w:val="005958CD"/>
    <w:rsid w:val="0059591E"/>
    <w:rsid w:val="00595B7E"/>
    <w:rsid w:val="0059628E"/>
    <w:rsid w:val="0059631F"/>
    <w:rsid w:val="005966DE"/>
    <w:rsid w:val="005967F8"/>
    <w:rsid w:val="005969A3"/>
    <w:rsid w:val="00596BA0"/>
    <w:rsid w:val="00596F9C"/>
    <w:rsid w:val="00596FE5"/>
    <w:rsid w:val="00597B56"/>
    <w:rsid w:val="00597BF9"/>
    <w:rsid w:val="005A003A"/>
    <w:rsid w:val="005A00F1"/>
    <w:rsid w:val="005A0823"/>
    <w:rsid w:val="005A0C11"/>
    <w:rsid w:val="005A105F"/>
    <w:rsid w:val="005A10C9"/>
    <w:rsid w:val="005A1535"/>
    <w:rsid w:val="005A158E"/>
    <w:rsid w:val="005A160B"/>
    <w:rsid w:val="005A170F"/>
    <w:rsid w:val="005A1BA5"/>
    <w:rsid w:val="005A1DDA"/>
    <w:rsid w:val="005A2087"/>
    <w:rsid w:val="005A2164"/>
    <w:rsid w:val="005A2314"/>
    <w:rsid w:val="005A26AC"/>
    <w:rsid w:val="005A2D0E"/>
    <w:rsid w:val="005A309A"/>
    <w:rsid w:val="005A3443"/>
    <w:rsid w:val="005A373D"/>
    <w:rsid w:val="005A3DE0"/>
    <w:rsid w:val="005A3F35"/>
    <w:rsid w:val="005A46A3"/>
    <w:rsid w:val="005A49CC"/>
    <w:rsid w:val="005A4F13"/>
    <w:rsid w:val="005A54B4"/>
    <w:rsid w:val="005A7E83"/>
    <w:rsid w:val="005B03DE"/>
    <w:rsid w:val="005B0B58"/>
    <w:rsid w:val="005B0DF3"/>
    <w:rsid w:val="005B1FDC"/>
    <w:rsid w:val="005B2105"/>
    <w:rsid w:val="005B3404"/>
    <w:rsid w:val="005B3D23"/>
    <w:rsid w:val="005B416C"/>
    <w:rsid w:val="005B41EC"/>
    <w:rsid w:val="005B47C2"/>
    <w:rsid w:val="005B4AF7"/>
    <w:rsid w:val="005B4BE5"/>
    <w:rsid w:val="005B4E53"/>
    <w:rsid w:val="005B5857"/>
    <w:rsid w:val="005B5D50"/>
    <w:rsid w:val="005B5DBF"/>
    <w:rsid w:val="005B5FEE"/>
    <w:rsid w:val="005B6A9D"/>
    <w:rsid w:val="005B6DB6"/>
    <w:rsid w:val="005B6E58"/>
    <w:rsid w:val="005B73E8"/>
    <w:rsid w:val="005B76E2"/>
    <w:rsid w:val="005B795B"/>
    <w:rsid w:val="005B7F94"/>
    <w:rsid w:val="005C0181"/>
    <w:rsid w:val="005C02C5"/>
    <w:rsid w:val="005C05EB"/>
    <w:rsid w:val="005C0CB5"/>
    <w:rsid w:val="005C12BF"/>
    <w:rsid w:val="005C1750"/>
    <w:rsid w:val="005C17B2"/>
    <w:rsid w:val="005C19C4"/>
    <w:rsid w:val="005C1B83"/>
    <w:rsid w:val="005C1CE2"/>
    <w:rsid w:val="005C25FF"/>
    <w:rsid w:val="005C2C69"/>
    <w:rsid w:val="005C2D55"/>
    <w:rsid w:val="005C2DCD"/>
    <w:rsid w:val="005C346B"/>
    <w:rsid w:val="005C35F8"/>
    <w:rsid w:val="005C3AD3"/>
    <w:rsid w:val="005C3E59"/>
    <w:rsid w:val="005C3EC2"/>
    <w:rsid w:val="005C4235"/>
    <w:rsid w:val="005C4B68"/>
    <w:rsid w:val="005C53AE"/>
    <w:rsid w:val="005C5680"/>
    <w:rsid w:val="005C57C1"/>
    <w:rsid w:val="005C5A55"/>
    <w:rsid w:val="005C5ABC"/>
    <w:rsid w:val="005C5D04"/>
    <w:rsid w:val="005C6425"/>
    <w:rsid w:val="005C65BC"/>
    <w:rsid w:val="005C6838"/>
    <w:rsid w:val="005C7713"/>
    <w:rsid w:val="005D044D"/>
    <w:rsid w:val="005D07CD"/>
    <w:rsid w:val="005D0ABD"/>
    <w:rsid w:val="005D108F"/>
    <w:rsid w:val="005D129A"/>
    <w:rsid w:val="005D17A0"/>
    <w:rsid w:val="005D18AD"/>
    <w:rsid w:val="005D26B4"/>
    <w:rsid w:val="005D2B52"/>
    <w:rsid w:val="005D3C3E"/>
    <w:rsid w:val="005D402E"/>
    <w:rsid w:val="005D43FA"/>
    <w:rsid w:val="005D4433"/>
    <w:rsid w:val="005D4618"/>
    <w:rsid w:val="005D55D0"/>
    <w:rsid w:val="005D5ACE"/>
    <w:rsid w:val="005D5B9C"/>
    <w:rsid w:val="005D611B"/>
    <w:rsid w:val="005D623E"/>
    <w:rsid w:val="005D6D9E"/>
    <w:rsid w:val="005D7C76"/>
    <w:rsid w:val="005D7CE5"/>
    <w:rsid w:val="005D7F33"/>
    <w:rsid w:val="005D7FF8"/>
    <w:rsid w:val="005E0F48"/>
    <w:rsid w:val="005E1995"/>
    <w:rsid w:val="005E3212"/>
    <w:rsid w:val="005E4145"/>
    <w:rsid w:val="005E4B5F"/>
    <w:rsid w:val="005E53B1"/>
    <w:rsid w:val="005E59AB"/>
    <w:rsid w:val="005E5B15"/>
    <w:rsid w:val="005E5F24"/>
    <w:rsid w:val="005E6417"/>
    <w:rsid w:val="005E6482"/>
    <w:rsid w:val="005E6CBC"/>
    <w:rsid w:val="005E719F"/>
    <w:rsid w:val="005E72A9"/>
    <w:rsid w:val="005E72FF"/>
    <w:rsid w:val="005E73AE"/>
    <w:rsid w:val="005E73C0"/>
    <w:rsid w:val="005E7749"/>
    <w:rsid w:val="005E7B4E"/>
    <w:rsid w:val="005F07ED"/>
    <w:rsid w:val="005F09A5"/>
    <w:rsid w:val="005F0C56"/>
    <w:rsid w:val="005F12D7"/>
    <w:rsid w:val="005F1518"/>
    <w:rsid w:val="005F15A6"/>
    <w:rsid w:val="005F1D6E"/>
    <w:rsid w:val="005F2517"/>
    <w:rsid w:val="005F266A"/>
    <w:rsid w:val="005F2674"/>
    <w:rsid w:val="005F2706"/>
    <w:rsid w:val="005F2B56"/>
    <w:rsid w:val="005F2CBF"/>
    <w:rsid w:val="005F3C86"/>
    <w:rsid w:val="005F47C5"/>
    <w:rsid w:val="005F5172"/>
    <w:rsid w:val="005F606B"/>
    <w:rsid w:val="005F6669"/>
    <w:rsid w:val="005F6A8F"/>
    <w:rsid w:val="005F6BB7"/>
    <w:rsid w:val="005F6FD8"/>
    <w:rsid w:val="005F7588"/>
    <w:rsid w:val="005F781C"/>
    <w:rsid w:val="006009D7"/>
    <w:rsid w:val="00601190"/>
    <w:rsid w:val="00601408"/>
    <w:rsid w:val="006018F5"/>
    <w:rsid w:val="00601919"/>
    <w:rsid w:val="006028D3"/>
    <w:rsid w:val="00602AD0"/>
    <w:rsid w:val="00602D13"/>
    <w:rsid w:val="0060331F"/>
    <w:rsid w:val="00603330"/>
    <w:rsid w:val="00603DB9"/>
    <w:rsid w:val="00604178"/>
    <w:rsid w:val="00604EAB"/>
    <w:rsid w:val="00604F16"/>
    <w:rsid w:val="006056F2"/>
    <w:rsid w:val="00605DD8"/>
    <w:rsid w:val="00606AF4"/>
    <w:rsid w:val="00606E46"/>
    <w:rsid w:val="00606FBA"/>
    <w:rsid w:val="0060716C"/>
    <w:rsid w:val="00607669"/>
    <w:rsid w:val="006076F4"/>
    <w:rsid w:val="006078F2"/>
    <w:rsid w:val="00607AFD"/>
    <w:rsid w:val="00607C7E"/>
    <w:rsid w:val="00607DE9"/>
    <w:rsid w:val="00607E30"/>
    <w:rsid w:val="006103FF"/>
    <w:rsid w:val="00610837"/>
    <w:rsid w:val="00610AE3"/>
    <w:rsid w:val="006115D8"/>
    <w:rsid w:val="0061174D"/>
    <w:rsid w:val="00611B12"/>
    <w:rsid w:val="00612319"/>
    <w:rsid w:val="006124B0"/>
    <w:rsid w:val="00612E8F"/>
    <w:rsid w:val="00612EBC"/>
    <w:rsid w:val="00612F97"/>
    <w:rsid w:val="00613236"/>
    <w:rsid w:val="0061345D"/>
    <w:rsid w:val="00613831"/>
    <w:rsid w:val="0061394A"/>
    <w:rsid w:val="00613FA5"/>
    <w:rsid w:val="00614217"/>
    <w:rsid w:val="006142E1"/>
    <w:rsid w:val="00614572"/>
    <w:rsid w:val="00614D1D"/>
    <w:rsid w:val="00614D9B"/>
    <w:rsid w:val="0061549B"/>
    <w:rsid w:val="006165E4"/>
    <w:rsid w:val="00616802"/>
    <w:rsid w:val="00616895"/>
    <w:rsid w:val="00616A3F"/>
    <w:rsid w:val="00617048"/>
    <w:rsid w:val="00617AA8"/>
    <w:rsid w:val="00617E12"/>
    <w:rsid w:val="0062005F"/>
    <w:rsid w:val="00620526"/>
    <w:rsid w:val="0062091C"/>
    <w:rsid w:val="00620C25"/>
    <w:rsid w:val="00620DC0"/>
    <w:rsid w:val="006211ED"/>
    <w:rsid w:val="006212BA"/>
    <w:rsid w:val="00621349"/>
    <w:rsid w:val="00621477"/>
    <w:rsid w:val="006214AA"/>
    <w:rsid w:val="00621ADA"/>
    <w:rsid w:val="00621C3B"/>
    <w:rsid w:val="00622282"/>
    <w:rsid w:val="006226C3"/>
    <w:rsid w:val="0062293E"/>
    <w:rsid w:val="00622B38"/>
    <w:rsid w:val="00622FB3"/>
    <w:rsid w:val="00623239"/>
    <w:rsid w:val="00623272"/>
    <w:rsid w:val="00623396"/>
    <w:rsid w:val="006235AE"/>
    <w:rsid w:val="00623933"/>
    <w:rsid w:val="00623996"/>
    <w:rsid w:val="00623F7B"/>
    <w:rsid w:val="00624B0D"/>
    <w:rsid w:val="00624BD4"/>
    <w:rsid w:val="00625070"/>
    <w:rsid w:val="0062633D"/>
    <w:rsid w:val="00626A39"/>
    <w:rsid w:val="00627980"/>
    <w:rsid w:val="00627BD5"/>
    <w:rsid w:val="00627C9E"/>
    <w:rsid w:val="006303ED"/>
    <w:rsid w:val="00630F8D"/>
    <w:rsid w:val="006310DE"/>
    <w:rsid w:val="0063158F"/>
    <w:rsid w:val="00631A56"/>
    <w:rsid w:val="00631D6B"/>
    <w:rsid w:val="00632183"/>
    <w:rsid w:val="006327BC"/>
    <w:rsid w:val="0063302D"/>
    <w:rsid w:val="006330A1"/>
    <w:rsid w:val="006331F7"/>
    <w:rsid w:val="00633AC3"/>
    <w:rsid w:val="0063453D"/>
    <w:rsid w:val="0063479F"/>
    <w:rsid w:val="0063494C"/>
    <w:rsid w:val="00634B12"/>
    <w:rsid w:val="00634EAE"/>
    <w:rsid w:val="006353F0"/>
    <w:rsid w:val="006357B5"/>
    <w:rsid w:val="006364A1"/>
    <w:rsid w:val="0063678E"/>
    <w:rsid w:val="0063686A"/>
    <w:rsid w:val="006368AC"/>
    <w:rsid w:val="00636E27"/>
    <w:rsid w:val="00636FC0"/>
    <w:rsid w:val="0063749B"/>
    <w:rsid w:val="00637970"/>
    <w:rsid w:val="00637BFD"/>
    <w:rsid w:val="00637C5C"/>
    <w:rsid w:val="00637FCA"/>
    <w:rsid w:val="00640072"/>
    <w:rsid w:val="00640254"/>
    <w:rsid w:val="00640701"/>
    <w:rsid w:val="00640805"/>
    <w:rsid w:val="0064082B"/>
    <w:rsid w:val="006412CE"/>
    <w:rsid w:val="006413FB"/>
    <w:rsid w:val="00641C4E"/>
    <w:rsid w:val="00641D6F"/>
    <w:rsid w:val="00641FB3"/>
    <w:rsid w:val="006427B7"/>
    <w:rsid w:val="00643083"/>
    <w:rsid w:val="006438B7"/>
    <w:rsid w:val="00643969"/>
    <w:rsid w:val="00643C88"/>
    <w:rsid w:val="00643C8F"/>
    <w:rsid w:val="0064420A"/>
    <w:rsid w:val="0064434C"/>
    <w:rsid w:val="00644593"/>
    <w:rsid w:val="00644AB0"/>
    <w:rsid w:val="00645000"/>
    <w:rsid w:val="00645204"/>
    <w:rsid w:val="00645832"/>
    <w:rsid w:val="00646D92"/>
    <w:rsid w:val="006471CC"/>
    <w:rsid w:val="006472FE"/>
    <w:rsid w:val="006474AA"/>
    <w:rsid w:val="006476DD"/>
    <w:rsid w:val="00647A29"/>
    <w:rsid w:val="00650418"/>
    <w:rsid w:val="0065073E"/>
    <w:rsid w:val="0065079F"/>
    <w:rsid w:val="006510FA"/>
    <w:rsid w:val="00651138"/>
    <w:rsid w:val="006512D1"/>
    <w:rsid w:val="0065147A"/>
    <w:rsid w:val="006517F0"/>
    <w:rsid w:val="00651E4E"/>
    <w:rsid w:val="006520CA"/>
    <w:rsid w:val="0065220F"/>
    <w:rsid w:val="0065238E"/>
    <w:rsid w:val="00652A28"/>
    <w:rsid w:val="00652BE3"/>
    <w:rsid w:val="00653365"/>
    <w:rsid w:val="006536AC"/>
    <w:rsid w:val="0065379F"/>
    <w:rsid w:val="00654550"/>
    <w:rsid w:val="00654D09"/>
    <w:rsid w:val="00654F6D"/>
    <w:rsid w:val="00654FBA"/>
    <w:rsid w:val="006559D0"/>
    <w:rsid w:val="00656188"/>
    <w:rsid w:val="006569F4"/>
    <w:rsid w:val="00656E58"/>
    <w:rsid w:val="0065715A"/>
    <w:rsid w:val="006574F5"/>
    <w:rsid w:val="00657FF4"/>
    <w:rsid w:val="0066064D"/>
    <w:rsid w:val="00660665"/>
    <w:rsid w:val="00660E87"/>
    <w:rsid w:val="006610F1"/>
    <w:rsid w:val="0066151F"/>
    <w:rsid w:val="00661685"/>
    <w:rsid w:val="00661C6B"/>
    <w:rsid w:val="00661D6B"/>
    <w:rsid w:val="00662445"/>
    <w:rsid w:val="0066253A"/>
    <w:rsid w:val="00662A25"/>
    <w:rsid w:val="00662C2F"/>
    <w:rsid w:val="00662D3E"/>
    <w:rsid w:val="006633D7"/>
    <w:rsid w:val="00663431"/>
    <w:rsid w:val="00663B34"/>
    <w:rsid w:val="00664044"/>
    <w:rsid w:val="0066440E"/>
    <w:rsid w:val="00664BD1"/>
    <w:rsid w:val="00664F08"/>
    <w:rsid w:val="0066544E"/>
    <w:rsid w:val="00666605"/>
    <w:rsid w:val="0066685A"/>
    <w:rsid w:val="00666B35"/>
    <w:rsid w:val="006671CF"/>
    <w:rsid w:val="006672D7"/>
    <w:rsid w:val="00667B36"/>
    <w:rsid w:val="00667BE3"/>
    <w:rsid w:val="00670046"/>
    <w:rsid w:val="00670DA8"/>
    <w:rsid w:val="00671004"/>
    <w:rsid w:val="006712DB"/>
    <w:rsid w:val="0067139B"/>
    <w:rsid w:val="00672646"/>
    <w:rsid w:val="006727CC"/>
    <w:rsid w:val="00672B63"/>
    <w:rsid w:val="00672CB9"/>
    <w:rsid w:val="00673654"/>
    <w:rsid w:val="00673696"/>
    <w:rsid w:val="00673782"/>
    <w:rsid w:val="00673DD0"/>
    <w:rsid w:val="00674C05"/>
    <w:rsid w:val="00674E42"/>
    <w:rsid w:val="006756F2"/>
    <w:rsid w:val="00675E52"/>
    <w:rsid w:val="006761C2"/>
    <w:rsid w:val="00676563"/>
    <w:rsid w:val="00677A53"/>
    <w:rsid w:val="00677E7B"/>
    <w:rsid w:val="006805DE"/>
    <w:rsid w:val="00680984"/>
    <w:rsid w:val="00681146"/>
    <w:rsid w:val="006813F8"/>
    <w:rsid w:val="00681B5C"/>
    <w:rsid w:val="00682112"/>
    <w:rsid w:val="0068216C"/>
    <w:rsid w:val="00682BA6"/>
    <w:rsid w:val="00682C5F"/>
    <w:rsid w:val="0068348B"/>
    <w:rsid w:val="0068367A"/>
    <w:rsid w:val="006839C3"/>
    <w:rsid w:val="00683E28"/>
    <w:rsid w:val="00683F1E"/>
    <w:rsid w:val="0068560B"/>
    <w:rsid w:val="00686327"/>
    <w:rsid w:val="006866B0"/>
    <w:rsid w:val="00686957"/>
    <w:rsid w:val="00687001"/>
    <w:rsid w:val="006872BA"/>
    <w:rsid w:val="0068775C"/>
    <w:rsid w:val="00687848"/>
    <w:rsid w:val="00687D87"/>
    <w:rsid w:val="00690532"/>
    <w:rsid w:val="00690795"/>
    <w:rsid w:val="006908FA"/>
    <w:rsid w:val="0069099D"/>
    <w:rsid w:val="00690DB4"/>
    <w:rsid w:val="00691648"/>
    <w:rsid w:val="006917D7"/>
    <w:rsid w:val="00691CAD"/>
    <w:rsid w:val="0069244D"/>
    <w:rsid w:val="006926E3"/>
    <w:rsid w:val="00692920"/>
    <w:rsid w:val="00692BC4"/>
    <w:rsid w:val="00692C68"/>
    <w:rsid w:val="00693376"/>
    <w:rsid w:val="00693B07"/>
    <w:rsid w:val="00693B90"/>
    <w:rsid w:val="00693D4B"/>
    <w:rsid w:val="0069434C"/>
    <w:rsid w:val="006946F7"/>
    <w:rsid w:val="00694F44"/>
    <w:rsid w:val="00695FA0"/>
    <w:rsid w:val="00695FA4"/>
    <w:rsid w:val="00696241"/>
    <w:rsid w:val="0069665B"/>
    <w:rsid w:val="00696EF9"/>
    <w:rsid w:val="00696F51"/>
    <w:rsid w:val="0069756E"/>
    <w:rsid w:val="00697688"/>
    <w:rsid w:val="006978F4"/>
    <w:rsid w:val="006979A5"/>
    <w:rsid w:val="006979DE"/>
    <w:rsid w:val="006A016F"/>
    <w:rsid w:val="006A01C2"/>
    <w:rsid w:val="006A039B"/>
    <w:rsid w:val="006A08ED"/>
    <w:rsid w:val="006A0DF7"/>
    <w:rsid w:val="006A1029"/>
    <w:rsid w:val="006A11F3"/>
    <w:rsid w:val="006A13A2"/>
    <w:rsid w:val="006A212D"/>
    <w:rsid w:val="006A21C2"/>
    <w:rsid w:val="006A22DB"/>
    <w:rsid w:val="006A2484"/>
    <w:rsid w:val="006A25B6"/>
    <w:rsid w:val="006A29FC"/>
    <w:rsid w:val="006A2DE2"/>
    <w:rsid w:val="006A3C49"/>
    <w:rsid w:val="006A4078"/>
    <w:rsid w:val="006A4321"/>
    <w:rsid w:val="006A43D9"/>
    <w:rsid w:val="006A4B90"/>
    <w:rsid w:val="006A4CD8"/>
    <w:rsid w:val="006A5117"/>
    <w:rsid w:val="006A5232"/>
    <w:rsid w:val="006A5702"/>
    <w:rsid w:val="006A57F9"/>
    <w:rsid w:val="006A6B99"/>
    <w:rsid w:val="006A748B"/>
    <w:rsid w:val="006A78F9"/>
    <w:rsid w:val="006A7A14"/>
    <w:rsid w:val="006A7E5F"/>
    <w:rsid w:val="006B0062"/>
    <w:rsid w:val="006B082C"/>
    <w:rsid w:val="006B09F5"/>
    <w:rsid w:val="006B0C33"/>
    <w:rsid w:val="006B0C7D"/>
    <w:rsid w:val="006B160F"/>
    <w:rsid w:val="006B1921"/>
    <w:rsid w:val="006B19BD"/>
    <w:rsid w:val="006B1BCB"/>
    <w:rsid w:val="006B2497"/>
    <w:rsid w:val="006B261B"/>
    <w:rsid w:val="006B2C90"/>
    <w:rsid w:val="006B34A1"/>
    <w:rsid w:val="006B35E6"/>
    <w:rsid w:val="006B3763"/>
    <w:rsid w:val="006B43A8"/>
    <w:rsid w:val="006B465A"/>
    <w:rsid w:val="006B4D6F"/>
    <w:rsid w:val="006B5119"/>
    <w:rsid w:val="006B5F5C"/>
    <w:rsid w:val="006B61DA"/>
    <w:rsid w:val="006B642B"/>
    <w:rsid w:val="006B6DD0"/>
    <w:rsid w:val="006B7258"/>
    <w:rsid w:val="006B7612"/>
    <w:rsid w:val="006B7AA0"/>
    <w:rsid w:val="006B7DAA"/>
    <w:rsid w:val="006C0399"/>
    <w:rsid w:val="006C114F"/>
    <w:rsid w:val="006C1738"/>
    <w:rsid w:val="006C1AB8"/>
    <w:rsid w:val="006C2473"/>
    <w:rsid w:val="006C2A8E"/>
    <w:rsid w:val="006C2FC2"/>
    <w:rsid w:val="006C3255"/>
    <w:rsid w:val="006C3880"/>
    <w:rsid w:val="006C3F26"/>
    <w:rsid w:val="006C42F3"/>
    <w:rsid w:val="006C47F2"/>
    <w:rsid w:val="006C4862"/>
    <w:rsid w:val="006C48BB"/>
    <w:rsid w:val="006C4E83"/>
    <w:rsid w:val="006C5629"/>
    <w:rsid w:val="006C5C54"/>
    <w:rsid w:val="006C5D34"/>
    <w:rsid w:val="006C6752"/>
    <w:rsid w:val="006C6806"/>
    <w:rsid w:val="006C69FF"/>
    <w:rsid w:val="006C6CCC"/>
    <w:rsid w:val="006C7713"/>
    <w:rsid w:val="006D0357"/>
    <w:rsid w:val="006D0D17"/>
    <w:rsid w:val="006D124B"/>
    <w:rsid w:val="006D13F0"/>
    <w:rsid w:val="006D1C08"/>
    <w:rsid w:val="006D1F48"/>
    <w:rsid w:val="006D2180"/>
    <w:rsid w:val="006D38C1"/>
    <w:rsid w:val="006D3C7D"/>
    <w:rsid w:val="006D445E"/>
    <w:rsid w:val="006D4641"/>
    <w:rsid w:val="006D4659"/>
    <w:rsid w:val="006D4AEF"/>
    <w:rsid w:val="006D50F3"/>
    <w:rsid w:val="006D5581"/>
    <w:rsid w:val="006D5A57"/>
    <w:rsid w:val="006D5D5F"/>
    <w:rsid w:val="006D672F"/>
    <w:rsid w:val="006D68FB"/>
    <w:rsid w:val="006D6F9C"/>
    <w:rsid w:val="006D799A"/>
    <w:rsid w:val="006D7B58"/>
    <w:rsid w:val="006D7C3B"/>
    <w:rsid w:val="006E00D4"/>
    <w:rsid w:val="006E0737"/>
    <w:rsid w:val="006E1445"/>
    <w:rsid w:val="006E2199"/>
    <w:rsid w:val="006E2868"/>
    <w:rsid w:val="006E29BF"/>
    <w:rsid w:val="006E2E54"/>
    <w:rsid w:val="006E2FE4"/>
    <w:rsid w:val="006E3132"/>
    <w:rsid w:val="006E3C6D"/>
    <w:rsid w:val="006E448E"/>
    <w:rsid w:val="006E4B61"/>
    <w:rsid w:val="006E54AF"/>
    <w:rsid w:val="006E662E"/>
    <w:rsid w:val="006E6CD1"/>
    <w:rsid w:val="006E6E66"/>
    <w:rsid w:val="006E70C2"/>
    <w:rsid w:val="006E71D2"/>
    <w:rsid w:val="006F01BB"/>
    <w:rsid w:val="006F02CF"/>
    <w:rsid w:val="006F0923"/>
    <w:rsid w:val="006F121B"/>
    <w:rsid w:val="006F172A"/>
    <w:rsid w:val="006F1D35"/>
    <w:rsid w:val="006F2663"/>
    <w:rsid w:val="006F27CD"/>
    <w:rsid w:val="006F289F"/>
    <w:rsid w:val="006F2EDA"/>
    <w:rsid w:val="006F306C"/>
    <w:rsid w:val="006F31E3"/>
    <w:rsid w:val="006F3558"/>
    <w:rsid w:val="006F364E"/>
    <w:rsid w:val="006F3982"/>
    <w:rsid w:val="006F3CE2"/>
    <w:rsid w:val="006F3D3C"/>
    <w:rsid w:val="006F63A5"/>
    <w:rsid w:val="006F6A7D"/>
    <w:rsid w:val="006F6CFF"/>
    <w:rsid w:val="007009FA"/>
    <w:rsid w:val="00700A1A"/>
    <w:rsid w:val="0070129C"/>
    <w:rsid w:val="0070142B"/>
    <w:rsid w:val="00701DBE"/>
    <w:rsid w:val="00701DF6"/>
    <w:rsid w:val="00702210"/>
    <w:rsid w:val="0070276E"/>
    <w:rsid w:val="00702A5C"/>
    <w:rsid w:val="00702C22"/>
    <w:rsid w:val="00702C49"/>
    <w:rsid w:val="00702F8F"/>
    <w:rsid w:val="0070367C"/>
    <w:rsid w:val="00703908"/>
    <w:rsid w:val="00703E3A"/>
    <w:rsid w:val="00703E75"/>
    <w:rsid w:val="00703FEF"/>
    <w:rsid w:val="0070446C"/>
    <w:rsid w:val="0070470F"/>
    <w:rsid w:val="00704D82"/>
    <w:rsid w:val="00705597"/>
    <w:rsid w:val="00705901"/>
    <w:rsid w:val="007061CA"/>
    <w:rsid w:val="00706CAC"/>
    <w:rsid w:val="007079FC"/>
    <w:rsid w:val="00707D45"/>
    <w:rsid w:val="00707F70"/>
    <w:rsid w:val="00710360"/>
    <w:rsid w:val="00710516"/>
    <w:rsid w:val="00710AEF"/>
    <w:rsid w:val="00710F1D"/>
    <w:rsid w:val="00711A36"/>
    <w:rsid w:val="00711AF8"/>
    <w:rsid w:val="00711FFA"/>
    <w:rsid w:val="0071253E"/>
    <w:rsid w:val="007125D3"/>
    <w:rsid w:val="0071350C"/>
    <w:rsid w:val="007135DC"/>
    <w:rsid w:val="00713953"/>
    <w:rsid w:val="00713D0F"/>
    <w:rsid w:val="00714C26"/>
    <w:rsid w:val="00714FDD"/>
    <w:rsid w:val="00714FEC"/>
    <w:rsid w:val="0071529C"/>
    <w:rsid w:val="0071596B"/>
    <w:rsid w:val="00715B95"/>
    <w:rsid w:val="00715F3A"/>
    <w:rsid w:val="00715F4A"/>
    <w:rsid w:val="00716557"/>
    <w:rsid w:val="007170DA"/>
    <w:rsid w:val="007172AD"/>
    <w:rsid w:val="00717546"/>
    <w:rsid w:val="007176A7"/>
    <w:rsid w:val="00717E39"/>
    <w:rsid w:val="007204A9"/>
    <w:rsid w:val="00720565"/>
    <w:rsid w:val="00720801"/>
    <w:rsid w:val="007209A1"/>
    <w:rsid w:val="007209E0"/>
    <w:rsid w:val="00720C30"/>
    <w:rsid w:val="0072119A"/>
    <w:rsid w:val="00721D28"/>
    <w:rsid w:val="0072229B"/>
    <w:rsid w:val="0072250B"/>
    <w:rsid w:val="00722B1B"/>
    <w:rsid w:val="00722F52"/>
    <w:rsid w:val="0072387E"/>
    <w:rsid w:val="00723B77"/>
    <w:rsid w:val="0072416F"/>
    <w:rsid w:val="007250F2"/>
    <w:rsid w:val="00725F3E"/>
    <w:rsid w:val="00727315"/>
    <w:rsid w:val="00727472"/>
    <w:rsid w:val="00727C73"/>
    <w:rsid w:val="00727C94"/>
    <w:rsid w:val="00730416"/>
    <w:rsid w:val="00730491"/>
    <w:rsid w:val="00730663"/>
    <w:rsid w:val="007307C9"/>
    <w:rsid w:val="00730EB5"/>
    <w:rsid w:val="0073130E"/>
    <w:rsid w:val="00731580"/>
    <w:rsid w:val="00731B0A"/>
    <w:rsid w:val="00731EAE"/>
    <w:rsid w:val="00731EF0"/>
    <w:rsid w:val="0073244D"/>
    <w:rsid w:val="0073268C"/>
    <w:rsid w:val="00732C8E"/>
    <w:rsid w:val="00732FA3"/>
    <w:rsid w:val="00733073"/>
    <w:rsid w:val="007336E7"/>
    <w:rsid w:val="00733E8C"/>
    <w:rsid w:val="00735033"/>
    <w:rsid w:val="007351B5"/>
    <w:rsid w:val="00735328"/>
    <w:rsid w:val="0073685B"/>
    <w:rsid w:val="0073697F"/>
    <w:rsid w:val="00736BC0"/>
    <w:rsid w:val="00736ED5"/>
    <w:rsid w:val="007372B6"/>
    <w:rsid w:val="007373BD"/>
    <w:rsid w:val="0073787D"/>
    <w:rsid w:val="00737CE3"/>
    <w:rsid w:val="007401CC"/>
    <w:rsid w:val="0074042D"/>
    <w:rsid w:val="007409F0"/>
    <w:rsid w:val="00740E72"/>
    <w:rsid w:val="0074109D"/>
    <w:rsid w:val="00741534"/>
    <w:rsid w:val="00742245"/>
    <w:rsid w:val="0074283F"/>
    <w:rsid w:val="00742A17"/>
    <w:rsid w:val="007431A5"/>
    <w:rsid w:val="007437FA"/>
    <w:rsid w:val="00743DAD"/>
    <w:rsid w:val="00744033"/>
    <w:rsid w:val="007441C7"/>
    <w:rsid w:val="00744628"/>
    <w:rsid w:val="007449BF"/>
    <w:rsid w:val="00745935"/>
    <w:rsid w:val="007459B0"/>
    <w:rsid w:val="007459E7"/>
    <w:rsid w:val="00745B8E"/>
    <w:rsid w:val="00745E8B"/>
    <w:rsid w:val="007463FE"/>
    <w:rsid w:val="00746BC0"/>
    <w:rsid w:val="00746C52"/>
    <w:rsid w:val="00746CA5"/>
    <w:rsid w:val="00746CD1"/>
    <w:rsid w:val="00746E99"/>
    <w:rsid w:val="007470D1"/>
    <w:rsid w:val="00747D47"/>
    <w:rsid w:val="00747EB1"/>
    <w:rsid w:val="00750052"/>
    <w:rsid w:val="007502FB"/>
    <w:rsid w:val="0075035A"/>
    <w:rsid w:val="00750858"/>
    <w:rsid w:val="007510B4"/>
    <w:rsid w:val="007519DE"/>
    <w:rsid w:val="00752142"/>
    <w:rsid w:val="007523F9"/>
    <w:rsid w:val="0075256C"/>
    <w:rsid w:val="00752B45"/>
    <w:rsid w:val="007534C8"/>
    <w:rsid w:val="0075357E"/>
    <w:rsid w:val="0075375C"/>
    <w:rsid w:val="00753B29"/>
    <w:rsid w:val="00753BAC"/>
    <w:rsid w:val="00753D30"/>
    <w:rsid w:val="007553F9"/>
    <w:rsid w:val="007557A4"/>
    <w:rsid w:val="007557C9"/>
    <w:rsid w:val="00755817"/>
    <w:rsid w:val="00755ED3"/>
    <w:rsid w:val="00756098"/>
    <w:rsid w:val="00756CF7"/>
    <w:rsid w:val="00756FD1"/>
    <w:rsid w:val="007573E8"/>
    <w:rsid w:val="00757CBD"/>
    <w:rsid w:val="00760824"/>
    <w:rsid w:val="00760BED"/>
    <w:rsid w:val="00760C4E"/>
    <w:rsid w:val="00760F9E"/>
    <w:rsid w:val="007616E6"/>
    <w:rsid w:val="0076178D"/>
    <w:rsid w:val="00761EE3"/>
    <w:rsid w:val="007627BE"/>
    <w:rsid w:val="0076320C"/>
    <w:rsid w:val="00763582"/>
    <w:rsid w:val="00763F29"/>
    <w:rsid w:val="0076406F"/>
    <w:rsid w:val="0076485A"/>
    <w:rsid w:val="00764D5F"/>
    <w:rsid w:val="00764F03"/>
    <w:rsid w:val="00765307"/>
    <w:rsid w:val="007654AF"/>
    <w:rsid w:val="00765622"/>
    <w:rsid w:val="00765B1A"/>
    <w:rsid w:val="00765BD1"/>
    <w:rsid w:val="00765D2E"/>
    <w:rsid w:val="00765DC1"/>
    <w:rsid w:val="00765E03"/>
    <w:rsid w:val="007662FB"/>
    <w:rsid w:val="00766424"/>
    <w:rsid w:val="0076679C"/>
    <w:rsid w:val="00766D69"/>
    <w:rsid w:val="00767726"/>
    <w:rsid w:val="00770162"/>
    <w:rsid w:val="0077043F"/>
    <w:rsid w:val="007706AE"/>
    <w:rsid w:val="00770727"/>
    <w:rsid w:val="00770C9F"/>
    <w:rsid w:val="00770E2B"/>
    <w:rsid w:val="0077183E"/>
    <w:rsid w:val="00772372"/>
    <w:rsid w:val="0077289B"/>
    <w:rsid w:val="00773E67"/>
    <w:rsid w:val="007746B7"/>
    <w:rsid w:val="007748BE"/>
    <w:rsid w:val="007749AF"/>
    <w:rsid w:val="00774FA3"/>
    <w:rsid w:val="00775388"/>
    <w:rsid w:val="007756FE"/>
    <w:rsid w:val="00775A91"/>
    <w:rsid w:val="00776A29"/>
    <w:rsid w:val="00776AAB"/>
    <w:rsid w:val="00776F82"/>
    <w:rsid w:val="00777335"/>
    <w:rsid w:val="00777FD7"/>
    <w:rsid w:val="007806F1"/>
    <w:rsid w:val="00780AEE"/>
    <w:rsid w:val="00780D5F"/>
    <w:rsid w:val="00780E5B"/>
    <w:rsid w:val="007810E9"/>
    <w:rsid w:val="00781189"/>
    <w:rsid w:val="00781452"/>
    <w:rsid w:val="0078146D"/>
    <w:rsid w:val="0078192F"/>
    <w:rsid w:val="0078214A"/>
    <w:rsid w:val="007821EB"/>
    <w:rsid w:val="00782431"/>
    <w:rsid w:val="00782A39"/>
    <w:rsid w:val="007830F9"/>
    <w:rsid w:val="00783A87"/>
    <w:rsid w:val="007843F2"/>
    <w:rsid w:val="007846FA"/>
    <w:rsid w:val="00784974"/>
    <w:rsid w:val="00785A9F"/>
    <w:rsid w:val="007867D4"/>
    <w:rsid w:val="0078696F"/>
    <w:rsid w:val="00786C1C"/>
    <w:rsid w:val="00786F28"/>
    <w:rsid w:val="0078772F"/>
    <w:rsid w:val="007902AF"/>
    <w:rsid w:val="007906DD"/>
    <w:rsid w:val="007908AF"/>
    <w:rsid w:val="00790D63"/>
    <w:rsid w:val="00791471"/>
    <w:rsid w:val="0079172B"/>
    <w:rsid w:val="00792257"/>
    <w:rsid w:val="0079237F"/>
    <w:rsid w:val="007925C0"/>
    <w:rsid w:val="007925DF"/>
    <w:rsid w:val="00792C87"/>
    <w:rsid w:val="007933A9"/>
    <w:rsid w:val="00793561"/>
    <w:rsid w:val="00793738"/>
    <w:rsid w:val="00793949"/>
    <w:rsid w:val="00793A8E"/>
    <w:rsid w:val="00793F08"/>
    <w:rsid w:val="0079426D"/>
    <w:rsid w:val="00794D41"/>
    <w:rsid w:val="00794E14"/>
    <w:rsid w:val="00795103"/>
    <w:rsid w:val="00796D06"/>
    <w:rsid w:val="00797303"/>
    <w:rsid w:val="007973E3"/>
    <w:rsid w:val="007977B8"/>
    <w:rsid w:val="00797951"/>
    <w:rsid w:val="007A0621"/>
    <w:rsid w:val="007A0854"/>
    <w:rsid w:val="007A08AA"/>
    <w:rsid w:val="007A0A12"/>
    <w:rsid w:val="007A0AB8"/>
    <w:rsid w:val="007A132D"/>
    <w:rsid w:val="007A1345"/>
    <w:rsid w:val="007A1953"/>
    <w:rsid w:val="007A1F3D"/>
    <w:rsid w:val="007A24FA"/>
    <w:rsid w:val="007A2DDB"/>
    <w:rsid w:val="007A405D"/>
    <w:rsid w:val="007A4D8A"/>
    <w:rsid w:val="007A526A"/>
    <w:rsid w:val="007A55F7"/>
    <w:rsid w:val="007A5BF2"/>
    <w:rsid w:val="007A5E3C"/>
    <w:rsid w:val="007A639F"/>
    <w:rsid w:val="007A70BA"/>
    <w:rsid w:val="007A7250"/>
    <w:rsid w:val="007A778A"/>
    <w:rsid w:val="007A7793"/>
    <w:rsid w:val="007A7B24"/>
    <w:rsid w:val="007B01A2"/>
    <w:rsid w:val="007B0493"/>
    <w:rsid w:val="007B0D68"/>
    <w:rsid w:val="007B1C3D"/>
    <w:rsid w:val="007B1E36"/>
    <w:rsid w:val="007B251D"/>
    <w:rsid w:val="007B2CBC"/>
    <w:rsid w:val="007B307A"/>
    <w:rsid w:val="007B3533"/>
    <w:rsid w:val="007B3C0D"/>
    <w:rsid w:val="007B3D37"/>
    <w:rsid w:val="007B3D5B"/>
    <w:rsid w:val="007B46F2"/>
    <w:rsid w:val="007B471D"/>
    <w:rsid w:val="007B4948"/>
    <w:rsid w:val="007B4CF6"/>
    <w:rsid w:val="007B4F49"/>
    <w:rsid w:val="007B4F58"/>
    <w:rsid w:val="007B528D"/>
    <w:rsid w:val="007B5DD1"/>
    <w:rsid w:val="007B63CA"/>
    <w:rsid w:val="007B6445"/>
    <w:rsid w:val="007B64C1"/>
    <w:rsid w:val="007B65B3"/>
    <w:rsid w:val="007B6823"/>
    <w:rsid w:val="007B6B5E"/>
    <w:rsid w:val="007B77D1"/>
    <w:rsid w:val="007B7BC9"/>
    <w:rsid w:val="007B7D63"/>
    <w:rsid w:val="007C05BD"/>
    <w:rsid w:val="007C07C7"/>
    <w:rsid w:val="007C0850"/>
    <w:rsid w:val="007C0A37"/>
    <w:rsid w:val="007C15AB"/>
    <w:rsid w:val="007C1725"/>
    <w:rsid w:val="007C1892"/>
    <w:rsid w:val="007C1CD9"/>
    <w:rsid w:val="007C22F1"/>
    <w:rsid w:val="007C28C0"/>
    <w:rsid w:val="007C2E75"/>
    <w:rsid w:val="007C3134"/>
    <w:rsid w:val="007C329D"/>
    <w:rsid w:val="007C32EF"/>
    <w:rsid w:val="007C361D"/>
    <w:rsid w:val="007C3E94"/>
    <w:rsid w:val="007C42FD"/>
    <w:rsid w:val="007C4B84"/>
    <w:rsid w:val="007C4C9F"/>
    <w:rsid w:val="007C5152"/>
    <w:rsid w:val="007C53D5"/>
    <w:rsid w:val="007C566A"/>
    <w:rsid w:val="007C59AB"/>
    <w:rsid w:val="007C5E09"/>
    <w:rsid w:val="007C64A7"/>
    <w:rsid w:val="007C698F"/>
    <w:rsid w:val="007C6E8D"/>
    <w:rsid w:val="007C70FF"/>
    <w:rsid w:val="007C7567"/>
    <w:rsid w:val="007C7692"/>
    <w:rsid w:val="007C78A4"/>
    <w:rsid w:val="007C7A43"/>
    <w:rsid w:val="007C7C25"/>
    <w:rsid w:val="007C7CA7"/>
    <w:rsid w:val="007C7E61"/>
    <w:rsid w:val="007D004F"/>
    <w:rsid w:val="007D035F"/>
    <w:rsid w:val="007D0623"/>
    <w:rsid w:val="007D06B2"/>
    <w:rsid w:val="007D080D"/>
    <w:rsid w:val="007D0B38"/>
    <w:rsid w:val="007D0D7C"/>
    <w:rsid w:val="007D20AD"/>
    <w:rsid w:val="007D36F2"/>
    <w:rsid w:val="007D3A62"/>
    <w:rsid w:val="007D418E"/>
    <w:rsid w:val="007D43A6"/>
    <w:rsid w:val="007D44E7"/>
    <w:rsid w:val="007D47A6"/>
    <w:rsid w:val="007D47BB"/>
    <w:rsid w:val="007D4D22"/>
    <w:rsid w:val="007D5440"/>
    <w:rsid w:val="007D546B"/>
    <w:rsid w:val="007D5994"/>
    <w:rsid w:val="007D649B"/>
    <w:rsid w:val="007D65B2"/>
    <w:rsid w:val="007D6600"/>
    <w:rsid w:val="007D69EB"/>
    <w:rsid w:val="007D7E9F"/>
    <w:rsid w:val="007D7F8B"/>
    <w:rsid w:val="007E0952"/>
    <w:rsid w:val="007E0E96"/>
    <w:rsid w:val="007E128F"/>
    <w:rsid w:val="007E1507"/>
    <w:rsid w:val="007E1689"/>
    <w:rsid w:val="007E1A3B"/>
    <w:rsid w:val="007E1BE6"/>
    <w:rsid w:val="007E2D1E"/>
    <w:rsid w:val="007E2FFD"/>
    <w:rsid w:val="007E32AC"/>
    <w:rsid w:val="007E3699"/>
    <w:rsid w:val="007E45F7"/>
    <w:rsid w:val="007E4934"/>
    <w:rsid w:val="007E49C4"/>
    <w:rsid w:val="007E4C68"/>
    <w:rsid w:val="007E4E19"/>
    <w:rsid w:val="007E51D5"/>
    <w:rsid w:val="007E5339"/>
    <w:rsid w:val="007E57ED"/>
    <w:rsid w:val="007E6726"/>
    <w:rsid w:val="007E683D"/>
    <w:rsid w:val="007E6BE3"/>
    <w:rsid w:val="007E7872"/>
    <w:rsid w:val="007E7910"/>
    <w:rsid w:val="007E7D5A"/>
    <w:rsid w:val="007F0A7C"/>
    <w:rsid w:val="007F0B78"/>
    <w:rsid w:val="007F1017"/>
    <w:rsid w:val="007F142E"/>
    <w:rsid w:val="007F1630"/>
    <w:rsid w:val="007F16D0"/>
    <w:rsid w:val="007F17B8"/>
    <w:rsid w:val="007F1CB9"/>
    <w:rsid w:val="007F1DC9"/>
    <w:rsid w:val="007F233D"/>
    <w:rsid w:val="007F23C0"/>
    <w:rsid w:val="007F369F"/>
    <w:rsid w:val="007F3887"/>
    <w:rsid w:val="007F3973"/>
    <w:rsid w:val="007F3978"/>
    <w:rsid w:val="007F39A5"/>
    <w:rsid w:val="007F3B10"/>
    <w:rsid w:val="007F4968"/>
    <w:rsid w:val="007F4A3F"/>
    <w:rsid w:val="007F4A61"/>
    <w:rsid w:val="007F4A6F"/>
    <w:rsid w:val="007F4AA0"/>
    <w:rsid w:val="007F4E44"/>
    <w:rsid w:val="007F5255"/>
    <w:rsid w:val="007F5265"/>
    <w:rsid w:val="007F56CC"/>
    <w:rsid w:val="007F56E0"/>
    <w:rsid w:val="007F5C23"/>
    <w:rsid w:val="007F61C2"/>
    <w:rsid w:val="007F6FA9"/>
    <w:rsid w:val="007F7218"/>
    <w:rsid w:val="007F7615"/>
    <w:rsid w:val="007F77D6"/>
    <w:rsid w:val="008002A8"/>
    <w:rsid w:val="008004E2"/>
    <w:rsid w:val="00801439"/>
    <w:rsid w:val="0080151F"/>
    <w:rsid w:val="00802175"/>
    <w:rsid w:val="008021E9"/>
    <w:rsid w:val="008033BE"/>
    <w:rsid w:val="00803454"/>
    <w:rsid w:val="00803E8E"/>
    <w:rsid w:val="00804D63"/>
    <w:rsid w:val="00804D95"/>
    <w:rsid w:val="00805142"/>
    <w:rsid w:val="008051E3"/>
    <w:rsid w:val="0080566B"/>
    <w:rsid w:val="008057A0"/>
    <w:rsid w:val="00805F91"/>
    <w:rsid w:val="00805FCE"/>
    <w:rsid w:val="008062FA"/>
    <w:rsid w:val="00806487"/>
    <w:rsid w:val="00806793"/>
    <w:rsid w:val="00806EEA"/>
    <w:rsid w:val="00807A8B"/>
    <w:rsid w:val="00810DD3"/>
    <w:rsid w:val="00811383"/>
    <w:rsid w:val="008115BC"/>
    <w:rsid w:val="00811871"/>
    <w:rsid w:val="00812149"/>
    <w:rsid w:val="00812260"/>
    <w:rsid w:val="00812299"/>
    <w:rsid w:val="008124CB"/>
    <w:rsid w:val="00812885"/>
    <w:rsid w:val="0081293B"/>
    <w:rsid w:val="00812BF6"/>
    <w:rsid w:val="00812CAC"/>
    <w:rsid w:val="00813068"/>
    <w:rsid w:val="008131B1"/>
    <w:rsid w:val="008151CC"/>
    <w:rsid w:val="00815BE8"/>
    <w:rsid w:val="00816166"/>
    <w:rsid w:val="00816361"/>
    <w:rsid w:val="008166EF"/>
    <w:rsid w:val="00816861"/>
    <w:rsid w:val="00816FEF"/>
    <w:rsid w:val="008174E3"/>
    <w:rsid w:val="0081777C"/>
    <w:rsid w:val="008201DB"/>
    <w:rsid w:val="008202BF"/>
    <w:rsid w:val="0082074C"/>
    <w:rsid w:val="00820A8C"/>
    <w:rsid w:val="00820E84"/>
    <w:rsid w:val="00820EEB"/>
    <w:rsid w:val="008211A8"/>
    <w:rsid w:val="008215FB"/>
    <w:rsid w:val="008220CC"/>
    <w:rsid w:val="0082270C"/>
    <w:rsid w:val="008228F6"/>
    <w:rsid w:val="00822D22"/>
    <w:rsid w:val="008230D7"/>
    <w:rsid w:val="00823174"/>
    <w:rsid w:val="008233FF"/>
    <w:rsid w:val="00824697"/>
    <w:rsid w:val="00824CD0"/>
    <w:rsid w:val="008254CF"/>
    <w:rsid w:val="008256B1"/>
    <w:rsid w:val="00825751"/>
    <w:rsid w:val="008262E7"/>
    <w:rsid w:val="00826393"/>
    <w:rsid w:val="00826396"/>
    <w:rsid w:val="008264EB"/>
    <w:rsid w:val="0082674B"/>
    <w:rsid w:val="008268CE"/>
    <w:rsid w:val="0082731D"/>
    <w:rsid w:val="00827759"/>
    <w:rsid w:val="008279D3"/>
    <w:rsid w:val="00827C23"/>
    <w:rsid w:val="00830518"/>
    <w:rsid w:val="008309D2"/>
    <w:rsid w:val="008309DE"/>
    <w:rsid w:val="00830C43"/>
    <w:rsid w:val="00830CEB"/>
    <w:rsid w:val="00830D7B"/>
    <w:rsid w:val="00831A1B"/>
    <w:rsid w:val="00831B5F"/>
    <w:rsid w:val="00832C13"/>
    <w:rsid w:val="00832E5A"/>
    <w:rsid w:val="00832EC0"/>
    <w:rsid w:val="00832F98"/>
    <w:rsid w:val="008335AE"/>
    <w:rsid w:val="00833ADF"/>
    <w:rsid w:val="00833B05"/>
    <w:rsid w:val="00833DFC"/>
    <w:rsid w:val="008342F4"/>
    <w:rsid w:val="008343B2"/>
    <w:rsid w:val="008349CC"/>
    <w:rsid w:val="00834D6B"/>
    <w:rsid w:val="00835232"/>
    <w:rsid w:val="00835394"/>
    <w:rsid w:val="008358BA"/>
    <w:rsid w:val="008359EA"/>
    <w:rsid w:val="00835D8D"/>
    <w:rsid w:val="00835FA6"/>
    <w:rsid w:val="00836093"/>
    <w:rsid w:val="008362B4"/>
    <w:rsid w:val="00836832"/>
    <w:rsid w:val="008372D2"/>
    <w:rsid w:val="00837478"/>
    <w:rsid w:val="00837B78"/>
    <w:rsid w:val="00837EA8"/>
    <w:rsid w:val="00837ED3"/>
    <w:rsid w:val="008406AC"/>
    <w:rsid w:val="00840CA2"/>
    <w:rsid w:val="0084173C"/>
    <w:rsid w:val="0084251B"/>
    <w:rsid w:val="008425E8"/>
    <w:rsid w:val="00843687"/>
    <w:rsid w:val="0084374F"/>
    <w:rsid w:val="00843D6C"/>
    <w:rsid w:val="00843DB7"/>
    <w:rsid w:val="0084468C"/>
    <w:rsid w:val="00844854"/>
    <w:rsid w:val="008448E5"/>
    <w:rsid w:val="00844A22"/>
    <w:rsid w:val="00844C49"/>
    <w:rsid w:val="008451E3"/>
    <w:rsid w:val="0084560A"/>
    <w:rsid w:val="00845C82"/>
    <w:rsid w:val="008464EF"/>
    <w:rsid w:val="00846779"/>
    <w:rsid w:val="008468FA"/>
    <w:rsid w:val="00846BF0"/>
    <w:rsid w:val="00846C6B"/>
    <w:rsid w:val="0084706D"/>
    <w:rsid w:val="0084736B"/>
    <w:rsid w:val="00847703"/>
    <w:rsid w:val="00847C0B"/>
    <w:rsid w:val="00847DF5"/>
    <w:rsid w:val="008508E6"/>
    <w:rsid w:val="00850EF0"/>
    <w:rsid w:val="00850F3D"/>
    <w:rsid w:val="008517BB"/>
    <w:rsid w:val="00851C2C"/>
    <w:rsid w:val="008524EC"/>
    <w:rsid w:val="0085309D"/>
    <w:rsid w:val="00853120"/>
    <w:rsid w:val="00853407"/>
    <w:rsid w:val="008535BC"/>
    <w:rsid w:val="00853F8E"/>
    <w:rsid w:val="0085406B"/>
    <w:rsid w:val="00854328"/>
    <w:rsid w:val="008546E8"/>
    <w:rsid w:val="00854849"/>
    <w:rsid w:val="00854ED4"/>
    <w:rsid w:val="008551B0"/>
    <w:rsid w:val="00855321"/>
    <w:rsid w:val="008553CE"/>
    <w:rsid w:val="00855F6F"/>
    <w:rsid w:val="0085604D"/>
    <w:rsid w:val="00856050"/>
    <w:rsid w:val="00856736"/>
    <w:rsid w:val="00856897"/>
    <w:rsid w:val="008569F8"/>
    <w:rsid w:val="00856E9A"/>
    <w:rsid w:val="008576CF"/>
    <w:rsid w:val="0085799D"/>
    <w:rsid w:val="00857D2E"/>
    <w:rsid w:val="0086075D"/>
    <w:rsid w:val="00860919"/>
    <w:rsid w:val="0086161A"/>
    <w:rsid w:val="0086187D"/>
    <w:rsid w:val="00861A34"/>
    <w:rsid w:val="00861BA1"/>
    <w:rsid w:val="00861C20"/>
    <w:rsid w:val="00861DC6"/>
    <w:rsid w:val="00861FC3"/>
    <w:rsid w:val="00862041"/>
    <w:rsid w:val="00862502"/>
    <w:rsid w:val="00862552"/>
    <w:rsid w:val="00862CC1"/>
    <w:rsid w:val="0086338F"/>
    <w:rsid w:val="008642A7"/>
    <w:rsid w:val="00864918"/>
    <w:rsid w:val="00864BB2"/>
    <w:rsid w:val="00864CA5"/>
    <w:rsid w:val="00864E98"/>
    <w:rsid w:val="008656D0"/>
    <w:rsid w:val="008658BE"/>
    <w:rsid w:val="008660D4"/>
    <w:rsid w:val="008661A7"/>
    <w:rsid w:val="00866479"/>
    <w:rsid w:val="00866503"/>
    <w:rsid w:val="00866E80"/>
    <w:rsid w:val="00870705"/>
    <w:rsid w:val="00870BCD"/>
    <w:rsid w:val="00870C37"/>
    <w:rsid w:val="00870E53"/>
    <w:rsid w:val="00870FF5"/>
    <w:rsid w:val="00871183"/>
    <w:rsid w:val="00871201"/>
    <w:rsid w:val="00871574"/>
    <w:rsid w:val="00871B63"/>
    <w:rsid w:val="00871FA9"/>
    <w:rsid w:val="00872020"/>
    <w:rsid w:val="00872554"/>
    <w:rsid w:val="00872726"/>
    <w:rsid w:val="008728E9"/>
    <w:rsid w:val="00872DFB"/>
    <w:rsid w:val="00873261"/>
    <w:rsid w:val="00873943"/>
    <w:rsid w:val="00874F5D"/>
    <w:rsid w:val="0087522A"/>
    <w:rsid w:val="00875714"/>
    <w:rsid w:val="00875998"/>
    <w:rsid w:val="00875E54"/>
    <w:rsid w:val="00875FC7"/>
    <w:rsid w:val="00875FEE"/>
    <w:rsid w:val="0087605B"/>
    <w:rsid w:val="00876384"/>
    <w:rsid w:val="00877444"/>
    <w:rsid w:val="00877FAE"/>
    <w:rsid w:val="00880C34"/>
    <w:rsid w:val="00880C42"/>
    <w:rsid w:val="00881051"/>
    <w:rsid w:val="008817D0"/>
    <w:rsid w:val="00881FFC"/>
    <w:rsid w:val="00882530"/>
    <w:rsid w:val="008825D9"/>
    <w:rsid w:val="00882874"/>
    <w:rsid w:val="00882A18"/>
    <w:rsid w:val="00882E3C"/>
    <w:rsid w:val="00882E54"/>
    <w:rsid w:val="0088308A"/>
    <w:rsid w:val="00883787"/>
    <w:rsid w:val="008855BA"/>
    <w:rsid w:val="008855E4"/>
    <w:rsid w:val="00886089"/>
    <w:rsid w:val="0088639A"/>
    <w:rsid w:val="008864F6"/>
    <w:rsid w:val="00886647"/>
    <w:rsid w:val="008868C3"/>
    <w:rsid w:val="00886AD9"/>
    <w:rsid w:val="00886CD2"/>
    <w:rsid w:val="0088748C"/>
    <w:rsid w:val="00887F86"/>
    <w:rsid w:val="00887FE0"/>
    <w:rsid w:val="00890291"/>
    <w:rsid w:val="008908F5"/>
    <w:rsid w:val="008909E3"/>
    <w:rsid w:val="00891158"/>
    <w:rsid w:val="00891445"/>
    <w:rsid w:val="00891567"/>
    <w:rsid w:val="00891760"/>
    <w:rsid w:val="00891D30"/>
    <w:rsid w:val="00891E6F"/>
    <w:rsid w:val="00892365"/>
    <w:rsid w:val="0089275D"/>
    <w:rsid w:val="008928ED"/>
    <w:rsid w:val="00892A36"/>
    <w:rsid w:val="00893239"/>
    <w:rsid w:val="008939EA"/>
    <w:rsid w:val="00893A88"/>
    <w:rsid w:val="0089420E"/>
    <w:rsid w:val="00894489"/>
    <w:rsid w:val="00894CD6"/>
    <w:rsid w:val="00894F15"/>
    <w:rsid w:val="00894F33"/>
    <w:rsid w:val="00895B7B"/>
    <w:rsid w:val="00895C88"/>
    <w:rsid w:val="00896028"/>
    <w:rsid w:val="0089603A"/>
    <w:rsid w:val="008963A5"/>
    <w:rsid w:val="00896D5D"/>
    <w:rsid w:val="00897149"/>
    <w:rsid w:val="0089729D"/>
    <w:rsid w:val="008973E5"/>
    <w:rsid w:val="00897EA9"/>
    <w:rsid w:val="008A0952"/>
    <w:rsid w:val="008A0B25"/>
    <w:rsid w:val="008A0D0F"/>
    <w:rsid w:val="008A11A7"/>
    <w:rsid w:val="008A2052"/>
    <w:rsid w:val="008A2672"/>
    <w:rsid w:val="008A2CA9"/>
    <w:rsid w:val="008A2D09"/>
    <w:rsid w:val="008A2D3A"/>
    <w:rsid w:val="008A2FB4"/>
    <w:rsid w:val="008A3158"/>
    <w:rsid w:val="008A3363"/>
    <w:rsid w:val="008A3371"/>
    <w:rsid w:val="008A355E"/>
    <w:rsid w:val="008A3A09"/>
    <w:rsid w:val="008A3C3E"/>
    <w:rsid w:val="008A3EED"/>
    <w:rsid w:val="008A3F4F"/>
    <w:rsid w:val="008A447E"/>
    <w:rsid w:val="008A5F6D"/>
    <w:rsid w:val="008A71EB"/>
    <w:rsid w:val="008A722C"/>
    <w:rsid w:val="008A77E0"/>
    <w:rsid w:val="008A79DE"/>
    <w:rsid w:val="008A79E8"/>
    <w:rsid w:val="008B0584"/>
    <w:rsid w:val="008B0BE8"/>
    <w:rsid w:val="008B10C4"/>
    <w:rsid w:val="008B1338"/>
    <w:rsid w:val="008B1757"/>
    <w:rsid w:val="008B1C33"/>
    <w:rsid w:val="008B2DD4"/>
    <w:rsid w:val="008B40A0"/>
    <w:rsid w:val="008B40F3"/>
    <w:rsid w:val="008B4289"/>
    <w:rsid w:val="008B445A"/>
    <w:rsid w:val="008B4B6F"/>
    <w:rsid w:val="008B5E09"/>
    <w:rsid w:val="008B639A"/>
    <w:rsid w:val="008B63AC"/>
    <w:rsid w:val="008B674B"/>
    <w:rsid w:val="008B6D7B"/>
    <w:rsid w:val="008B6D9B"/>
    <w:rsid w:val="008B6F13"/>
    <w:rsid w:val="008B7079"/>
    <w:rsid w:val="008B771A"/>
    <w:rsid w:val="008B7992"/>
    <w:rsid w:val="008B7B93"/>
    <w:rsid w:val="008B7D7E"/>
    <w:rsid w:val="008C077F"/>
    <w:rsid w:val="008C0946"/>
    <w:rsid w:val="008C1185"/>
    <w:rsid w:val="008C1A56"/>
    <w:rsid w:val="008C2154"/>
    <w:rsid w:val="008C2695"/>
    <w:rsid w:val="008C2EE7"/>
    <w:rsid w:val="008C3571"/>
    <w:rsid w:val="008C3637"/>
    <w:rsid w:val="008C3C5C"/>
    <w:rsid w:val="008C4BC9"/>
    <w:rsid w:val="008C5190"/>
    <w:rsid w:val="008C5610"/>
    <w:rsid w:val="008C5739"/>
    <w:rsid w:val="008C5889"/>
    <w:rsid w:val="008C5CB6"/>
    <w:rsid w:val="008C5FDE"/>
    <w:rsid w:val="008C61A6"/>
    <w:rsid w:val="008C6F5E"/>
    <w:rsid w:val="008C6FC7"/>
    <w:rsid w:val="008C7282"/>
    <w:rsid w:val="008C7321"/>
    <w:rsid w:val="008C7ECB"/>
    <w:rsid w:val="008D0701"/>
    <w:rsid w:val="008D0906"/>
    <w:rsid w:val="008D0D60"/>
    <w:rsid w:val="008D13E9"/>
    <w:rsid w:val="008D13F4"/>
    <w:rsid w:val="008D1449"/>
    <w:rsid w:val="008D19A8"/>
    <w:rsid w:val="008D2718"/>
    <w:rsid w:val="008D27AA"/>
    <w:rsid w:val="008D35D6"/>
    <w:rsid w:val="008D3B86"/>
    <w:rsid w:val="008D3B9C"/>
    <w:rsid w:val="008D43FD"/>
    <w:rsid w:val="008D4755"/>
    <w:rsid w:val="008D4C3D"/>
    <w:rsid w:val="008D543E"/>
    <w:rsid w:val="008D58D4"/>
    <w:rsid w:val="008D5BE6"/>
    <w:rsid w:val="008D675C"/>
    <w:rsid w:val="008D6E2F"/>
    <w:rsid w:val="008D6E5C"/>
    <w:rsid w:val="008D7050"/>
    <w:rsid w:val="008D743C"/>
    <w:rsid w:val="008D78F0"/>
    <w:rsid w:val="008D7951"/>
    <w:rsid w:val="008D7F55"/>
    <w:rsid w:val="008E0D3C"/>
    <w:rsid w:val="008E0E7F"/>
    <w:rsid w:val="008E0FB4"/>
    <w:rsid w:val="008E1093"/>
    <w:rsid w:val="008E13B6"/>
    <w:rsid w:val="008E140C"/>
    <w:rsid w:val="008E1771"/>
    <w:rsid w:val="008E1B9E"/>
    <w:rsid w:val="008E2202"/>
    <w:rsid w:val="008E2319"/>
    <w:rsid w:val="008E2850"/>
    <w:rsid w:val="008E3559"/>
    <w:rsid w:val="008E37BC"/>
    <w:rsid w:val="008E3BAD"/>
    <w:rsid w:val="008E3C73"/>
    <w:rsid w:val="008E4119"/>
    <w:rsid w:val="008E424A"/>
    <w:rsid w:val="008E4A48"/>
    <w:rsid w:val="008E5550"/>
    <w:rsid w:val="008E55AB"/>
    <w:rsid w:val="008E56B7"/>
    <w:rsid w:val="008E5CA9"/>
    <w:rsid w:val="008E5D4A"/>
    <w:rsid w:val="008E5F74"/>
    <w:rsid w:val="008E6242"/>
    <w:rsid w:val="008E63BF"/>
    <w:rsid w:val="008E64ED"/>
    <w:rsid w:val="008E6B40"/>
    <w:rsid w:val="008E758F"/>
    <w:rsid w:val="008E7BCB"/>
    <w:rsid w:val="008F097A"/>
    <w:rsid w:val="008F0B45"/>
    <w:rsid w:val="008F120A"/>
    <w:rsid w:val="008F17AA"/>
    <w:rsid w:val="008F1830"/>
    <w:rsid w:val="008F1DF3"/>
    <w:rsid w:val="008F1ED8"/>
    <w:rsid w:val="008F27E0"/>
    <w:rsid w:val="008F3269"/>
    <w:rsid w:val="008F3731"/>
    <w:rsid w:val="008F4458"/>
    <w:rsid w:val="008F4677"/>
    <w:rsid w:val="008F48EB"/>
    <w:rsid w:val="008F4F0B"/>
    <w:rsid w:val="008F5179"/>
    <w:rsid w:val="008F54AD"/>
    <w:rsid w:val="008F57A3"/>
    <w:rsid w:val="008F5B5C"/>
    <w:rsid w:val="008F68D9"/>
    <w:rsid w:val="008F6A5E"/>
    <w:rsid w:val="008F6AFE"/>
    <w:rsid w:val="008F6B06"/>
    <w:rsid w:val="008F6CAD"/>
    <w:rsid w:val="00900167"/>
    <w:rsid w:val="00900204"/>
    <w:rsid w:val="0090050F"/>
    <w:rsid w:val="00900567"/>
    <w:rsid w:val="00900A3E"/>
    <w:rsid w:val="00900A4A"/>
    <w:rsid w:val="00900AAF"/>
    <w:rsid w:val="0090111B"/>
    <w:rsid w:val="009012BF"/>
    <w:rsid w:val="00901318"/>
    <w:rsid w:val="00901D87"/>
    <w:rsid w:val="00902451"/>
    <w:rsid w:val="00902C23"/>
    <w:rsid w:val="00903057"/>
    <w:rsid w:val="009035D4"/>
    <w:rsid w:val="00903C4B"/>
    <w:rsid w:val="009042C2"/>
    <w:rsid w:val="009046C4"/>
    <w:rsid w:val="00905D7E"/>
    <w:rsid w:val="009062A5"/>
    <w:rsid w:val="00906300"/>
    <w:rsid w:val="009065B7"/>
    <w:rsid w:val="00906A66"/>
    <w:rsid w:val="00906B21"/>
    <w:rsid w:val="00906DC4"/>
    <w:rsid w:val="0090708D"/>
    <w:rsid w:val="00907319"/>
    <w:rsid w:val="0090734C"/>
    <w:rsid w:val="0090754E"/>
    <w:rsid w:val="00907699"/>
    <w:rsid w:val="00907E17"/>
    <w:rsid w:val="00910550"/>
    <w:rsid w:val="00910FA7"/>
    <w:rsid w:val="00911272"/>
    <w:rsid w:val="00911339"/>
    <w:rsid w:val="00911D95"/>
    <w:rsid w:val="009122CA"/>
    <w:rsid w:val="00912BF1"/>
    <w:rsid w:val="009133FC"/>
    <w:rsid w:val="009135D6"/>
    <w:rsid w:val="0091458C"/>
    <w:rsid w:val="00914C77"/>
    <w:rsid w:val="00914F15"/>
    <w:rsid w:val="0091537A"/>
    <w:rsid w:val="00916CBE"/>
    <w:rsid w:val="00917A70"/>
    <w:rsid w:val="00917B1B"/>
    <w:rsid w:val="0092000D"/>
    <w:rsid w:val="00920950"/>
    <w:rsid w:val="00920AF2"/>
    <w:rsid w:val="00920B0C"/>
    <w:rsid w:val="00921153"/>
    <w:rsid w:val="009215A2"/>
    <w:rsid w:val="0092169E"/>
    <w:rsid w:val="00921A9E"/>
    <w:rsid w:val="00921ACB"/>
    <w:rsid w:val="00921BB2"/>
    <w:rsid w:val="0092261A"/>
    <w:rsid w:val="00922FBE"/>
    <w:rsid w:val="0092309D"/>
    <w:rsid w:val="009231DF"/>
    <w:rsid w:val="0092332D"/>
    <w:rsid w:val="00923435"/>
    <w:rsid w:val="0092369B"/>
    <w:rsid w:val="009238F9"/>
    <w:rsid w:val="00924137"/>
    <w:rsid w:val="00924743"/>
    <w:rsid w:val="00924CAF"/>
    <w:rsid w:val="00925BE3"/>
    <w:rsid w:val="00925F65"/>
    <w:rsid w:val="009266AF"/>
    <w:rsid w:val="00926ACF"/>
    <w:rsid w:val="0092722E"/>
    <w:rsid w:val="009278D1"/>
    <w:rsid w:val="009279F5"/>
    <w:rsid w:val="009305DA"/>
    <w:rsid w:val="009307F8"/>
    <w:rsid w:val="00930B03"/>
    <w:rsid w:val="00930C95"/>
    <w:rsid w:val="00931227"/>
    <w:rsid w:val="00931F74"/>
    <w:rsid w:val="009327DA"/>
    <w:rsid w:val="009333D7"/>
    <w:rsid w:val="00933D5A"/>
    <w:rsid w:val="0093477D"/>
    <w:rsid w:val="00934988"/>
    <w:rsid w:val="00935001"/>
    <w:rsid w:val="0093539B"/>
    <w:rsid w:val="00935472"/>
    <w:rsid w:val="00935B9D"/>
    <w:rsid w:val="00935C86"/>
    <w:rsid w:val="00935F10"/>
    <w:rsid w:val="009367F0"/>
    <w:rsid w:val="00936969"/>
    <w:rsid w:val="00937089"/>
    <w:rsid w:val="00937B02"/>
    <w:rsid w:val="00937CA7"/>
    <w:rsid w:val="0094033B"/>
    <w:rsid w:val="00940545"/>
    <w:rsid w:val="00941058"/>
    <w:rsid w:val="00941C8E"/>
    <w:rsid w:val="00942559"/>
    <w:rsid w:val="00942A5E"/>
    <w:rsid w:val="00943A4A"/>
    <w:rsid w:val="00943DCC"/>
    <w:rsid w:val="00943E26"/>
    <w:rsid w:val="00944F8A"/>
    <w:rsid w:val="009452C1"/>
    <w:rsid w:val="00945661"/>
    <w:rsid w:val="009458A7"/>
    <w:rsid w:val="0094597A"/>
    <w:rsid w:val="009459AA"/>
    <w:rsid w:val="00946405"/>
    <w:rsid w:val="009467CD"/>
    <w:rsid w:val="00946A87"/>
    <w:rsid w:val="00946AAB"/>
    <w:rsid w:val="00946DBF"/>
    <w:rsid w:val="009477FE"/>
    <w:rsid w:val="00950D98"/>
    <w:rsid w:val="009510A2"/>
    <w:rsid w:val="00951183"/>
    <w:rsid w:val="00951570"/>
    <w:rsid w:val="00951B17"/>
    <w:rsid w:val="00952058"/>
    <w:rsid w:val="00953257"/>
    <w:rsid w:val="0095342D"/>
    <w:rsid w:val="009534D5"/>
    <w:rsid w:val="0095474C"/>
    <w:rsid w:val="0095498D"/>
    <w:rsid w:val="00954A90"/>
    <w:rsid w:val="00954C03"/>
    <w:rsid w:val="00954C55"/>
    <w:rsid w:val="00955295"/>
    <w:rsid w:val="00955A06"/>
    <w:rsid w:val="00955BF8"/>
    <w:rsid w:val="00955EA7"/>
    <w:rsid w:val="00956D52"/>
    <w:rsid w:val="00957CE3"/>
    <w:rsid w:val="00957D92"/>
    <w:rsid w:val="00957ECA"/>
    <w:rsid w:val="00957F6E"/>
    <w:rsid w:val="00960927"/>
    <w:rsid w:val="00961089"/>
    <w:rsid w:val="0096150A"/>
    <w:rsid w:val="00961626"/>
    <w:rsid w:val="00962CB9"/>
    <w:rsid w:val="00963975"/>
    <w:rsid w:val="00964312"/>
    <w:rsid w:val="00965613"/>
    <w:rsid w:val="00965812"/>
    <w:rsid w:val="00965B8A"/>
    <w:rsid w:val="00965D3E"/>
    <w:rsid w:val="00965DC4"/>
    <w:rsid w:val="00965EBB"/>
    <w:rsid w:val="00966D1C"/>
    <w:rsid w:val="00966D2A"/>
    <w:rsid w:val="009677DB"/>
    <w:rsid w:val="00967B53"/>
    <w:rsid w:val="00970113"/>
    <w:rsid w:val="0097071F"/>
    <w:rsid w:val="009708CC"/>
    <w:rsid w:val="00970916"/>
    <w:rsid w:val="00970AAA"/>
    <w:rsid w:val="00971125"/>
    <w:rsid w:val="00971517"/>
    <w:rsid w:val="009717AC"/>
    <w:rsid w:val="009723C7"/>
    <w:rsid w:val="009728EC"/>
    <w:rsid w:val="009735E1"/>
    <w:rsid w:val="00973B12"/>
    <w:rsid w:val="00973DF3"/>
    <w:rsid w:val="00973FBD"/>
    <w:rsid w:val="009748FA"/>
    <w:rsid w:val="0097495D"/>
    <w:rsid w:val="00975143"/>
    <w:rsid w:val="009751C1"/>
    <w:rsid w:val="00975645"/>
    <w:rsid w:val="00975B6F"/>
    <w:rsid w:val="0097725C"/>
    <w:rsid w:val="0097758D"/>
    <w:rsid w:val="00977B71"/>
    <w:rsid w:val="00977D1D"/>
    <w:rsid w:val="00977DD5"/>
    <w:rsid w:val="009803AE"/>
    <w:rsid w:val="00980686"/>
    <w:rsid w:val="00980971"/>
    <w:rsid w:val="009809FC"/>
    <w:rsid w:val="009810A4"/>
    <w:rsid w:val="009811F1"/>
    <w:rsid w:val="009817E5"/>
    <w:rsid w:val="00981F30"/>
    <w:rsid w:val="0098262F"/>
    <w:rsid w:val="00982DFD"/>
    <w:rsid w:val="00983234"/>
    <w:rsid w:val="009832C7"/>
    <w:rsid w:val="0098339D"/>
    <w:rsid w:val="009833AA"/>
    <w:rsid w:val="00983595"/>
    <w:rsid w:val="009836FB"/>
    <w:rsid w:val="00983E57"/>
    <w:rsid w:val="00984EEB"/>
    <w:rsid w:val="00985416"/>
    <w:rsid w:val="0098557C"/>
    <w:rsid w:val="00985DE2"/>
    <w:rsid w:val="009862B6"/>
    <w:rsid w:val="0098675D"/>
    <w:rsid w:val="00986A13"/>
    <w:rsid w:val="0098739C"/>
    <w:rsid w:val="00987BA4"/>
    <w:rsid w:val="00987EE8"/>
    <w:rsid w:val="00991328"/>
    <w:rsid w:val="00992510"/>
    <w:rsid w:val="009926E0"/>
    <w:rsid w:val="00993B16"/>
    <w:rsid w:val="00993CA4"/>
    <w:rsid w:val="00993DD9"/>
    <w:rsid w:val="0099420E"/>
    <w:rsid w:val="00994415"/>
    <w:rsid w:val="0099451E"/>
    <w:rsid w:val="009949DE"/>
    <w:rsid w:val="0099520C"/>
    <w:rsid w:val="00995543"/>
    <w:rsid w:val="00995A46"/>
    <w:rsid w:val="00996B1A"/>
    <w:rsid w:val="00996CCE"/>
    <w:rsid w:val="00996F47"/>
    <w:rsid w:val="00997052"/>
    <w:rsid w:val="00997678"/>
    <w:rsid w:val="00997964"/>
    <w:rsid w:val="009A0062"/>
    <w:rsid w:val="009A0ADC"/>
    <w:rsid w:val="009A18F6"/>
    <w:rsid w:val="009A1986"/>
    <w:rsid w:val="009A1A54"/>
    <w:rsid w:val="009A24C0"/>
    <w:rsid w:val="009A2DCC"/>
    <w:rsid w:val="009A3459"/>
    <w:rsid w:val="009A3530"/>
    <w:rsid w:val="009A4476"/>
    <w:rsid w:val="009A45A8"/>
    <w:rsid w:val="009A4F8E"/>
    <w:rsid w:val="009A5ABC"/>
    <w:rsid w:val="009A5C24"/>
    <w:rsid w:val="009A5D07"/>
    <w:rsid w:val="009A5E50"/>
    <w:rsid w:val="009A5E6C"/>
    <w:rsid w:val="009A6345"/>
    <w:rsid w:val="009A6ABE"/>
    <w:rsid w:val="009A6C20"/>
    <w:rsid w:val="009A7513"/>
    <w:rsid w:val="009A79D5"/>
    <w:rsid w:val="009A7F10"/>
    <w:rsid w:val="009B014B"/>
    <w:rsid w:val="009B089D"/>
    <w:rsid w:val="009B0BE7"/>
    <w:rsid w:val="009B0F95"/>
    <w:rsid w:val="009B10D2"/>
    <w:rsid w:val="009B1A10"/>
    <w:rsid w:val="009B35C4"/>
    <w:rsid w:val="009B3E26"/>
    <w:rsid w:val="009B447B"/>
    <w:rsid w:val="009B4B7E"/>
    <w:rsid w:val="009B5A1B"/>
    <w:rsid w:val="009B6105"/>
    <w:rsid w:val="009B6658"/>
    <w:rsid w:val="009B6788"/>
    <w:rsid w:val="009B67AC"/>
    <w:rsid w:val="009B69F8"/>
    <w:rsid w:val="009B6D08"/>
    <w:rsid w:val="009B7387"/>
    <w:rsid w:val="009B7560"/>
    <w:rsid w:val="009B76C1"/>
    <w:rsid w:val="009B775D"/>
    <w:rsid w:val="009B7CDB"/>
    <w:rsid w:val="009C0546"/>
    <w:rsid w:val="009C08E1"/>
    <w:rsid w:val="009C0DD9"/>
    <w:rsid w:val="009C1271"/>
    <w:rsid w:val="009C1562"/>
    <w:rsid w:val="009C1A6E"/>
    <w:rsid w:val="009C1D54"/>
    <w:rsid w:val="009C1F3E"/>
    <w:rsid w:val="009C1FEA"/>
    <w:rsid w:val="009C2454"/>
    <w:rsid w:val="009C2493"/>
    <w:rsid w:val="009C2A3E"/>
    <w:rsid w:val="009C3706"/>
    <w:rsid w:val="009C3709"/>
    <w:rsid w:val="009C381A"/>
    <w:rsid w:val="009C3A3A"/>
    <w:rsid w:val="009C426B"/>
    <w:rsid w:val="009C44BB"/>
    <w:rsid w:val="009C4B58"/>
    <w:rsid w:val="009C4BBD"/>
    <w:rsid w:val="009C57DA"/>
    <w:rsid w:val="009C6822"/>
    <w:rsid w:val="009C6B98"/>
    <w:rsid w:val="009C6CEA"/>
    <w:rsid w:val="009C6F1A"/>
    <w:rsid w:val="009C7846"/>
    <w:rsid w:val="009C7B85"/>
    <w:rsid w:val="009D0254"/>
    <w:rsid w:val="009D048B"/>
    <w:rsid w:val="009D0D19"/>
    <w:rsid w:val="009D132A"/>
    <w:rsid w:val="009D1A64"/>
    <w:rsid w:val="009D1A67"/>
    <w:rsid w:val="009D25AB"/>
    <w:rsid w:val="009D2624"/>
    <w:rsid w:val="009D2681"/>
    <w:rsid w:val="009D2805"/>
    <w:rsid w:val="009D2B6C"/>
    <w:rsid w:val="009D341D"/>
    <w:rsid w:val="009D3442"/>
    <w:rsid w:val="009D3F28"/>
    <w:rsid w:val="009D3F36"/>
    <w:rsid w:val="009D4068"/>
    <w:rsid w:val="009D41A9"/>
    <w:rsid w:val="009D4A95"/>
    <w:rsid w:val="009D4EA2"/>
    <w:rsid w:val="009D4FB6"/>
    <w:rsid w:val="009D503E"/>
    <w:rsid w:val="009D5B08"/>
    <w:rsid w:val="009D5B91"/>
    <w:rsid w:val="009D67A6"/>
    <w:rsid w:val="009D7050"/>
    <w:rsid w:val="009D792E"/>
    <w:rsid w:val="009D7A5D"/>
    <w:rsid w:val="009D7B10"/>
    <w:rsid w:val="009D7EAE"/>
    <w:rsid w:val="009E06F3"/>
    <w:rsid w:val="009E0DFE"/>
    <w:rsid w:val="009E0F81"/>
    <w:rsid w:val="009E141E"/>
    <w:rsid w:val="009E1734"/>
    <w:rsid w:val="009E2022"/>
    <w:rsid w:val="009E249A"/>
    <w:rsid w:val="009E2833"/>
    <w:rsid w:val="009E2C74"/>
    <w:rsid w:val="009E2DDE"/>
    <w:rsid w:val="009E31F4"/>
    <w:rsid w:val="009E31F6"/>
    <w:rsid w:val="009E37D8"/>
    <w:rsid w:val="009E4361"/>
    <w:rsid w:val="009E461D"/>
    <w:rsid w:val="009E46F5"/>
    <w:rsid w:val="009E4AB1"/>
    <w:rsid w:val="009E4C07"/>
    <w:rsid w:val="009E54C4"/>
    <w:rsid w:val="009E6B79"/>
    <w:rsid w:val="009E6E0A"/>
    <w:rsid w:val="009E7403"/>
    <w:rsid w:val="009E7540"/>
    <w:rsid w:val="009E7575"/>
    <w:rsid w:val="009E762A"/>
    <w:rsid w:val="009E777F"/>
    <w:rsid w:val="009E79A0"/>
    <w:rsid w:val="009F083E"/>
    <w:rsid w:val="009F17D2"/>
    <w:rsid w:val="009F1870"/>
    <w:rsid w:val="009F1999"/>
    <w:rsid w:val="009F1E24"/>
    <w:rsid w:val="009F1EDD"/>
    <w:rsid w:val="009F22FD"/>
    <w:rsid w:val="009F243F"/>
    <w:rsid w:val="009F27F1"/>
    <w:rsid w:val="009F2B1D"/>
    <w:rsid w:val="009F39CC"/>
    <w:rsid w:val="009F3DFD"/>
    <w:rsid w:val="009F4832"/>
    <w:rsid w:val="009F4EA4"/>
    <w:rsid w:val="009F6120"/>
    <w:rsid w:val="009F61AF"/>
    <w:rsid w:val="009F65E4"/>
    <w:rsid w:val="009F67A5"/>
    <w:rsid w:val="009F7616"/>
    <w:rsid w:val="009F76E5"/>
    <w:rsid w:val="009F7A69"/>
    <w:rsid w:val="009F7EC4"/>
    <w:rsid w:val="00A0087E"/>
    <w:rsid w:val="00A00D76"/>
    <w:rsid w:val="00A010F6"/>
    <w:rsid w:val="00A01184"/>
    <w:rsid w:val="00A0136F"/>
    <w:rsid w:val="00A01449"/>
    <w:rsid w:val="00A01CBE"/>
    <w:rsid w:val="00A02283"/>
    <w:rsid w:val="00A02770"/>
    <w:rsid w:val="00A02841"/>
    <w:rsid w:val="00A02AC3"/>
    <w:rsid w:val="00A02FEE"/>
    <w:rsid w:val="00A03775"/>
    <w:rsid w:val="00A037C2"/>
    <w:rsid w:val="00A03D43"/>
    <w:rsid w:val="00A040C8"/>
    <w:rsid w:val="00A04164"/>
    <w:rsid w:val="00A04380"/>
    <w:rsid w:val="00A0459D"/>
    <w:rsid w:val="00A04786"/>
    <w:rsid w:val="00A05472"/>
    <w:rsid w:val="00A05A8C"/>
    <w:rsid w:val="00A05C32"/>
    <w:rsid w:val="00A06134"/>
    <w:rsid w:val="00A062AE"/>
    <w:rsid w:val="00A062B7"/>
    <w:rsid w:val="00A0653F"/>
    <w:rsid w:val="00A074EE"/>
    <w:rsid w:val="00A07AC3"/>
    <w:rsid w:val="00A07E72"/>
    <w:rsid w:val="00A10284"/>
    <w:rsid w:val="00A10563"/>
    <w:rsid w:val="00A10D3F"/>
    <w:rsid w:val="00A10D8E"/>
    <w:rsid w:val="00A10E90"/>
    <w:rsid w:val="00A11CD0"/>
    <w:rsid w:val="00A11ECC"/>
    <w:rsid w:val="00A1243D"/>
    <w:rsid w:val="00A12AD7"/>
    <w:rsid w:val="00A12E69"/>
    <w:rsid w:val="00A133DD"/>
    <w:rsid w:val="00A13948"/>
    <w:rsid w:val="00A13BCE"/>
    <w:rsid w:val="00A1440C"/>
    <w:rsid w:val="00A144DE"/>
    <w:rsid w:val="00A14C67"/>
    <w:rsid w:val="00A1555B"/>
    <w:rsid w:val="00A155C5"/>
    <w:rsid w:val="00A1566F"/>
    <w:rsid w:val="00A15BE5"/>
    <w:rsid w:val="00A15D8E"/>
    <w:rsid w:val="00A160A4"/>
    <w:rsid w:val="00A163DE"/>
    <w:rsid w:val="00A169C9"/>
    <w:rsid w:val="00A16AD8"/>
    <w:rsid w:val="00A16BD5"/>
    <w:rsid w:val="00A16CD0"/>
    <w:rsid w:val="00A16DB5"/>
    <w:rsid w:val="00A1704B"/>
    <w:rsid w:val="00A17846"/>
    <w:rsid w:val="00A17B6C"/>
    <w:rsid w:val="00A17FD0"/>
    <w:rsid w:val="00A20178"/>
    <w:rsid w:val="00A2021E"/>
    <w:rsid w:val="00A2079F"/>
    <w:rsid w:val="00A20805"/>
    <w:rsid w:val="00A2087E"/>
    <w:rsid w:val="00A20DA9"/>
    <w:rsid w:val="00A2182E"/>
    <w:rsid w:val="00A21A3E"/>
    <w:rsid w:val="00A21C95"/>
    <w:rsid w:val="00A21CF3"/>
    <w:rsid w:val="00A22C77"/>
    <w:rsid w:val="00A2319F"/>
    <w:rsid w:val="00A23637"/>
    <w:rsid w:val="00A23BBE"/>
    <w:rsid w:val="00A23E1A"/>
    <w:rsid w:val="00A24424"/>
    <w:rsid w:val="00A24813"/>
    <w:rsid w:val="00A248B7"/>
    <w:rsid w:val="00A24A6D"/>
    <w:rsid w:val="00A24B64"/>
    <w:rsid w:val="00A24D26"/>
    <w:rsid w:val="00A24D7A"/>
    <w:rsid w:val="00A2521A"/>
    <w:rsid w:val="00A25765"/>
    <w:rsid w:val="00A258F1"/>
    <w:rsid w:val="00A2627B"/>
    <w:rsid w:val="00A26C8F"/>
    <w:rsid w:val="00A275E7"/>
    <w:rsid w:val="00A27AEC"/>
    <w:rsid w:val="00A30366"/>
    <w:rsid w:val="00A30B78"/>
    <w:rsid w:val="00A30ED1"/>
    <w:rsid w:val="00A31CB6"/>
    <w:rsid w:val="00A320DB"/>
    <w:rsid w:val="00A3262D"/>
    <w:rsid w:val="00A3281A"/>
    <w:rsid w:val="00A333D8"/>
    <w:rsid w:val="00A33B7E"/>
    <w:rsid w:val="00A35566"/>
    <w:rsid w:val="00A35751"/>
    <w:rsid w:val="00A35CF3"/>
    <w:rsid w:val="00A35D16"/>
    <w:rsid w:val="00A3691A"/>
    <w:rsid w:val="00A36C82"/>
    <w:rsid w:val="00A37597"/>
    <w:rsid w:val="00A378E8"/>
    <w:rsid w:val="00A37981"/>
    <w:rsid w:val="00A37B32"/>
    <w:rsid w:val="00A37BCD"/>
    <w:rsid w:val="00A40025"/>
    <w:rsid w:val="00A40414"/>
    <w:rsid w:val="00A4041F"/>
    <w:rsid w:val="00A40A85"/>
    <w:rsid w:val="00A40DF2"/>
    <w:rsid w:val="00A41689"/>
    <w:rsid w:val="00A42592"/>
    <w:rsid w:val="00A426DA"/>
    <w:rsid w:val="00A428AB"/>
    <w:rsid w:val="00A42B53"/>
    <w:rsid w:val="00A42BC8"/>
    <w:rsid w:val="00A42CB1"/>
    <w:rsid w:val="00A43873"/>
    <w:rsid w:val="00A43C59"/>
    <w:rsid w:val="00A44C1F"/>
    <w:rsid w:val="00A44DA4"/>
    <w:rsid w:val="00A45074"/>
    <w:rsid w:val="00A45262"/>
    <w:rsid w:val="00A459B9"/>
    <w:rsid w:val="00A45DD8"/>
    <w:rsid w:val="00A4725A"/>
    <w:rsid w:val="00A50551"/>
    <w:rsid w:val="00A50ECD"/>
    <w:rsid w:val="00A50F29"/>
    <w:rsid w:val="00A5102B"/>
    <w:rsid w:val="00A51045"/>
    <w:rsid w:val="00A5181E"/>
    <w:rsid w:val="00A518F3"/>
    <w:rsid w:val="00A519D6"/>
    <w:rsid w:val="00A51C91"/>
    <w:rsid w:val="00A52441"/>
    <w:rsid w:val="00A52729"/>
    <w:rsid w:val="00A528FF"/>
    <w:rsid w:val="00A52E86"/>
    <w:rsid w:val="00A53130"/>
    <w:rsid w:val="00A5317F"/>
    <w:rsid w:val="00A53493"/>
    <w:rsid w:val="00A53675"/>
    <w:rsid w:val="00A53841"/>
    <w:rsid w:val="00A53853"/>
    <w:rsid w:val="00A53C67"/>
    <w:rsid w:val="00A540AF"/>
    <w:rsid w:val="00A5434E"/>
    <w:rsid w:val="00A54419"/>
    <w:rsid w:val="00A54644"/>
    <w:rsid w:val="00A54D71"/>
    <w:rsid w:val="00A55393"/>
    <w:rsid w:val="00A55952"/>
    <w:rsid w:val="00A55A75"/>
    <w:rsid w:val="00A564D7"/>
    <w:rsid w:val="00A56953"/>
    <w:rsid w:val="00A56B6A"/>
    <w:rsid w:val="00A57189"/>
    <w:rsid w:val="00A578DC"/>
    <w:rsid w:val="00A57BC2"/>
    <w:rsid w:val="00A60130"/>
    <w:rsid w:val="00A60702"/>
    <w:rsid w:val="00A60A6E"/>
    <w:rsid w:val="00A60E62"/>
    <w:rsid w:val="00A61C9B"/>
    <w:rsid w:val="00A61E43"/>
    <w:rsid w:val="00A623F9"/>
    <w:rsid w:val="00A62638"/>
    <w:rsid w:val="00A62CC9"/>
    <w:rsid w:val="00A62EFC"/>
    <w:rsid w:val="00A634E6"/>
    <w:rsid w:val="00A6358B"/>
    <w:rsid w:val="00A63ECF"/>
    <w:rsid w:val="00A640E2"/>
    <w:rsid w:val="00A6418A"/>
    <w:rsid w:val="00A648DF"/>
    <w:rsid w:val="00A64D65"/>
    <w:rsid w:val="00A656CE"/>
    <w:rsid w:val="00A660F4"/>
    <w:rsid w:val="00A660F8"/>
    <w:rsid w:val="00A6725B"/>
    <w:rsid w:val="00A67931"/>
    <w:rsid w:val="00A67DF1"/>
    <w:rsid w:val="00A70513"/>
    <w:rsid w:val="00A70519"/>
    <w:rsid w:val="00A70605"/>
    <w:rsid w:val="00A706D2"/>
    <w:rsid w:val="00A70E99"/>
    <w:rsid w:val="00A72439"/>
    <w:rsid w:val="00A724EC"/>
    <w:rsid w:val="00A726DC"/>
    <w:rsid w:val="00A72734"/>
    <w:rsid w:val="00A72894"/>
    <w:rsid w:val="00A729D5"/>
    <w:rsid w:val="00A729F9"/>
    <w:rsid w:val="00A73134"/>
    <w:rsid w:val="00A7365A"/>
    <w:rsid w:val="00A7383A"/>
    <w:rsid w:val="00A73B26"/>
    <w:rsid w:val="00A73C04"/>
    <w:rsid w:val="00A73C1C"/>
    <w:rsid w:val="00A73D54"/>
    <w:rsid w:val="00A74497"/>
    <w:rsid w:val="00A74547"/>
    <w:rsid w:val="00A7494E"/>
    <w:rsid w:val="00A75454"/>
    <w:rsid w:val="00A75BF2"/>
    <w:rsid w:val="00A76001"/>
    <w:rsid w:val="00A76E50"/>
    <w:rsid w:val="00A77799"/>
    <w:rsid w:val="00A777B2"/>
    <w:rsid w:val="00A801E5"/>
    <w:rsid w:val="00A802E7"/>
    <w:rsid w:val="00A80AA9"/>
    <w:rsid w:val="00A80CD4"/>
    <w:rsid w:val="00A810AC"/>
    <w:rsid w:val="00A81986"/>
    <w:rsid w:val="00A81ED0"/>
    <w:rsid w:val="00A8213E"/>
    <w:rsid w:val="00A821BC"/>
    <w:rsid w:val="00A82201"/>
    <w:rsid w:val="00A825D4"/>
    <w:rsid w:val="00A828F6"/>
    <w:rsid w:val="00A82B73"/>
    <w:rsid w:val="00A8347E"/>
    <w:rsid w:val="00A834A3"/>
    <w:rsid w:val="00A8553C"/>
    <w:rsid w:val="00A8566A"/>
    <w:rsid w:val="00A85B00"/>
    <w:rsid w:val="00A8612C"/>
    <w:rsid w:val="00A8683F"/>
    <w:rsid w:val="00A86B3C"/>
    <w:rsid w:val="00A86C46"/>
    <w:rsid w:val="00A86D6D"/>
    <w:rsid w:val="00A86E8B"/>
    <w:rsid w:val="00A87164"/>
    <w:rsid w:val="00A871A9"/>
    <w:rsid w:val="00A87449"/>
    <w:rsid w:val="00A906B3"/>
    <w:rsid w:val="00A90D39"/>
    <w:rsid w:val="00A9110F"/>
    <w:rsid w:val="00A91BD6"/>
    <w:rsid w:val="00A92946"/>
    <w:rsid w:val="00A92EEE"/>
    <w:rsid w:val="00A92F2B"/>
    <w:rsid w:val="00A93072"/>
    <w:rsid w:val="00A938BD"/>
    <w:rsid w:val="00A93953"/>
    <w:rsid w:val="00A93976"/>
    <w:rsid w:val="00A9417E"/>
    <w:rsid w:val="00A9478E"/>
    <w:rsid w:val="00A9483F"/>
    <w:rsid w:val="00A94C7C"/>
    <w:rsid w:val="00A94F57"/>
    <w:rsid w:val="00A95017"/>
    <w:rsid w:val="00A95636"/>
    <w:rsid w:val="00A959D8"/>
    <w:rsid w:val="00A95A19"/>
    <w:rsid w:val="00A963DD"/>
    <w:rsid w:val="00A969CF"/>
    <w:rsid w:val="00A96A53"/>
    <w:rsid w:val="00A9731A"/>
    <w:rsid w:val="00A97660"/>
    <w:rsid w:val="00A97BE3"/>
    <w:rsid w:val="00A97E25"/>
    <w:rsid w:val="00AA001C"/>
    <w:rsid w:val="00AA0150"/>
    <w:rsid w:val="00AA0250"/>
    <w:rsid w:val="00AA07AB"/>
    <w:rsid w:val="00AA10D5"/>
    <w:rsid w:val="00AA1104"/>
    <w:rsid w:val="00AA113D"/>
    <w:rsid w:val="00AA154D"/>
    <w:rsid w:val="00AA158C"/>
    <w:rsid w:val="00AA18F5"/>
    <w:rsid w:val="00AA1ACF"/>
    <w:rsid w:val="00AA1BB6"/>
    <w:rsid w:val="00AA1D8E"/>
    <w:rsid w:val="00AA1F60"/>
    <w:rsid w:val="00AA2B86"/>
    <w:rsid w:val="00AA2C93"/>
    <w:rsid w:val="00AA3CC6"/>
    <w:rsid w:val="00AA3DC9"/>
    <w:rsid w:val="00AA3F84"/>
    <w:rsid w:val="00AA5154"/>
    <w:rsid w:val="00AA5F0A"/>
    <w:rsid w:val="00AA6BD5"/>
    <w:rsid w:val="00AA6BD8"/>
    <w:rsid w:val="00AA6C7D"/>
    <w:rsid w:val="00AA7167"/>
    <w:rsid w:val="00AA7278"/>
    <w:rsid w:val="00AA7814"/>
    <w:rsid w:val="00AA7FD6"/>
    <w:rsid w:val="00AB042A"/>
    <w:rsid w:val="00AB0453"/>
    <w:rsid w:val="00AB0996"/>
    <w:rsid w:val="00AB11AD"/>
    <w:rsid w:val="00AB19EF"/>
    <w:rsid w:val="00AB1C64"/>
    <w:rsid w:val="00AB1CC8"/>
    <w:rsid w:val="00AB2283"/>
    <w:rsid w:val="00AB229C"/>
    <w:rsid w:val="00AB2495"/>
    <w:rsid w:val="00AB2D34"/>
    <w:rsid w:val="00AB3224"/>
    <w:rsid w:val="00AB3430"/>
    <w:rsid w:val="00AB34C9"/>
    <w:rsid w:val="00AB37B9"/>
    <w:rsid w:val="00AB400C"/>
    <w:rsid w:val="00AB4158"/>
    <w:rsid w:val="00AB4721"/>
    <w:rsid w:val="00AB4877"/>
    <w:rsid w:val="00AB4AD1"/>
    <w:rsid w:val="00AB4D3F"/>
    <w:rsid w:val="00AB4D6A"/>
    <w:rsid w:val="00AB50A5"/>
    <w:rsid w:val="00AB5410"/>
    <w:rsid w:val="00AB5447"/>
    <w:rsid w:val="00AB5852"/>
    <w:rsid w:val="00AB5854"/>
    <w:rsid w:val="00AB5E07"/>
    <w:rsid w:val="00AB6304"/>
    <w:rsid w:val="00AB6C9C"/>
    <w:rsid w:val="00AB6EFE"/>
    <w:rsid w:val="00AB6F0D"/>
    <w:rsid w:val="00AB6F74"/>
    <w:rsid w:val="00AB72A0"/>
    <w:rsid w:val="00AB79B5"/>
    <w:rsid w:val="00AB7CFA"/>
    <w:rsid w:val="00AC0093"/>
    <w:rsid w:val="00AC09F0"/>
    <w:rsid w:val="00AC0C7E"/>
    <w:rsid w:val="00AC1274"/>
    <w:rsid w:val="00AC2041"/>
    <w:rsid w:val="00AC2AB1"/>
    <w:rsid w:val="00AC2D1C"/>
    <w:rsid w:val="00AC2D31"/>
    <w:rsid w:val="00AC3246"/>
    <w:rsid w:val="00AC33A1"/>
    <w:rsid w:val="00AC39AC"/>
    <w:rsid w:val="00AC3A69"/>
    <w:rsid w:val="00AC3B74"/>
    <w:rsid w:val="00AC4011"/>
    <w:rsid w:val="00AC41D7"/>
    <w:rsid w:val="00AC44F6"/>
    <w:rsid w:val="00AC4539"/>
    <w:rsid w:val="00AC48E3"/>
    <w:rsid w:val="00AC4FFF"/>
    <w:rsid w:val="00AC5008"/>
    <w:rsid w:val="00AC5B42"/>
    <w:rsid w:val="00AC5B48"/>
    <w:rsid w:val="00AC6008"/>
    <w:rsid w:val="00AC6099"/>
    <w:rsid w:val="00AC688F"/>
    <w:rsid w:val="00AC713C"/>
    <w:rsid w:val="00AC7C2C"/>
    <w:rsid w:val="00AD0D10"/>
    <w:rsid w:val="00AD1450"/>
    <w:rsid w:val="00AD15E8"/>
    <w:rsid w:val="00AD16E0"/>
    <w:rsid w:val="00AD1F7C"/>
    <w:rsid w:val="00AD2EB6"/>
    <w:rsid w:val="00AD32BD"/>
    <w:rsid w:val="00AD356D"/>
    <w:rsid w:val="00AD3C4F"/>
    <w:rsid w:val="00AD41A0"/>
    <w:rsid w:val="00AD4264"/>
    <w:rsid w:val="00AD42AC"/>
    <w:rsid w:val="00AD4B4D"/>
    <w:rsid w:val="00AD5002"/>
    <w:rsid w:val="00AD57C2"/>
    <w:rsid w:val="00AD591B"/>
    <w:rsid w:val="00AD642A"/>
    <w:rsid w:val="00AD6502"/>
    <w:rsid w:val="00AD6551"/>
    <w:rsid w:val="00AD67FE"/>
    <w:rsid w:val="00AD68A8"/>
    <w:rsid w:val="00AD6E83"/>
    <w:rsid w:val="00AE0695"/>
    <w:rsid w:val="00AE0CEF"/>
    <w:rsid w:val="00AE13BF"/>
    <w:rsid w:val="00AE1410"/>
    <w:rsid w:val="00AE1D23"/>
    <w:rsid w:val="00AE1EC3"/>
    <w:rsid w:val="00AE2AC7"/>
    <w:rsid w:val="00AE2B6D"/>
    <w:rsid w:val="00AE2C1F"/>
    <w:rsid w:val="00AE3368"/>
    <w:rsid w:val="00AE35AF"/>
    <w:rsid w:val="00AE3933"/>
    <w:rsid w:val="00AE3B80"/>
    <w:rsid w:val="00AE3E7E"/>
    <w:rsid w:val="00AE4322"/>
    <w:rsid w:val="00AE45FD"/>
    <w:rsid w:val="00AE4FF8"/>
    <w:rsid w:val="00AE5127"/>
    <w:rsid w:val="00AE5181"/>
    <w:rsid w:val="00AE61EA"/>
    <w:rsid w:val="00AE6956"/>
    <w:rsid w:val="00AE6E54"/>
    <w:rsid w:val="00AE7006"/>
    <w:rsid w:val="00AE76B2"/>
    <w:rsid w:val="00AE7E53"/>
    <w:rsid w:val="00AF0494"/>
    <w:rsid w:val="00AF06B4"/>
    <w:rsid w:val="00AF0711"/>
    <w:rsid w:val="00AF0877"/>
    <w:rsid w:val="00AF0AA0"/>
    <w:rsid w:val="00AF0D84"/>
    <w:rsid w:val="00AF1095"/>
    <w:rsid w:val="00AF10F0"/>
    <w:rsid w:val="00AF1315"/>
    <w:rsid w:val="00AF19BF"/>
    <w:rsid w:val="00AF2A49"/>
    <w:rsid w:val="00AF2DC3"/>
    <w:rsid w:val="00AF376B"/>
    <w:rsid w:val="00AF3DFA"/>
    <w:rsid w:val="00AF4255"/>
    <w:rsid w:val="00AF43E8"/>
    <w:rsid w:val="00AF47CB"/>
    <w:rsid w:val="00AF48DA"/>
    <w:rsid w:val="00AF5034"/>
    <w:rsid w:val="00AF52CE"/>
    <w:rsid w:val="00AF5706"/>
    <w:rsid w:val="00AF5D65"/>
    <w:rsid w:val="00AF5F2F"/>
    <w:rsid w:val="00AF6305"/>
    <w:rsid w:val="00AF6585"/>
    <w:rsid w:val="00AF6816"/>
    <w:rsid w:val="00AF6E1D"/>
    <w:rsid w:val="00AF72BF"/>
    <w:rsid w:val="00AF7F4E"/>
    <w:rsid w:val="00B006E0"/>
    <w:rsid w:val="00B00A60"/>
    <w:rsid w:val="00B00DDE"/>
    <w:rsid w:val="00B01337"/>
    <w:rsid w:val="00B029A0"/>
    <w:rsid w:val="00B029AE"/>
    <w:rsid w:val="00B033E5"/>
    <w:rsid w:val="00B035B5"/>
    <w:rsid w:val="00B036B3"/>
    <w:rsid w:val="00B03A63"/>
    <w:rsid w:val="00B04331"/>
    <w:rsid w:val="00B04F9D"/>
    <w:rsid w:val="00B05940"/>
    <w:rsid w:val="00B05AB2"/>
    <w:rsid w:val="00B05EC7"/>
    <w:rsid w:val="00B0628B"/>
    <w:rsid w:val="00B062BF"/>
    <w:rsid w:val="00B0668C"/>
    <w:rsid w:val="00B06F06"/>
    <w:rsid w:val="00B07059"/>
    <w:rsid w:val="00B07584"/>
    <w:rsid w:val="00B0773D"/>
    <w:rsid w:val="00B079E0"/>
    <w:rsid w:val="00B07FD6"/>
    <w:rsid w:val="00B07FE5"/>
    <w:rsid w:val="00B10F05"/>
    <w:rsid w:val="00B11139"/>
    <w:rsid w:val="00B11596"/>
    <w:rsid w:val="00B116D8"/>
    <w:rsid w:val="00B11950"/>
    <w:rsid w:val="00B129A4"/>
    <w:rsid w:val="00B12E90"/>
    <w:rsid w:val="00B1365F"/>
    <w:rsid w:val="00B141F2"/>
    <w:rsid w:val="00B1481D"/>
    <w:rsid w:val="00B14A37"/>
    <w:rsid w:val="00B14EB8"/>
    <w:rsid w:val="00B15185"/>
    <w:rsid w:val="00B15503"/>
    <w:rsid w:val="00B15648"/>
    <w:rsid w:val="00B159A2"/>
    <w:rsid w:val="00B159AC"/>
    <w:rsid w:val="00B1621B"/>
    <w:rsid w:val="00B16714"/>
    <w:rsid w:val="00B168D0"/>
    <w:rsid w:val="00B17284"/>
    <w:rsid w:val="00B176A4"/>
    <w:rsid w:val="00B17C88"/>
    <w:rsid w:val="00B201A4"/>
    <w:rsid w:val="00B201D1"/>
    <w:rsid w:val="00B2071A"/>
    <w:rsid w:val="00B20E47"/>
    <w:rsid w:val="00B211B5"/>
    <w:rsid w:val="00B213A6"/>
    <w:rsid w:val="00B216C8"/>
    <w:rsid w:val="00B22477"/>
    <w:rsid w:val="00B235B0"/>
    <w:rsid w:val="00B238A4"/>
    <w:rsid w:val="00B24022"/>
    <w:rsid w:val="00B242BF"/>
    <w:rsid w:val="00B24799"/>
    <w:rsid w:val="00B24857"/>
    <w:rsid w:val="00B24DF6"/>
    <w:rsid w:val="00B2532F"/>
    <w:rsid w:val="00B2599E"/>
    <w:rsid w:val="00B25EF6"/>
    <w:rsid w:val="00B2619B"/>
    <w:rsid w:val="00B26923"/>
    <w:rsid w:val="00B27729"/>
    <w:rsid w:val="00B27A61"/>
    <w:rsid w:val="00B27E3B"/>
    <w:rsid w:val="00B30924"/>
    <w:rsid w:val="00B3155C"/>
    <w:rsid w:val="00B31682"/>
    <w:rsid w:val="00B3169C"/>
    <w:rsid w:val="00B3224E"/>
    <w:rsid w:val="00B327B4"/>
    <w:rsid w:val="00B33770"/>
    <w:rsid w:val="00B33C66"/>
    <w:rsid w:val="00B34400"/>
    <w:rsid w:val="00B34BD9"/>
    <w:rsid w:val="00B34C1C"/>
    <w:rsid w:val="00B34FE2"/>
    <w:rsid w:val="00B35166"/>
    <w:rsid w:val="00B3529A"/>
    <w:rsid w:val="00B355D9"/>
    <w:rsid w:val="00B357D8"/>
    <w:rsid w:val="00B35ABB"/>
    <w:rsid w:val="00B35C3F"/>
    <w:rsid w:val="00B35E3C"/>
    <w:rsid w:val="00B36032"/>
    <w:rsid w:val="00B360F4"/>
    <w:rsid w:val="00B36511"/>
    <w:rsid w:val="00B36925"/>
    <w:rsid w:val="00B36A00"/>
    <w:rsid w:val="00B37094"/>
    <w:rsid w:val="00B3729A"/>
    <w:rsid w:val="00B3792B"/>
    <w:rsid w:val="00B37BFC"/>
    <w:rsid w:val="00B4010A"/>
    <w:rsid w:val="00B40358"/>
    <w:rsid w:val="00B403C2"/>
    <w:rsid w:val="00B4057C"/>
    <w:rsid w:val="00B41257"/>
    <w:rsid w:val="00B41614"/>
    <w:rsid w:val="00B42851"/>
    <w:rsid w:val="00B42D43"/>
    <w:rsid w:val="00B42DD8"/>
    <w:rsid w:val="00B42E68"/>
    <w:rsid w:val="00B42F80"/>
    <w:rsid w:val="00B435CB"/>
    <w:rsid w:val="00B43766"/>
    <w:rsid w:val="00B43C6D"/>
    <w:rsid w:val="00B43C8A"/>
    <w:rsid w:val="00B44138"/>
    <w:rsid w:val="00B4481E"/>
    <w:rsid w:val="00B44B20"/>
    <w:rsid w:val="00B45100"/>
    <w:rsid w:val="00B459E5"/>
    <w:rsid w:val="00B45A35"/>
    <w:rsid w:val="00B45AC5"/>
    <w:rsid w:val="00B4604A"/>
    <w:rsid w:val="00B46122"/>
    <w:rsid w:val="00B462B4"/>
    <w:rsid w:val="00B4640A"/>
    <w:rsid w:val="00B465EC"/>
    <w:rsid w:val="00B466FC"/>
    <w:rsid w:val="00B46D28"/>
    <w:rsid w:val="00B46FF4"/>
    <w:rsid w:val="00B470A9"/>
    <w:rsid w:val="00B472FE"/>
    <w:rsid w:val="00B479B4"/>
    <w:rsid w:val="00B47DC0"/>
    <w:rsid w:val="00B50321"/>
    <w:rsid w:val="00B505C8"/>
    <w:rsid w:val="00B5094B"/>
    <w:rsid w:val="00B50DB8"/>
    <w:rsid w:val="00B50F7F"/>
    <w:rsid w:val="00B510A9"/>
    <w:rsid w:val="00B510E1"/>
    <w:rsid w:val="00B515C6"/>
    <w:rsid w:val="00B51697"/>
    <w:rsid w:val="00B51FFB"/>
    <w:rsid w:val="00B53615"/>
    <w:rsid w:val="00B53654"/>
    <w:rsid w:val="00B53905"/>
    <w:rsid w:val="00B53D72"/>
    <w:rsid w:val="00B5437E"/>
    <w:rsid w:val="00B546DB"/>
    <w:rsid w:val="00B54937"/>
    <w:rsid w:val="00B54B5B"/>
    <w:rsid w:val="00B5562E"/>
    <w:rsid w:val="00B55862"/>
    <w:rsid w:val="00B55D65"/>
    <w:rsid w:val="00B5611B"/>
    <w:rsid w:val="00B56305"/>
    <w:rsid w:val="00B56307"/>
    <w:rsid w:val="00B5684F"/>
    <w:rsid w:val="00B56AA1"/>
    <w:rsid w:val="00B56EDF"/>
    <w:rsid w:val="00B57000"/>
    <w:rsid w:val="00B576E5"/>
    <w:rsid w:val="00B57D09"/>
    <w:rsid w:val="00B60838"/>
    <w:rsid w:val="00B60939"/>
    <w:rsid w:val="00B60AFD"/>
    <w:rsid w:val="00B60BFE"/>
    <w:rsid w:val="00B615D7"/>
    <w:rsid w:val="00B61A70"/>
    <w:rsid w:val="00B61CE6"/>
    <w:rsid w:val="00B621C4"/>
    <w:rsid w:val="00B623F5"/>
    <w:rsid w:val="00B62715"/>
    <w:rsid w:val="00B62986"/>
    <w:rsid w:val="00B632D9"/>
    <w:rsid w:val="00B640A5"/>
    <w:rsid w:val="00B6426A"/>
    <w:rsid w:val="00B64ABE"/>
    <w:rsid w:val="00B64F96"/>
    <w:rsid w:val="00B64F9B"/>
    <w:rsid w:val="00B65545"/>
    <w:rsid w:val="00B65611"/>
    <w:rsid w:val="00B65D84"/>
    <w:rsid w:val="00B66359"/>
    <w:rsid w:val="00B67827"/>
    <w:rsid w:val="00B67A09"/>
    <w:rsid w:val="00B67FFC"/>
    <w:rsid w:val="00B70550"/>
    <w:rsid w:val="00B70E8E"/>
    <w:rsid w:val="00B71625"/>
    <w:rsid w:val="00B71E1F"/>
    <w:rsid w:val="00B7218F"/>
    <w:rsid w:val="00B729DA"/>
    <w:rsid w:val="00B72E5C"/>
    <w:rsid w:val="00B73925"/>
    <w:rsid w:val="00B73BF0"/>
    <w:rsid w:val="00B74D37"/>
    <w:rsid w:val="00B74EC9"/>
    <w:rsid w:val="00B75449"/>
    <w:rsid w:val="00B7566C"/>
    <w:rsid w:val="00B75C8B"/>
    <w:rsid w:val="00B75D39"/>
    <w:rsid w:val="00B75ED3"/>
    <w:rsid w:val="00B764B7"/>
    <w:rsid w:val="00B76C6A"/>
    <w:rsid w:val="00B76C92"/>
    <w:rsid w:val="00B76E67"/>
    <w:rsid w:val="00B76FB5"/>
    <w:rsid w:val="00B77384"/>
    <w:rsid w:val="00B7770F"/>
    <w:rsid w:val="00B7789C"/>
    <w:rsid w:val="00B77A47"/>
    <w:rsid w:val="00B77A79"/>
    <w:rsid w:val="00B80416"/>
    <w:rsid w:val="00B80DE1"/>
    <w:rsid w:val="00B80EFD"/>
    <w:rsid w:val="00B810DA"/>
    <w:rsid w:val="00B818A4"/>
    <w:rsid w:val="00B82013"/>
    <w:rsid w:val="00B82353"/>
    <w:rsid w:val="00B82620"/>
    <w:rsid w:val="00B830A2"/>
    <w:rsid w:val="00B83444"/>
    <w:rsid w:val="00B83739"/>
    <w:rsid w:val="00B83D9A"/>
    <w:rsid w:val="00B83F17"/>
    <w:rsid w:val="00B84117"/>
    <w:rsid w:val="00B84252"/>
    <w:rsid w:val="00B84D2B"/>
    <w:rsid w:val="00B8520C"/>
    <w:rsid w:val="00B854F0"/>
    <w:rsid w:val="00B855AD"/>
    <w:rsid w:val="00B858F0"/>
    <w:rsid w:val="00B85AA2"/>
    <w:rsid w:val="00B85CB3"/>
    <w:rsid w:val="00B8621B"/>
    <w:rsid w:val="00B8649C"/>
    <w:rsid w:val="00B8695D"/>
    <w:rsid w:val="00B86A88"/>
    <w:rsid w:val="00B87511"/>
    <w:rsid w:val="00B87791"/>
    <w:rsid w:val="00B8795A"/>
    <w:rsid w:val="00B87C87"/>
    <w:rsid w:val="00B87EC7"/>
    <w:rsid w:val="00B87F0A"/>
    <w:rsid w:val="00B901DC"/>
    <w:rsid w:val="00B901E4"/>
    <w:rsid w:val="00B90DF8"/>
    <w:rsid w:val="00B910A3"/>
    <w:rsid w:val="00B9133F"/>
    <w:rsid w:val="00B91FBB"/>
    <w:rsid w:val="00B921E2"/>
    <w:rsid w:val="00B92425"/>
    <w:rsid w:val="00B92509"/>
    <w:rsid w:val="00B92565"/>
    <w:rsid w:val="00B9267E"/>
    <w:rsid w:val="00B92D0B"/>
    <w:rsid w:val="00B93272"/>
    <w:rsid w:val="00B938B2"/>
    <w:rsid w:val="00B93BBF"/>
    <w:rsid w:val="00B94648"/>
    <w:rsid w:val="00B9469B"/>
    <w:rsid w:val="00B9478E"/>
    <w:rsid w:val="00B94945"/>
    <w:rsid w:val="00B94DD6"/>
    <w:rsid w:val="00B9513F"/>
    <w:rsid w:val="00B95E52"/>
    <w:rsid w:val="00B965B0"/>
    <w:rsid w:val="00B96915"/>
    <w:rsid w:val="00B9721D"/>
    <w:rsid w:val="00B97571"/>
    <w:rsid w:val="00B975A9"/>
    <w:rsid w:val="00B975D5"/>
    <w:rsid w:val="00BA0587"/>
    <w:rsid w:val="00BA08AE"/>
    <w:rsid w:val="00BA0917"/>
    <w:rsid w:val="00BA0ECC"/>
    <w:rsid w:val="00BA1788"/>
    <w:rsid w:val="00BA18FF"/>
    <w:rsid w:val="00BA1EAE"/>
    <w:rsid w:val="00BA2155"/>
    <w:rsid w:val="00BA2433"/>
    <w:rsid w:val="00BA2460"/>
    <w:rsid w:val="00BA25DC"/>
    <w:rsid w:val="00BA2A10"/>
    <w:rsid w:val="00BA322D"/>
    <w:rsid w:val="00BA3F02"/>
    <w:rsid w:val="00BA407C"/>
    <w:rsid w:val="00BA44AD"/>
    <w:rsid w:val="00BA470B"/>
    <w:rsid w:val="00BA4C03"/>
    <w:rsid w:val="00BA4E0F"/>
    <w:rsid w:val="00BA525E"/>
    <w:rsid w:val="00BA5B4E"/>
    <w:rsid w:val="00BA5F10"/>
    <w:rsid w:val="00BA60EB"/>
    <w:rsid w:val="00BA63FA"/>
    <w:rsid w:val="00BA658F"/>
    <w:rsid w:val="00BA6693"/>
    <w:rsid w:val="00BA6C36"/>
    <w:rsid w:val="00BA6D89"/>
    <w:rsid w:val="00BA7399"/>
    <w:rsid w:val="00BA7D3F"/>
    <w:rsid w:val="00BB0029"/>
    <w:rsid w:val="00BB00B3"/>
    <w:rsid w:val="00BB028C"/>
    <w:rsid w:val="00BB0BDD"/>
    <w:rsid w:val="00BB0C65"/>
    <w:rsid w:val="00BB0F2C"/>
    <w:rsid w:val="00BB0F34"/>
    <w:rsid w:val="00BB10BE"/>
    <w:rsid w:val="00BB12B4"/>
    <w:rsid w:val="00BB13CB"/>
    <w:rsid w:val="00BB176C"/>
    <w:rsid w:val="00BB18CF"/>
    <w:rsid w:val="00BB18F4"/>
    <w:rsid w:val="00BB2A73"/>
    <w:rsid w:val="00BB36F8"/>
    <w:rsid w:val="00BB379B"/>
    <w:rsid w:val="00BB3819"/>
    <w:rsid w:val="00BB3A45"/>
    <w:rsid w:val="00BB3AED"/>
    <w:rsid w:val="00BB4569"/>
    <w:rsid w:val="00BB4949"/>
    <w:rsid w:val="00BB4ACC"/>
    <w:rsid w:val="00BB519F"/>
    <w:rsid w:val="00BB5908"/>
    <w:rsid w:val="00BB5F58"/>
    <w:rsid w:val="00BB6ABC"/>
    <w:rsid w:val="00BB6B15"/>
    <w:rsid w:val="00BB703E"/>
    <w:rsid w:val="00BB7150"/>
    <w:rsid w:val="00BB732D"/>
    <w:rsid w:val="00BB7373"/>
    <w:rsid w:val="00BB7405"/>
    <w:rsid w:val="00BB76B4"/>
    <w:rsid w:val="00BB7C39"/>
    <w:rsid w:val="00BC0C3E"/>
    <w:rsid w:val="00BC0DBA"/>
    <w:rsid w:val="00BC111D"/>
    <w:rsid w:val="00BC179C"/>
    <w:rsid w:val="00BC1F1F"/>
    <w:rsid w:val="00BC23E7"/>
    <w:rsid w:val="00BC313F"/>
    <w:rsid w:val="00BC32BE"/>
    <w:rsid w:val="00BC345A"/>
    <w:rsid w:val="00BC3631"/>
    <w:rsid w:val="00BC3863"/>
    <w:rsid w:val="00BC3EFC"/>
    <w:rsid w:val="00BC44CF"/>
    <w:rsid w:val="00BC4C2C"/>
    <w:rsid w:val="00BC5163"/>
    <w:rsid w:val="00BC591F"/>
    <w:rsid w:val="00BC5FF3"/>
    <w:rsid w:val="00BC653E"/>
    <w:rsid w:val="00BC70D8"/>
    <w:rsid w:val="00BC71E3"/>
    <w:rsid w:val="00BC7B06"/>
    <w:rsid w:val="00BC7D6D"/>
    <w:rsid w:val="00BD06AC"/>
    <w:rsid w:val="00BD1113"/>
    <w:rsid w:val="00BD11AA"/>
    <w:rsid w:val="00BD1311"/>
    <w:rsid w:val="00BD1ADA"/>
    <w:rsid w:val="00BD1FA7"/>
    <w:rsid w:val="00BD2108"/>
    <w:rsid w:val="00BD22E7"/>
    <w:rsid w:val="00BD23B4"/>
    <w:rsid w:val="00BD4197"/>
    <w:rsid w:val="00BD48AA"/>
    <w:rsid w:val="00BD4D09"/>
    <w:rsid w:val="00BD55C6"/>
    <w:rsid w:val="00BD5881"/>
    <w:rsid w:val="00BD6113"/>
    <w:rsid w:val="00BD68A3"/>
    <w:rsid w:val="00BD6938"/>
    <w:rsid w:val="00BD6CF3"/>
    <w:rsid w:val="00BD7452"/>
    <w:rsid w:val="00BD787D"/>
    <w:rsid w:val="00BD7F72"/>
    <w:rsid w:val="00BE0309"/>
    <w:rsid w:val="00BE0ECA"/>
    <w:rsid w:val="00BE107C"/>
    <w:rsid w:val="00BE15D5"/>
    <w:rsid w:val="00BE17D0"/>
    <w:rsid w:val="00BE19E1"/>
    <w:rsid w:val="00BE2180"/>
    <w:rsid w:val="00BE2188"/>
    <w:rsid w:val="00BE21F2"/>
    <w:rsid w:val="00BE29B0"/>
    <w:rsid w:val="00BE2C7A"/>
    <w:rsid w:val="00BE2CF4"/>
    <w:rsid w:val="00BE2D57"/>
    <w:rsid w:val="00BE3436"/>
    <w:rsid w:val="00BE3810"/>
    <w:rsid w:val="00BE3907"/>
    <w:rsid w:val="00BE3D32"/>
    <w:rsid w:val="00BE3D66"/>
    <w:rsid w:val="00BE3F37"/>
    <w:rsid w:val="00BE4275"/>
    <w:rsid w:val="00BE4991"/>
    <w:rsid w:val="00BE559B"/>
    <w:rsid w:val="00BE55E5"/>
    <w:rsid w:val="00BE5CC0"/>
    <w:rsid w:val="00BE67DB"/>
    <w:rsid w:val="00BE6AD0"/>
    <w:rsid w:val="00BE6C5D"/>
    <w:rsid w:val="00BE6F93"/>
    <w:rsid w:val="00BE7681"/>
    <w:rsid w:val="00BE77B6"/>
    <w:rsid w:val="00BF06AE"/>
    <w:rsid w:val="00BF06B0"/>
    <w:rsid w:val="00BF0B34"/>
    <w:rsid w:val="00BF0D27"/>
    <w:rsid w:val="00BF0F95"/>
    <w:rsid w:val="00BF1E7B"/>
    <w:rsid w:val="00BF221E"/>
    <w:rsid w:val="00BF2433"/>
    <w:rsid w:val="00BF2712"/>
    <w:rsid w:val="00BF2A91"/>
    <w:rsid w:val="00BF2BDC"/>
    <w:rsid w:val="00BF2E6E"/>
    <w:rsid w:val="00BF2F94"/>
    <w:rsid w:val="00BF2FDE"/>
    <w:rsid w:val="00BF316A"/>
    <w:rsid w:val="00BF3960"/>
    <w:rsid w:val="00BF3C02"/>
    <w:rsid w:val="00BF3C14"/>
    <w:rsid w:val="00BF429C"/>
    <w:rsid w:val="00BF4EF3"/>
    <w:rsid w:val="00BF5037"/>
    <w:rsid w:val="00BF5AF6"/>
    <w:rsid w:val="00BF5F4C"/>
    <w:rsid w:val="00BF61C9"/>
    <w:rsid w:val="00BF622E"/>
    <w:rsid w:val="00BF66BE"/>
    <w:rsid w:val="00BF6C94"/>
    <w:rsid w:val="00BF6F39"/>
    <w:rsid w:val="00BF7E5C"/>
    <w:rsid w:val="00C001E2"/>
    <w:rsid w:val="00C00424"/>
    <w:rsid w:val="00C00A06"/>
    <w:rsid w:val="00C00BB0"/>
    <w:rsid w:val="00C01B8A"/>
    <w:rsid w:val="00C0254C"/>
    <w:rsid w:val="00C02714"/>
    <w:rsid w:val="00C02BCB"/>
    <w:rsid w:val="00C02E8E"/>
    <w:rsid w:val="00C02EFE"/>
    <w:rsid w:val="00C033D1"/>
    <w:rsid w:val="00C03D1F"/>
    <w:rsid w:val="00C03DB9"/>
    <w:rsid w:val="00C04318"/>
    <w:rsid w:val="00C05513"/>
    <w:rsid w:val="00C06A84"/>
    <w:rsid w:val="00C06F3D"/>
    <w:rsid w:val="00C07F9F"/>
    <w:rsid w:val="00C10602"/>
    <w:rsid w:val="00C113D4"/>
    <w:rsid w:val="00C11725"/>
    <w:rsid w:val="00C1179F"/>
    <w:rsid w:val="00C11B0C"/>
    <w:rsid w:val="00C11D41"/>
    <w:rsid w:val="00C12214"/>
    <w:rsid w:val="00C1278C"/>
    <w:rsid w:val="00C127B9"/>
    <w:rsid w:val="00C128FA"/>
    <w:rsid w:val="00C129B3"/>
    <w:rsid w:val="00C12B4B"/>
    <w:rsid w:val="00C12C14"/>
    <w:rsid w:val="00C12E79"/>
    <w:rsid w:val="00C1389A"/>
    <w:rsid w:val="00C13A0C"/>
    <w:rsid w:val="00C1404C"/>
    <w:rsid w:val="00C1529C"/>
    <w:rsid w:val="00C15363"/>
    <w:rsid w:val="00C153E7"/>
    <w:rsid w:val="00C1556D"/>
    <w:rsid w:val="00C15F04"/>
    <w:rsid w:val="00C16693"/>
    <w:rsid w:val="00C168AA"/>
    <w:rsid w:val="00C169A8"/>
    <w:rsid w:val="00C16A39"/>
    <w:rsid w:val="00C1718D"/>
    <w:rsid w:val="00C1732C"/>
    <w:rsid w:val="00C178EE"/>
    <w:rsid w:val="00C179B3"/>
    <w:rsid w:val="00C17A64"/>
    <w:rsid w:val="00C17DD2"/>
    <w:rsid w:val="00C17E3F"/>
    <w:rsid w:val="00C200AA"/>
    <w:rsid w:val="00C20166"/>
    <w:rsid w:val="00C20ADD"/>
    <w:rsid w:val="00C23035"/>
    <w:rsid w:val="00C23456"/>
    <w:rsid w:val="00C2375F"/>
    <w:rsid w:val="00C237ED"/>
    <w:rsid w:val="00C238CB"/>
    <w:rsid w:val="00C23FAC"/>
    <w:rsid w:val="00C24632"/>
    <w:rsid w:val="00C24902"/>
    <w:rsid w:val="00C24A50"/>
    <w:rsid w:val="00C24A7B"/>
    <w:rsid w:val="00C24CC1"/>
    <w:rsid w:val="00C25418"/>
    <w:rsid w:val="00C2559E"/>
    <w:rsid w:val="00C25D9C"/>
    <w:rsid w:val="00C260D9"/>
    <w:rsid w:val="00C27657"/>
    <w:rsid w:val="00C2778B"/>
    <w:rsid w:val="00C27CD6"/>
    <w:rsid w:val="00C30158"/>
    <w:rsid w:val="00C30FAD"/>
    <w:rsid w:val="00C3108F"/>
    <w:rsid w:val="00C310A9"/>
    <w:rsid w:val="00C3138E"/>
    <w:rsid w:val="00C31649"/>
    <w:rsid w:val="00C31837"/>
    <w:rsid w:val="00C31E43"/>
    <w:rsid w:val="00C321F5"/>
    <w:rsid w:val="00C32257"/>
    <w:rsid w:val="00C32921"/>
    <w:rsid w:val="00C32A0B"/>
    <w:rsid w:val="00C32F00"/>
    <w:rsid w:val="00C33283"/>
    <w:rsid w:val="00C3338C"/>
    <w:rsid w:val="00C334A6"/>
    <w:rsid w:val="00C33B37"/>
    <w:rsid w:val="00C33CB4"/>
    <w:rsid w:val="00C33CEF"/>
    <w:rsid w:val="00C3434C"/>
    <w:rsid w:val="00C343EC"/>
    <w:rsid w:val="00C34438"/>
    <w:rsid w:val="00C3530D"/>
    <w:rsid w:val="00C35A7A"/>
    <w:rsid w:val="00C36015"/>
    <w:rsid w:val="00C360BC"/>
    <w:rsid w:val="00C36413"/>
    <w:rsid w:val="00C36ABB"/>
    <w:rsid w:val="00C36B03"/>
    <w:rsid w:val="00C36B84"/>
    <w:rsid w:val="00C36C2D"/>
    <w:rsid w:val="00C371A6"/>
    <w:rsid w:val="00C40107"/>
    <w:rsid w:val="00C40240"/>
    <w:rsid w:val="00C40385"/>
    <w:rsid w:val="00C40886"/>
    <w:rsid w:val="00C40AE5"/>
    <w:rsid w:val="00C4108A"/>
    <w:rsid w:val="00C41669"/>
    <w:rsid w:val="00C41768"/>
    <w:rsid w:val="00C41FFB"/>
    <w:rsid w:val="00C42280"/>
    <w:rsid w:val="00C4270A"/>
    <w:rsid w:val="00C4295F"/>
    <w:rsid w:val="00C431A6"/>
    <w:rsid w:val="00C435B2"/>
    <w:rsid w:val="00C43C21"/>
    <w:rsid w:val="00C4451C"/>
    <w:rsid w:val="00C44D61"/>
    <w:rsid w:val="00C44F28"/>
    <w:rsid w:val="00C45099"/>
    <w:rsid w:val="00C45218"/>
    <w:rsid w:val="00C45438"/>
    <w:rsid w:val="00C45462"/>
    <w:rsid w:val="00C45684"/>
    <w:rsid w:val="00C45F99"/>
    <w:rsid w:val="00C462D8"/>
    <w:rsid w:val="00C46344"/>
    <w:rsid w:val="00C46387"/>
    <w:rsid w:val="00C46402"/>
    <w:rsid w:val="00C464E6"/>
    <w:rsid w:val="00C469A2"/>
    <w:rsid w:val="00C46A42"/>
    <w:rsid w:val="00C475AA"/>
    <w:rsid w:val="00C47A49"/>
    <w:rsid w:val="00C51362"/>
    <w:rsid w:val="00C514F3"/>
    <w:rsid w:val="00C527C7"/>
    <w:rsid w:val="00C52882"/>
    <w:rsid w:val="00C52A20"/>
    <w:rsid w:val="00C52B58"/>
    <w:rsid w:val="00C52D23"/>
    <w:rsid w:val="00C52E47"/>
    <w:rsid w:val="00C52F16"/>
    <w:rsid w:val="00C52F19"/>
    <w:rsid w:val="00C53521"/>
    <w:rsid w:val="00C5386B"/>
    <w:rsid w:val="00C53C98"/>
    <w:rsid w:val="00C540D5"/>
    <w:rsid w:val="00C54D1E"/>
    <w:rsid w:val="00C55276"/>
    <w:rsid w:val="00C557E7"/>
    <w:rsid w:val="00C55F82"/>
    <w:rsid w:val="00C56EEA"/>
    <w:rsid w:val="00C56F79"/>
    <w:rsid w:val="00C56FCF"/>
    <w:rsid w:val="00C57023"/>
    <w:rsid w:val="00C572F6"/>
    <w:rsid w:val="00C5751C"/>
    <w:rsid w:val="00C57B6C"/>
    <w:rsid w:val="00C613EA"/>
    <w:rsid w:val="00C61A59"/>
    <w:rsid w:val="00C61D47"/>
    <w:rsid w:val="00C62437"/>
    <w:rsid w:val="00C628A6"/>
    <w:rsid w:val="00C62EDC"/>
    <w:rsid w:val="00C637F0"/>
    <w:rsid w:val="00C642F5"/>
    <w:rsid w:val="00C64306"/>
    <w:rsid w:val="00C64344"/>
    <w:rsid w:val="00C64418"/>
    <w:rsid w:val="00C64B78"/>
    <w:rsid w:val="00C64D95"/>
    <w:rsid w:val="00C64E52"/>
    <w:rsid w:val="00C64EBB"/>
    <w:rsid w:val="00C65108"/>
    <w:rsid w:val="00C6516C"/>
    <w:rsid w:val="00C65576"/>
    <w:rsid w:val="00C65626"/>
    <w:rsid w:val="00C65B97"/>
    <w:rsid w:val="00C65D06"/>
    <w:rsid w:val="00C66165"/>
    <w:rsid w:val="00C66C2D"/>
    <w:rsid w:val="00C671C6"/>
    <w:rsid w:val="00C671E7"/>
    <w:rsid w:val="00C67361"/>
    <w:rsid w:val="00C70029"/>
    <w:rsid w:val="00C7053B"/>
    <w:rsid w:val="00C7060A"/>
    <w:rsid w:val="00C70673"/>
    <w:rsid w:val="00C70803"/>
    <w:rsid w:val="00C71215"/>
    <w:rsid w:val="00C7151A"/>
    <w:rsid w:val="00C717E3"/>
    <w:rsid w:val="00C71B02"/>
    <w:rsid w:val="00C71F60"/>
    <w:rsid w:val="00C72241"/>
    <w:rsid w:val="00C72864"/>
    <w:rsid w:val="00C72C6B"/>
    <w:rsid w:val="00C74ED6"/>
    <w:rsid w:val="00C74F3A"/>
    <w:rsid w:val="00C750C8"/>
    <w:rsid w:val="00C753C3"/>
    <w:rsid w:val="00C75570"/>
    <w:rsid w:val="00C7560F"/>
    <w:rsid w:val="00C757CD"/>
    <w:rsid w:val="00C75860"/>
    <w:rsid w:val="00C76159"/>
    <w:rsid w:val="00C7615C"/>
    <w:rsid w:val="00C763E7"/>
    <w:rsid w:val="00C7662D"/>
    <w:rsid w:val="00C76C08"/>
    <w:rsid w:val="00C76FBD"/>
    <w:rsid w:val="00C77419"/>
    <w:rsid w:val="00C7761A"/>
    <w:rsid w:val="00C77F9A"/>
    <w:rsid w:val="00C805B4"/>
    <w:rsid w:val="00C80A0E"/>
    <w:rsid w:val="00C80A82"/>
    <w:rsid w:val="00C80C0A"/>
    <w:rsid w:val="00C80C87"/>
    <w:rsid w:val="00C814D9"/>
    <w:rsid w:val="00C81B3A"/>
    <w:rsid w:val="00C8204F"/>
    <w:rsid w:val="00C8213F"/>
    <w:rsid w:val="00C821D2"/>
    <w:rsid w:val="00C824C9"/>
    <w:rsid w:val="00C82BBE"/>
    <w:rsid w:val="00C82E2D"/>
    <w:rsid w:val="00C8303F"/>
    <w:rsid w:val="00C830C0"/>
    <w:rsid w:val="00C8346B"/>
    <w:rsid w:val="00C8351D"/>
    <w:rsid w:val="00C837DB"/>
    <w:rsid w:val="00C83ABC"/>
    <w:rsid w:val="00C83FE2"/>
    <w:rsid w:val="00C840E1"/>
    <w:rsid w:val="00C8438E"/>
    <w:rsid w:val="00C84444"/>
    <w:rsid w:val="00C8449F"/>
    <w:rsid w:val="00C84DE5"/>
    <w:rsid w:val="00C85154"/>
    <w:rsid w:val="00C85200"/>
    <w:rsid w:val="00C85537"/>
    <w:rsid w:val="00C85A70"/>
    <w:rsid w:val="00C85AB7"/>
    <w:rsid w:val="00C86102"/>
    <w:rsid w:val="00C861BF"/>
    <w:rsid w:val="00C86608"/>
    <w:rsid w:val="00C875F4"/>
    <w:rsid w:val="00C87629"/>
    <w:rsid w:val="00C8797A"/>
    <w:rsid w:val="00C87DAF"/>
    <w:rsid w:val="00C87E0F"/>
    <w:rsid w:val="00C900B8"/>
    <w:rsid w:val="00C90197"/>
    <w:rsid w:val="00C90C71"/>
    <w:rsid w:val="00C910BD"/>
    <w:rsid w:val="00C911F6"/>
    <w:rsid w:val="00C91390"/>
    <w:rsid w:val="00C9198F"/>
    <w:rsid w:val="00C91FD1"/>
    <w:rsid w:val="00C92116"/>
    <w:rsid w:val="00C92462"/>
    <w:rsid w:val="00C931CF"/>
    <w:rsid w:val="00C93619"/>
    <w:rsid w:val="00C93627"/>
    <w:rsid w:val="00C938CF"/>
    <w:rsid w:val="00C938EE"/>
    <w:rsid w:val="00C93E82"/>
    <w:rsid w:val="00C94053"/>
    <w:rsid w:val="00C94287"/>
    <w:rsid w:val="00C943D1"/>
    <w:rsid w:val="00C94F7D"/>
    <w:rsid w:val="00C95DB1"/>
    <w:rsid w:val="00C9624D"/>
    <w:rsid w:val="00C9649F"/>
    <w:rsid w:val="00C968B8"/>
    <w:rsid w:val="00C969DA"/>
    <w:rsid w:val="00C96B6A"/>
    <w:rsid w:val="00C96C6B"/>
    <w:rsid w:val="00C96DF8"/>
    <w:rsid w:val="00C9702C"/>
    <w:rsid w:val="00C97218"/>
    <w:rsid w:val="00C976CC"/>
    <w:rsid w:val="00CA050F"/>
    <w:rsid w:val="00CA0D15"/>
    <w:rsid w:val="00CA1141"/>
    <w:rsid w:val="00CA14FA"/>
    <w:rsid w:val="00CA15D8"/>
    <w:rsid w:val="00CA1643"/>
    <w:rsid w:val="00CA17B9"/>
    <w:rsid w:val="00CA182D"/>
    <w:rsid w:val="00CA1C6A"/>
    <w:rsid w:val="00CA1EFD"/>
    <w:rsid w:val="00CA217C"/>
    <w:rsid w:val="00CA24AF"/>
    <w:rsid w:val="00CA2B43"/>
    <w:rsid w:val="00CA2B53"/>
    <w:rsid w:val="00CA2C77"/>
    <w:rsid w:val="00CA2DC9"/>
    <w:rsid w:val="00CA355A"/>
    <w:rsid w:val="00CA3BC9"/>
    <w:rsid w:val="00CA444F"/>
    <w:rsid w:val="00CA49CD"/>
    <w:rsid w:val="00CA4C98"/>
    <w:rsid w:val="00CA5245"/>
    <w:rsid w:val="00CA52D3"/>
    <w:rsid w:val="00CA5413"/>
    <w:rsid w:val="00CA54EB"/>
    <w:rsid w:val="00CA5596"/>
    <w:rsid w:val="00CA561E"/>
    <w:rsid w:val="00CA5D3A"/>
    <w:rsid w:val="00CA5E27"/>
    <w:rsid w:val="00CA5E9F"/>
    <w:rsid w:val="00CA6B26"/>
    <w:rsid w:val="00CA71F4"/>
    <w:rsid w:val="00CA7B09"/>
    <w:rsid w:val="00CB0474"/>
    <w:rsid w:val="00CB052E"/>
    <w:rsid w:val="00CB0BFD"/>
    <w:rsid w:val="00CB1086"/>
    <w:rsid w:val="00CB1131"/>
    <w:rsid w:val="00CB12A5"/>
    <w:rsid w:val="00CB1311"/>
    <w:rsid w:val="00CB168D"/>
    <w:rsid w:val="00CB1C42"/>
    <w:rsid w:val="00CB1CAC"/>
    <w:rsid w:val="00CB1CE8"/>
    <w:rsid w:val="00CB1F27"/>
    <w:rsid w:val="00CB2059"/>
    <w:rsid w:val="00CB224C"/>
    <w:rsid w:val="00CB2F2A"/>
    <w:rsid w:val="00CB304F"/>
    <w:rsid w:val="00CB31AC"/>
    <w:rsid w:val="00CB3AFA"/>
    <w:rsid w:val="00CB3DD9"/>
    <w:rsid w:val="00CB4256"/>
    <w:rsid w:val="00CB4E85"/>
    <w:rsid w:val="00CB5137"/>
    <w:rsid w:val="00CB549E"/>
    <w:rsid w:val="00CB5684"/>
    <w:rsid w:val="00CB5B1A"/>
    <w:rsid w:val="00CB622E"/>
    <w:rsid w:val="00CB68EE"/>
    <w:rsid w:val="00CB6B22"/>
    <w:rsid w:val="00CB6F0E"/>
    <w:rsid w:val="00CB7F5F"/>
    <w:rsid w:val="00CC0FBA"/>
    <w:rsid w:val="00CC10DE"/>
    <w:rsid w:val="00CC14CD"/>
    <w:rsid w:val="00CC151F"/>
    <w:rsid w:val="00CC1B39"/>
    <w:rsid w:val="00CC1BFA"/>
    <w:rsid w:val="00CC2E9F"/>
    <w:rsid w:val="00CC342E"/>
    <w:rsid w:val="00CC35EA"/>
    <w:rsid w:val="00CC3848"/>
    <w:rsid w:val="00CC3EEF"/>
    <w:rsid w:val="00CC41CE"/>
    <w:rsid w:val="00CC4597"/>
    <w:rsid w:val="00CC48FB"/>
    <w:rsid w:val="00CC492E"/>
    <w:rsid w:val="00CC4D93"/>
    <w:rsid w:val="00CC51C7"/>
    <w:rsid w:val="00CC5246"/>
    <w:rsid w:val="00CC55BC"/>
    <w:rsid w:val="00CC56E9"/>
    <w:rsid w:val="00CC5A0F"/>
    <w:rsid w:val="00CC5B9E"/>
    <w:rsid w:val="00CC5CCB"/>
    <w:rsid w:val="00CC60FB"/>
    <w:rsid w:val="00CC6624"/>
    <w:rsid w:val="00CC66FF"/>
    <w:rsid w:val="00CC6D5E"/>
    <w:rsid w:val="00CC71D9"/>
    <w:rsid w:val="00CC747E"/>
    <w:rsid w:val="00CC7836"/>
    <w:rsid w:val="00CC7B75"/>
    <w:rsid w:val="00CC7BBA"/>
    <w:rsid w:val="00CC7D7D"/>
    <w:rsid w:val="00CD01ED"/>
    <w:rsid w:val="00CD0200"/>
    <w:rsid w:val="00CD1C9F"/>
    <w:rsid w:val="00CD1F9D"/>
    <w:rsid w:val="00CD2147"/>
    <w:rsid w:val="00CD25E6"/>
    <w:rsid w:val="00CD2ABB"/>
    <w:rsid w:val="00CD34BF"/>
    <w:rsid w:val="00CD37D9"/>
    <w:rsid w:val="00CD3937"/>
    <w:rsid w:val="00CD3F77"/>
    <w:rsid w:val="00CD4691"/>
    <w:rsid w:val="00CD5051"/>
    <w:rsid w:val="00CD52EF"/>
    <w:rsid w:val="00CD5947"/>
    <w:rsid w:val="00CD5A5D"/>
    <w:rsid w:val="00CD5FDB"/>
    <w:rsid w:val="00CD62C2"/>
    <w:rsid w:val="00CD6ADC"/>
    <w:rsid w:val="00CD6B28"/>
    <w:rsid w:val="00CD701B"/>
    <w:rsid w:val="00CD7193"/>
    <w:rsid w:val="00CD7918"/>
    <w:rsid w:val="00CD7AF4"/>
    <w:rsid w:val="00CD7EA1"/>
    <w:rsid w:val="00CE07F7"/>
    <w:rsid w:val="00CE0BF5"/>
    <w:rsid w:val="00CE0D5A"/>
    <w:rsid w:val="00CE0DA0"/>
    <w:rsid w:val="00CE1C80"/>
    <w:rsid w:val="00CE2E16"/>
    <w:rsid w:val="00CE2EEB"/>
    <w:rsid w:val="00CE2F4D"/>
    <w:rsid w:val="00CE3662"/>
    <w:rsid w:val="00CE38C8"/>
    <w:rsid w:val="00CE4D65"/>
    <w:rsid w:val="00CE4DE4"/>
    <w:rsid w:val="00CE524F"/>
    <w:rsid w:val="00CE5540"/>
    <w:rsid w:val="00CE58CC"/>
    <w:rsid w:val="00CE5906"/>
    <w:rsid w:val="00CE6274"/>
    <w:rsid w:val="00CE66E7"/>
    <w:rsid w:val="00CE6772"/>
    <w:rsid w:val="00CE77B6"/>
    <w:rsid w:val="00CE79EC"/>
    <w:rsid w:val="00CE79F0"/>
    <w:rsid w:val="00CF072E"/>
    <w:rsid w:val="00CF0738"/>
    <w:rsid w:val="00CF07FE"/>
    <w:rsid w:val="00CF09F3"/>
    <w:rsid w:val="00CF172B"/>
    <w:rsid w:val="00CF18C6"/>
    <w:rsid w:val="00CF1FFC"/>
    <w:rsid w:val="00CF25A1"/>
    <w:rsid w:val="00CF2B8D"/>
    <w:rsid w:val="00CF326E"/>
    <w:rsid w:val="00CF3A1B"/>
    <w:rsid w:val="00CF3AA9"/>
    <w:rsid w:val="00CF4004"/>
    <w:rsid w:val="00CF4418"/>
    <w:rsid w:val="00CF456B"/>
    <w:rsid w:val="00CF4716"/>
    <w:rsid w:val="00CF507B"/>
    <w:rsid w:val="00CF5403"/>
    <w:rsid w:val="00CF5468"/>
    <w:rsid w:val="00CF5A22"/>
    <w:rsid w:val="00CF7DFD"/>
    <w:rsid w:val="00CF7EA4"/>
    <w:rsid w:val="00D001E7"/>
    <w:rsid w:val="00D00CC3"/>
    <w:rsid w:val="00D00D7D"/>
    <w:rsid w:val="00D01083"/>
    <w:rsid w:val="00D0174A"/>
    <w:rsid w:val="00D0214C"/>
    <w:rsid w:val="00D022BC"/>
    <w:rsid w:val="00D0262E"/>
    <w:rsid w:val="00D0275F"/>
    <w:rsid w:val="00D0291B"/>
    <w:rsid w:val="00D031A9"/>
    <w:rsid w:val="00D03679"/>
    <w:rsid w:val="00D0373C"/>
    <w:rsid w:val="00D0382E"/>
    <w:rsid w:val="00D03841"/>
    <w:rsid w:val="00D04603"/>
    <w:rsid w:val="00D04847"/>
    <w:rsid w:val="00D04B06"/>
    <w:rsid w:val="00D04BA8"/>
    <w:rsid w:val="00D04E1B"/>
    <w:rsid w:val="00D05089"/>
    <w:rsid w:val="00D0510E"/>
    <w:rsid w:val="00D05134"/>
    <w:rsid w:val="00D0531C"/>
    <w:rsid w:val="00D05E3D"/>
    <w:rsid w:val="00D06139"/>
    <w:rsid w:val="00D06586"/>
    <w:rsid w:val="00D06C5B"/>
    <w:rsid w:val="00D06CC4"/>
    <w:rsid w:val="00D07BE3"/>
    <w:rsid w:val="00D07D82"/>
    <w:rsid w:val="00D07DFB"/>
    <w:rsid w:val="00D10B32"/>
    <w:rsid w:val="00D10F09"/>
    <w:rsid w:val="00D110BD"/>
    <w:rsid w:val="00D110ED"/>
    <w:rsid w:val="00D11E04"/>
    <w:rsid w:val="00D11F9C"/>
    <w:rsid w:val="00D1215F"/>
    <w:rsid w:val="00D126CC"/>
    <w:rsid w:val="00D12C4F"/>
    <w:rsid w:val="00D12DE2"/>
    <w:rsid w:val="00D134E2"/>
    <w:rsid w:val="00D1358A"/>
    <w:rsid w:val="00D1366E"/>
    <w:rsid w:val="00D13675"/>
    <w:rsid w:val="00D13B0D"/>
    <w:rsid w:val="00D1404E"/>
    <w:rsid w:val="00D141E1"/>
    <w:rsid w:val="00D15314"/>
    <w:rsid w:val="00D15384"/>
    <w:rsid w:val="00D1551E"/>
    <w:rsid w:val="00D157F4"/>
    <w:rsid w:val="00D15B48"/>
    <w:rsid w:val="00D168B0"/>
    <w:rsid w:val="00D16979"/>
    <w:rsid w:val="00D17D6C"/>
    <w:rsid w:val="00D20140"/>
    <w:rsid w:val="00D2084F"/>
    <w:rsid w:val="00D20858"/>
    <w:rsid w:val="00D2155B"/>
    <w:rsid w:val="00D21843"/>
    <w:rsid w:val="00D2189A"/>
    <w:rsid w:val="00D22463"/>
    <w:rsid w:val="00D228FC"/>
    <w:rsid w:val="00D22A8B"/>
    <w:rsid w:val="00D239B7"/>
    <w:rsid w:val="00D23B6C"/>
    <w:rsid w:val="00D23D11"/>
    <w:rsid w:val="00D244B6"/>
    <w:rsid w:val="00D2542C"/>
    <w:rsid w:val="00D25A6E"/>
    <w:rsid w:val="00D25C54"/>
    <w:rsid w:val="00D25D83"/>
    <w:rsid w:val="00D25F22"/>
    <w:rsid w:val="00D25FC2"/>
    <w:rsid w:val="00D26EF7"/>
    <w:rsid w:val="00D27158"/>
    <w:rsid w:val="00D273F3"/>
    <w:rsid w:val="00D2754D"/>
    <w:rsid w:val="00D27773"/>
    <w:rsid w:val="00D277EF"/>
    <w:rsid w:val="00D27B27"/>
    <w:rsid w:val="00D27E95"/>
    <w:rsid w:val="00D27F1C"/>
    <w:rsid w:val="00D3079D"/>
    <w:rsid w:val="00D30812"/>
    <w:rsid w:val="00D30D5B"/>
    <w:rsid w:val="00D3134A"/>
    <w:rsid w:val="00D3151C"/>
    <w:rsid w:val="00D3152B"/>
    <w:rsid w:val="00D31A36"/>
    <w:rsid w:val="00D31BA0"/>
    <w:rsid w:val="00D33BE9"/>
    <w:rsid w:val="00D33C95"/>
    <w:rsid w:val="00D33CC8"/>
    <w:rsid w:val="00D33F93"/>
    <w:rsid w:val="00D34050"/>
    <w:rsid w:val="00D34312"/>
    <w:rsid w:val="00D34A92"/>
    <w:rsid w:val="00D34B18"/>
    <w:rsid w:val="00D34E57"/>
    <w:rsid w:val="00D3518C"/>
    <w:rsid w:val="00D3566D"/>
    <w:rsid w:val="00D357FF"/>
    <w:rsid w:val="00D35E31"/>
    <w:rsid w:val="00D3622A"/>
    <w:rsid w:val="00D37044"/>
    <w:rsid w:val="00D377CD"/>
    <w:rsid w:val="00D40275"/>
    <w:rsid w:val="00D40735"/>
    <w:rsid w:val="00D41518"/>
    <w:rsid w:val="00D424C7"/>
    <w:rsid w:val="00D42544"/>
    <w:rsid w:val="00D42920"/>
    <w:rsid w:val="00D43B2A"/>
    <w:rsid w:val="00D43CF1"/>
    <w:rsid w:val="00D43D83"/>
    <w:rsid w:val="00D44875"/>
    <w:rsid w:val="00D4494D"/>
    <w:rsid w:val="00D456BF"/>
    <w:rsid w:val="00D46716"/>
    <w:rsid w:val="00D46DE3"/>
    <w:rsid w:val="00D47024"/>
    <w:rsid w:val="00D47575"/>
    <w:rsid w:val="00D50196"/>
    <w:rsid w:val="00D5020E"/>
    <w:rsid w:val="00D508BA"/>
    <w:rsid w:val="00D50913"/>
    <w:rsid w:val="00D50D5C"/>
    <w:rsid w:val="00D50F91"/>
    <w:rsid w:val="00D51733"/>
    <w:rsid w:val="00D52276"/>
    <w:rsid w:val="00D522B1"/>
    <w:rsid w:val="00D5243B"/>
    <w:rsid w:val="00D52716"/>
    <w:rsid w:val="00D52894"/>
    <w:rsid w:val="00D5316F"/>
    <w:rsid w:val="00D533EC"/>
    <w:rsid w:val="00D53AF6"/>
    <w:rsid w:val="00D54C58"/>
    <w:rsid w:val="00D559EB"/>
    <w:rsid w:val="00D56A95"/>
    <w:rsid w:val="00D57AEE"/>
    <w:rsid w:val="00D57E26"/>
    <w:rsid w:val="00D6015E"/>
    <w:rsid w:val="00D6076E"/>
    <w:rsid w:val="00D607D5"/>
    <w:rsid w:val="00D60EE3"/>
    <w:rsid w:val="00D613A1"/>
    <w:rsid w:val="00D61B65"/>
    <w:rsid w:val="00D62FF1"/>
    <w:rsid w:val="00D63A43"/>
    <w:rsid w:val="00D63EB3"/>
    <w:rsid w:val="00D643FF"/>
    <w:rsid w:val="00D6484A"/>
    <w:rsid w:val="00D64A87"/>
    <w:rsid w:val="00D64E92"/>
    <w:rsid w:val="00D65161"/>
    <w:rsid w:val="00D665C3"/>
    <w:rsid w:val="00D667F6"/>
    <w:rsid w:val="00D66FAE"/>
    <w:rsid w:val="00D70F16"/>
    <w:rsid w:val="00D7196E"/>
    <w:rsid w:val="00D72617"/>
    <w:rsid w:val="00D72B51"/>
    <w:rsid w:val="00D72F57"/>
    <w:rsid w:val="00D72FA1"/>
    <w:rsid w:val="00D7466A"/>
    <w:rsid w:val="00D7483A"/>
    <w:rsid w:val="00D748FC"/>
    <w:rsid w:val="00D74C5C"/>
    <w:rsid w:val="00D7526C"/>
    <w:rsid w:val="00D7578A"/>
    <w:rsid w:val="00D75FFB"/>
    <w:rsid w:val="00D76617"/>
    <w:rsid w:val="00D76A44"/>
    <w:rsid w:val="00D77061"/>
    <w:rsid w:val="00D801BF"/>
    <w:rsid w:val="00D8066C"/>
    <w:rsid w:val="00D815EF"/>
    <w:rsid w:val="00D81949"/>
    <w:rsid w:val="00D81F26"/>
    <w:rsid w:val="00D822E2"/>
    <w:rsid w:val="00D82D1E"/>
    <w:rsid w:val="00D833EE"/>
    <w:rsid w:val="00D835E6"/>
    <w:rsid w:val="00D843F2"/>
    <w:rsid w:val="00D84C47"/>
    <w:rsid w:val="00D84FA1"/>
    <w:rsid w:val="00D854FD"/>
    <w:rsid w:val="00D86231"/>
    <w:rsid w:val="00D86B87"/>
    <w:rsid w:val="00D86F4C"/>
    <w:rsid w:val="00D86FB5"/>
    <w:rsid w:val="00D8710C"/>
    <w:rsid w:val="00D87285"/>
    <w:rsid w:val="00D90BAC"/>
    <w:rsid w:val="00D90D05"/>
    <w:rsid w:val="00D90ED9"/>
    <w:rsid w:val="00D9101A"/>
    <w:rsid w:val="00D91236"/>
    <w:rsid w:val="00D912AB"/>
    <w:rsid w:val="00D91923"/>
    <w:rsid w:val="00D92D9D"/>
    <w:rsid w:val="00D93753"/>
    <w:rsid w:val="00D93959"/>
    <w:rsid w:val="00D94118"/>
    <w:rsid w:val="00D9471B"/>
    <w:rsid w:val="00D94F07"/>
    <w:rsid w:val="00D9520C"/>
    <w:rsid w:val="00D95702"/>
    <w:rsid w:val="00D95A54"/>
    <w:rsid w:val="00D95FE8"/>
    <w:rsid w:val="00D96916"/>
    <w:rsid w:val="00D972D2"/>
    <w:rsid w:val="00D9754F"/>
    <w:rsid w:val="00D977CC"/>
    <w:rsid w:val="00D97EE3"/>
    <w:rsid w:val="00DA03B4"/>
    <w:rsid w:val="00DA0586"/>
    <w:rsid w:val="00DA080F"/>
    <w:rsid w:val="00DA0C8F"/>
    <w:rsid w:val="00DA1DD7"/>
    <w:rsid w:val="00DA21D2"/>
    <w:rsid w:val="00DA23D3"/>
    <w:rsid w:val="00DA2687"/>
    <w:rsid w:val="00DA2698"/>
    <w:rsid w:val="00DA306D"/>
    <w:rsid w:val="00DA3167"/>
    <w:rsid w:val="00DA34D5"/>
    <w:rsid w:val="00DA369B"/>
    <w:rsid w:val="00DA3D34"/>
    <w:rsid w:val="00DA4DC3"/>
    <w:rsid w:val="00DA4F1A"/>
    <w:rsid w:val="00DA61E4"/>
    <w:rsid w:val="00DA6BC4"/>
    <w:rsid w:val="00DA6EEE"/>
    <w:rsid w:val="00DA77A5"/>
    <w:rsid w:val="00DB0E36"/>
    <w:rsid w:val="00DB0F25"/>
    <w:rsid w:val="00DB1550"/>
    <w:rsid w:val="00DB163F"/>
    <w:rsid w:val="00DB1855"/>
    <w:rsid w:val="00DB2723"/>
    <w:rsid w:val="00DB32E7"/>
    <w:rsid w:val="00DB3B6F"/>
    <w:rsid w:val="00DB3CF3"/>
    <w:rsid w:val="00DB3DBF"/>
    <w:rsid w:val="00DB422F"/>
    <w:rsid w:val="00DB4422"/>
    <w:rsid w:val="00DB4609"/>
    <w:rsid w:val="00DB484F"/>
    <w:rsid w:val="00DB4984"/>
    <w:rsid w:val="00DB4D56"/>
    <w:rsid w:val="00DB55D6"/>
    <w:rsid w:val="00DB58E4"/>
    <w:rsid w:val="00DB59FB"/>
    <w:rsid w:val="00DB5CA2"/>
    <w:rsid w:val="00DB5FDD"/>
    <w:rsid w:val="00DB6330"/>
    <w:rsid w:val="00DB6753"/>
    <w:rsid w:val="00DB6E67"/>
    <w:rsid w:val="00DB75D2"/>
    <w:rsid w:val="00DB7B50"/>
    <w:rsid w:val="00DC03D9"/>
    <w:rsid w:val="00DC04F6"/>
    <w:rsid w:val="00DC0690"/>
    <w:rsid w:val="00DC0C4E"/>
    <w:rsid w:val="00DC1D65"/>
    <w:rsid w:val="00DC1E07"/>
    <w:rsid w:val="00DC2254"/>
    <w:rsid w:val="00DC2789"/>
    <w:rsid w:val="00DC2BC6"/>
    <w:rsid w:val="00DC34C1"/>
    <w:rsid w:val="00DC3723"/>
    <w:rsid w:val="00DC3A24"/>
    <w:rsid w:val="00DC3C57"/>
    <w:rsid w:val="00DC413B"/>
    <w:rsid w:val="00DC450A"/>
    <w:rsid w:val="00DC4B7E"/>
    <w:rsid w:val="00DC4F44"/>
    <w:rsid w:val="00DC514A"/>
    <w:rsid w:val="00DC5501"/>
    <w:rsid w:val="00DC59CC"/>
    <w:rsid w:val="00DC5A36"/>
    <w:rsid w:val="00DC5DB6"/>
    <w:rsid w:val="00DC5DE4"/>
    <w:rsid w:val="00DC60C0"/>
    <w:rsid w:val="00DC68A2"/>
    <w:rsid w:val="00DC6AAF"/>
    <w:rsid w:val="00DC711D"/>
    <w:rsid w:val="00DC7154"/>
    <w:rsid w:val="00DC77D0"/>
    <w:rsid w:val="00DC7A29"/>
    <w:rsid w:val="00DC7E8A"/>
    <w:rsid w:val="00DC7F0E"/>
    <w:rsid w:val="00DC7F7C"/>
    <w:rsid w:val="00DD0AD9"/>
    <w:rsid w:val="00DD0F78"/>
    <w:rsid w:val="00DD12E3"/>
    <w:rsid w:val="00DD1C1C"/>
    <w:rsid w:val="00DD1C9F"/>
    <w:rsid w:val="00DD2225"/>
    <w:rsid w:val="00DD25A3"/>
    <w:rsid w:val="00DD273C"/>
    <w:rsid w:val="00DD2768"/>
    <w:rsid w:val="00DD2995"/>
    <w:rsid w:val="00DD303E"/>
    <w:rsid w:val="00DD337C"/>
    <w:rsid w:val="00DD3F28"/>
    <w:rsid w:val="00DD4446"/>
    <w:rsid w:val="00DD4537"/>
    <w:rsid w:val="00DD49A2"/>
    <w:rsid w:val="00DD4E15"/>
    <w:rsid w:val="00DD5931"/>
    <w:rsid w:val="00DD5943"/>
    <w:rsid w:val="00DD5C88"/>
    <w:rsid w:val="00DD5E0C"/>
    <w:rsid w:val="00DD6F21"/>
    <w:rsid w:val="00DD6FFC"/>
    <w:rsid w:val="00DD7285"/>
    <w:rsid w:val="00DD72B4"/>
    <w:rsid w:val="00DD7428"/>
    <w:rsid w:val="00DD78A8"/>
    <w:rsid w:val="00DD7D18"/>
    <w:rsid w:val="00DE0A10"/>
    <w:rsid w:val="00DE0C65"/>
    <w:rsid w:val="00DE0F3B"/>
    <w:rsid w:val="00DE104D"/>
    <w:rsid w:val="00DE1166"/>
    <w:rsid w:val="00DE149F"/>
    <w:rsid w:val="00DE1704"/>
    <w:rsid w:val="00DE1A5D"/>
    <w:rsid w:val="00DE1ABA"/>
    <w:rsid w:val="00DE1CE0"/>
    <w:rsid w:val="00DE2304"/>
    <w:rsid w:val="00DE277F"/>
    <w:rsid w:val="00DE28DE"/>
    <w:rsid w:val="00DE2A74"/>
    <w:rsid w:val="00DE2BBF"/>
    <w:rsid w:val="00DE3138"/>
    <w:rsid w:val="00DE37F8"/>
    <w:rsid w:val="00DE3864"/>
    <w:rsid w:val="00DE4273"/>
    <w:rsid w:val="00DE436C"/>
    <w:rsid w:val="00DE4BFC"/>
    <w:rsid w:val="00DE4FCB"/>
    <w:rsid w:val="00DE57D7"/>
    <w:rsid w:val="00DE59C7"/>
    <w:rsid w:val="00DE5D07"/>
    <w:rsid w:val="00DE69A6"/>
    <w:rsid w:val="00DE6DD6"/>
    <w:rsid w:val="00DE7087"/>
    <w:rsid w:val="00DE72A7"/>
    <w:rsid w:val="00DE7832"/>
    <w:rsid w:val="00DE7C16"/>
    <w:rsid w:val="00DE7D5E"/>
    <w:rsid w:val="00DF09C8"/>
    <w:rsid w:val="00DF13EF"/>
    <w:rsid w:val="00DF18FC"/>
    <w:rsid w:val="00DF2785"/>
    <w:rsid w:val="00DF34F0"/>
    <w:rsid w:val="00DF58B8"/>
    <w:rsid w:val="00DF59DB"/>
    <w:rsid w:val="00DF5B1E"/>
    <w:rsid w:val="00DF5D2B"/>
    <w:rsid w:val="00DF6014"/>
    <w:rsid w:val="00DF61E6"/>
    <w:rsid w:val="00DF6341"/>
    <w:rsid w:val="00DF690A"/>
    <w:rsid w:val="00DF74C0"/>
    <w:rsid w:val="00DF78C3"/>
    <w:rsid w:val="00E007B5"/>
    <w:rsid w:val="00E00D4D"/>
    <w:rsid w:val="00E00E8E"/>
    <w:rsid w:val="00E0135E"/>
    <w:rsid w:val="00E01C33"/>
    <w:rsid w:val="00E0226E"/>
    <w:rsid w:val="00E02321"/>
    <w:rsid w:val="00E023BC"/>
    <w:rsid w:val="00E02401"/>
    <w:rsid w:val="00E02C56"/>
    <w:rsid w:val="00E02F3B"/>
    <w:rsid w:val="00E0303B"/>
    <w:rsid w:val="00E037CA"/>
    <w:rsid w:val="00E03D22"/>
    <w:rsid w:val="00E04693"/>
    <w:rsid w:val="00E04F83"/>
    <w:rsid w:val="00E050F0"/>
    <w:rsid w:val="00E05630"/>
    <w:rsid w:val="00E05B84"/>
    <w:rsid w:val="00E0687F"/>
    <w:rsid w:val="00E06AEC"/>
    <w:rsid w:val="00E06DBB"/>
    <w:rsid w:val="00E079CE"/>
    <w:rsid w:val="00E10149"/>
    <w:rsid w:val="00E102FF"/>
    <w:rsid w:val="00E10C85"/>
    <w:rsid w:val="00E10DB4"/>
    <w:rsid w:val="00E11340"/>
    <w:rsid w:val="00E11522"/>
    <w:rsid w:val="00E115B1"/>
    <w:rsid w:val="00E11D90"/>
    <w:rsid w:val="00E122A1"/>
    <w:rsid w:val="00E12685"/>
    <w:rsid w:val="00E127BD"/>
    <w:rsid w:val="00E129C5"/>
    <w:rsid w:val="00E12AA0"/>
    <w:rsid w:val="00E13108"/>
    <w:rsid w:val="00E13178"/>
    <w:rsid w:val="00E134BD"/>
    <w:rsid w:val="00E136E4"/>
    <w:rsid w:val="00E13B95"/>
    <w:rsid w:val="00E14042"/>
    <w:rsid w:val="00E142DE"/>
    <w:rsid w:val="00E144DC"/>
    <w:rsid w:val="00E148E1"/>
    <w:rsid w:val="00E149A8"/>
    <w:rsid w:val="00E14FCD"/>
    <w:rsid w:val="00E16372"/>
    <w:rsid w:val="00E16825"/>
    <w:rsid w:val="00E16904"/>
    <w:rsid w:val="00E16A31"/>
    <w:rsid w:val="00E16AD8"/>
    <w:rsid w:val="00E16BD0"/>
    <w:rsid w:val="00E1700C"/>
    <w:rsid w:val="00E176BD"/>
    <w:rsid w:val="00E1797F"/>
    <w:rsid w:val="00E17FFA"/>
    <w:rsid w:val="00E203F3"/>
    <w:rsid w:val="00E2073E"/>
    <w:rsid w:val="00E20E4D"/>
    <w:rsid w:val="00E20ED6"/>
    <w:rsid w:val="00E21229"/>
    <w:rsid w:val="00E21358"/>
    <w:rsid w:val="00E2146B"/>
    <w:rsid w:val="00E21470"/>
    <w:rsid w:val="00E21526"/>
    <w:rsid w:val="00E21758"/>
    <w:rsid w:val="00E21942"/>
    <w:rsid w:val="00E21D1A"/>
    <w:rsid w:val="00E2249B"/>
    <w:rsid w:val="00E2265F"/>
    <w:rsid w:val="00E22A0D"/>
    <w:rsid w:val="00E22E87"/>
    <w:rsid w:val="00E22E9A"/>
    <w:rsid w:val="00E23569"/>
    <w:rsid w:val="00E244F6"/>
    <w:rsid w:val="00E24CBB"/>
    <w:rsid w:val="00E25702"/>
    <w:rsid w:val="00E25883"/>
    <w:rsid w:val="00E258DB"/>
    <w:rsid w:val="00E25F7F"/>
    <w:rsid w:val="00E2645B"/>
    <w:rsid w:val="00E26724"/>
    <w:rsid w:val="00E27022"/>
    <w:rsid w:val="00E2771E"/>
    <w:rsid w:val="00E27BC4"/>
    <w:rsid w:val="00E308D8"/>
    <w:rsid w:val="00E3091C"/>
    <w:rsid w:val="00E30953"/>
    <w:rsid w:val="00E30C61"/>
    <w:rsid w:val="00E311E4"/>
    <w:rsid w:val="00E311EF"/>
    <w:rsid w:val="00E31561"/>
    <w:rsid w:val="00E316D2"/>
    <w:rsid w:val="00E317C4"/>
    <w:rsid w:val="00E32108"/>
    <w:rsid w:val="00E32177"/>
    <w:rsid w:val="00E32180"/>
    <w:rsid w:val="00E3270B"/>
    <w:rsid w:val="00E32B75"/>
    <w:rsid w:val="00E32D91"/>
    <w:rsid w:val="00E33579"/>
    <w:rsid w:val="00E3456F"/>
    <w:rsid w:val="00E348E2"/>
    <w:rsid w:val="00E34948"/>
    <w:rsid w:val="00E35169"/>
    <w:rsid w:val="00E3528D"/>
    <w:rsid w:val="00E358F1"/>
    <w:rsid w:val="00E36800"/>
    <w:rsid w:val="00E36B8A"/>
    <w:rsid w:val="00E370AB"/>
    <w:rsid w:val="00E37148"/>
    <w:rsid w:val="00E37295"/>
    <w:rsid w:val="00E37569"/>
    <w:rsid w:val="00E3763C"/>
    <w:rsid w:val="00E37AEA"/>
    <w:rsid w:val="00E37D1C"/>
    <w:rsid w:val="00E37E6D"/>
    <w:rsid w:val="00E401B2"/>
    <w:rsid w:val="00E4082D"/>
    <w:rsid w:val="00E409C0"/>
    <w:rsid w:val="00E41687"/>
    <w:rsid w:val="00E4170B"/>
    <w:rsid w:val="00E41811"/>
    <w:rsid w:val="00E41DA2"/>
    <w:rsid w:val="00E41E30"/>
    <w:rsid w:val="00E41F8A"/>
    <w:rsid w:val="00E42194"/>
    <w:rsid w:val="00E4219D"/>
    <w:rsid w:val="00E42F73"/>
    <w:rsid w:val="00E434C4"/>
    <w:rsid w:val="00E43D70"/>
    <w:rsid w:val="00E43E92"/>
    <w:rsid w:val="00E44F5E"/>
    <w:rsid w:val="00E454A7"/>
    <w:rsid w:val="00E4576D"/>
    <w:rsid w:val="00E45C02"/>
    <w:rsid w:val="00E45EED"/>
    <w:rsid w:val="00E464B5"/>
    <w:rsid w:val="00E466F3"/>
    <w:rsid w:val="00E46EBA"/>
    <w:rsid w:val="00E471FC"/>
    <w:rsid w:val="00E4782E"/>
    <w:rsid w:val="00E4783F"/>
    <w:rsid w:val="00E47B2C"/>
    <w:rsid w:val="00E47E05"/>
    <w:rsid w:val="00E50742"/>
    <w:rsid w:val="00E50855"/>
    <w:rsid w:val="00E51560"/>
    <w:rsid w:val="00E51821"/>
    <w:rsid w:val="00E52B35"/>
    <w:rsid w:val="00E53930"/>
    <w:rsid w:val="00E53A12"/>
    <w:rsid w:val="00E53FC8"/>
    <w:rsid w:val="00E54327"/>
    <w:rsid w:val="00E54347"/>
    <w:rsid w:val="00E54769"/>
    <w:rsid w:val="00E54A17"/>
    <w:rsid w:val="00E54C74"/>
    <w:rsid w:val="00E55424"/>
    <w:rsid w:val="00E558EB"/>
    <w:rsid w:val="00E55915"/>
    <w:rsid w:val="00E55A18"/>
    <w:rsid w:val="00E55BB5"/>
    <w:rsid w:val="00E55D0A"/>
    <w:rsid w:val="00E56B04"/>
    <w:rsid w:val="00E571D0"/>
    <w:rsid w:val="00E574D2"/>
    <w:rsid w:val="00E57D83"/>
    <w:rsid w:val="00E57DD7"/>
    <w:rsid w:val="00E60086"/>
    <w:rsid w:val="00E60CD6"/>
    <w:rsid w:val="00E60F3A"/>
    <w:rsid w:val="00E6113E"/>
    <w:rsid w:val="00E611DF"/>
    <w:rsid w:val="00E612AA"/>
    <w:rsid w:val="00E614C1"/>
    <w:rsid w:val="00E62136"/>
    <w:rsid w:val="00E622B3"/>
    <w:rsid w:val="00E6245F"/>
    <w:rsid w:val="00E62BB6"/>
    <w:rsid w:val="00E62BFB"/>
    <w:rsid w:val="00E6336D"/>
    <w:rsid w:val="00E63C84"/>
    <w:rsid w:val="00E6497E"/>
    <w:rsid w:val="00E64C8D"/>
    <w:rsid w:val="00E65468"/>
    <w:rsid w:val="00E65D91"/>
    <w:rsid w:val="00E65E79"/>
    <w:rsid w:val="00E660DA"/>
    <w:rsid w:val="00E669C9"/>
    <w:rsid w:val="00E66BA2"/>
    <w:rsid w:val="00E66C1D"/>
    <w:rsid w:val="00E6717E"/>
    <w:rsid w:val="00E67416"/>
    <w:rsid w:val="00E677B6"/>
    <w:rsid w:val="00E67992"/>
    <w:rsid w:val="00E70222"/>
    <w:rsid w:val="00E718B6"/>
    <w:rsid w:val="00E7215D"/>
    <w:rsid w:val="00E72188"/>
    <w:rsid w:val="00E723BA"/>
    <w:rsid w:val="00E72994"/>
    <w:rsid w:val="00E72A9F"/>
    <w:rsid w:val="00E73048"/>
    <w:rsid w:val="00E73110"/>
    <w:rsid w:val="00E733CA"/>
    <w:rsid w:val="00E7344C"/>
    <w:rsid w:val="00E73581"/>
    <w:rsid w:val="00E75800"/>
    <w:rsid w:val="00E75857"/>
    <w:rsid w:val="00E75884"/>
    <w:rsid w:val="00E76591"/>
    <w:rsid w:val="00E77805"/>
    <w:rsid w:val="00E77806"/>
    <w:rsid w:val="00E8028C"/>
    <w:rsid w:val="00E80337"/>
    <w:rsid w:val="00E805BB"/>
    <w:rsid w:val="00E81375"/>
    <w:rsid w:val="00E81799"/>
    <w:rsid w:val="00E81B09"/>
    <w:rsid w:val="00E81DBB"/>
    <w:rsid w:val="00E825F1"/>
    <w:rsid w:val="00E8288F"/>
    <w:rsid w:val="00E8302F"/>
    <w:rsid w:val="00E833F7"/>
    <w:rsid w:val="00E83BDF"/>
    <w:rsid w:val="00E844E0"/>
    <w:rsid w:val="00E8460F"/>
    <w:rsid w:val="00E85A1D"/>
    <w:rsid w:val="00E85FB8"/>
    <w:rsid w:val="00E8615B"/>
    <w:rsid w:val="00E861B5"/>
    <w:rsid w:val="00E86BAD"/>
    <w:rsid w:val="00E86FCC"/>
    <w:rsid w:val="00E87A1D"/>
    <w:rsid w:val="00E904DA"/>
    <w:rsid w:val="00E9094A"/>
    <w:rsid w:val="00E90DE4"/>
    <w:rsid w:val="00E90FC3"/>
    <w:rsid w:val="00E91D35"/>
    <w:rsid w:val="00E926A5"/>
    <w:rsid w:val="00E9277E"/>
    <w:rsid w:val="00E93017"/>
    <w:rsid w:val="00E93696"/>
    <w:rsid w:val="00E93DF6"/>
    <w:rsid w:val="00E941B8"/>
    <w:rsid w:val="00E94A93"/>
    <w:rsid w:val="00E95C78"/>
    <w:rsid w:val="00E962CC"/>
    <w:rsid w:val="00E967E4"/>
    <w:rsid w:val="00E96F78"/>
    <w:rsid w:val="00E97318"/>
    <w:rsid w:val="00E97480"/>
    <w:rsid w:val="00E97904"/>
    <w:rsid w:val="00E97AE6"/>
    <w:rsid w:val="00E97D75"/>
    <w:rsid w:val="00E97DCA"/>
    <w:rsid w:val="00E97E15"/>
    <w:rsid w:val="00E97ED6"/>
    <w:rsid w:val="00EA0707"/>
    <w:rsid w:val="00EA0769"/>
    <w:rsid w:val="00EA0A6F"/>
    <w:rsid w:val="00EA0A9E"/>
    <w:rsid w:val="00EA0D41"/>
    <w:rsid w:val="00EA114A"/>
    <w:rsid w:val="00EA1272"/>
    <w:rsid w:val="00EA12BE"/>
    <w:rsid w:val="00EA12CE"/>
    <w:rsid w:val="00EA1761"/>
    <w:rsid w:val="00EA17C3"/>
    <w:rsid w:val="00EA18B9"/>
    <w:rsid w:val="00EA1CCE"/>
    <w:rsid w:val="00EA1FFE"/>
    <w:rsid w:val="00EA270E"/>
    <w:rsid w:val="00EA2A27"/>
    <w:rsid w:val="00EA2CAA"/>
    <w:rsid w:val="00EA2CB3"/>
    <w:rsid w:val="00EA3864"/>
    <w:rsid w:val="00EA38B3"/>
    <w:rsid w:val="00EA3A8D"/>
    <w:rsid w:val="00EA4402"/>
    <w:rsid w:val="00EA5398"/>
    <w:rsid w:val="00EA53BA"/>
    <w:rsid w:val="00EA544C"/>
    <w:rsid w:val="00EA6062"/>
    <w:rsid w:val="00EA7F1C"/>
    <w:rsid w:val="00EB00FD"/>
    <w:rsid w:val="00EB0C16"/>
    <w:rsid w:val="00EB10B6"/>
    <w:rsid w:val="00EB15B6"/>
    <w:rsid w:val="00EB1B3E"/>
    <w:rsid w:val="00EB2067"/>
    <w:rsid w:val="00EB2B27"/>
    <w:rsid w:val="00EB2CC1"/>
    <w:rsid w:val="00EB305C"/>
    <w:rsid w:val="00EB3670"/>
    <w:rsid w:val="00EB37F7"/>
    <w:rsid w:val="00EB3BA3"/>
    <w:rsid w:val="00EB3D06"/>
    <w:rsid w:val="00EB4855"/>
    <w:rsid w:val="00EB4916"/>
    <w:rsid w:val="00EB506B"/>
    <w:rsid w:val="00EB52FD"/>
    <w:rsid w:val="00EB5B12"/>
    <w:rsid w:val="00EB5D6D"/>
    <w:rsid w:val="00EB60BF"/>
    <w:rsid w:val="00EB6823"/>
    <w:rsid w:val="00EB6A43"/>
    <w:rsid w:val="00EB6AD5"/>
    <w:rsid w:val="00EB6E41"/>
    <w:rsid w:val="00EB73BC"/>
    <w:rsid w:val="00EB7858"/>
    <w:rsid w:val="00EB79D2"/>
    <w:rsid w:val="00EB7AD5"/>
    <w:rsid w:val="00EC00C9"/>
    <w:rsid w:val="00EC097B"/>
    <w:rsid w:val="00EC0A3C"/>
    <w:rsid w:val="00EC0BF6"/>
    <w:rsid w:val="00EC0DD9"/>
    <w:rsid w:val="00EC0FDC"/>
    <w:rsid w:val="00EC122A"/>
    <w:rsid w:val="00EC1683"/>
    <w:rsid w:val="00EC16CC"/>
    <w:rsid w:val="00EC1B5B"/>
    <w:rsid w:val="00EC1D39"/>
    <w:rsid w:val="00EC1DCE"/>
    <w:rsid w:val="00EC2231"/>
    <w:rsid w:val="00EC2649"/>
    <w:rsid w:val="00EC28D5"/>
    <w:rsid w:val="00EC3135"/>
    <w:rsid w:val="00EC31ED"/>
    <w:rsid w:val="00EC3965"/>
    <w:rsid w:val="00EC3B29"/>
    <w:rsid w:val="00EC40FF"/>
    <w:rsid w:val="00EC5836"/>
    <w:rsid w:val="00EC62C3"/>
    <w:rsid w:val="00EC6784"/>
    <w:rsid w:val="00EC688C"/>
    <w:rsid w:val="00EC6B59"/>
    <w:rsid w:val="00EC6FF8"/>
    <w:rsid w:val="00EC7091"/>
    <w:rsid w:val="00EC718C"/>
    <w:rsid w:val="00ED0188"/>
    <w:rsid w:val="00ED0348"/>
    <w:rsid w:val="00ED077E"/>
    <w:rsid w:val="00ED0AF2"/>
    <w:rsid w:val="00ED0CBB"/>
    <w:rsid w:val="00ED0E3F"/>
    <w:rsid w:val="00ED0EBB"/>
    <w:rsid w:val="00ED12E3"/>
    <w:rsid w:val="00ED1907"/>
    <w:rsid w:val="00ED1A15"/>
    <w:rsid w:val="00ED1A44"/>
    <w:rsid w:val="00ED1B1D"/>
    <w:rsid w:val="00ED1E36"/>
    <w:rsid w:val="00ED21F4"/>
    <w:rsid w:val="00ED2261"/>
    <w:rsid w:val="00ED3279"/>
    <w:rsid w:val="00ED32CB"/>
    <w:rsid w:val="00ED36C2"/>
    <w:rsid w:val="00ED38BF"/>
    <w:rsid w:val="00ED3E31"/>
    <w:rsid w:val="00ED3EB4"/>
    <w:rsid w:val="00ED42B8"/>
    <w:rsid w:val="00ED4B04"/>
    <w:rsid w:val="00ED57EA"/>
    <w:rsid w:val="00ED5BD4"/>
    <w:rsid w:val="00ED6A4C"/>
    <w:rsid w:val="00ED715A"/>
    <w:rsid w:val="00EE07D3"/>
    <w:rsid w:val="00EE0CB0"/>
    <w:rsid w:val="00EE111E"/>
    <w:rsid w:val="00EE18D2"/>
    <w:rsid w:val="00EE1996"/>
    <w:rsid w:val="00EE19B0"/>
    <w:rsid w:val="00EE1ACD"/>
    <w:rsid w:val="00EE1C01"/>
    <w:rsid w:val="00EE22AF"/>
    <w:rsid w:val="00EE22B3"/>
    <w:rsid w:val="00EE245A"/>
    <w:rsid w:val="00EE2C85"/>
    <w:rsid w:val="00EE30AA"/>
    <w:rsid w:val="00EE3A92"/>
    <w:rsid w:val="00EE3E20"/>
    <w:rsid w:val="00EE532A"/>
    <w:rsid w:val="00EE53A1"/>
    <w:rsid w:val="00EE540D"/>
    <w:rsid w:val="00EE5470"/>
    <w:rsid w:val="00EE6111"/>
    <w:rsid w:val="00EE6719"/>
    <w:rsid w:val="00EE6888"/>
    <w:rsid w:val="00EE7F85"/>
    <w:rsid w:val="00EF0171"/>
    <w:rsid w:val="00EF056A"/>
    <w:rsid w:val="00EF1181"/>
    <w:rsid w:val="00EF1495"/>
    <w:rsid w:val="00EF1792"/>
    <w:rsid w:val="00EF1B25"/>
    <w:rsid w:val="00EF1DA0"/>
    <w:rsid w:val="00EF1E29"/>
    <w:rsid w:val="00EF3324"/>
    <w:rsid w:val="00EF38F9"/>
    <w:rsid w:val="00EF3A67"/>
    <w:rsid w:val="00EF41DC"/>
    <w:rsid w:val="00EF4747"/>
    <w:rsid w:val="00EF4BF8"/>
    <w:rsid w:val="00EF4D26"/>
    <w:rsid w:val="00EF5A2A"/>
    <w:rsid w:val="00EF5F35"/>
    <w:rsid w:val="00EF7649"/>
    <w:rsid w:val="00EF7817"/>
    <w:rsid w:val="00F00884"/>
    <w:rsid w:val="00F010AF"/>
    <w:rsid w:val="00F01B69"/>
    <w:rsid w:val="00F0205D"/>
    <w:rsid w:val="00F02253"/>
    <w:rsid w:val="00F02EE5"/>
    <w:rsid w:val="00F03BB2"/>
    <w:rsid w:val="00F03C2E"/>
    <w:rsid w:val="00F044DC"/>
    <w:rsid w:val="00F04719"/>
    <w:rsid w:val="00F04931"/>
    <w:rsid w:val="00F04A66"/>
    <w:rsid w:val="00F04B4B"/>
    <w:rsid w:val="00F0516C"/>
    <w:rsid w:val="00F0580E"/>
    <w:rsid w:val="00F0598C"/>
    <w:rsid w:val="00F05CE2"/>
    <w:rsid w:val="00F065F9"/>
    <w:rsid w:val="00F067A2"/>
    <w:rsid w:val="00F06919"/>
    <w:rsid w:val="00F069AD"/>
    <w:rsid w:val="00F06F75"/>
    <w:rsid w:val="00F077A9"/>
    <w:rsid w:val="00F07B9E"/>
    <w:rsid w:val="00F07BAA"/>
    <w:rsid w:val="00F102F4"/>
    <w:rsid w:val="00F10A9B"/>
    <w:rsid w:val="00F1116F"/>
    <w:rsid w:val="00F11536"/>
    <w:rsid w:val="00F117AF"/>
    <w:rsid w:val="00F11A43"/>
    <w:rsid w:val="00F12080"/>
    <w:rsid w:val="00F123DF"/>
    <w:rsid w:val="00F1263A"/>
    <w:rsid w:val="00F12F78"/>
    <w:rsid w:val="00F12FB8"/>
    <w:rsid w:val="00F13883"/>
    <w:rsid w:val="00F139C5"/>
    <w:rsid w:val="00F13EFD"/>
    <w:rsid w:val="00F142A0"/>
    <w:rsid w:val="00F1473C"/>
    <w:rsid w:val="00F156EF"/>
    <w:rsid w:val="00F158F1"/>
    <w:rsid w:val="00F15B77"/>
    <w:rsid w:val="00F16341"/>
    <w:rsid w:val="00F170A7"/>
    <w:rsid w:val="00F17103"/>
    <w:rsid w:val="00F1797F"/>
    <w:rsid w:val="00F17CCA"/>
    <w:rsid w:val="00F20811"/>
    <w:rsid w:val="00F20C3B"/>
    <w:rsid w:val="00F21236"/>
    <w:rsid w:val="00F21487"/>
    <w:rsid w:val="00F21C16"/>
    <w:rsid w:val="00F2259C"/>
    <w:rsid w:val="00F2285D"/>
    <w:rsid w:val="00F22CF6"/>
    <w:rsid w:val="00F23006"/>
    <w:rsid w:val="00F239DF"/>
    <w:rsid w:val="00F23AB0"/>
    <w:rsid w:val="00F24837"/>
    <w:rsid w:val="00F2575F"/>
    <w:rsid w:val="00F25EF9"/>
    <w:rsid w:val="00F263F4"/>
    <w:rsid w:val="00F2647C"/>
    <w:rsid w:val="00F265A0"/>
    <w:rsid w:val="00F268E1"/>
    <w:rsid w:val="00F269C7"/>
    <w:rsid w:val="00F26BB1"/>
    <w:rsid w:val="00F273BD"/>
    <w:rsid w:val="00F27565"/>
    <w:rsid w:val="00F27C20"/>
    <w:rsid w:val="00F310AE"/>
    <w:rsid w:val="00F310D4"/>
    <w:rsid w:val="00F31726"/>
    <w:rsid w:val="00F31D5A"/>
    <w:rsid w:val="00F327A9"/>
    <w:rsid w:val="00F32D40"/>
    <w:rsid w:val="00F32E19"/>
    <w:rsid w:val="00F32E2C"/>
    <w:rsid w:val="00F3312E"/>
    <w:rsid w:val="00F337FE"/>
    <w:rsid w:val="00F33865"/>
    <w:rsid w:val="00F338B5"/>
    <w:rsid w:val="00F33975"/>
    <w:rsid w:val="00F33DE9"/>
    <w:rsid w:val="00F33F7E"/>
    <w:rsid w:val="00F343F7"/>
    <w:rsid w:val="00F349D6"/>
    <w:rsid w:val="00F34D1E"/>
    <w:rsid w:val="00F34FC3"/>
    <w:rsid w:val="00F3518C"/>
    <w:rsid w:val="00F35464"/>
    <w:rsid w:val="00F3554C"/>
    <w:rsid w:val="00F35E6D"/>
    <w:rsid w:val="00F3619A"/>
    <w:rsid w:val="00F36688"/>
    <w:rsid w:val="00F368C8"/>
    <w:rsid w:val="00F36CD5"/>
    <w:rsid w:val="00F37546"/>
    <w:rsid w:val="00F37795"/>
    <w:rsid w:val="00F37E36"/>
    <w:rsid w:val="00F40AAA"/>
    <w:rsid w:val="00F40BA7"/>
    <w:rsid w:val="00F40E5E"/>
    <w:rsid w:val="00F40F8C"/>
    <w:rsid w:val="00F40F9D"/>
    <w:rsid w:val="00F41816"/>
    <w:rsid w:val="00F41ACD"/>
    <w:rsid w:val="00F41E28"/>
    <w:rsid w:val="00F41F75"/>
    <w:rsid w:val="00F424CE"/>
    <w:rsid w:val="00F426EC"/>
    <w:rsid w:val="00F42915"/>
    <w:rsid w:val="00F436C2"/>
    <w:rsid w:val="00F439C0"/>
    <w:rsid w:val="00F43E29"/>
    <w:rsid w:val="00F4405E"/>
    <w:rsid w:val="00F45388"/>
    <w:rsid w:val="00F4559E"/>
    <w:rsid w:val="00F463DD"/>
    <w:rsid w:val="00F4697F"/>
    <w:rsid w:val="00F46CB6"/>
    <w:rsid w:val="00F47287"/>
    <w:rsid w:val="00F474D6"/>
    <w:rsid w:val="00F4756D"/>
    <w:rsid w:val="00F47856"/>
    <w:rsid w:val="00F47B41"/>
    <w:rsid w:val="00F47DE8"/>
    <w:rsid w:val="00F50802"/>
    <w:rsid w:val="00F50882"/>
    <w:rsid w:val="00F51838"/>
    <w:rsid w:val="00F5198C"/>
    <w:rsid w:val="00F51A2D"/>
    <w:rsid w:val="00F521B6"/>
    <w:rsid w:val="00F52995"/>
    <w:rsid w:val="00F529EF"/>
    <w:rsid w:val="00F52ABA"/>
    <w:rsid w:val="00F53CA6"/>
    <w:rsid w:val="00F54063"/>
    <w:rsid w:val="00F5428A"/>
    <w:rsid w:val="00F542C1"/>
    <w:rsid w:val="00F54400"/>
    <w:rsid w:val="00F54A98"/>
    <w:rsid w:val="00F54FE6"/>
    <w:rsid w:val="00F550E3"/>
    <w:rsid w:val="00F559EA"/>
    <w:rsid w:val="00F55E73"/>
    <w:rsid w:val="00F55EDA"/>
    <w:rsid w:val="00F561C1"/>
    <w:rsid w:val="00F56354"/>
    <w:rsid w:val="00F56365"/>
    <w:rsid w:val="00F56B29"/>
    <w:rsid w:val="00F56C80"/>
    <w:rsid w:val="00F579CA"/>
    <w:rsid w:val="00F60092"/>
    <w:rsid w:val="00F60275"/>
    <w:rsid w:val="00F60367"/>
    <w:rsid w:val="00F60605"/>
    <w:rsid w:val="00F6078F"/>
    <w:rsid w:val="00F61200"/>
    <w:rsid w:val="00F61B58"/>
    <w:rsid w:val="00F61C18"/>
    <w:rsid w:val="00F61C27"/>
    <w:rsid w:val="00F62840"/>
    <w:rsid w:val="00F6302C"/>
    <w:rsid w:val="00F631DF"/>
    <w:rsid w:val="00F63B7D"/>
    <w:rsid w:val="00F63FDC"/>
    <w:rsid w:val="00F645D3"/>
    <w:rsid w:val="00F649D4"/>
    <w:rsid w:val="00F64CDD"/>
    <w:rsid w:val="00F64DBF"/>
    <w:rsid w:val="00F65037"/>
    <w:rsid w:val="00F653F4"/>
    <w:rsid w:val="00F65552"/>
    <w:rsid w:val="00F657C3"/>
    <w:rsid w:val="00F65F4B"/>
    <w:rsid w:val="00F664CA"/>
    <w:rsid w:val="00F66C41"/>
    <w:rsid w:val="00F66D75"/>
    <w:rsid w:val="00F675BD"/>
    <w:rsid w:val="00F67763"/>
    <w:rsid w:val="00F67A69"/>
    <w:rsid w:val="00F67E75"/>
    <w:rsid w:val="00F70BFF"/>
    <w:rsid w:val="00F70C05"/>
    <w:rsid w:val="00F70C9D"/>
    <w:rsid w:val="00F7112A"/>
    <w:rsid w:val="00F717C4"/>
    <w:rsid w:val="00F7292E"/>
    <w:rsid w:val="00F72C27"/>
    <w:rsid w:val="00F73E08"/>
    <w:rsid w:val="00F73E29"/>
    <w:rsid w:val="00F743DE"/>
    <w:rsid w:val="00F74CD9"/>
    <w:rsid w:val="00F751B3"/>
    <w:rsid w:val="00F7544D"/>
    <w:rsid w:val="00F75AD0"/>
    <w:rsid w:val="00F75D00"/>
    <w:rsid w:val="00F75F02"/>
    <w:rsid w:val="00F76890"/>
    <w:rsid w:val="00F768EA"/>
    <w:rsid w:val="00F77036"/>
    <w:rsid w:val="00F77289"/>
    <w:rsid w:val="00F77764"/>
    <w:rsid w:val="00F77EC3"/>
    <w:rsid w:val="00F80A7B"/>
    <w:rsid w:val="00F80B43"/>
    <w:rsid w:val="00F80E5D"/>
    <w:rsid w:val="00F810F0"/>
    <w:rsid w:val="00F81C91"/>
    <w:rsid w:val="00F81E78"/>
    <w:rsid w:val="00F8324E"/>
    <w:rsid w:val="00F83916"/>
    <w:rsid w:val="00F851CE"/>
    <w:rsid w:val="00F86165"/>
    <w:rsid w:val="00F86237"/>
    <w:rsid w:val="00F8642A"/>
    <w:rsid w:val="00F8643F"/>
    <w:rsid w:val="00F86C36"/>
    <w:rsid w:val="00F86E75"/>
    <w:rsid w:val="00F870E3"/>
    <w:rsid w:val="00F873C8"/>
    <w:rsid w:val="00F878B4"/>
    <w:rsid w:val="00F905B0"/>
    <w:rsid w:val="00F9106C"/>
    <w:rsid w:val="00F91219"/>
    <w:rsid w:val="00F91747"/>
    <w:rsid w:val="00F918D9"/>
    <w:rsid w:val="00F92056"/>
    <w:rsid w:val="00F92444"/>
    <w:rsid w:val="00F929B7"/>
    <w:rsid w:val="00F92CC0"/>
    <w:rsid w:val="00F92EA1"/>
    <w:rsid w:val="00F93610"/>
    <w:rsid w:val="00F9393E"/>
    <w:rsid w:val="00F94EB6"/>
    <w:rsid w:val="00F95C82"/>
    <w:rsid w:val="00F9682E"/>
    <w:rsid w:val="00F96FD0"/>
    <w:rsid w:val="00F9709A"/>
    <w:rsid w:val="00F9738D"/>
    <w:rsid w:val="00F977D4"/>
    <w:rsid w:val="00F97A01"/>
    <w:rsid w:val="00F97A78"/>
    <w:rsid w:val="00F97DC9"/>
    <w:rsid w:val="00FA00A1"/>
    <w:rsid w:val="00FA073C"/>
    <w:rsid w:val="00FA0A75"/>
    <w:rsid w:val="00FA0B20"/>
    <w:rsid w:val="00FA24E7"/>
    <w:rsid w:val="00FA26B4"/>
    <w:rsid w:val="00FA296A"/>
    <w:rsid w:val="00FA3382"/>
    <w:rsid w:val="00FA424E"/>
    <w:rsid w:val="00FA45DA"/>
    <w:rsid w:val="00FA4623"/>
    <w:rsid w:val="00FA4FAF"/>
    <w:rsid w:val="00FA5697"/>
    <w:rsid w:val="00FA57AF"/>
    <w:rsid w:val="00FA5EE6"/>
    <w:rsid w:val="00FA644D"/>
    <w:rsid w:val="00FA6D79"/>
    <w:rsid w:val="00FA70CE"/>
    <w:rsid w:val="00FA70DB"/>
    <w:rsid w:val="00FA7352"/>
    <w:rsid w:val="00FA7956"/>
    <w:rsid w:val="00FA79C6"/>
    <w:rsid w:val="00FA7DEF"/>
    <w:rsid w:val="00FB02AA"/>
    <w:rsid w:val="00FB0824"/>
    <w:rsid w:val="00FB08D8"/>
    <w:rsid w:val="00FB1229"/>
    <w:rsid w:val="00FB12CF"/>
    <w:rsid w:val="00FB20CB"/>
    <w:rsid w:val="00FB2458"/>
    <w:rsid w:val="00FB2DDC"/>
    <w:rsid w:val="00FB2FCB"/>
    <w:rsid w:val="00FB38A5"/>
    <w:rsid w:val="00FB39C9"/>
    <w:rsid w:val="00FB3BC7"/>
    <w:rsid w:val="00FB4A40"/>
    <w:rsid w:val="00FB4C9C"/>
    <w:rsid w:val="00FB4D49"/>
    <w:rsid w:val="00FB4F8B"/>
    <w:rsid w:val="00FB5156"/>
    <w:rsid w:val="00FB5677"/>
    <w:rsid w:val="00FB56F2"/>
    <w:rsid w:val="00FB5AB1"/>
    <w:rsid w:val="00FB7C55"/>
    <w:rsid w:val="00FB7E8C"/>
    <w:rsid w:val="00FC007D"/>
    <w:rsid w:val="00FC05A2"/>
    <w:rsid w:val="00FC0680"/>
    <w:rsid w:val="00FC0931"/>
    <w:rsid w:val="00FC09DD"/>
    <w:rsid w:val="00FC0E94"/>
    <w:rsid w:val="00FC1074"/>
    <w:rsid w:val="00FC1521"/>
    <w:rsid w:val="00FC1583"/>
    <w:rsid w:val="00FC1884"/>
    <w:rsid w:val="00FC2000"/>
    <w:rsid w:val="00FC227D"/>
    <w:rsid w:val="00FC2446"/>
    <w:rsid w:val="00FC2746"/>
    <w:rsid w:val="00FC319B"/>
    <w:rsid w:val="00FC371D"/>
    <w:rsid w:val="00FC379C"/>
    <w:rsid w:val="00FC3BE5"/>
    <w:rsid w:val="00FC4716"/>
    <w:rsid w:val="00FC5091"/>
    <w:rsid w:val="00FC5606"/>
    <w:rsid w:val="00FC5721"/>
    <w:rsid w:val="00FC5F0B"/>
    <w:rsid w:val="00FC67A2"/>
    <w:rsid w:val="00FC713C"/>
    <w:rsid w:val="00FC79E7"/>
    <w:rsid w:val="00FC7F0D"/>
    <w:rsid w:val="00FC7FF4"/>
    <w:rsid w:val="00FD004F"/>
    <w:rsid w:val="00FD0214"/>
    <w:rsid w:val="00FD0326"/>
    <w:rsid w:val="00FD0410"/>
    <w:rsid w:val="00FD0908"/>
    <w:rsid w:val="00FD0C1D"/>
    <w:rsid w:val="00FD0D9E"/>
    <w:rsid w:val="00FD0F6C"/>
    <w:rsid w:val="00FD1C52"/>
    <w:rsid w:val="00FD1E7F"/>
    <w:rsid w:val="00FD1F30"/>
    <w:rsid w:val="00FD2100"/>
    <w:rsid w:val="00FD2363"/>
    <w:rsid w:val="00FD24D8"/>
    <w:rsid w:val="00FD2530"/>
    <w:rsid w:val="00FD384F"/>
    <w:rsid w:val="00FD39A9"/>
    <w:rsid w:val="00FD3B27"/>
    <w:rsid w:val="00FD436C"/>
    <w:rsid w:val="00FD437A"/>
    <w:rsid w:val="00FD446D"/>
    <w:rsid w:val="00FD479E"/>
    <w:rsid w:val="00FD4F2C"/>
    <w:rsid w:val="00FD4FF2"/>
    <w:rsid w:val="00FD5856"/>
    <w:rsid w:val="00FD5897"/>
    <w:rsid w:val="00FD59EA"/>
    <w:rsid w:val="00FD6266"/>
    <w:rsid w:val="00FD6394"/>
    <w:rsid w:val="00FD6BB4"/>
    <w:rsid w:val="00FD6C93"/>
    <w:rsid w:val="00FD769B"/>
    <w:rsid w:val="00FD7734"/>
    <w:rsid w:val="00FD7D1A"/>
    <w:rsid w:val="00FE07E0"/>
    <w:rsid w:val="00FE0991"/>
    <w:rsid w:val="00FE0E6C"/>
    <w:rsid w:val="00FE0E82"/>
    <w:rsid w:val="00FE0F4B"/>
    <w:rsid w:val="00FE1451"/>
    <w:rsid w:val="00FE1CDC"/>
    <w:rsid w:val="00FE1DF3"/>
    <w:rsid w:val="00FE1EB6"/>
    <w:rsid w:val="00FE231E"/>
    <w:rsid w:val="00FE25B6"/>
    <w:rsid w:val="00FE30D8"/>
    <w:rsid w:val="00FE3D0B"/>
    <w:rsid w:val="00FE3DBD"/>
    <w:rsid w:val="00FE3E3E"/>
    <w:rsid w:val="00FE4330"/>
    <w:rsid w:val="00FE4A65"/>
    <w:rsid w:val="00FE529F"/>
    <w:rsid w:val="00FE5F2B"/>
    <w:rsid w:val="00FE635E"/>
    <w:rsid w:val="00FE639E"/>
    <w:rsid w:val="00FE6F51"/>
    <w:rsid w:val="00FE70C3"/>
    <w:rsid w:val="00FF04FB"/>
    <w:rsid w:val="00FF0978"/>
    <w:rsid w:val="00FF0B33"/>
    <w:rsid w:val="00FF1091"/>
    <w:rsid w:val="00FF158E"/>
    <w:rsid w:val="00FF1A8B"/>
    <w:rsid w:val="00FF2AD9"/>
    <w:rsid w:val="00FF3465"/>
    <w:rsid w:val="00FF359F"/>
    <w:rsid w:val="00FF3DCF"/>
    <w:rsid w:val="00FF3ECD"/>
    <w:rsid w:val="00FF41D5"/>
    <w:rsid w:val="00FF43FB"/>
    <w:rsid w:val="00FF4525"/>
    <w:rsid w:val="00FF492C"/>
    <w:rsid w:val="00FF496A"/>
    <w:rsid w:val="00FF4A21"/>
    <w:rsid w:val="00FF5AA3"/>
    <w:rsid w:val="00FF5AD8"/>
    <w:rsid w:val="00FF5BA7"/>
    <w:rsid w:val="00FF621B"/>
    <w:rsid w:val="00FF63E3"/>
    <w:rsid w:val="00FF665F"/>
    <w:rsid w:val="00FF6B81"/>
    <w:rsid w:val="00FF7582"/>
    <w:rsid w:val="00FF7E83"/>
    <w:rsid w:val="00FF7F2B"/>
    <w:rsid w:val="01CA8607"/>
    <w:rsid w:val="1281A1FD"/>
    <w:rsid w:val="51889EB7"/>
    <w:rsid w:val="5DBA1E04"/>
    <w:rsid w:val="6F941C5A"/>
    <w:rsid w:val="7D381F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56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aliases w:val="Page Header,Header title,he=header,cntr/bld"/>
    <w:basedOn w:val="Normal"/>
    <w:link w:val="HeaderChar"/>
    <w:uiPriority w:val="99"/>
    <w:qFormat/>
    <w:rsid w:val="00A51C91"/>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link w:val="COMH2-numberedChar"/>
    <w:qFormat/>
    <w:rsid w:val="001C002E"/>
  </w:style>
  <w:style w:type="table" w:styleId="TableGrid">
    <w:name w:val="Table Grid"/>
    <w:aliases w:val="Summary box,Table Gridbeth,CMA Table Template,ASD Table,Lash Style Table,PBAC table,new style,MSD Table Grid,HTAtableplain,RTI AMCP Table,Conclusion box,Table Grid nm,Dossier table,Section 3- footnotes,Summary Table,Dossier Table"/>
    <w:basedOn w:val="TableNormal"/>
    <w:rsid w:val="004B3DDB"/>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1"/>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autoRedefine/>
    <w:qFormat/>
    <w:rsid w:val="00793738"/>
    <w:pPr>
      <w:keepNext/>
      <w:keepLines/>
      <w:widowControl w:val="0"/>
    </w:pPr>
    <w:rPr>
      <w:rFonts w:ascii="Arial Narrow" w:eastAsiaTheme="majorEastAsia" w:hAnsi="Arial Narrow" w:cstheme="majorBidi"/>
      <w:b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uiPriority w:val="99"/>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7"/>
      </w:numPr>
      <w:spacing w:before="240" w:after="120"/>
      <w:ind w:left="7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C0254C"/>
    <w:pPr>
      <w:numPr>
        <w:ilvl w:val="1"/>
        <w:numId w:val="7"/>
      </w:numPr>
      <w:spacing w:before="120" w:after="1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C0254C"/>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793738"/>
    <w:rPr>
      <w:rFonts w:ascii="Arial Narrow" w:eastAsiaTheme="majorEastAsia" w:hAnsi="Arial Narrow" w:cstheme="majorBidi"/>
      <w:b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2"/>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3"/>
      </w:numPr>
      <w:spacing w:after="120"/>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4"/>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9A6C20"/>
    <w:pPr>
      <w:keepNext/>
      <w:spacing w:after="120"/>
    </w:pPr>
    <w:rPr>
      <w:b/>
      <w:iCs/>
      <w:sz w:val="28"/>
    </w:rPr>
  </w:style>
  <w:style w:type="character" w:customStyle="1" w:styleId="COMH3Char">
    <w:name w:val="COM H3 Char"/>
    <w:basedOn w:val="DefaultParagraphFont"/>
    <w:link w:val="COMH3"/>
    <w:rsid w:val="009A6C20"/>
    <w:rPr>
      <w:rFonts w:ascii="Calibri" w:hAnsi="Calibri" w:cs="Arial"/>
      <w:b/>
      <w:iCs/>
      <w:sz w:val="28"/>
      <w:szCs w:val="24"/>
    </w:rPr>
  </w:style>
  <w:style w:type="paragraph" w:customStyle="1" w:styleId="COMH4">
    <w:name w:val="COM H4"/>
    <w:basedOn w:val="Normal"/>
    <w:link w:val="COMH4Char"/>
    <w:qFormat/>
    <w:rsid w:val="00857D2E"/>
    <w:pPr>
      <w:keepNext/>
      <w:spacing w:after="120"/>
    </w:pPr>
    <w:rPr>
      <w:b/>
      <w:i/>
    </w:rPr>
  </w:style>
  <w:style w:type="character" w:customStyle="1" w:styleId="COMH4Char">
    <w:name w:val="COM H4 Char"/>
    <w:basedOn w:val="DefaultParagraphFont"/>
    <w:link w:val="COMH4"/>
    <w:rsid w:val="00857D2E"/>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character" w:styleId="CommentReference">
    <w:name w:val="annotation reference"/>
    <w:aliases w:val="Table Title,-H18,Annotationmark,Table HEADER PBAC"/>
    <w:basedOn w:val="DefaultParagraphFont"/>
    <w:uiPriority w:val="99"/>
    <w:unhideWhenUsed/>
    <w:qFormat/>
    <w:rsid w:val="008E0FB4"/>
    <w:rPr>
      <w:sz w:val="16"/>
      <w:szCs w:val="16"/>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Comment Text Char Char Char"/>
    <w:basedOn w:val="Normal"/>
    <w:link w:val="CommentTextChar"/>
    <w:unhideWhenUsed/>
    <w:qFormat/>
    <w:rsid w:val="008E0FB4"/>
    <w:rPr>
      <w:sz w:val="20"/>
      <w:szCs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rsid w:val="008E0FB4"/>
    <w:rPr>
      <w:rFonts w:ascii="Calibri" w:hAnsi="Calibri" w:cs="Arial"/>
    </w:rPr>
  </w:style>
  <w:style w:type="paragraph" w:styleId="CommentSubject">
    <w:name w:val="annotation subject"/>
    <w:basedOn w:val="CommentText"/>
    <w:next w:val="CommentText"/>
    <w:link w:val="CommentSubjectChar"/>
    <w:semiHidden/>
    <w:unhideWhenUsed/>
    <w:rsid w:val="008E0FB4"/>
    <w:rPr>
      <w:b/>
      <w:bCs/>
    </w:rPr>
  </w:style>
  <w:style w:type="character" w:customStyle="1" w:styleId="CommentSubjectChar">
    <w:name w:val="Comment Subject Char"/>
    <w:basedOn w:val="CommentTextChar"/>
    <w:link w:val="CommentSubject"/>
    <w:semiHidden/>
    <w:rsid w:val="008E0FB4"/>
    <w:rPr>
      <w:rFonts w:ascii="Calibri" w:hAnsi="Calibri" w:cs="Arial"/>
      <w:b/>
      <w:bCs/>
    </w:rPr>
  </w:style>
  <w:style w:type="paragraph" w:styleId="ListParagraph">
    <w:name w:val="List Paragraph"/>
    <w:aliases w:val="Numbered para,BulletPoints,Footnote,Bullet point,List Paragraph1,List Paragraph11,Recommendation,ES Paragraph,PBAC ES Paragraph,PBAC normal points,Bullet List,Figure_name,Numbered Indented Text,Bullet- First level,List NUmber,Table Legend"/>
    <w:basedOn w:val="Normal"/>
    <w:link w:val="ListParagraphChar"/>
    <w:uiPriority w:val="34"/>
    <w:qFormat/>
    <w:rsid w:val="00EA12CE"/>
    <w:pPr>
      <w:ind w:left="720"/>
      <w:contextualSpacing/>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Figure_name Char"/>
    <w:basedOn w:val="DefaultParagraphFont"/>
    <w:link w:val="ListParagraph"/>
    <w:uiPriority w:val="34"/>
    <w:qFormat/>
    <w:locked/>
    <w:rsid w:val="00EA12CE"/>
    <w:rPr>
      <w:rFonts w:ascii="Calibri" w:hAnsi="Calibri" w:cs="Arial"/>
      <w:sz w:val="24"/>
      <w:szCs w:val="24"/>
    </w:rPr>
  </w:style>
  <w:style w:type="paragraph" w:customStyle="1" w:styleId="COMH1numbered">
    <w:name w:val="COM H1 numbered"/>
    <w:next w:val="Normal"/>
    <w:qFormat/>
    <w:rsid w:val="0095342D"/>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95342D"/>
    <w:pPr>
      <w:spacing w:after="120"/>
      <w:ind w:hanging="720"/>
      <w:contextualSpacing w:val="0"/>
    </w:pPr>
    <w:rPr>
      <w:rFonts w:asciiTheme="minorHAnsi" w:hAnsiTheme="minorHAnsi"/>
      <w:snapToGrid w:val="0"/>
    </w:rPr>
  </w:style>
  <w:style w:type="character" w:customStyle="1" w:styleId="COMexecsumnumberedparaChar">
    <w:name w:val="COM exec sum numbered para Char"/>
    <w:basedOn w:val="ListParagraphChar"/>
    <w:link w:val="COMexecsumnumberedpara"/>
    <w:rsid w:val="0095342D"/>
    <w:rPr>
      <w:rFonts w:asciiTheme="minorHAnsi" w:hAnsiTheme="minorHAnsi" w:cs="Arial"/>
      <w:snapToGrid w:val="0"/>
      <w:sz w:val="24"/>
      <w:szCs w:val="24"/>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12,legend"/>
    <w:basedOn w:val="COMtablefigcaption"/>
    <w:next w:val="Normal"/>
    <w:link w:val="CaptionChar"/>
    <w:uiPriority w:val="99"/>
    <w:unhideWhenUsed/>
    <w:qFormat/>
    <w:rsid w:val="00C43C21"/>
  </w:style>
  <w:style w:type="paragraph" w:customStyle="1" w:styleId="Tableheadingrow">
    <w:name w:val="Table heading row"/>
    <w:qFormat/>
    <w:rsid w:val="009E4AB1"/>
    <w:pPr>
      <w:keepNext/>
    </w:pPr>
    <w:rPr>
      <w:rFonts w:ascii="Arial Narrow" w:eastAsiaTheme="majorEastAsia" w:hAnsi="Arial Narrow"/>
      <w:b/>
      <w:szCs w:val="24"/>
      <w:lang w:val="en-US"/>
    </w:rPr>
  </w:style>
  <w:style w:type="paragraph" w:styleId="Footer">
    <w:name w:val="footer"/>
    <w:basedOn w:val="Normal"/>
    <w:link w:val="FooterChar"/>
    <w:uiPriority w:val="99"/>
    <w:unhideWhenUsed/>
    <w:rsid w:val="00BD6113"/>
    <w:pPr>
      <w:tabs>
        <w:tab w:val="center" w:pos="4513"/>
        <w:tab w:val="right" w:pos="9026"/>
      </w:tabs>
    </w:pPr>
  </w:style>
  <w:style w:type="character" w:customStyle="1" w:styleId="FooterChar">
    <w:name w:val="Footer Char"/>
    <w:basedOn w:val="DefaultParagraphFont"/>
    <w:link w:val="Footer"/>
    <w:uiPriority w:val="99"/>
    <w:rsid w:val="00BD6113"/>
    <w:rPr>
      <w:rFonts w:ascii="Calibri" w:hAnsi="Calibri" w:cs="Arial"/>
      <w:sz w:val="24"/>
      <w:szCs w:val="24"/>
    </w:rPr>
  </w:style>
  <w:style w:type="paragraph" w:customStyle="1" w:styleId="Footenote">
    <w:name w:val="Footenote"/>
    <w:basedOn w:val="Normal"/>
    <w:link w:val="FootenoteChar"/>
    <w:rsid w:val="00EB3BA3"/>
    <w:pPr>
      <w:spacing w:after="240"/>
      <w:contextualSpacing/>
      <w:jc w:val="left"/>
    </w:pPr>
    <w:rPr>
      <w:rFonts w:asciiTheme="minorHAnsi" w:hAnsiTheme="minorHAnsi" w:cs="Times New Roman"/>
      <w:sz w:val="18"/>
      <w:szCs w:val="22"/>
      <w:lang w:eastAsia="en-GB"/>
    </w:rPr>
  </w:style>
  <w:style w:type="character" w:customStyle="1" w:styleId="FootenoteChar">
    <w:name w:val="Footenote Char"/>
    <w:basedOn w:val="DefaultParagraphFont"/>
    <w:link w:val="Footenote"/>
    <w:rsid w:val="00EB3BA3"/>
    <w:rPr>
      <w:rFonts w:asciiTheme="minorHAnsi" w:hAnsiTheme="minorHAnsi"/>
      <w:sz w:val="18"/>
      <w:szCs w:val="22"/>
      <w:lang w:eastAsia="en-GB"/>
    </w:rPr>
  </w:style>
  <w:style w:type="table" w:customStyle="1" w:styleId="Summarybox1">
    <w:name w:val="Summary box1"/>
    <w:basedOn w:val="TableNormal"/>
    <w:next w:val="TableGrid"/>
    <w:rsid w:val="00EB3BA3"/>
    <w:pPr>
      <w:jc w:val="both"/>
    </w:pPr>
    <w:rPr>
      <w:rFonts w:ascii="Calibri" w:eastAsia="MS Mincho" w:hAnsi="Calibri"/>
    </w:rPr>
    <w:tblPr/>
  </w:style>
  <w:style w:type="paragraph" w:customStyle="1" w:styleId="Commentitalics">
    <w:name w:val="Comment (italics)"/>
    <w:basedOn w:val="Normal"/>
    <w:next w:val="Normal"/>
    <w:rsid w:val="00EB3BA3"/>
    <w:rPr>
      <w:i/>
    </w:rPr>
  </w:style>
  <w:style w:type="paragraph" w:customStyle="1" w:styleId="TableFigureCaption">
    <w:name w:val="Table/Figure Caption"/>
    <w:next w:val="Tableheadingrow"/>
    <w:link w:val="TableFigureCaptionChar"/>
    <w:rsid w:val="00EB3BA3"/>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EB3BA3"/>
    <w:rPr>
      <w:rFonts w:ascii="Arial Narrow" w:eastAsiaTheme="majorEastAsia" w:hAnsi="Arial Narrow" w:cstheme="majorBidi"/>
      <w:b/>
      <w:bCs/>
      <w:szCs w:val="24"/>
    </w:rPr>
  </w:style>
  <w:style w:type="paragraph" w:customStyle="1" w:styleId="TableFigureFooter">
    <w:name w:val="Table/Figure Footer"/>
    <w:basedOn w:val="Normal"/>
    <w:link w:val="TableFigureFooterChar"/>
    <w:rsid w:val="00EB3BA3"/>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B3BA3"/>
    <w:rPr>
      <w:rFonts w:ascii="Arial Narrow" w:hAnsi="Arial Narrow" w:cs="Arial"/>
      <w:snapToGrid w:val="0"/>
      <w:sz w:val="18"/>
      <w:szCs w:val="22"/>
    </w:rPr>
  </w:style>
  <w:style w:type="paragraph" w:customStyle="1" w:styleId="TableHeading">
    <w:name w:val="Table Heading"/>
    <w:basedOn w:val="Normal"/>
    <w:link w:val="TableHeadingChar"/>
    <w:rsid w:val="00EB3BA3"/>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EB3BA3"/>
    <w:rPr>
      <w:rFonts w:ascii="Arial Narrow" w:eastAsiaTheme="minorHAnsi" w:hAnsi="Arial Narrow" w:cstheme="minorBidi"/>
      <w:b/>
      <w:szCs w:val="22"/>
      <w:lang w:eastAsia="en-US"/>
    </w:rPr>
  </w:style>
  <w:style w:type="paragraph" w:styleId="BodyText">
    <w:name w:val="Body Text"/>
    <w:basedOn w:val="Normal"/>
    <w:link w:val="BodyTextChar"/>
    <w:uiPriority w:val="99"/>
    <w:rsid w:val="00EB3BA3"/>
    <w:pPr>
      <w:spacing w:before="120" w:after="120" w:line="360" w:lineRule="auto"/>
    </w:pPr>
    <w:rPr>
      <w:rFonts w:asciiTheme="minorHAnsi" w:hAnsiTheme="minorHAnsi" w:cs="Times New Roman"/>
      <w:sz w:val="22"/>
    </w:rPr>
  </w:style>
  <w:style w:type="character" w:customStyle="1" w:styleId="BodyTextChar">
    <w:name w:val="Body Text Char"/>
    <w:basedOn w:val="DefaultParagraphFont"/>
    <w:link w:val="BodyText"/>
    <w:uiPriority w:val="99"/>
    <w:rsid w:val="00EB3BA3"/>
    <w:rPr>
      <w:rFonts w:asciiTheme="minorHAnsi" w:hAnsiTheme="minorHAnsi"/>
      <w:sz w:val="22"/>
      <w:szCs w:val="24"/>
    </w:rPr>
  </w:style>
  <w:style w:type="paragraph" w:customStyle="1" w:styleId="Default">
    <w:name w:val="Default"/>
    <w:rsid w:val="00EB3BA3"/>
    <w:pPr>
      <w:autoSpaceDE w:val="0"/>
      <w:autoSpaceDN w:val="0"/>
      <w:adjustRightInd w:val="0"/>
    </w:pPr>
    <w:rPr>
      <w:rFonts w:ascii="Calibri" w:hAnsi="Calibri" w:cs="Calibri"/>
      <w:color w:val="000000"/>
      <w:sz w:val="24"/>
      <w:szCs w:val="24"/>
    </w:rPr>
  </w:style>
  <w:style w:type="paragraph" w:styleId="ListBullet">
    <w:name w:val="List Bullet"/>
    <w:aliases w:val="zz List Bullet"/>
    <w:basedOn w:val="Normal"/>
    <w:link w:val="ListBulletChar"/>
    <w:unhideWhenUsed/>
    <w:rsid w:val="00EB3BA3"/>
    <w:pPr>
      <w:tabs>
        <w:tab w:val="num" w:pos="360"/>
      </w:tabs>
      <w:ind w:left="360" w:hanging="360"/>
      <w:contextualSpacing/>
    </w:pPr>
    <w:rPr>
      <w:rFonts w:eastAsia="SimSun"/>
    </w:rPr>
  </w:style>
  <w:style w:type="table" w:customStyle="1" w:styleId="MSDTableGrid1">
    <w:name w:val="MSD Table Grid1"/>
    <w:basedOn w:val="TableNormal"/>
    <w:next w:val="TableGrid"/>
    <w:uiPriority w:val="59"/>
    <w:rsid w:val="007F3B10"/>
    <w:pPr>
      <w:keepNext/>
      <w:jc w:val="center"/>
    </w:pPr>
    <w:rPr>
      <w:rFonts w:ascii="Arial" w:hAnsi="Arial"/>
    </w:rPr>
    <w:tblPr/>
  </w:style>
  <w:style w:type="table" w:customStyle="1" w:styleId="MSDTableGrid2">
    <w:name w:val="MSD Table Grid2"/>
    <w:basedOn w:val="TableNormal"/>
    <w:next w:val="TableGrid"/>
    <w:uiPriority w:val="59"/>
    <w:rsid w:val="007F3B10"/>
    <w:pPr>
      <w:keepNext/>
      <w:jc w:val="center"/>
    </w:pPr>
    <w:rPr>
      <w:rFonts w:ascii="Arial" w:hAnsi="Arial"/>
    </w:rPr>
    <w:tblPr/>
  </w:style>
  <w:style w:type="table" w:customStyle="1" w:styleId="MSDTableGrid3">
    <w:name w:val="MSD Table Grid3"/>
    <w:basedOn w:val="TableNormal"/>
    <w:next w:val="TableGrid"/>
    <w:uiPriority w:val="59"/>
    <w:rsid w:val="007F3B10"/>
    <w:pPr>
      <w:keepNext/>
      <w:jc w:val="center"/>
    </w:pPr>
    <w:rPr>
      <w:rFonts w:ascii="Arial" w:hAnsi="Arial"/>
    </w:rPr>
    <w:tblPr/>
  </w:style>
  <w:style w:type="table" w:customStyle="1" w:styleId="MSDTableGrid4">
    <w:name w:val="MSD Table Grid4"/>
    <w:basedOn w:val="TableNormal"/>
    <w:next w:val="TableGrid"/>
    <w:uiPriority w:val="59"/>
    <w:rsid w:val="007F3B10"/>
    <w:pPr>
      <w:keepNext/>
      <w:jc w:val="center"/>
    </w:pPr>
    <w:rPr>
      <w:rFonts w:ascii="Arial" w:hAnsi="Arial"/>
    </w:rPr>
    <w:tblPr/>
  </w:style>
  <w:style w:type="table" w:customStyle="1" w:styleId="MSDTableGrid5">
    <w:name w:val="MSD Table Grid5"/>
    <w:basedOn w:val="TableNormal"/>
    <w:next w:val="TableGrid"/>
    <w:uiPriority w:val="59"/>
    <w:rsid w:val="007F3B10"/>
    <w:pPr>
      <w:keepNext/>
      <w:jc w:val="center"/>
    </w:pPr>
    <w:rPr>
      <w:rFonts w:ascii="Arial" w:hAnsi="Arial"/>
    </w:rPr>
    <w:tblPr/>
  </w:style>
  <w:style w:type="table" w:customStyle="1" w:styleId="MSDTableGrid6">
    <w:name w:val="MSD Table Grid6"/>
    <w:basedOn w:val="TableNormal"/>
    <w:next w:val="TableGrid"/>
    <w:uiPriority w:val="59"/>
    <w:rsid w:val="007F3B10"/>
    <w:pPr>
      <w:keepNext/>
      <w:jc w:val="center"/>
    </w:pPr>
    <w:rPr>
      <w:rFonts w:ascii="Arial" w:hAnsi="Arial"/>
    </w:rPr>
    <w:tblPr/>
  </w:style>
  <w:style w:type="character" w:customStyle="1" w:styleId="COMH2-numberedChar">
    <w:name w:val="COM H2 - numbered Char"/>
    <w:basedOn w:val="Heading2Char"/>
    <w:link w:val="COMH2-numbered"/>
    <w:rsid w:val="007F3B10"/>
    <w:rPr>
      <w:rFonts w:ascii="Calibri" w:hAnsi="Calibri" w:cs="Arial"/>
      <w:b/>
      <w:i/>
      <w:sz w:val="28"/>
      <w:szCs w:val="24"/>
    </w:rPr>
  </w:style>
  <w:style w:type="numbering" w:customStyle="1" w:styleId="Style1">
    <w:name w:val="Style1"/>
    <w:uiPriority w:val="99"/>
    <w:rsid w:val="00770727"/>
    <w:pPr>
      <w:numPr>
        <w:numId w:val="5"/>
      </w:numPr>
    </w:pPr>
  </w:style>
  <w:style w:type="numbering" w:customStyle="1" w:styleId="Style11">
    <w:name w:val="Style11"/>
    <w:uiPriority w:val="99"/>
    <w:rsid w:val="00770727"/>
  </w:style>
  <w:style w:type="numbering" w:customStyle="1" w:styleId="Style12">
    <w:name w:val="Style12"/>
    <w:uiPriority w:val="99"/>
    <w:rsid w:val="00770727"/>
  </w:style>
  <w:style w:type="numbering" w:customStyle="1" w:styleId="Style13">
    <w:name w:val="Style13"/>
    <w:uiPriority w:val="99"/>
    <w:rsid w:val="00770727"/>
  </w:style>
  <w:style w:type="numbering" w:customStyle="1" w:styleId="Style14">
    <w:name w:val="Style14"/>
    <w:uiPriority w:val="99"/>
    <w:rsid w:val="00770727"/>
  </w:style>
  <w:style w:type="paragraph" w:customStyle="1" w:styleId="Tabletext0">
    <w:name w:val="Table text"/>
    <w:basedOn w:val="Normal"/>
    <w:link w:val="TabletextChar0"/>
    <w:uiPriority w:val="2"/>
    <w:qFormat/>
    <w:rsid w:val="00770727"/>
    <w:pPr>
      <w:jc w:val="left"/>
    </w:pPr>
    <w:rPr>
      <w:rFonts w:ascii="Arial Narrow" w:hAnsi="Arial Narrow" w:cs="Times New Roman"/>
      <w:sz w:val="20"/>
      <w:szCs w:val="22"/>
      <w:lang w:eastAsia="en-US"/>
    </w:rPr>
  </w:style>
  <w:style w:type="character" w:customStyle="1" w:styleId="TabletextChar0">
    <w:name w:val="Table text Char"/>
    <w:link w:val="Tabletext0"/>
    <w:uiPriority w:val="2"/>
    <w:rsid w:val="00770727"/>
    <w:rPr>
      <w:rFonts w:ascii="Arial Narrow" w:hAnsi="Arial Narrow"/>
      <w:szCs w:val="22"/>
      <w:lang w:eastAsia="en-US"/>
    </w:rPr>
  </w:style>
  <w:style w:type="table" w:customStyle="1" w:styleId="IQVIAManual">
    <w:name w:val="IQVIA Manual"/>
    <w:basedOn w:val="TableNormal"/>
    <w:uiPriority w:val="99"/>
    <w:rsid w:val="0017694F"/>
    <w:pPr>
      <w:spacing w:before="60" w:after="60"/>
    </w:pPr>
    <w:rPr>
      <w:rFonts w:ascii="Arial" w:eastAsiaTheme="minorHAnsi" w:hAnsi="Arial" w:cs="Arial"/>
      <w:color w:val="2B3A42"/>
      <w:szCs w:val="22"/>
      <w:lang w:val="en-US" w:eastAsia="en-US"/>
    </w:rPr>
    <w:tblPr/>
    <w:tblStylePr w:type="firstRow">
      <w:pPr>
        <w:wordWrap/>
        <w:spacing w:beforeLines="0" w:before="60" w:beforeAutospacing="0" w:afterLines="0" w:after="60" w:afterAutospacing="0" w:line="240" w:lineRule="auto"/>
        <w:contextualSpacing w:val="0"/>
        <w:jc w:val="center"/>
      </w:pPr>
      <w:rPr>
        <w:rFonts w:asciiTheme="minorHAnsi" w:hAnsiTheme="minorHAnsi"/>
        <w:b/>
        <w:color w:val="FFFFFF" w:themeColor="background1"/>
        <w:sz w:val="22"/>
      </w:rPr>
    </w:tblStylePr>
  </w:style>
  <w:style w:type="table" w:customStyle="1" w:styleId="Summarybox74">
    <w:name w:val="Summary box74"/>
    <w:basedOn w:val="TableNormal"/>
    <w:next w:val="TableGrid"/>
    <w:uiPriority w:val="59"/>
    <w:rsid w:val="0017694F"/>
    <w:rPr>
      <w:rFonts w:asciiTheme="minorHAnsi" w:eastAsiaTheme="minorHAnsi" w:hAnsiTheme="minorHAnsi" w:cstheme="minorBidi"/>
      <w:sz w:val="22"/>
      <w:szCs w:val="22"/>
      <w:lang w:eastAsia="en-US"/>
    </w:rPr>
    <w:tblPr/>
  </w:style>
  <w:style w:type="character" w:customStyle="1" w:styleId="ListBulletChar">
    <w:name w:val="List Bullet Char"/>
    <w:aliases w:val="zz List Bullet Char"/>
    <w:basedOn w:val="DefaultParagraphFont"/>
    <w:link w:val="ListBullet"/>
    <w:rsid w:val="004A7296"/>
    <w:rPr>
      <w:rFonts w:ascii="Calibri" w:eastAsia="SimSun" w:hAnsi="Calibri" w:cs="Arial"/>
      <w:sz w:val="24"/>
      <w:szCs w:val="24"/>
    </w:rPr>
  </w:style>
  <w:style w:type="character" w:styleId="UnresolvedMention">
    <w:name w:val="Unresolved Mention"/>
    <w:basedOn w:val="DefaultParagraphFont"/>
    <w:uiPriority w:val="99"/>
    <w:unhideWhenUsed/>
    <w:rsid w:val="00A55A75"/>
    <w:rPr>
      <w:color w:val="605E5C"/>
      <w:shd w:val="clear" w:color="auto" w:fill="E1DFDD"/>
    </w:rPr>
  </w:style>
  <w:style w:type="character" w:styleId="Mention">
    <w:name w:val="Mention"/>
    <w:basedOn w:val="DefaultParagraphFont"/>
    <w:uiPriority w:val="99"/>
    <w:unhideWhenUsed/>
    <w:rsid w:val="00B83F17"/>
    <w:rPr>
      <w:color w:val="2B579A"/>
      <w:shd w:val="clear" w:color="auto" w:fill="E1DFDD"/>
    </w:rPr>
  </w:style>
  <w:style w:type="paragraph" w:customStyle="1" w:styleId="TableFooter">
    <w:name w:val="Table Footer"/>
    <w:basedOn w:val="Normal"/>
    <w:link w:val="TableFooterChar"/>
    <w:qFormat/>
    <w:rsid w:val="00B00A60"/>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B00A60"/>
    <w:rPr>
      <w:rFonts w:ascii="Arial Narrow" w:hAnsi="Arial Narrow" w:cs="Arial"/>
      <w:snapToGrid w:val="0"/>
      <w:sz w:val="18"/>
      <w:szCs w:val="22"/>
      <w:lang w:eastAsia="en-US"/>
    </w:rPr>
  </w:style>
  <w:style w:type="paragraph" w:customStyle="1" w:styleId="PBACHeading1">
    <w:name w:val="PBAC Heading 1"/>
    <w:qFormat/>
    <w:rsid w:val="00AA3CC6"/>
    <w:pPr>
      <w:ind w:left="720" w:hanging="720"/>
      <w:outlineLvl w:val="0"/>
    </w:pPr>
    <w:rPr>
      <w:rFonts w:ascii="Calibri" w:hAnsi="Calibri" w:cs="Calibri"/>
      <w:b/>
      <w:snapToGrid w:val="0"/>
      <w:sz w:val="32"/>
      <w:szCs w:val="32"/>
      <w:lang w:eastAsia="en-US"/>
    </w:rPr>
  </w:style>
  <w:style w:type="paragraph" w:styleId="NormalWeb">
    <w:name w:val="Normal (Web)"/>
    <w:basedOn w:val="Normal"/>
    <w:uiPriority w:val="99"/>
    <w:semiHidden/>
    <w:unhideWhenUsed/>
    <w:rsid w:val="00731580"/>
    <w:rPr>
      <w:rFonts w:ascii="Times New Roman" w:hAnsi="Times New Roman" w:cs="Times New Roman"/>
    </w:rPr>
  </w:style>
  <w:style w:type="paragraph" w:styleId="FootnoteText">
    <w:name w:val="footnote text"/>
    <w:basedOn w:val="Normal"/>
    <w:link w:val="FootnoteTextChar"/>
    <w:semiHidden/>
    <w:unhideWhenUsed/>
    <w:rsid w:val="00F337FE"/>
    <w:rPr>
      <w:sz w:val="20"/>
      <w:szCs w:val="20"/>
    </w:rPr>
  </w:style>
  <w:style w:type="character" w:customStyle="1" w:styleId="FootnoteTextChar">
    <w:name w:val="Footnote Text Char"/>
    <w:basedOn w:val="DefaultParagraphFont"/>
    <w:link w:val="FootnoteText"/>
    <w:semiHidden/>
    <w:rsid w:val="00F337FE"/>
    <w:rPr>
      <w:rFonts w:ascii="Calibri" w:hAnsi="Calibri" w:cs="Arial"/>
    </w:rPr>
  </w:style>
  <w:style w:type="character" w:styleId="FootnoteReference">
    <w:name w:val="footnote reference"/>
    <w:basedOn w:val="DefaultParagraphFont"/>
    <w:semiHidden/>
    <w:unhideWhenUsed/>
    <w:rsid w:val="00F337FE"/>
    <w:rPr>
      <w:vertAlign w:val="superscript"/>
    </w:rPr>
  </w:style>
  <w:style w:type="paragraph" w:customStyle="1" w:styleId="pf0">
    <w:name w:val="pf0"/>
    <w:basedOn w:val="Normal"/>
    <w:rsid w:val="00D20858"/>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D20858"/>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203564"/>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203564"/>
    <w:rPr>
      <w:rFonts w:asciiTheme="minorHAnsi" w:eastAsiaTheme="majorEastAsia" w:hAnsiTheme="minorHAnsi" w:cstheme="majorBidi"/>
      <w:b/>
      <w:i/>
      <w:spacing w:val="5"/>
      <w:kern w:val="28"/>
      <w:sz w:val="28"/>
      <w:szCs w:val="36"/>
      <w:lang w:eastAsia="en-US"/>
    </w:rPr>
  </w:style>
  <w:style w:type="paragraph" w:customStyle="1" w:styleId="2-SectionHeading">
    <w:name w:val="2-Section Heading"/>
    <w:qFormat/>
    <w:rsid w:val="00E32B75"/>
    <w:pPr>
      <w:keepNext/>
      <w:spacing w:before="240" w:after="120"/>
      <w:outlineLvl w:val="1"/>
    </w:pPr>
    <w:rPr>
      <w:rFonts w:asciiTheme="minorHAnsi" w:hAnsiTheme="minorHAnsi" w:cs="Arial"/>
      <w:b/>
      <w:snapToGrid w:val="0"/>
      <w:sz w:val="32"/>
      <w:szCs w:val="32"/>
    </w:rPr>
  </w:style>
  <w:style w:type="paragraph" w:styleId="NoSpacing">
    <w:name w:val="No Spacing"/>
    <w:link w:val="NoSpacingChar"/>
    <w:uiPriority w:val="1"/>
    <w:qFormat/>
    <w:rsid w:val="00D76617"/>
    <w:rPr>
      <w:sz w:val="24"/>
      <w:szCs w:val="24"/>
      <w:lang w:eastAsia="en-US"/>
    </w:rPr>
  </w:style>
  <w:style w:type="paragraph" w:customStyle="1" w:styleId="3-BodyText">
    <w:name w:val="3-Body Text"/>
    <w:basedOn w:val="ListParagraph"/>
    <w:link w:val="3-BodyTextChar"/>
    <w:qFormat/>
    <w:rsid w:val="009238F9"/>
    <w:pPr>
      <w:spacing w:before="60" w:after="120"/>
      <w:ind w:hanging="720"/>
      <w:contextualSpacing w:val="0"/>
    </w:pPr>
    <w:rPr>
      <w:rFonts w:asciiTheme="minorHAnsi" w:hAnsiTheme="minorHAnsi"/>
      <w:snapToGrid w:val="0"/>
    </w:rPr>
  </w:style>
  <w:style w:type="paragraph" w:customStyle="1" w:styleId="4-SubsectionHeading">
    <w:name w:val="4-Subsection Heading"/>
    <w:basedOn w:val="Heading2"/>
    <w:next w:val="3-BodyText"/>
    <w:link w:val="4-SubsectionHeadingChar"/>
    <w:qFormat/>
    <w:rsid w:val="00ED38BF"/>
    <w:pPr>
      <w:spacing w:before="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DefaultParagraphFont"/>
    <w:link w:val="4-SubsectionHeading"/>
    <w:rsid w:val="00ED38BF"/>
    <w:rPr>
      <w:rFonts w:asciiTheme="minorHAnsi" w:eastAsiaTheme="majorEastAsia" w:hAnsiTheme="minorHAnsi" w:cstheme="majorBidi"/>
      <w:b/>
      <w:i/>
      <w:spacing w:val="5"/>
      <w:kern w:val="28"/>
      <w:sz w:val="28"/>
      <w:szCs w:val="36"/>
    </w:rPr>
  </w:style>
  <w:style w:type="character" w:customStyle="1" w:styleId="apple-converted-space">
    <w:name w:val="apple-converted-space"/>
    <w:basedOn w:val="DefaultParagraphFont"/>
    <w:rsid w:val="00A810AC"/>
  </w:style>
  <w:style w:type="paragraph" w:customStyle="1" w:styleId="1-MainHeading">
    <w:name w:val="1-Main Heading"/>
    <w:link w:val="1-MainHeadingChar"/>
    <w:qFormat/>
    <w:rsid w:val="00667B3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67B36"/>
    <w:rPr>
      <w:rFonts w:asciiTheme="minorHAnsi" w:eastAsiaTheme="majorEastAsia" w:hAnsiTheme="minorHAnsi" w:cstheme="majorBidi"/>
      <w:b/>
      <w:spacing w:val="5"/>
      <w:kern w:val="28"/>
      <w:sz w:val="36"/>
      <w:szCs w:val="36"/>
    </w:rPr>
  </w:style>
  <w:style w:type="paragraph" w:customStyle="1" w:styleId="Sources">
    <w:name w:val="Sources"/>
    <w:basedOn w:val="Normal"/>
    <w:link w:val="SourcesChar"/>
    <w:qFormat/>
    <w:rsid w:val="004F2959"/>
    <w:pPr>
      <w:spacing w:before="120" w:after="120"/>
    </w:pPr>
    <w:rPr>
      <w:rFonts w:ascii="Arial" w:eastAsiaTheme="minorHAnsi" w:hAnsi="Arial" w:cstheme="minorBidi"/>
      <w:sz w:val="16"/>
      <w:szCs w:val="22"/>
      <w:lang w:eastAsia="en-US"/>
    </w:rPr>
  </w:style>
  <w:style w:type="table" w:customStyle="1" w:styleId="AZTable">
    <w:name w:val="AZ Table"/>
    <w:basedOn w:val="TableNormal"/>
    <w:uiPriority w:val="99"/>
    <w:rsid w:val="004F29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SourcesChar">
    <w:name w:val="Sources Char"/>
    <w:basedOn w:val="DefaultParagraphFont"/>
    <w:link w:val="Sources"/>
    <w:rsid w:val="004F2959"/>
    <w:rPr>
      <w:rFonts w:ascii="Arial" w:eastAsiaTheme="minorHAnsi" w:hAnsi="Arial" w:cstheme="minorBidi"/>
      <w:sz w:val="16"/>
      <w:szCs w:val="22"/>
      <w:lang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12 Char"/>
    <w:link w:val="Caption"/>
    <w:uiPriority w:val="99"/>
    <w:locked/>
    <w:rsid w:val="004F2959"/>
    <w:rPr>
      <w:rFonts w:ascii="Arial Narrow" w:eastAsiaTheme="majorEastAsia" w:hAnsi="Arial Narrow" w:cstheme="majorBidi"/>
      <w:b/>
      <w:bCs/>
      <w:szCs w:val="24"/>
    </w:rPr>
  </w:style>
  <w:style w:type="character" w:customStyle="1" w:styleId="NoSpacingChar">
    <w:name w:val="No Spacing Char"/>
    <w:basedOn w:val="DefaultParagraphFont"/>
    <w:link w:val="NoSpacing"/>
    <w:uiPriority w:val="1"/>
    <w:rsid w:val="00130B3D"/>
    <w:rPr>
      <w:sz w:val="24"/>
      <w:szCs w:val="24"/>
      <w:lang w:eastAsia="en-US"/>
    </w:rPr>
  </w:style>
  <w:style w:type="paragraph" w:customStyle="1" w:styleId="TableBullet">
    <w:name w:val="Table Bullet"/>
    <w:basedOn w:val="TableText"/>
    <w:qFormat/>
    <w:rsid w:val="001E766C"/>
    <w:pPr>
      <w:keepNext w:val="0"/>
      <w:keepLines w:val="0"/>
      <w:framePr w:wrap="around" w:hAnchor="text"/>
      <w:widowControl/>
      <w:numPr>
        <w:numId w:val="8"/>
      </w:numPr>
      <w:tabs>
        <w:tab w:val="num" w:pos="360"/>
      </w:tabs>
      <w:spacing w:before="20" w:after="20" w:line="276" w:lineRule="auto"/>
      <w:ind w:left="284" w:hanging="284"/>
    </w:pPr>
    <w:rPr>
      <w:rFonts w:cs="Arial"/>
      <w:bCs w:val="0"/>
      <w:szCs w:val="20"/>
      <w:lang w:bidi="en-US"/>
    </w:rPr>
  </w:style>
  <w:style w:type="character" w:customStyle="1" w:styleId="3-BodyTextChar">
    <w:name w:val="3-Body Text Char"/>
    <w:basedOn w:val="DefaultParagraphFont"/>
    <w:link w:val="3-BodyText"/>
    <w:uiPriority w:val="99"/>
    <w:rsid w:val="00DE6DD6"/>
    <w:rPr>
      <w:rFonts w:asciiTheme="minorHAnsi" w:hAnsiTheme="minorHAnsi" w:cs="Arial"/>
      <w:snapToGrid w:val="0"/>
      <w:sz w:val="24"/>
      <w:szCs w:val="24"/>
    </w:rPr>
  </w:style>
  <w:style w:type="paragraph" w:customStyle="1" w:styleId="TableFigureHeading">
    <w:name w:val="Table/Figure Heading"/>
    <w:link w:val="TableFigureHeadingChar"/>
    <w:qFormat/>
    <w:rsid w:val="002E5401"/>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2E5401"/>
    <w:rPr>
      <w:rFonts w:ascii="Arial Narrow" w:eastAsiaTheme="majorEastAsia" w:hAnsi="Arial Narrow"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862">
      <w:bodyDiv w:val="1"/>
      <w:marLeft w:val="0"/>
      <w:marRight w:val="0"/>
      <w:marTop w:val="0"/>
      <w:marBottom w:val="0"/>
      <w:divBdr>
        <w:top w:val="none" w:sz="0" w:space="0" w:color="auto"/>
        <w:left w:val="none" w:sz="0" w:space="0" w:color="auto"/>
        <w:bottom w:val="none" w:sz="0" w:space="0" w:color="auto"/>
        <w:right w:val="none" w:sz="0" w:space="0" w:color="auto"/>
      </w:divBdr>
      <w:divsChild>
        <w:div w:id="967932860">
          <w:marLeft w:val="1080"/>
          <w:marRight w:val="0"/>
          <w:marTop w:val="60"/>
          <w:marBottom w:val="60"/>
          <w:divBdr>
            <w:top w:val="none" w:sz="0" w:space="0" w:color="auto"/>
            <w:left w:val="none" w:sz="0" w:space="0" w:color="auto"/>
            <w:bottom w:val="none" w:sz="0" w:space="0" w:color="auto"/>
            <w:right w:val="none" w:sz="0" w:space="0" w:color="auto"/>
          </w:divBdr>
        </w:div>
        <w:div w:id="1128936525">
          <w:marLeft w:val="1080"/>
          <w:marRight w:val="0"/>
          <w:marTop w:val="60"/>
          <w:marBottom w:val="60"/>
          <w:divBdr>
            <w:top w:val="none" w:sz="0" w:space="0" w:color="auto"/>
            <w:left w:val="none" w:sz="0" w:space="0" w:color="auto"/>
            <w:bottom w:val="none" w:sz="0" w:space="0" w:color="auto"/>
            <w:right w:val="none" w:sz="0" w:space="0" w:color="auto"/>
          </w:divBdr>
        </w:div>
        <w:div w:id="1904288421">
          <w:marLeft w:val="1080"/>
          <w:marRight w:val="0"/>
          <w:marTop w:val="60"/>
          <w:marBottom w:val="60"/>
          <w:divBdr>
            <w:top w:val="none" w:sz="0" w:space="0" w:color="auto"/>
            <w:left w:val="none" w:sz="0" w:space="0" w:color="auto"/>
            <w:bottom w:val="none" w:sz="0" w:space="0" w:color="auto"/>
            <w:right w:val="none" w:sz="0" w:space="0" w:color="auto"/>
          </w:divBdr>
        </w:div>
        <w:div w:id="2087532355">
          <w:marLeft w:val="360"/>
          <w:marRight w:val="0"/>
          <w:marTop w:val="200"/>
          <w:marBottom w:val="0"/>
          <w:divBdr>
            <w:top w:val="none" w:sz="0" w:space="0" w:color="auto"/>
            <w:left w:val="none" w:sz="0" w:space="0" w:color="auto"/>
            <w:bottom w:val="none" w:sz="0" w:space="0" w:color="auto"/>
            <w:right w:val="none" w:sz="0" w:space="0" w:color="auto"/>
          </w:divBdr>
        </w:div>
      </w:divsChild>
    </w:div>
    <w:div w:id="37321955">
      <w:bodyDiv w:val="1"/>
      <w:marLeft w:val="0"/>
      <w:marRight w:val="0"/>
      <w:marTop w:val="0"/>
      <w:marBottom w:val="0"/>
      <w:divBdr>
        <w:top w:val="none" w:sz="0" w:space="0" w:color="auto"/>
        <w:left w:val="none" w:sz="0" w:space="0" w:color="auto"/>
        <w:bottom w:val="none" w:sz="0" w:space="0" w:color="auto"/>
        <w:right w:val="none" w:sz="0" w:space="0" w:color="auto"/>
      </w:divBdr>
      <w:divsChild>
        <w:div w:id="554506678">
          <w:marLeft w:val="0"/>
          <w:marRight w:val="0"/>
          <w:marTop w:val="0"/>
          <w:marBottom w:val="0"/>
          <w:divBdr>
            <w:top w:val="none" w:sz="0" w:space="0" w:color="auto"/>
            <w:left w:val="none" w:sz="0" w:space="0" w:color="auto"/>
            <w:bottom w:val="none" w:sz="0" w:space="0" w:color="auto"/>
            <w:right w:val="none" w:sz="0" w:space="0" w:color="auto"/>
          </w:divBdr>
        </w:div>
        <w:div w:id="610670397">
          <w:marLeft w:val="0"/>
          <w:marRight w:val="0"/>
          <w:marTop w:val="0"/>
          <w:marBottom w:val="0"/>
          <w:divBdr>
            <w:top w:val="none" w:sz="0" w:space="0" w:color="auto"/>
            <w:left w:val="none" w:sz="0" w:space="0" w:color="auto"/>
            <w:bottom w:val="none" w:sz="0" w:space="0" w:color="auto"/>
            <w:right w:val="none" w:sz="0" w:space="0" w:color="auto"/>
          </w:divBdr>
        </w:div>
        <w:div w:id="1846018858">
          <w:marLeft w:val="0"/>
          <w:marRight w:val="0"/>
          <w:marTop w:val="0"/>
          <w:marBottom w:val="0"/>
          <w:divBdr>
            <w:top w:val="none" w:sz="0" w:space="0" w:color="auto"/>
            <w:left w:val="none" w:sz="0" w:space="0" w:color="auto"/>
            <w:bottom w:val="none" w:sz="0" w:space="0" w:color="auto"/>
            <w:right w:val="none" w:sz="0" w:space="0" w:color="auto"/>
          </w:divBdr>
        </w:div>
        <w:div w:id="2113435187">
          <w:marLeft w:val="0"/>
          <w:marRight w:val="0"/>
          <w:marTop w:val="0"/>
          <w:marBottom w:val="0"/>
          <w:divBdr>
            <w:top w:val="none" w:sz="0" w:space="0" w:color="auto"/>
            <w:left w:val="none" w:sz="0" w:space="0" w:color="auto"/>
            <w:bottom w:val="none" w:sz="0" w:space="0" w:color="auto"/>
            <w:right w:val="none" w:sz="0" w:space="0" w:color="auto"/>
          </w:divBdr>
        </w:div>
      </w:divsChild>
    </w:div>
    <w:div w:id="6523020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8845353">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3279739">
      <w:bodyDiv w:val="1"/>
      <w:marLeft w:val="0"/>
      <w:marRight w:val="0"/>
      <w:marTop w:val="0"/>
      <w:marBottom w:val="0"/>
      <w:divBdr>
        <w:top w:val="none" w:sz="0" w:space="0" w:color="auto"/>
        <w:left w:val="none" w:sz="0" w:space="0" w:color="auto"/>
        <w:bottom w:val="none" w:sz="0" w:space="0" w:color="auto"/>
        <w:right w:val="none" w:sz="0" w:space="0" w:color="auto"/>
      </w:divBdr>
    </w:div>
    <w:div w:id="132724425">
      <w:bodyDiv w:val="1"/>
      <w:marLeft w:val="0"/>
      <w:marRight w:val="0"/>
      <w:marTop w:val="0"/>
      <w:marBottom w:val="0"/>
      <w:divBdr>
        <w:top w:val="none" w:sz="0" w:space="0" w:color="auto"/>
        <w:left w:val="none" w:sz="0" w:space="0" w:color="auto"/>
        <w:bottom w:val="none" w:sz="0" w:space="0" w:color="auto"/>
        <w:right w:val="none" w:sz="0" w:space="0" w:color="auto"/>
      </w:divBdr>
    </w:div>
    <w:div w:id="137264184">
      <w:bodyDiv w:val="1"/>
      <w:marLeft w:val="0"/>
      <w:marRight w:val="0"/>
      <w:marTop w:val="0"/>
      <w:marBottom w:val="0"/>
      <w:divBdr>
        <w:top w:val="none" w:sz="0" w:space="0" w:color="auto"/>
        <w:left w:val="none" w:sz="0" w:space="0" w:color="auto"/>
        <w:bottom w:val="none" w:sz="0" w:space="0" w:color="auto"/>
        <w:right w:val="none" w:sz="0" w:space="0" w:color="auto"/>
      </w:divBdr>
    </w:div>
    <w:div w:id="158810944">
      <w:bodyDiv w:val="1"/>
      <w:marLeft w:val="0"/>
      <w:marRight w:val="0"/>
      <w:marTop w:val="0"/>
      <w:marBottom w:val="0"/>
      <w:divBdr>
        <w:top w:val="none" w:sz="0" w:space="0" w:color="auto"/>
        <w:left w:val="none" w:sz="0" w:space="0" w:color="auto"/>
        <w:bottom w:val="none" w:sz="0" w:space="0" w:color="auto"/>
        <w:right w:val="none" w:sz="0" w:space="0" w:color="auto"/>
      </w:divBdr>
    </w:div>
    <w:div w:id="241841030">
      <w:bodyDiv w:val="1"/>
      <w:marLeft w:val="0"/>
      <w:marRight w:val="0"/>
      <w:marTop w:val="0"/>
      <w:marBottom w:val="0"/>
      <w:divBdr>
        <w:top w:val="none" w:sz="0" w:space="0" w:color="auto"/>
        <w:left w:val="none" w:sz="0" w:space="0" w:color="auto"/>
        <w:bottom w:val="none" w:sz="0" w:space="0" w:color="auto"/>
        <w:right w:val="none" w:sz="0" w:space="0" w:color="auto"/>
      </w:divBdr>
    </w:div>
    <w:div w:id="30536192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9213162">
      <w:bodyDiv w:val="1"/>
      <w:marLeft w:val="0"/>
      <w:marRight w:val="0"/>
      <w:marTop w:val="0"/>
      <w:marBottom w:val="0"/>
      <w:divBdr>
        <w:top w:val="none" w:sz="0" w:space="0" w:color="auto"/>
        <w:left w:val="none" w:sz="0" w:space="0" w:color="auto"/>
        <w:bottom w:val="none" w:sz="0" w:space="0" w:color="auto"/>
        <w:right w:val="none" w:sz="0" w:space="0" w:color="auto"/>
      </w:divBdr>
    </w:div>
    <w:div w:id="406925132">
      <w:bodyDiv w:val="1"/>
      <w:marLeft w:val="0"/>
      <w:marRight w:val="0"/>
      <w:marTop w:val="0"/>
      <w:marBottom w:val="0"/>
      <w:divBdr>
        <w:top w:val="none" w:sz="0" w:space="0" w:color="auto"/>
        <w:left w:val="none" w:sz="0" w:space="0" w:color="auto"/>
        <w:bottom w:val="none" w:sz="0" w:space="0" w:color="auto"/>
        <w:right w:val="none" w:sz="0" w:space="0" w:color="auto"/>
      </w:divBdr>
      <w:divsChild>
        <w:div w:id="624311932">
          <w:marLeft w:val="0"/>
          <w:marRight w:val="0"/>
          <w:marTop w:val="0"/>
          <w:marBottom w:val="0"/>
          <w:divBdr>
            <w:top w:val="none" w:sz="0" w:space="0" w:color="auto"/>
            <w:left w:val="none" w:sz="0" w:space="0" w:color="auto"/>
            <w:bottom w:val="none" w:sz="0" w:space="0" w:color="auto"/>
            <w:right w:val="none" w:sz="0" w:space="0" w:color="auto"/>
          </w:divBdr>
        </w:div>
        <w:div w:id="782920695">
          <w:marLeft w:val="0"/>
          <w:marRight w:val="0"/>
          <w:marTop w:val="0"/>
          <w:marBottom w:val="0"/>
          <w:divBdr>
            <w:top w:val="none" w:sz="0" w:space="0" w:color="auto"/>
            <w:left w:val="none" w:sz="0" w:space="0" w:color="auto"/>
            <w:bottom w:val="none" w:sz="0" w:space="0" w:color="auto"/>
            <w:right w:val="none" w:sz="0" w:space="0" w:color="auto"/>
          </w:divBdr>
        </w:div>
      </w:divsChild>
    </w:div>
    <w:div w:id="434833478">
      <w:bodyDiv w:val="1"/>
      <w:marLeft w:val="0"/>
      <w:marRight w:val="0"/>
      <w:marTop w:val="0"/>
      <w:marBottom w:val="0"/>
      <w:divBdr>
        <w:top w:val="none" w:sz="0" w:space="0" w:color="auto"/>
        <w:left w:val="none" w:sz="0" w:space="0" w:color="auto"/>
        <w:bottom w:val="none" w:sz="0" w:space="0" w:color="auto"/>
        <w:right w:val="none" w:sz="0" w:space="0" w:color="auto"/>
      </w:divBdr>
    </w:div>
    <w:div w:id="518468147">
      <w:bodyDiv w:val="1"/>
      <w:marLeft w:val="0"/>
      <w:marRight w:val="0"/>
      <w:marTop w:val="0"/>
      <w:marBottom w:val="0"/>
      <w:divBdr>
        <w:top w:val="none" w:sz="0" w:space="0" w:color="auto"/>
        <w:left w:val="none" w:sz="0" w:space="0" w:color="auto"/>
        <w:bottom w:val="none" w:sz="0" w:space="0" w:color="auto"/>
        <w:right w:val="none" w:sz="0" w:space="0" w:color="auto"/>
      </w:divBdr>
    </w:div>
    <w:div w:id="568423298">
      <w:bodyDiv w:val="1"/>
      <w:marLeft w:val="0"/>
      <w:marRight w:val="0"/>
      <w:marTop w:val="0"/>
      <w:marBottom w:val="0"/>
      <w:divBdr>
        <w:top w:val="none" w:sz="0" w:space="0" w:color="auto"/>
        <w:left w:val="none" w:sz="0" w:space="0" w:color="auto"/>
        <w:bottom w:val="none" w:sz="0" w:space="0" w:color="auto"/>
        <w:right w:val="none" w:sz="0" w:space="0" w:color="auto"/>
      </w:divBdr>
    </w:div>
    <w:div w:id="581765178">
      <w:bodyDiv w:val="1"/>
      <w:marLeft w:val="0"/>
      <w:marRight w:val="0"/>
      <w:marTop w:val="0"/>
      <w:marBottom w:val="0"/>
      <w:divBdr>
        <w:top w:val="none" w:sz="0" w:space="0" w:color="auto"/>
        <w:left w:val="none" w:sz="0" w:space="0" w:color="auto"/>
        <w:bottom w:val="none" w:sz="0" w:space="0" w:color="auto"/>
        <w:right w:val="none" w:sz="0" w:space="0" w:color="auto"/>
      </w:divBdr>
    </w:div>
    <w:div w:id="637344231">
      <w:bodyDiv w:val="1"/>
      <w:marLeft w:val="0"/>
      <w:marRight w:val="0"/>
      <w:marTop w:val="0"/>
      <w:marBottom w:val="0"/>
      <w:divBdr>
        <w:top w:val="none" w:sz="0" w:space="0" w:color="auto"/>
        <w:left w:val="none" w:sz="0" w:space="0" w:color="auto"/>
        <w:bottom w:val="none" w:sz="0" w:space="0" w:color="auto"/>
        <w:right w:val="none" w:sz="0" w:space="0" w:color="auto"/>
      </w:divBdr>
    </w:div>
    <w:div w:id="692344282">
      <w:bodyDiv w:val="1"/>
      <w:marLeft w:val="0"/>
      <w:marRight w:val="0"/>
      <w:marTop w:val="0"/>
      <w:marBottom w:val="0"/>
      <w:divBdr>
        <w:top w:val="none" w:sz="0" w:space="0" w:color="auto"/>
        <w:left w:val="none" w:sz="0" w:space="0" w:color="auto"/>
        <w:bottom w:val="none" w:sz="0" w:space="0" w:color="auto"/>
        <w:right w:val="none" w:sz="0" w:space="0" w:color="auto"/>
      </w:divBdr>
    </w:div>
    <w:div w:id="694623507">
      <w:bodyDiv w:val="1"/>
      <w:marLeft w:val="0"/>
      <w:marRight w:val="0"/>
      <w:marTop w:val="0"/>
      <w:marBottom w:val="0"/>
      <w:divBdr>
        <w:top w:val="none" w:sz="0" w:space="0" w:color="auto"/>
        <w:left w:val="none" w:sz="0" w:space="0" w:color="auto"/>
        <w:bottom w:val="none" w:sz="0" w:space="0" w:color="auto"/>
        <w:right w:val="none" w:sz="0" w:space="0" w:color="auto"/>
      </w:divBdr>
      <w:divsChild>
        <w:div w:id="1470395967">
          <w:marLeft w:val="0"/>
          <w:marRight w:val="0"/>
          <w:marTop w:val="0"/>
          <w:marBottom w:val="0"/>
          <w:divBdr>
            <w:top w:val="none" w:sz="0" w:space="0" w:color="auto"/>
            <w:left w:val="none" w:sz="0" w:space="0" w:color="auto"/>
            <w:bottom w:val="none" w:sz="0" w:space="0" w:color="auto"/>
            <w:right w:val="none" w:sz="0" w:space="0" w:color="auto"/>
          </w:divBdr>
        </w:div>
        <w:div w:id="1818641387">
          <w:marLeft w:val="0"/>
          <w:marRight w:val="0"/>
          <w:marTop w:val="0"/>
          <w:marBottom w:val="0"/>
          <w:divBdr>
            <w:top w:val="none" w:sz="0" w:space="0" w:color="auto"/>
            <w:left w:val="none" w:sz="0" w:space="0" w:color="auto"/>
            <w:bottom w:val="none" w:sz="0" w:space="0" w:color="auto"/>
            <w:right w:val="none" w:sz="0" w:space="0" w:color="auto"/>
          </w:divBdr>
        </w:div>
      </w:divsChild>
    </w:div>
    <w:div w:id="744574472">
      <w:bodyDiv w:val="1"/>
      <w:marLeft w:val="0"/>
      <w:marRight w:val="0"/>
      <w:marTop w:val="0"/>
      <w:marBottom w:val="0"/>
      <w:divBdr>
        <w:top w:val="none" w:sz="0" w:space="0" w:color="auto"/>
        <w:left w:val="none" w:sz="0" w:space="0" w:color="auto"/>
        <w:bottom w:val="none" w:sz="0" w:space="0" w:color="auto"/>
        <w:right w:val="none" w:sz="0" w:space="0" w:color="auto"/>
      </w:divBdr>
    </w:div>
    <w:div w:id="745683994">
      <w:bodyDiv w:val="1"/>
      <w:marLeft w:val="0"/>
      <w:marRight w:val="0"/>
      <w:marTop w:val="0"/>
      <w:marBottom w:val="0"/>
      <w:divBdr>
        <w:top w:val="none" w:sz="0" w:space="0" w:color="auto"/>
        <w:left w:val="none" w:sz="0" w:space="0" w:color="auto"/>
        <w:bottom w:val="none" w:sz="0" w:space="0" w:color="auto"/>
        <w:right w:val="none" w:sz="0" w:space="0" w:color="auto"/>
      </w:divBdr>
    </w:div>
    <w:div w:id="770123005">
      <w:bodyDiv w:val="1"/>
      <w:marLeft w:val="0"/>
      <w:marRight w:val="0"/>
      <w:marTop w:val="0"/>
      <w:marBottom w:val="0"/>
      <w:divBdr>
        <w:top w:val="none" w:sz="0" w:space="0" w:color="auto"/>
        <w:left w:val="none" w:sz="0" w:space="0" w:color="auto"/>
        <w:bottom w:val="none" w:sz="0" w:space="0" w:color="auto"/>
        <w:right w:val="none" w:sz="0" w:space="0" w:color="auto"/>
      </w:divBdr>
    </w:div>
    <w:div w:id="778840382">
      <w:bodyDiv w:val="1"/>
      <w:marLeft w:val="0"/>
      <w:marRight w:val="0"/>
      <w:marTop w:val="0"/>
      <w:marBottom w:val="0"/>
      <w:divBdr>
        <w:top w:val="none" w:sz="0" w:space="0" w:color="auto"/>
        <w:left w:val="none" w:sz="0" w:space="0" w:color="auto"/>
        <w:bottom w:val="none" w:sz="0" w:space="0" w:color="auto"/>
        <w:right w:val="none" w:sz="0" w:space="0" w:color="auto"/>
      </w:divBdr>
    </w:div>
    <w:div w:id="786848951">
      <w:bodyDiv w:val="1"/>
      <w:marLeft w:val="0"/>
      <w:marRight w:val="0"/>
      <w:marTop w:val="0"/>
      <w:marBottom w:val="0"/>
      <w:divBdr>
        <w:top w:val="none" w:sz="0" w:space="0" w:color="auto"/>
        <w:left w:val="none" w:sz="0" w:space="0" w:color="auto"/>
        <w:bottom w:val="none" w:sz="0" w:space="0" w:color="auto"/>
        <w:right w:val="none" w:sz="0" w:space="0" w:color="auto"/>
      </w:divBdr>
      <w:divsChild>
        <w:div w:id="1026099846">
          <w:marLeft w:val="360"/>
          <w:marRight w:val="0"/>
          <w:marTop w:val="20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8107217">
      <w:bodyDiv w:val="1"/>
      <w:marLeft w:val="0"/>
      <w:marRight w:val="0"/>
      <w:marTop w:val="0"/>
      <w:marBottom w:val="0"/>
      <w:divBdr>
        <w:top w:val="none" w:sz="0" w:space="0" w:color="auto"/>
        <w:left w:val="none" w:sz="0" w:space="0" w:color="auto"/>
        <w:bottom w:val="none" w:sz="0" w:space="0" w:color="auto"/>
        <w:right w:val="none" w:sz="0" w:space="0" w:color="auto"/>
      </w:divBdr>
    </w:div>
    <w:div w:id="874931055">
      <w:bodyDiv w:val="1"/>
      <w:marLeft w:val="0"/>
      <w:marRight w:val="0"/>
      <w:marTop w:val="0"/>
      <w:marBottom w:val="0"/>
      <w:divBdr>
        <w:top w:val="none" w:sz="0" w:space="0" w:color="auto"/>
        <w:left w:val="none" w:sz="0" w:space="0" w:color="auto"/>
        <w:bottom w:val="none" w:sz="0" w:space="0" w:color="auto"/>
        <w:right w:val="none" w:sz="0" w:space="0" w:color="auto"/>
      </w:divBdr>
      <w:divsChild>
        <w:div w:id="2014914107">
          <w:marLeft w:val="1080"/>
          <w:marRight w:val="0"/>
          <w:marTop w:val="100"/>
          <w:marBottom w:val="0"/>
          <w:divBdr>
            <w:top w:val="none" w:sz="0" w:space="0" w:color="auto"/>
            <w:left w:val="none" w:sz="0" w:space="0" w:color="auto"/>
            <w:bottom w:val="none" w:sz="0" w:space="0" w:color="auto"/>
            <w:right w:val="none" w:sz="0" w:space="0" w:color="auto"/>
          </w:divBdr>
        </w:div>
      </w:divsChild>
    </w:div>
    <w:div w:id="935944601">
      <w:bodyDiv w:val="1"/>
      <w:marLeft w:val="0"/>
      <w:marRight w:val="0"/>
      <w:marTop w:val="0"/>
      <w:marBottom w:val="0"/>
      <w:divBdr>
        <w:top w:val="none" w:sz="0" w:space="0" w:color="auto"/>
        <w:left w:val="none" w:sz="0" w:space="0" w:color="auto"/>
        <w:bottom w:val="none" w:sz="0" w:space="0" w:color="auto"/>
        <w:right w:val="none" w:sz="0" w:space="0" w:color="auto"/>
      </w:divBdr>
    </w:div>
    <w:div w:id="946621177">
      <w:bodyDiv w:val="1"/>
      <w:marLeft w:val="0"/>
      <w:marRight w:val="0"/>
      <w:marTop w:val="0"/>
      <w:marBottom w:val="0"/>
      <w:divBdr>
        <w:top w:val="none" w:sz="0" w:space="0" w:color="auto"/>
        <w:left w:val="none" w:sz="0" w:space="0" w:color="auto"/>
        <w:bottom w:val="none" w:sz="0" w:space="0" w:color="auto"/>
        <w:right w:val="none" w:sz="0" w:space="0" w:color="auto"/>
      </w:divBdr>
    </w:div>
    <w:div w:id="980617556">
      <w:bodyDiv w:val="1"/>
      <w:marLeft w:val="0"/>
      <w:marRight w:val="0"/>
      <w:marTop w:val="0"/>
      <w:marBottom w:val="0"/>
      <w:divBdr>
        <w:top w:val="none" w:sz="0" w:space="0" w:color="auto"/>
        <w:left w:val="none" w:sz="0" w:space="0" w:color="auto"/>
        <w:bottom w:val="none" w:sz="0" w:space="0" w:color="auto"/>
        <w:right w:val="none" w:sz="0" w:space="0" w:color="auto"/>
      </w:divBdr>
    </w:div>
    <w:div w:id="1038091559">
      <w:bodyDiv w:val="1"/>
      <w:marLeft w:val="0"/>
      <w:marRight w:val="0"/>
      <w:marTop w:val="0"/>
      <w:marBottom w:val="0"/>
      <w:divBdr>
        <w:top w:val="none" w:sz="0" w:space="0" w:color="auto"/>
        <w:left w:val="none" w:sz="0" w:space="0" w:color="auto"/>
        <w:bottom w:val="none" w:sz="0" w:space="0" w:color="auto"/>
        <w:right w:val="none" w:sz="0" w:space="0" w:color="auto"/>
      </w:divBdr>
      <w:divsChild>
        <w:div w:id="2010138063">
          <w:marLeft w:val="0"/>
          <w:marRight w:val="0"/>
          <w:marTop w:val="0"/>
          <w:marBottom w:val="0"/>
          <w:divBdr>
            <w:top w:val="none" w:sz="0" w:space="0" w:color="auto"/>
            <w:left w:val="none" w:sz="0" w:space="0" w:color="auto"/>
            <w:bottom w:val="none" w:sz="0" w:space="0" w:color="auto"/>
            <w:right w:val="none" w:sz="0" w:space="0" w:color="auto"/>
          </w:divBdr>
        </w:div>
      </w:divsChild>
    </w:div>
    <w:div w:id="1049916421">
      <w:bodyDiv w:val="1"/>
      <w:marLeft w:val="0"/>
      <w:marRight w:val="0"/>
      <w:marTop w:val="0"/>
      <w:marBottom w:val="0"/>
      <w:divBdr>
        <w:top w:val="none" w:sz="0" w:space="0" w:color="auto"/>
        <w:left w:val="none" w:sz="0" w:space="0" w:color="auto"/>
        <w:bottom w:val="none" w:sz="0" w:space="0" w:color="auto"/>
        <w:right w:val="none" w:sz="0" w:space="0" w:color="auto"/>
      </w:divBdr>
    </w:div>
    <w:div w:id="1061751344">
      <w:bodyDiv w:val="1"/>
      <w:marLeft w:val="0"/>
      <w:marRight w:val="0"/>
      <w:marTop w:val="0"/>
      <w:marBottom w:val="0"/>
      <w:divBdr>
        <w:top w:val="none" w:sz="0" w:space="0" w:color="auto"/>
        <w:left w:val="none" w:sz="0" w:space="0" w:color="auto"/>
        <w:bottom w:val="none" w:sz="0" w:space="0" w:color="auto"/>
        <w:right w:val="none" w:sz="0" w:space="0" w:color="auto"/>
      </w:divBdr>
    </w:div>
    <w:div w:id="1114255488">
      <w:bodyDiv w:val="1"/>
      <w:marLeft w:val="0"/>
      <w:marRight w:val="0"/>
      <w:marTop w:val="0"/>
      <w:marBottom w:val="0"/>
      <w:divBdr>
        <w:top w:val="none" w:sz="0" w:space="0" w:color="auto"/>
        <w:left w:val="none" w:sz="0" w:space="0" w:color="auto"/>
        <w:bottom w:val="none" w:sz="0" w:space="0" w:color="auto"/>
        <w:right w:val="none" w:sz="0" w:space="0" w:color="auto"/>
      </w:divBdr>
    </w:div>
    <w:div w:id="1128165934">
      <w:bodyDiv w:val="1"/>
      <w:marLeft w:val="0"/>
      <w:marRight w:val="0"/>
      <w:marTop w:val="0"/>
      <w:marBottom w:val="0"/>
      <w:divBdr>
        <w:top w:val="none" w:sz="0" w:space="0" w:color="auto"/>
        <w:left w:val="none" w:sz="0" w:space="0" w:color="auto"/>
        <w:bottom w:val="none" w:sz="0" w:space="0" w:color="auto"/>
        <w:right w:val="none" w:sz="0" w:space="0" w:color="auto"/>
      </w:divBdr>
    </w:div>
    <w:div w:id="1151869200">
      <w:bodyDiv w:val="1"/>
      <w:marLeft w:val="0"/>
      <w:marRight w:val="0"/>
      <w:marTop w:val="0"/>
      <w:marBottom w:val="0"/>
      <w:divBdr>
        <w:top w:val="none" w:sz="0" w:space="0" w:color="auto"/>
        <w:left w:val="none" w:sz="0" w:space="0" w:color="auto"/>
        <w:bottom w:val="none" w:sz="0" w:space="0" w:color="auto"/>
        <w:right w:val="none" w:sz="0" w:space="0" w:color="auto"/>
      </w:divBdr>
    </w:div>
    <w:div w:id="116196969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8665892">
      <w:bodyDiv w:val="1"/>
      <w:marLeft w:val="0"/>
      <w:marRight w:val="0"/>
      <w:marTop w:val="0"/>
      <w:marBottom w:val="0"/>
      <w:divBdr>
        <w:top w:val="none" w:sz="0" w:space="0" w:color="auto"/>
        <w:left w:val="none" w:sz="0" w:space="0" w:color="auto"/>
        <w:bottom w:val="none" w:sz="0" w:space="0" w:color="auto"/>
        <w:right w:val="none" w:sz="0" w:space="0" w:color="auto"/>
      </w:divBdr>
    </w:div>
    <w:div w:id="1225288441">
      <w:bodyDiv w:val="1"/>
      <w:marLeft w:val="0"/>
      <w:marRight w:val="0"/>
      <w:marTop w:val="0"/>
      <w:marBottom w:val="0"/>
      <w:divBdr>
        <w:top w:val="none" w:sz="0" w:space="0" w:color="auto"/>
        <w:left w:val="none" w:sz="0" w:space="0" w:color="auto"/>
        <w:bottom w:val="none" w:sz="0" w:space="0" w:color="auto"/>
        <w:right w:val="none" w:sz="0" w:space="0" w:color="auto"/>
      </w:divBdr>
      <w:divsChild>
        <w:div w:id="89280200">
          <w:marLeft w:val="0"/>
          <w:marRight w:val="0"/>
          <w:marTop w:val="0"/>
          <w:marBottom w:val="0"/>
          <w:divBdr>
            <w:top w:val="none" w:sz="0" w:space="0" w:color="auto"/>
            <w:left w:val="none" w:sz="0" w:space="0" w:color="auto"/>
            <w:bottom w:val="none" w:sz="0" w:space="0" w:color="auto"/>
            <w:right w:val="none" w:sz="0" w:space="0" w:color="auto"/>
          </w:divBdr>
        </w:div>
        <w:div w:id="1584334821">
          <w:marLeft w:val="0"/>
          <w:marRight w:val="0"/>
          <w:marTop w:val="0"/>
          <w:marBottom w:val="0"/>
          <w:divBdr>
            <w:top w:val="none" w:sz="0" w:space="0" w:color="auto"/>
            <w:left w:val="none" w:sz="0" w:space="0" w:color="auto"/>
            <w:bottom w:val="none" w:sz="0" w:space="0" w:color="auto"/>
            <w:right w:val="none" w:sz="0" w:space="0" w:color="auto"/>
          </w:divBdr>
        </w:div>
        <w:div w:id="1911766599">
          <w:marLeft w:val="0"/>
          <w:marRight w:val="0"/>
          <w:marTop w:val="0"/>
          <w:marBottom w:val="0"/>
          <w:divBdr>
            <w:top w:val="none" w:sz="0" w:space="0" w:color="auto"/>
            <w:left w:val="none" w:sz="0" w:space="0" w:color="auto"/>
            <w:bottom w:val="none" w:sz="0" w:space="0" w:color="auto"/>
            <w:right w:val="none" w:sz="0" w:space="0" w:color="auto"/>
          </w:divBdr>
        </w:div>
        <w:div w:id="2073960643">
          <w:marLeft w:val="0"/>
          <w:marRight w:val="0"/>
          <w:marTop w:val="0"/>
          <w:marBottom w:val="0"/>
          <w:divBdr>
            <w:top w:val="none" w:sz="0" w:space="0" w:color="auto"/>
            <w:left w:val="none" w:sz="0" w:space="0" w:color="auto"/>
            <w:bottom w:val="none" w:sz="0" w:space="0" w:color="auto"/>
            <w:right w:val="none" w:sz="0" w:space="0" w:color="auto"/>
          </w:divBdr>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1674418">
      <w:bodyDiv w:val="1"/>
      <w:marLeft w:val="0"/>
      <w:marRight w:val="0"/>
      <w:marTop w:val="0"/>
      <w:marBottom w:val="0"/>
      <w:divBdr>
        <w:top w:val="none" w:sz="0" w:space="0" w:color="auto"/>
        <w:left w:val="none" w:sz="0" w:space="0" w:color="auto"/>
        <w:bottom w:val="none" w:sz="0" w:space="0" w:color="auto"/>
        <w:right w:val="none" w:sz="0" w:space="0" w:color="auto"/>
      </w:divBdr>
    </w:div>
    <w:div w:id="1387414592">
      <w:bodyDiv w:val="1"/>
      <w:marLeft w:val="0"/>
      <w:marRight w:val="0"/>
      <w:marTop w:val="0"/>
      <w:marBottom w:val="0"/>
      <w:divBdr>
        <w:top w:val="none" w:sz="0" w:space="0" w:color="auto"/>
        <w:left w:val="none" w:sz="0" w:space="0" w:color="auto"/>
        <w:bottom w:val="none" w:sz="0" w:space="0" w:color="auto"/>
        <w:right w:val="none" w:sz="0" w:space="0" w:color="auto"/>
      </w:divBdr>
    </w:div>
    <w:div w:id="1440953644">
      <w:bodyDiv w:val="1"/>
      <w:marLeft w:val="0"/>
      <w:marRight w:val="0"/>
      <w:marTop w:val="0"/>
      <w:marBottom w:val="0"/>
      <w:divBdr>
        <w:top w:val="none" w:sz="0" w:space="0" w:color="auto"/>
        <w:left w:val="none" w:sz="0" w:space="0" w:color="auto"/>
        <w:bottom w:val="none" w:sz="0" w:space="0" w:color="auto"/>
        <w:right w:val="none" w:sz="0" w:space="0" w:color="auto"/>
      </w:divBdr>
    </w:div>
    <w:div w:id="1474173020">
      <w:bodyDiv w:val="1"/>
      <w:marLeft w:val="0"/>
      <w:marRight w:val="0"/>
      <w:marTop w:val="0"/>
      <w:marBottom w:val="0"/>
      <w:divBdr>
        <w:top w:val="none" w:sz="0" w:space="0" w:color="auto"/>
        <w:left w:val="none" w:sz="0" w:space="0" w:color="auto"/>
        <w:bottom w:val="none" w:sz="0" w:space="0" w:color="auto"/>
        <w:right w:val="none" w:sz="0" w:space="0" w:color="auto"/>
      </w:divBdr>
    </w:div>
    <w:div w:id="1559822614">
      <w:bodyDiv w:val="1"/>
      <w:marLeft w:val="0"/>
      <w:marRight w:val="0"/>
      <w:marTop w:val="0"/>
      <w:marBottom w:val="0"/>
      <w:divBdr>
        <w:top w:val="none" w:sz="0" w:space="0" w:color="auto"/>
        <w:left w:val="none" w:sz="0" w:space="0" w:color="auto"/>
        <w:bottom w:val="none" w:sz="0" w:space="0" w:color="auto"/>
        <w:right w:val="none" w:sz="0" w:space="0" w:color="auto"/>
      </w:divBdr>
    </w:div>
    <w:div w:id="1559977708">
      <w:bodyDiv w:val="1"/>
      <w:marLeft w:val="0"/>
      <w:marRight w:val="0"/>
      <w:marTop w:val="0"/>
      <w:marBottom w:val="0"/>
      <w:divBdr>
        <w:top w:val="none" w:sz="0" w:space="0" w:color="auto"/>
        <w:left w:val="none" w:sz="0" w:space="0" w:color="auto"/>
        <w:bottom w:val="none" w:sz="0" w:space="0" w:color="auto"/>
        <w:right w:val="none" w:sz="0" w:space="0" w:color="auto"/>
      </w:divBdr>
    </w:div>
    <w:div w:id="1670058829">
      <w:bodyDiv w:val="1"/>
      <w:marLeft w:val="0"/>
      <w:marRight w:val="0"/>
      <w:marTop w:val="0"/>
      <w:marBottom w:val="0"/>
      <w:divBdr>
        <w:top w:val="none" w:sz="0" w:space="0" w:color="auto"/>
        <w:left w:val="none" w:sz="0" w:space="0" w:color="auto"/>
        <w:bottom w:val="none" w:sz="0" w:space="0" w:color="auto"/>
        <w:right w:val="none" w:sz="0" w:space="0" w:color="auto"/>
      </w:divBdr>
    </w:div>
    <w:div w:id="1836258806">
      <w:bodyDiv w:val="1"/>
      <w:marLeft w:val="0"/>
      <w:marRight w:val="0"/>
      <w:marTop w:val="0"/>
      <w:marBottom w:val="0"/>
      <w:divBdr>
        <w:top w:val="none" w:sz="0" w:space="0" w:color="auto"/>
        <w:left w:val="none" w:sz="0" w:space="0" w:color="auto"/>
        <w:bottom w:val="none" w:sz="0" w:space="0" w:color="auto"/>
        <w:right w:val="none" w:sz="0" w:space="0" w:color="auto"/>
      </w:divBdr>
    </w:div>
    <w:div w:id="1884631447">
      <w:bodyDiv w:val="1"/>
      <w:marLeft w:val="0"/>
      <w:marRight w:val="0"/>
      <w:marTop w:val="0"/>
      <w:marBottom w:val="0"/>
      <w:divBdr>
        <w:top w:val="none" w:sz="0" w:space="0" w:color="auto"/>
        <w:left w:val="none" w:sz="0" w:space="0" w:color="auto"/>
        <w:bottom w:val="none" w:sz="0" w:space="0" w:color="auto"/>
        <w:right w:val="none" w:sz="0" w:space="0" w:color="auto"/>
      </w:divBdr>
    </w:div>
    <w:div w:id="188606188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7901527">
      <w:bodyDiv w:val="1"/>
      <w:marLeft w:val="0"/>
      <w:marRight w:val="0"/>
      <w:marTop w:val="0"/>
      <w:marBottom w:val="0"/>
      <w:divBdr>
        <w:top w:val="none" w:sz="0" w:space="0" w:color="auto"/>
        <w:left w:val="none" w:sz="0" w:space="0" w:color="auto"/>
        <w:bottom w:val="none" w:sz="0" w:space="0" w:color="auto"/>
        <w:right w:val="none" w:sz="0" w:space="0" w:color="auto"/>
      </w:divBdr>
    </w:div>
    <w:div w:id="2033873635">
      <w:bodyDiv w:val="1"/>
      <w:marLeft w:val="0"/>
      <w:marRight w:val="0"/>
      <w:marTop w:val="0"/>
      <w:marBottom w:val="0"/>
      <w:divBdr>
        <w:top w:val="none" w:sz="0" w:space="0" w:color="auto"/>
        <w:left w:val="none" w:sz="0" w:space="0" w:color="auto"/>
        <w:bottom w:val="none" w:sz="0" w:space="0" w:color="auto"/>
        <w:right w:val="none" w:sz="0" w:space="0" w:color="auto"/>
      </w:divBdr>
    </w:div>
    <w:div w:id="2072994354">
      <w:bodyDiv w:val="1"/>
      <w:marLeft w:val="0"/>
      <w:marRight w:val="0"/>
      <w:marTop w:val="0"/>
      <w:marBottom w:val="0"/>
      <w:divBdr>
        <w:top w:val="none" w:sz="0" w:space="0" w:color="auto"/>
        <w:left w:val="none" w:sz="0" w:space="0" w:color="auto"/>
        <w:bottom w:val="none" w:sz="0" w:space="0" w:color="auto"/>
        <w:right w:val="none" w:sz="0" w:space="0" w:color="auto"/>
      </w:divBdr>
      <w:divsChild>
        <w:div w:id="1305894461">
          <w:marLeft w:val="0"/>
          <w:marRight w:val="0"/>
          <w:marTop w:val="0"/>
          <w:marBottom w:val="0"/>
          <w:divBdr>
            <w:top w:val="none" w:sz="0" w:space="0" w:color="auto"/>
            <w:left w:val="none" w:sz="0" w:space="0" w:color="auto"/>
            <w:bottom w:val="none" w:sz="0" w:space="0" w:color="auto"/>
            <w:right w:val="none" w:sz="0" w:space="0" w:color="auto"/>
          </w:divBdr>
        </w:div>
      </w:divsChild>
    </w:div>
    <w:div w:id="207384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9BE32CB3-6DDD-41E6-90DD-8779540A09A0}">
  <ds:schemaRefs>
    <ds:schemaRef ds:uri="http://schemas.microsoft.com/sharepoint/v3/contenttype/forms"/>
  </ds:schemaRefs>
</ds:datastoreItem>
</file>

<file path=customXml/itemProps2.xml><?xml version="1.0" encoding="utf-8"?>
<ds:datastoreItem xmlns:ds="http://schemas.openxmlformats.org/officeDocument/2006/customXml" ds:itemID="{1B926E95-573B-42D4-9C29-E85BFC4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EA74A9A9-E96D-43E5-BB15-5F07522E1A79}">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4970</Words>
  <Characters>28826</Characters>
  <Application>Microsoft Office Word</Application>
  <DocSecurity>0</DocSecurity>
  <Lines>640</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2025-12-22T04:17:00Z</dcterms:created>
  <dcterms:modified xsi:type="dcterms:W3CDTF">2025-12-22T05:29:00Z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4af19d,15dfe549,758a6eff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668b6f2e,4775db5,53c49195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2025-12-22T04:17:11Z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a942df03-ef57-411e-86d0-6e244684cd7e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