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D8AA" w14:textId="77777777" w:rsidR="004A58A9" w:rsidRDefault="004A58A9" w:rsidP="00ED2B24">
      <w:pPr>
        <w:pStyle w:val="COMBody"/>
      </w:pPr>
    </w:p>
    <w:p w14:paraId="51C6701A" w14:textId="09307024" w:rsidR="00B60939" w:rsidRPr="00F57392" w:rsidRDefault="00D92075" w:rsidP="004A6040">
      <w:pPr>
        <w:pStyle w:val="COMexecsummheadings"/>
      </w:pPr>
      <w:r>
        <w:t>5.15</w:t>
      </w:r>
      <w:r w:rsidR="00163F66" w:rsidRPr="00F57392">
        <w:tab/>
      </w:r>
      <w:r w:rsidR="006618CC" w:rsidRPr="00F57392">
        <w:t>VORASIDENIB</w:t>
      </w:r>
      <w:r w:rsidR="00163F66" w:rsidRPr="00F57392">
        <w:t>,</w:t>
      </w:r>
      <w:r w:rsidR="00163F66" w:rsidRPr="00F57392">
        <w:br/>
      </w:r>
      <w:r w:rsidR="006618CC" w:rsidRPr="00F57392">
        <w:t>Tablet 10 mg</w:t>
      </w:r>
      <w:r w:rsidR="00163F66" w:rsidRPr="00F57392">
        <w:t>,</w:t>
      </w:r>
      <w:r w:rsidR="00163F66" w:rsidRPr="00F57392">
        <w:br/>
      </w:r>
      <w:r w:rsidR="006618CC" w:rsidRPr="00F57392">
        <w:t>Tablet 40 mg</w:t>
      </w:r>
      <w:r w:rsidR="00163F66" w:rsidRPr="00F57392">
        <w:t>,</w:t>
      </w:r>
      <w:r w:rsidR="00163F66" w:rsidRPr="00F57392">
        <w:br/>
      </w:r>
      <w:r w:rsidR="006618CC" w:rsidRPr="00F57392">
        <w:t>Voranigo</w:t>
      </w:r>
      <w:r w:rsidR="00B60939" w:rsidRPr="00F57392">
        <w:t>®</w:t>
      </w:r>
      <w:r w:rsidR="004A6040" w:rsidRPr="00F57392">
        <w:t>,</w:t>
      </w:r>
      <w:r w:rsidR="004A6040" w:rsidRPr="00F57392">
        <w:br/>
      </w:r>
      <w:r w:rsidR="006618CC" w:rsidRPr="00F57392">
        <w:t>SERVIER LABORATORIES (AUST.) PTY. LTD</w:t>
      </w:r>
      <w:r w:rsidR="00B60939" w:rsidRPr="00F57392">
        <w:t>.</w:t>
      </w:r>
    </w:p>
    <w:p w14:paraId="11C00795" w14:textId="3DFB6D23" w:rsidR="00B50DB8" w:rsidRPr="00F57392" w:rsidRDefault="00B50DB8" w:rsidP="004A6040">
      <w:pPr>
        <w:pStyle w:val="COMH1-numbered"/>
      </w:pPr>
      <w:bookmarkStart w:id="0" w:name="_Toc198628220"/>
      <w:r w:rsidRPr="00F57392">
        <w:t xml:space="preserve">Purpose of </w:t>
      </w:r>
      <w:r w:rsidR="00CD7193" w:rsidRPr="00F57392">
        <w:t>s</w:t>
      </w:r>
      <w:r w:rsidR="00BB3A45" w:rsidRPr="00F57392">
        <w:t>ubmission</w:t>
      </w:r>
      <w:bookmarkEnd w:id="0"/>
    </w:p>
    <w:p w14:paraId="19414AA1" w14:textId="75EF1220" w:rsidR="002C2775" w:rsidRPr="00F57392" w:rsidRDefault="007170DA" w:rsidP="004E18E9">
      <w:pPr>
        <w:pStyle w:val="COMexecsummnumbered"/>
      </w:pPr>
      <w:r w:rsidRPr="00F57392">
        <w:t xml:space="preserve">The </w:t>
      </w:r>
      <w:r w:rsidR="00086814" w:rsidRPr="00F57392">
        <w:t>Category 1 submission requested a General Schedule Authority Required (Streamlined) listing of vorasidenib, for the treatment of patients with isocitrate dehydrogenase (IDH)-mutant astrocytoma or oligodendroglioma.</w:t>
      </w:r>
    </w:p>
    <w:p w14:paraId="4E9FBCB5" w14:textId="1FE738D8" w:rsidR="00C2778B" w:rsidRPr="00F57392" w:rsidRDefault="005750C5" w:rsidP="004E18E9">
      <w:pPr>
        <w:pStyle w:val="COMexecsummnumbered"/>
      </w:pPr>
      <w:r w:rsidRPr="00F57392">
        <w:t>Listing was requested on the basis of a</w:t>
      </w:r>
      <w:r w:rsidR="00086814" w:rsidRPr="00F57392">
        <w:t xml:space="preserve"> </w:t>
      </w:r>
      <w:r w:rsidRPr="00F57392">
        <w:t>cost-effectiveness analysis</w:t>
      </w:r>
      <w:r w:rsidR="00086814" w:rsidRPr="00F57392">
        <w:t xml:space="preserve"> </w:t>
      </w:r>
      <w:r w:rsidRPr="00F57392">
        <w:t xml:space="preserve">versus </w:t>
      </w:r>
      <w:r w:rsidR="00086814" w:rsidRPr="00F57392">
        <w:t>active surveillance.</w:t>
      </w:r>
      <w:r w:rsidR="00556852" w:rsidRPr="003C0757">
        <w:rPr>
          <w:color w:val="000000"/>
          <w:w w:val="15"/>
          <w:shd w:val="solid" w:color="000000" w:fill="000000"/>
          <w:fitText w:val="-20" w:id="-629514496"/>
          <w14:textFill>
            <w14:solidFill>
              <w14:srgbClr w14:val="000000">
                <w14:alpha w14:val="100000"/>
              </w14:srgbClr>
            </w14:solidFill>
          </w14:textFill>
        </w:rPr>
        <w:t xml:space="preserve">|  </w:t>
      </w:r>
      <w:r w:rsidR="00556852" w:rsidRPr="003C0757">
        <w:rPr>
          <w:color w:val="000000"/>
          <w:spacing w:val="-69"/>
          <w:w w:val="15"/>
          <w:shd w:val="solid" w:color="000000" w:fill="000000"/>
          <w:fitText w:val="-20" w:id="-629514496"/>
          <w14:textFill>
            <w14:solidFill>
              <w14:srgbClr w14:val="000000">
                <w14:alpha w14:val="100000"/>
              </w14:srgbClr>
            </w14:solidFill>
          </w14:textFill>
        </w:rPr>
        <w:t>|</w:t>
      </w:r>
    </w:p>
    <w:p w14:paraId="3718DE61" w14:textId="4E5B33AC" w:rsidR="008B1757" w:rsidRPr="00F57392" w:rsidRDefault="00696EF9" w:rsidP="00B50F7F">
      <w:pPr>
        <w:pStyle w:val="COMtablefigcaption"/>
      </w:pPr>
      <w:r w:rsidRPr="00F57392">
        <w:t xml:space="preserve">Table </w:t>
      </w:r>
      <w:r w:rsidR="00052B1E">
        <w:fldChar w:fldCharType="begin"/>
      </w:r>
      <w:r w:rsidR="00052B1E">
        <w:instrText xml:space="preserve"> SEQ Table \* ARABIC </w:instrText>
      </w:r>
      <w:r w:rsidR="00052B1E">
        <w:fldChar w:fldCharType="separate"/>
      </w:r>
      <w:r w:rsidR="003C0757">
        <w:rPr>
          <w:noProof/>
        </w:rPr>
        <w:t>1</w:t>
      </w:r>
      <w:r w:rsidR="00052B1E">
        <w:rPr>
          <w:noProof/>
        </w:rPr>
        <w:fldChar w:fldCharType="end"/>
      </w:r>
      <w:r w:rsidRPr="00F57392">
        <w:t>:</w:t>
      </w:r>
      <w:r w:rsidR="00BC591F" w:rsidRPr="00F57392">
        <w:t xml:space="preserve"> </w:t>
      </w:r>
      <w:r w:rsidR="008B1757" w:rsidRPr="00F57392">
        <w:t xml:space="preserve">Key components of the clinical issue addressed </w:t>
      </w:r>
      <w:r w:rsidR="002812CE" w:rsidRPr="00F57392">
        <w:t>in</w:t>
      </w:r>
      <w:r w:rsidR="008B1757" w:rsidRPr="00F57392">
        <w:t xml:space="preserve">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in the submission"/>
      </w:tblPr>
      <w:tblGrid>
        <w:gridCol w:w="1283"/>
        <w:gridCol w:w="7873"/>
      </w:tblGrid>
      <w:tr w:rsidR="00086814" w:rsidRPr="00F57392" w14:paraId="0AAB2AF9" w14:textId="77777777" w:rsidTr="00903311">
        <w:tc>
          <w:tcPr>
            <w:tcW w:w="1283" w:type="dxa"/>
            <w:vAlign w:val="center"/>
          </w:tcPr>
          <w:p w14:paraId="6AAD3F17" w14:textId="77777777" w:rsidR="00086814" w:rsidRPr="00F57392" w:rsidRDefault="00086814" w:rsidP="00903311">
            <w:pPr>
              <w:pStyle w:val="COMTableheadingrow"/>
              <w:rPr>
                <w:lang w:val="en-AU"/>
              </w:rPr>
            </w:pPr>
            <w:r w:rsidRPr="00F57392">
              <w:rPr>
                <w:lang w:val="en-AU"/>
              </w:rPr>
              <w:t>Component</w:t>
            </w:r>
          </w:p>
        </w:tc>
        <w:tc>
          <w:tcPr>
            <w:tcW w:w="7873" w:type="dxa"/>
            <w:vAlign w:val="center"/>
          </w:tcPr>
          <w:p w14:paraId="135A4F91" w14:textId="77777777" w:rsidR="00086814" w:rsidRPr="00F57392" w:rsidRDefault="00086814" w:rsidP="00903311">
            <w:pPr>
              <w:pStyle w:val="COMTableheadingrow"/>
              <w:jc w:val="center"/>
              <w:rPr>
                <w:lang w:val="en-AU"/>
              </w:rPr>
            </w:pPr>
            <w:r w:rsidRPr="00F57392">
              <w:rPr>
                <w:lang w:val="en-AU"/>
              </w:rPr>
              <w:t>Description</w:t>
            </w:r>
          </w:p>
        </w:tc>
      </w:tr>
      <w:tr w:rsidR="00086814" w:rsidRPr="00F57392" w14:paraId="149D63ED" w14:textId="77777777" w:rsidTr="00903311">
        <w:tc>
          <w:tcPr>
            <w:tcW w:w="1283" w:type="dxa"/>
            <w:vAlign w:val="center"/>
          </w:tcPr>
          <w:p w14:paraId="639C35E5" w14:textId="77777777" w:rsidR="00086814" w:rsidRPr="00F57392" w:rsidRDefault="00086814" w:rsidP="00903311">
            <w:pPr>
              <w:pStyle w:val="COMTabletext"/>
            </w:pPr>
            <w:r w:rsidRPr="00F57392">
              <w:t>Population</w:t>
            </w:r>
          </w:p>
        </w:tc>
        <w:tc>
          <w:tcPr>
            <w:tcW w:w="7873" w:type="dxa"/>
          </w:tcPr>
          <w:p w14:paraId="7ACC8F2B" w14:textId="77777777" w:rsidR="00086814" w:rsidRPr="00F57392" w:rsidRDefault="00086814" w:rsidP="00903311">
            <w:pPr>
              <w:pStyle w:val="COMTabletext"/>
            </w:pPr>
            <w:r w:rsidRPr="00F57392">
              <w:t>Patients with WHO Grade 2 IDH-mutant astrocytoma or oligodendroglioma who have residual or recurrent disease after at least one prior surgery for glioma, an ECOG performance score ≤1, and who are not in immediate need of radiotherapy or chemotherapy.</w:t>
            </w:r>
          </w:p>
        </w:tc>
      </w:tr>
      <w:tr w:rsidR="00086814" w:rsidRPr="00F57392" w14:paraId="78A0B353" w14:textId="77777777" w:rsidTr="00903311">
        <w:tc>
          <w:tcPr>
            <w:tcW w:w="1283" w:type="dxa"/>
            <w:vAlign w:val="center"/>
          </w:tcPr>
          <w:p w14:paraId="750F45F3" w14:textId="77777777" w:rsidR="00086814" w:rsidRPr="00F57392" w:rsidRDefault="00086814" w:rsidP="00903311">
            <w:pPr>
              <w:pStyle w:val="COMTabletext"/>
            </w:pPr>
            <w:r w:rsidRPr="00F57392">
              <w:t>Intervention</w:t>
            </w:r>
          </w:p>
        </w:tc>
        <w:tc>
          <w:tcPr>
            <w:tcW w:w="7873" w:type="dxa"/>
          </w:tcPr>
          <w:p w14:paraId="65FB66B9" w14:textId="77777777" w:rsidR="00086814" w:rsidRPr="00F57392" w:rsidRDefault="00086814" w:rsidP="00903311">
            <w:pPr>
              <w:pStyle w:val="COMTabletext"/>
            </w:pPr>
            <w:r w:rsidRPr="00F57392">
              <w:t>Vorasidenib 40 mg once daily in addition to active surveillance.</w:t>
            </w:r>
          </w:p>
        </w:tc>
      </w:tr>
      <w:tr w:rsidR="00086814" w:rsidRPr="00F57392" w14:paraId="20C7F20E" w14:textId="77777777" w:rsidTr="00903311">
        <w:tc>
          <w:tcPr>
            <w:tcW w:w="1283" w:type="dxa"/>
            <w:vAlign w:val="center"/>
          </w:tcPr>
          <w:p w14:paraId="480C7B7A" w14:textId="77777777" w:rsidR="00086814" w:rsidRPr="00F57392" w:rsidRDefault="00086814" w:rsidP="00903311">
            <w:pPr>
              <w:pStyle w:val="COMTabletext"/>
            </w:pPr>
            <w:r w:rsidRPr="00F57392">
              <w:t>Comparator</w:t>
            </w:r>
          </w:p>
        </w:tc>
        <w:tc>
          <w:tcPr>
            <w:tcW w:w="7873" w:type="dxa"/>
          </w:tcPr>
          <w:p w14:paraId="21E9C8C5" w14:textId="77777777" w:rsidR="00086814" w:rsidRPr="00F57392" w:rsidRDefault="00086814" w:rsidP="00903311">
            <w:pPr>
              <w:pStyle w:val="COMTabletext"/>
            </w:pPr>
            <w:r w:rsidRPr="00F57392">
              <w:t>Active surveillance alone.</w:t>
            </w:r>
          </w:p>
        </w:tc>
      </w:tr>
      <w:tr w:rsidR="00086814" w:rsidRPr="00F57392" w14:paraId="0EA156D9" w14:textId="77777777" w:rsidTr="00903311">
        <w:tc>
          <w:tcPr>
            <w:tcW w:w="1283" w:type="dxa"/>
            <w:vAlign w:val="center"/>
          </w:tcPr>
          <w:p w14:paraId="319DB750" w14:textId="77777777" w:rsidR="00086814" w:rsidRPr="00F57392" w:rsidRDefault="00086814" w:rsidP="00903311">
            <w:pPr>
              <w:pStyle w:val="COMTabletext"/>
            </w:pPr>
            <w:r w:rsidRPr="00F57392">
              <w:t>Outcomes</w:t>
            </w:r>
          </w:p>
        </w:tc>
        <w:tc>
          <w:tcPr>
            <w:tcW w:w="7873" w:type="dxa"/>
          </w:tcPr>
          <w:p w14:paraId="0A8E42B2" w14:textId="77777777" w:rsidR="00086814" w:rsidRPr="00F57392" w:rsidRDefault="00086814" w:rsidP="00903311">
            <w:pPr>
              <w:pStyle w:val="COMTabletext"/>
            </w:pPr>
            <w:r w:rsidRPr="00F57392">
              <w:t>Radiographic progression-free survival; overall survival.</w:t>
            </w:r>
          </w:p>
        </w:tc>
      </w:tr>
      <w:tr w:rsidR="00086814" w:rsidRPr="00F57392" w14:paraId="184E5562" w14:textId="77777777" w:rsidTr="00903311">
        <w:tc>
          <w:tcPr>
            <w:tcW w:w="1283" w:type="dxa"/>
            <w:vAlign w:val="center"/>
          </w:tcPr>
          <w:p w14:paraId="5E8D6E70" w14:textId="77777777" w:rsidR="00086814" w:rsidRPr="00F57392" w:rsidRDefault="00086814" w:rsidP="00903311">
            <w:pPr>
              <w:pStyle w:val="COMTabletext"/>
            </w:pPr>
            <w:r w:rsidRPr="00F57392">
              <w:t>Clinical claim</w:t>
            </w:r>
          </w:p>
        </w:tc>
        <w:tc>
          <w:tcPr>
            <w:tcW w:w="7873" w:type="dxa"/>
          </w:tcPr>
          <w:p w14:paraId="72D2B3F3" w14:textId="77777777" w:rsidR="00086814" w:rsidRPr="00F57392" w:rsidRDefault="00086814" w:rsidP="00903311">
            <w:pPr>
              <w:pStyle w:val="COMTabletext"/>
            </w:pPr>
            <w:r w:rsidRPr="00F57392">
              <w:t>Vorasidenib in conjunction with active surveillance is superior in terms of effectiveness and inferior in terms of safety, compared to placebo, as a proxy for active surveillance alone.</w:t>
            </w:r>
          </w:p>
        </w:tc>
      </w:tr>
    </w:tbl>
    <w:p w14:paraId="102E5DDB" w14:textId="77777777" w:rsidR="00086814" w:rsidRPr="00F57392" w:rsidRDefault="00086814" w:rsidP="00086814">
      <w:pPr>
        <w:pStyle w:val="COMTablefooter"/>
      </w:pPr>
      <w:r w:rsidRPr="00F57392">
        <w:t>Source: Table 1.1, p2 of the submission; Section 2.7.2, p71 of the submission.</w:t>
      </w:r>
    </w:p>
    <w:p w14:paraId="38CB4F48" w14:textId="0FF50EF8" w:rsidR="00086814" w:rsidRPr="00F57392" w:rsidRDefault="00086814" w:rsidP="00086814">
      <w:pPr>
        <w:pStyle w:val="COMTablefooter"/>
      </w:pPr>
      <w:r w:rsidRPr="00F57392">
        <w:t>Abbreviations: ECOG, Eastern Cooperative Oncology Group; IDH, isocitrate dehydrogenase; WHO, World Health Organization.</w:t>
      </w:r>
    </w:p>
    <w:p w14:paraId="6B4AB6C2" w14:textId="7F01D731" w:rsidR="005C25FF" w:rsidRPr="00F57392" w:rsidRDefault="005C25FF" w:rsidP="004A6040">
      <w:pPr>
        <w:pStyle w:val="COMH1-numbered"/>
      </w:pPr>
      <w:bookmarkStart w:id="1" w:name="_Toc198628221"/>
      <w:r w:rsidRPr="00F57392">
        <w:t>Background</w:t>
      </w:r>
      <w:bookmarkEnd w:id="1"/>
    </w:p>
    <w:p w14:paraId="2C521D6D" w14:textId="78CF03EE" w:rsidR="005C25FF" w:rsidRPr="00F57392" w:rsidRDefault="005C25FF" w:rsidP="003D5DE7">
      <w:pPr>
        <w:pStyle w:val="COMH2-non-numbered"/>
      </w:pPr>
      <w:bookmarkStart w:id="2" w:name="_Toc22897638"/>
      <w:bookmarkStart w:id="3" w:name="_Toc198628222"/>
      <w:r w:rsidRPr="00F57392">
        <w:t>Registration status</w:t>
      </w:r>
      <w:bookmarkEnd w:id="2"/>
      <w:bookmarkEnd w:id="3"/>
    </w:p>
    <w:p w14:paraId="1A9E9FE0" w14:textId="7F3DE29E" w:rsidR="00086814" w:rsidRDefault="00086814" w:rsidP="00086814">
      <w:pPr>
        <w:pStyle w:val="COMexecsummnumbered"/>
      </w:pPr>
      <w:r w:rsidRPr="00F57392">
        <w:t>Vorasidenib was registered on the Australian Register of Therapeutic Goods (ARTG) on 11 September 2023 for the treatment of Grade 2 astrocytoma or oligodendroglioma with a susceptible IDH1 mutation or IDH2 mutation in adults and paediatric patients 12 years and older, who are not in need of immediate chemotherapy or radiotherapy following surgical intervention.</w:t>
      </w:r>
    </w:p>
    <w:p w14:paraId="0D300919" w14:textId="77777777" w:rsidR="0072208D" w:rsidRDefault="0072208D" w:rsidP="00D3169D">
      <w:pPr>
        <w:rPr>
          <w:i/>
          <w:iCs/>
        </w:rPr>
      </w:pPr>
      <w:bookmarkStart w:id="4" w:name="_Hlk76375324"/>
    </w:p>
    <w:p w14:paraId="6A4BDF3F" w14:textId="658F04C5" w:rsidR="00D3169D" w:rsidRPr="004F5370" w:rsidRDefault="00D3169D" w:rsidP="004F5370">
      <w:pPr>
        <w:ind w:firstLine="720"/>
        <w:rPr>
          <w:i/>
          <w:iCs/>
        </w:rPr>
      </w:pPr>
      <w:r w:rsidRPr="0072208D">
        <w:rPr>
          <w:i/>
          <w:iCs/>
        </w:rPr>
        <w:t>For more detail on PBAC’s view, see section 7 PBAC outcome.</w:t>
      </w:r>
      <w:bookmarkEnd w:id="4"/>
    </w:p>
    <w:p w14:paraId="76E4EF3C" w14:textId="13040F70" w:rsidR="00B60939" w:rsidRPr="00F57392" w:rsidRDefault="00B50DB8" w:rsidP="004E18E9">
      <w:pPr>
        <w:pStyle w:val="COMH1-numbered"/>
      </w:pPr>
      <w:bookmarkStart w:id="5" w:name="_Toc107902078"/>
      <w:bookmarkStart w:id="6" w:name="_Toc198628223"/>
      <w:bookmarkEnd w:id="5"/>
      <w:r w:rsidRPr="00F57392">
        <w:t>Requested listing</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
      </w:tblPr>
      <w:tblGrid>
        <w:gridCol w:w="2488"/>
        <w:gridCol w:w="2257"/>
        <w:gridCol w:w="812"/>
        <w:gridCol w:w="812"/>
        <w:gridCol w:w="812"/>
        <w:gridCol w:w="1836"/>
      </w:tblGrid>
      <w:tr w:rsidR="00033B7B" w:rsidRPr="00F57392" w14:paraId="2420B0AF" w14:textId="77777777" w:rsidTr="00033B7B">
        <w:trPr>
          <w:cantSplit/>
          <w:trHeight w:val="20"/>
        </w:trPr>
        <w:tc>
          <w:tcPr>
            <w:tcW w:w="1380" w:type="pct"/>
            <w:vAlign w:val="center"/>
          </w:tcPr>
          <w:p w14:paraId="189E7683" w14:textId="77777777" w:rsidR="00033B7B" w:rsidRPr="00F57392" w:rsidRDefault="00033B7B" w:rsidP="00621CBD">
            <w:pPr>
              <w:pStyle w:val="COMTableheadingrow"/>
              <w:keepNext w:val="0"/>
              <w:rPr>
                <w:lang w:val="en-AU"/>
              </w:rPr>
            </w:pPr>
            <w:r w:rsidRPr="00F57392">
              <w:rPr>
                <w:lang w:val="en-AU"/>
              </w:rPr>
              <w:t>MEDICINAL PRODUCT</w:t>
            </w:r>
          </w:p>
          <w:p w14:paraId="1235492D" w14:textId="77777777" w:rsidR="00033B7B" w:rsidRPr="00F57392" w:rsidRDefault="00033B7B" w:rsidP="00621CBD">
            <w:pPr>
              <w:pStyle w:val="COMTableheadingrow"/>
              <w:keepNext w:val="0"/>
              <w:rPr>
                <w:lang w:val="en-AU"/>
              </w:rPr>
            </w:pPr>
            <w:r w:rsidRPr="00F57392">
              <w:rPr>
                <w:lang w:val="en-AU"/>
              </w:rPr>
              <w:t>medicinal product pack</w:t>
            </w:r>
          </w:p>
        </w:tc>
        <w:tc>
          <w:tcPr>
            <w:tcW w:w="1252" w:type="pct"/>
            <w:vAlign w:val="center"/>
          </w:tcPr>
          <w:p w14:paraId="2144F5B4" w14:textId="77777777" w:rsidR="00033B7B" w:rsidRPr="00F57392" w:rsidRDefault="00033B7B" w:rsidP="00621CBD">
            <w:pPr>
              <w:pStyle w:val="COMTableheadingrow"/>
              <w:keepNext w:val="0"/>
              <w:jc w:val="center"/>
              <w:rPr>
                <w:lang w:val="en-AU"/>
              </w:rPr>
            </w:pPr>
            <w:r w:rsidRPr="00F57392">
              <w:rPr>
                <w:lang w:val="en-AU"/>
              </w:rPr>
              <w:t>Dispensed Price for Max. Qty</w:t>
            </w:r>
          </w:p>
        </w:tc>
        <w:tc>
          <w:tcPr>
            <w:tcW w:w="450" w:type="pct"/>
            <w:vAlign w:val="center"/>
          </w:tcPr>
          <w:p w14:paraId="6D92B043" w14:textId="77777777" w:rsidR="00033B7B" w:rsidRPr="00F57392" w:rsidRDefault="00033B7B" w:rsidP="00621CBD">
            <w:pPr>
              <w:pStyle w:val="COMTableheadingrow"/>
              <w:keepNext w:val="0"/>
              <w:jc w:val="center"/>
              <w:rPr>
                <w:szCs w:val="20"/>
                <w:lang w:val="en-AU"/>
              </w:rPr>
            </w:pPr>
            <w:r w:rsidRPr="00F57392">
              <w:rPr>
                <w:szCs w:val="20"/>
                <w:lang w:val="en-AU"/>
              </w:rPr>
              <w:t>Max. qty packs</w:t>
            </w:r>
          </w:p>
        </w:tc>
        <w:tc>
          <w:tcPr>
            <w:tcW w:w="450" w:type="pct"/>
            <w:vAlign w:val="center"/>
          </w:tcPr>
          <w:p w14:paraId="2F80EB2F" w14:textId="77777777" w:rsidR="00033B7B" w:rsidRPr="00F57392" w:rsidRDefault="00033B7B" w:rsidP="00621CBD">
            <w:pPr>
              <w:pStyle w:val="COMTableheadingrow"/>
              <w:keepNext w:val="0"/>
              <w:jc w:val="center"/>
              <w:rPr>
                <w:szCs w:val="20"/>
                <w:lang w:val="en-AU"/>
              </w:rPr>
            </w:pPr>
            <w:r w:rsidRPr="00F57392">
              <w:rPr>
                <w:szCs w:val="20"/>
                <w:lang w:val="en-AU"/>
              </w:rPr>
              <w:t>Max. qty units</w:t>
            </w:r>
          </w:p>
        </w:tc>
        <w:tc>
          <w:tcPr>
            <w:tcW w:w="450" w:type="pct"/>
            <w:vAlign w:val="center"/>
          </w:tcPr>
          <w:p w14:paraId="7FCB32D3" w14:textId="77777777" w:rsidR="00033B7B" w:rsidRPr="00F57392" w:rsidRDefault="00033B7B" w:rsidP="00621CBD">
            <w:pPr>
              <w:pStyle w:val="COMTableheadingrow"/>
              <w:keepNext w:val="0"/>
              <w:jc w:val="center"/>
              <w:rPr>
                <w:szCs w:val="20"/>
                <w:lang w:val="en-AU"/>
              </w:rPr>
            </w:pPr>
            <w:r w:rsidRPr="00F57392">
              <w:rPr>
                <w:szCs w:val="20"/>
                <w:lang w:val="en-AU"/>
              </w:rPr>
              <w:t>№.of</w:t>
            </w:r>
          </w:p>
          <w:p w14:paraId="3169D72B" w14:textId="77777777" w:rsidR="00033B7B" w:rsidRPr="00F57392" w:rsidRDefault="00033B7B" w:rsidP="00621CBD">
            <w:pPr>
              <w:pStyle w:val="COMTableheadingrow"/>
              <w:keepNext w:val="0"/>
              <w:jc w:val="center"/>
              <w:rPr>
                <w:szCs w:val="20"/>
                <w:lang w:val="en-AU"/>
              </w:rPr>
            </w:pPr>
            <w:r w:rsidRPr="00F57392">
              <w:rPr>
                <w:szCs w:val="20"/>
                <w:lang w:val="en-AU"/>
              </w:rPr>
              <w:t>Rpts</w:t>
            </w:r>
          </w:p>
        </w:tc>
        <w:tc>
          <w:tcPr>
            <w:tcW w:w="1018" w:type="pct"/>
            <w:vAlign w:val="center"/>
          </w:tcPr>
          <w:p w14:paraId="447052AE" w14:textId="77777777" w:rsidR="00033B7B" w:rsidRPr="00F57392" w:rsidRDefault="00033B7B" w:rsidP="00621CBD">
            <w:pPr>
              <w:pStyle w:val="COMTableheadingrow"/>
              <w:keepNext w:val="0"/>
              <w:jc w:val="center"/>
              <w:rPr>
                <w:szCs w:val="20"/>
                <w:lang w:val="en-AU"/>
              </w:rPr>
            </w:pPr>
            <w:r w:rsidRPr="00F57392">
              <w:rPr>
                <w:szCs w:val="20"/>
                <w:lang w:val="en-AU"/>
              </w:rPr>
              <w:t>Available brands</w:t>
            </w:r>
          </w:p>
        </w:tc>
      </w:tr>
      <w:tr w:rsidR="00033B7B" w:rsidRPr="00F57392" w14:paraId="10FAB661" w14:textId="77777777" w:rsidTr="00033B7B">
        <w:trPr>
          <w:cantSplit/>
          <w:trHeight w:val="20"/>
        </w:trPr>
        <w:tc>
          <w:tcPr>
            <w:tcW w:w="5000" w:type="pct"/>
            <w:gridSpan w:val="6"/>
            <w:vAlign w:val="center"/>
          </w:tcPr>
          <w:p w14:paraId="1526EA64" w14:textId="77777777" w:rsidR="00033B7B" w:rsidRPr="00F57392" w:rsidRDefault="00033B7B" w:rsidP="00621CBD">
            <w:pPr>
              <w:pStyle w:val="COMTabletext"/>
              <w:keepNext w:val="0"/>
              <w:rPr>
                <w:rFonts w:cs="Arial"/>
                <w:szCs w:val="20"/>
              </w:rPr>
            </w:pPr>
            <w:r w:rsidRPr="00F57392">
              <w:t>VORASIDENIB</w:t>
            </w:r>
          </w:p>
        </w:tc>
      </w:tr>
      <w:tr w:rsidR="00033B7B" w:rsidRPr="00F57392" w14:paraId="7BCC545F" w14:textId="77777777" w:rsidTr="00033B7B">
        <w:trPr>
          <w:cantSplit/>
          <w:trHeight w:val="20"/>
        </w:trPr>
        <w:tc>
          <w:tcPr>
            <w:tcW w:w="1380" w:type="pct"/>
            <w:vAlign w:val="center"/>
          </w:tcPr>
          <w:p w14:paraId="2FFCAFB9" w14:textId="77777777" w:rsidR="00033B7B" w:rsidRPr="00F57392" w:rsidRDefault="00033B7B" w:rsidP="00621CBD">
            <w:pPr>
              <w:rPr>
                <w:rFonts w:ascii="Arial Narrow" w:hAnsi="Arial Narrow"/>
                <w:sz w:val="20"/>
                <w:szCs w:val="20"/>
              </w:rPr>
            </w:pPr>
            <w:r w:rsidRPr="00F57392">
              <w:rPr>
                <w:rFonts w:ascii="Arial Narrow" w:hAnsi="Arial Narrow"/>
                <w:sz w:val="20"/>
                <w:szCs w:val="20"/>
              </w:rPr>
              <w:lastRenderedPageBreak/>
              <w:t>Vorasidenib 10 mg tablet, 60</w:t>
            </w:r>
          </w:p>
        </w:tc>
        <w:tc>
          <w:tcPr>
            <w:tcW w:w="1252" w:type="pct"/>
            <w:vAlign w:val="center"/>
          </w:tcPr>
          <w:p w14:paraId="0BEE114B" w14:textId="7D0BBE24" w:rsidR="00033B7B" w:rsidRPr="00F57392" w:rsidRDefault="00033B7B" w:rsidP="00621CBD">
            <w:pPr>
              <w:pStyle w:val="COMTabletext"/>
              <w:keepNext w:val="0"/>
              <w:jc w:val="center"/>
            </w:pPr>
            <w:r w:rsidRPr="00F57392">
              <w:t>$</w:t>
            </w:r>
            <w:r w:rsidR="00556852" w:rsidRPr="00103C74">
              <w:rPr>
                <w:rFonts w:hint="eastAsia"/>
                <w:color w:val="000000"/>
                <w:w w:val="32"/>
                <w:shd w:val="solid" w:color="000000" w:fill="000000"/>
                <w:fitText w:val="144" w:id="-629514495"/>
                <w14:textFill>
                  <w14:solidFill>
                    <w14:srgbClr w14:val="000000">
                      <w14:alpha w14:val="100000"/>
                    </w14:srgbClr>
                  </w14:solidFill>
                </w14:textFill>
              </w:rPr>
              <w:t xml:space="preserve">　</w:t>
            </w:r>
            <w:r w:rsidR="00556852" w:rsidRPr="00103C74">
              <w:rPr>
                <w:color w:val="000000"/>
                <w:w w:val="32"/>
                <w:shd w:val="solid" w:color="000000" w:fill="000000"/>
                <w:fitText w:val="144" w:id="-629514495"/>
                <w14:textFill>
                  <w14:solidFill>
                    <w14:srgbClr w14:val="000000">
                      <w14:alpha w14:val="100000"/>
                    </w14:srgbClr>
                  </w14:solidFill>
                </w14:textFill>
              </w:rPr>
              <w:t>|</w:t>
            </w:r>
            <w:r w:rsidR="00556852" w:rsidRPr="00103C74">
              <w:rPr>
                <w:rFonts w:hint="eastAsia"/>
                <w:color w:val="000000"/>
                <w:spacing w:val="5"/>
                <w:w w:val="32"/>
                <w:shd w:val="solid" w:color="000000" w:fill="000000"/>
                <w:fitText w:val="144" w:id="-629514495"/>
                <w14:textFill>
                  <w14:solidFill>
                    <w14:srgbClr w14:val="000000">
                      <w14:alpha w14:val="100000"/>
                    </w14:srgbClr>
                  </w14:solidFill>
                </w14:textFill>
              </w:rPr>
              <w:t xml:space="preserve">　</w:t>
            </w:r>
            <w:r w:rsidRPr="00F57392">
              <w:t xml:space="preserve"> published price</w:t>
            </w:r>
          </w:p>
          <w:p w14:paraId="471A2FDB" w14:textId="701A9391" w:rsidR="00033B7B" w:rsidRPr="00F57392" w:rsidRDefault="00033B7B" w:rsidP="00621CBD">
            <w:pPr>
              <w:pStyle w:val="COMTabletext"/>
              <w:keepNext w:val="0"/>
              <w:jc w:val="center"/>
              <w:rPr>
                <w:szCs w:val="20"/>
              </w:rPr>
            </w:pPr>
            <w:r w:rsidRPr="00F57392">
              <w:t>$</w:t>
            </w:r>
            <w:r w:rsidR="00556852" w:rsidRPr="00103C74">
              <w:rPr>
                <w:rFonts w:hint="eastAsia"/>
                <w:color w:val="000000"/>
                <w:w w:val="21"/>
                <w:shd w:val="solid" w:color="000000" w:fill="000000"/>
                <w:fitText w:val="96" w:id="-629514494"/>
                <w14:textFill>
                  <w14:solidFill>
                    <w14:srgbClr w14:val="000000">
                      <w14:alpha w14:val="100000"/>
                    </w14:srgbClr>
                  </w14:solidFill>
                </w14:textFill>
              </w:rPr>
              <w:t xml:space="preserve">　</w:t>
            </w:r>
            <w:r w:rsidR="00556852" w:rsidRPr="00103C74">
              <w:rPr>
                <w:color w:val="000000"/>
                <w:w w:val="21"/>
                <w:shd w:val="solid" w:color="000000" w:fill="000000"/>
                <w:fitText w:val="96" w:id="-629514494"/>
                <w14:textFill>
                  <w14:solidFill>
                    <w14:srgbClr w14:val="000000">
                      <w14:alpha w14:val="100000"/>
                    </w14:srgbClr>
                  </w14:solidFill>
                </w14:textFill>
              </w:rPr>
              <w:t>|</w:t>
            </w:r>
            <w:r w:rsidR="00556852" w:rsidRPr="00103C74">
              <w:rPr>
                <w:rFonts w:hint="eastAsia"/>
                <w:color w:val="000000"/>
                <w:spacing w:val="5"/>
                <w:w w:val="21"/>
                <w:shd w:val="solid" w:color="000000" w:fill="000000"/>
                <w:fitText w:val="96" w:id="-629514494"/>
                <w14:textFill>
                  <w14:solidFill>
                    <w14:srgbClr w14:val="000000">
                      <w14:alpha w14:val="100000"/>
                    </w14:srgbClr>
                  </w14:solidFill>
                </w14:textFill>
              </w:rPr>
              <w:t xml:space="preserve">　</w:t>
            </w:r>
            <w:r w:rsidRPr="00F57392">
              <w:t xml:space="preserve"> effective price</w:t>
            </w:r>
          </w:p>
        </w:tc>
        <w:tc>
          <w:tcPr>
            <w:tcW w:w="450" w:type="pct"/>
            <w:vAlign w:val="center"/>
          </w:tcPr>
          <w:p w14:paraId="52AAB495" w14:textId="77777777" w:rsidR="00033B7B" w:rsidRPr="00F57392" w:rsidRDefault="00033B7B" w:rsidP="00621CBD">
            <w:pPr>
              <w:jc w:val="center"/>
              <w:rPr>
                <w:rFonts w:ascii="Arial Narrow" w:hAnsi="Arial Narrow"/>
                <w:sz w:val="20"/>
                <w:szCs w:val="20"/>
              </w:rPr>
            </w:pPr>
            <w:r w:rsidRPr="00F57392">
              <w:rPr>
                <w:rFonts w:ascii="Arial Narrow" w:hAnsi="Arial Narrow"/>
                <w:sz w:val="20"/>
              </w:rPr>
              <w:t>1</w:t>
            </w:r>
          </w:p>
        </w:tc>
        <w:tc>
          <w:tcPr>
            <w:tcW w:w="450" w:type="pct"/>
            <w:vAlign w:val="center"/>
          </w:tcPr>
          <w:p w14:paraId="79DE91AA" w14:textId="77777777" w:rsidR="00033B7B" w:rsidRPr="00F57392" w:rsidRDefault="00033B7B" w:rsidP="00621CBD">
            <w:pPr>
              <w:jc w:val="center"/>
              <w:rPr>
                <w:rFonts w:ascii="Arial Narrow" w:hAnsi="Arial Narrow"/>
                <w:sz w:val="20"/>
                <w:szCs w:val="20"/>
              </w:rPr>
            </w:pPr>
            <w:r w:rsidRPr="00F57392">
              <w:rPr>
                <w:rFonts w:ascii="Arial Narrow" w:hAnsi="Arial Narrow"/>
                <w:sz w:val="20"/>
              </w:rPr>
              <w:t>60</w:t>
            </w:r>
          </w:p>
        </w:tc>
        <w:tc>
          <w:tcPr>
            <w:tcW w:w="450" w:type="pct"/>
            <w:vAlign w:val="center"/>
          </w:tcPr>
          <w:p w14:paraId="6A872948" w14:textId="77777777" w:rsidR="00033B7B" w:rsidRPr="00F57392" w:rsidRDefault="00033B7B" w:rsidP="00621CBD">
            <w:pPr>
              <w:jc w:val="center"/>
              <w:rPr>
                <w:rFonts w:ascii="Arial Narrow" w:hAnsi="Arial Narrow"/>
                <w:sz w:val="20"/>
                <w:szCs w:val="20"/>
              </w:rPr>
            </w:pPr>
            <w:r w:rsidRPr="00F57392">
              <w:rPr>
                <w:rFonts w:ascii="Arial Narrow" w:hAnsi="Arial Narrow"/>
                <w:sz w:val="20"/>
              </w:rPr>
              <w:t>5</w:t>
            </w:r>
          </w:p>
        </w:tc>
        <w:tc>
          <w:tcPr>
            <w:tcW w:w="1018" w:type="pct"/>
            <w:vAlign w:val="center"/>
          </w:tcPr>
          <w:p w14:paraId="5E47992E" w14:textId="77777777" w:rsidR="00033B7B" w:rsidRPr="00F57392" w:rsidRDefault="00033B7B" w:rsidP="00621CBD">
            <w:pPr>
              <w:jc w:val="center"/>
              <w:rPr>
                <w:rFonts w:ascii="Arial Narrow" w:hAnsi="Arial Narrow"/>
                <w:sz w:val="20"/>
                <w:szCs w:val="20"/>
              </w:rPr>
            </w:pPr>
            <w:r w:rsidRPr="00F57392">
              <w:rPr>
                <w:rFonts w:ascii="Arial Narrow" w:hAnsi="Arial Narrow"/>
                <w:sz w:val="20"/>
                <w:szCs w:val="20"/>
              </w:rPr>
              <w:t>Voranigo</w:t>
            </w:r>
          </w:p>
        </w:tc>
      </w:tr>
      <w:tr w:rsidR="00033B7B" w:rsidRPr="00F57392" w14:paraId="596E383B" w14:textId="77777777" w:rsidTr="00033B7B">
        <w:trPr>
          <w:cantSplit/>
          <w:trHeight w:val="20"/>
        </w:trPr>
        <w:tc>
          <w:tcPr>
            <w:tcW w:w="1380" w:type="pct"/>
            <w:tcBorders>
              <w:bottom w:val="double" w:sz="4" w:space="0" w:color="auto"/>
            </w:tcBorders>
            <w:vAlign w:val="center"/>
          </w:tcPr>
          <w:p w14:paraId="68CDB878" w14:textId="77777777" w:rsidR="00033B7B" w:rsidRPr="00F57392" w:rsidRDefault="00033B7B" w:rsidP="00621CBD">
            <w:pPr>
              <w:tabs>
                <w:tab w:val="left" w:pos="1077"/>
              </w:tabs>
              <w:rPr>
                <w:rFonts w:ascii="Arial Narrow" w:hAnsi="Arial Narrow"/>
                <w:sz w:val="20"/>
                <w:szCs w:val="20"/>
              </w:rPr>
            </w:pPr>
            <w:r w:rsidRPr="00F57392">
              <w:rPr>
                <w:rFonts w:ascii="Arial Narrow" w:hAnsi="Arial Narrow"/>
                <w:sz w:val="20"/>
                <w:szCs w:val="20"/>
              </w:rPr>
              <w:t>Vorasidenib 40 mg tablet, 30</w:t>
            </w:r>
          </w:p>
        </w:tc>
        <w:tc>
          <w:tcPr>
            <w:tcW w:w="1252" w:type="pct"/>
            <w:tcBorders>
              <w:bottom w:val="double" w:sz="4" w:space="0" w:color="auto"/>
            </w:tcBorders>
            <w:vAlign w:val="center"/>
          </w:tcPr>
          <w:p w14:paraId="372ACC74" w14:textId="146217AD" w:rsidR="00033B7B" w:rsidRPr="00F57392" w:rsidRDefault="00033B7B" w:rsidP="00621CBD">
            <w:pPr>
              <w:jc w:val="center"/>
              <w:rPr>
                <w:rFonts w:ascii="Arial Narrow" w:hAnsi="Arial Narrow"/>
                <w:sz w:val="20"/>
                <w:szCs w:val="20"/>
              </w:rPr>
            </w:pPr>
            <w:r w:rsidRPr="00F57392">
              <w:rPr>
                <w:rFonts w:ascii="Arial Narrow" w:hAnsi="Arial Narrow"/>
                <w:sz w:val="20"/>
                <w:szCs w:val="20"/>
              </w:rPr>
              <w:t>$</w:t>
            </w:r>
            <w:r w:rsidR="00556852" w:rsidRPr="00746083">
              <w:rPr>
                <w:rFonts w:ascii="Arial Narrow" w:hAnsi="Arial Narrow" w:hint="eastAsia"/>
                <w:color w:val="000000"/>
                <w:w w:val="32"/>
                <w:sz w:val="20"/>
                <w:szCs w:val="20"/>
                <w:shd w:val="solid" w:color="000000" w:fill="000000"/>
                <w:fitText w:val="144" w:id="-629514493"/>
                <w14:textFill>
                  <w14:solidFill>
                    <w14:srgbClr w14:val="000000">
                      <w14:alpha w14:val="100000"/>
                    </w14:srgbClr>
                  </w14:solidFill>
                </w14:textFill>
              </w:rPr>
              <w:t xml:space="preserve">　</w:t>
            </w:r>
            <w:r w:rsidR="00556852" w:rsidRPr="00746083">
              <w:rPr>
                <w:rFonts w:ascii="Arial Narrow" w:hAnsi="Arial Narrow"/>
                <w:color w:val="000000"/>
                <w:w w:val="32"/>
                <w:sz w:val="20"/>
                <w:szCs w:val="20"/>
                <w:shd w:val="solid" w:color="000000" w:fill="000000"/>
                <w:fitText w:val="144" w:id="-629514493"/>
                <w14:textFill>
                  <w14:solidFill>
                    <w14:srgbClr w14:val="000000">
                      <w14:alpha w14:val="100000"/>
                    </w14:srgbClr>
                  </w14:solidFill>
                </w14:textFill>
              </w:rPr>
              <w:t>|</w:t>
            </w:r>
            <w:r w:rsidR="00556852" w:rsidRPr="00746083">
              <w:rPr>
                <w:rFonts w:ascii="Arial Narrow" w:hAnsi="Arial Narrow" w:hint="eastAsia"/>
                <w:color w:val="000000"/>
                <w:spacing w:val="5"/>
                <w:w w:val="32"/>
                <w:sz w:val="20"/>
                <w:szCs w:val="20"/>
                <w:shd w:val="solid" w:color="000000" w:fill="000000"/>
                <w:fitText w:val="144" w:id="-629514493"/>
                <w14:textFill>
                  <w14:solidFill>
                    <w14:srgbClr w14:val="000000">
                      <w14:alpha w14:val="100000"/>
                    </w14:srgbClr>
                  </w14:solidFill>
                </w14:textFill>
              </w:rPr>
              <w:t xml:space="preserve">　</w:t>
            </w:r>
            <w:r w:rsidRPr="00F57392">
              <w:rPr>
                <w:rFonts w:ascii="Arial Narrow" w:hAnsi="Arial Narrow"/>
                <w:sz w:val="20"/>
                <w:szCs w:val="20"/>
              </w:rPr>
              <w:t xml:space="preserve"> published price</w:t>
            </w:r>
          </w:p>
          <w:p w14:paraId="7FF25774" w14:textId="7386A973" w:rsidR="00033B7B" w:rsidRPr="00F57392" w:rsidRDefault="00033B7B" w:rsidP="00621CBD">
            <w:pPr>
              <w:jc w:val="center"/>
              <w:rPr>
                <w:rFonts w:ascii="Arial Narrow" w:hAnsi="Arial Narrow"/>
                <w:sz w:val="20"/>
                <w:szCs w:val="20"/>
              </w:rPr>
            </w:pPr>
            <w:r w:rsidRPr="00F57392">
              <w:rPr>
                <w:rFonts w:ascii="Arial Narrow" w:hAnsi="Arial Narrow"/>
                <w:sz w:val="20"/>
                <w:szCs w:val="20"/>
              </w:rPr>
              <w:t>$</w:t>
            </w:r>
            <w:r w:rsidR="00556852" w:rsidRPr="00746083">
              <w:rPr>
                <w:rFonts w:ascii="Arial Narrow" w:hAnsi="Arial Narrow" w:hint="eastAsia"/>
                <w:color w:val="000000"/>
                <w:w w:val="21"/>
                <w:sz w:val="20"/>
                <w:szCs w:val="20"/>
                <w:shd w:val="solid" w:color="000000" w:fill="000000"/>
                <w:fitText w:val="96" w:id="-629514492"/>
                <w14:textFill>
                  <w14:solidFill>
                    <w14:srgbClr w14:val="000000">
                      <w14:alpha w14:val="100000"/>
                    </w14:srgbClr>
                  </w14:solidFill>
                </w14:textFill>
              </w:rPr>
              <w:t xml:space="preserve">　</w:t>
            </w:r>
            <w:r w:rsidR="00556852" w:rsidRPr="00746083">
              <w:rPr>
                <w:rFonts w:ascii="Arial Narrow" w:hAnsi="Arial Narrow"/>
                <w:color w:val="000000"/>
                <w:w w:val="21"/>
                <w:sz w:val="20"/>
                <w:szCs w:val="20"/>
                <w:shd w:val="solid" w:color="000000" w:fill="000000"/>
                <w:fitText w:val="96" w:id="-629514492"/>
                <w14:textFill>
                  <w14:solidFill>
                    <w14:srgbClr w14:val="000000">
                      <w14:alpha w14:val="100000"/>
                    </w14:srgbClr>
                  </w14:solidFill>
                </w14:textFill>
              </w:rPr>
              <w:t>|</w:t>
            </w:r>
            <w:r w:rsidR="00556852" w:rsidRPr="00746083">
              <w:rPr>
                <w:rFonts w:ascii="Arial Narrow" w:hAnsi="Arial Narrow" w:hint="eastAsia"/>
                <w:color w:val="000000"/>
                <w:spacing w:val="5"/>
                <w:w w:val="21"/>
                <w:sz w:val="20"/>
                <w:szCs w:val="20"/>
                <w:shd w:val="solid" w:color="000000" w:fill="000000"/>
                <w:fitText w:val="96" w:id="-629514492"/>
                <w14:textFill>
                  <w14:solidFill>
                    <w14:srgbClr w14:val="000000">
                      <w14:alpha w14:val="100000"/>
                    </w14:srgbClr>
                  </w14:solidFill>
                </w14:textFill>
              </w:rPr>
              <w:t xml:space="preserve">　</w:t>
            </w:r>
            <w:r w:rsidRPr="00F57392">
              <w:rPr>
                <w:rFonts w:ascii="Arial Narrow" w:hAnsi="Arial Narrow"/>
                <w:sz w:val="20"/>
                <w:szCs w:val="20"/>
              </w:rPr>
              <w:t xml:space="preserve"> effective price</w:t>
            </w:r>
          </w:p>
        </w:tc>
        <w:tc>
          <w:tcPr>
            <w:tcW w:w="450" w:type="pct"/>
            <w:tcBorders>
              <w:bottom w:val="double" w:sz="4" w:space="0" w:color="auto"/>
            </w:tcBorders>
            <w:vAlign w:val="center"/>
          </w:tcPr>
          <w:p w14:paraId="0F11EAC4" w14:textId="77777777" w:rsidR="00033B7B" w:rsidRPr="00F57392" w:rsidRDefault="00033B7B" w:rsidP="00621CBD">
            <w:pPr>
              <w:jc w:val="center"/>
              <w:rPr>
                <w:rFonts w:ascii="Arial Narrow" w:hAnsi="Arial Narrow"/>
                <w:sz w:val="20"/>
                <w:szCs w:val="20"/>
              </w:rPr>
            </w:pPr>
            <w:r w:rsidRPr="00F57392">
              <w:rPr>
                <w:rFonts w:ascii="Arial Narrow" w:hAnsi="Arial Narrow"/>
                <w:sz w:val="20"/>
                <w:szCs w:val="20"/>
              </w:rPr>
              <w:t>1</w:t>
            </w:r>
          </w:p>
        </w:tc>
        <w:tc>
          <w:tcPr>
            <w:tcW w:w="450" w:type="pct"/>
            <w:tcBorders>
              <w:bottom w:val="double" w:sz="4" w:space="0" w:color="auto"/>
            </w:tcBorders>
            <w:vAlign w:val="center"/>
          </w:tcPr>
          <w:p w14:paraId="3D680ACA" w14:textId="77777777" w:rsidR="00033B7B" w:rsidRPr="00F57392" w:rsidRDefault="00033B7B" w:rsidP="00621CBD">
            <w:pPr>
              <w:jc w:val="center"/>
              <w:rPr>
                <w:rFonts w:ascii="Arial Narrow" w:hAnsi="Arial Narrow"/>
                <w:sz w:val="20"/>
                <w:szCs w:val="20"/>
              </w:rPr>
            </w:pPr>
            <w:r w:rsidRPr="00F57392">
              <w:rPr>
                <w:rFonts w:ascii="Arial Narrow" w:hAnsi="Arial Narrow"/>
                <w:sz w:val="20"/>
                <w:szCs w:val="20"/>
              </w:rPr>
              <w:t>30</w:t>
            </w:r>
          </w:p>
        </w:tc>
        <w:tc>
          <w:tcPr>
            <w:tcW w:w="450" w:type="pct"/>
            <w:tcBorders>
              <w:bottom w:val="double" w:sz="4" w:space="0" w:color="auto"/>
            </w:tcBorders>
            <w:vAlign w:val="center"/>
          </w:tcPr>
          <w:p w14:paraId="5B72B9F4" w14:textId="77777777" w:rsidR="00033B7B" w:rsidRPr="00F57392" w:rsidRDefault="00033B7B" w:rsidP="00621CBD">
            <w:pPr>
              <w:jc w:val="center"/>
              <w:rPr>
                <w:rFonts w:ascii="Arial Narrow" w:hAnsi="Arial Narrow"/>
                <w:sz w:val="20"/>
                <w:szCs w:val="20"/>
              </w:rPr>
            </w:pPr>
            <w:r w:rsidRPr="00F57392">
              <w:rPr>
                <w:rFonts w:ascii="Arial Narrow" w:hAnsi="Arial Narrow"/>
                <w:sz w:val="20"/>
                <w:szCs w:val="20"/>
              </w:rPr>
              <w:t>5</w:t>
            </w:r>
          </w:p>
        </w:tc>
        <w:tc>
          <w:tcPr>
            <w:tcW w:w="1018" w:type="pct"/>
            <w:vAlign w:val="center"/>
          </w:tcPr>
          <w:p w14:paraId="5B54A5EC" w14:textId="77777777" w:rsidR="00033B7B" w:rsidRPr="00F57392" w:rsidRDefault="00033B7B" w:rsidP="00621CBD">
            <w:pPr>
              <w:jc w:val="center"/>
              <w:rPr>
                <w:rFonts w:ascii="Arial Narrow" w:hAnsi="Arial Narrow"/>
                <w:sz w:val="20"/>
                <w:szCs w:val="20"/>
              </w:rPr>
            </w:pPr>
            <w:r w:rsidRPr="00F57392">
              <w:rPr>
                <w:rFonts w:ascii="Arial Narrow" w:hAnsi="Arial Narrow"/>
                <w:sz w:val="20"/>
                <w:szCs w:val="20"/>
              </w:rPr>
              <w:t>Voranigo</w:t>
            </w:r>
          </w:p>
        </w:tc>
      </w:tr>
      <w:tr w:rsidR="00033B7B" w:rsidRPr="001428E9" w14:paraId="0D706272" w14:textId="77777777" w:rsidTr="003B351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7470260B" w14:textId="77777777" w:rsidR="00033B7B" w:rsidRPr="00BE48FF" w:rsidRDefault="00033B7B" w:rsidP="00621CBD">
            <w:pPr>
              <w:keepNext/>
              <w:rPr>
                <w:rFonts w:ascii="Arial Narrow" w:hAnsi="Arial Narrow"/>
                <w:sz w:val="20"/>
                <w:szCs w:val="20"/>
              </w:rPr>
            </w:pPr>
          </w:p>
        </w:tc>
      </w:tr>
      <w:tr w:rsidR="00033B7B" w:rsidRPr="001428E9" w14:paraId="6D16EC52" w14:textId="77777777" w:rsidTr="003B351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B7D5900" w14:textId="77777777" w:rsidR="00033B7B" w:rsidRPr="00BE48FF" w:rsidRDefault="00033B7B" w:rsidP="00621CBD">
            <w:pPr>
              <w:keepNext/>
              <w:keepLines/>
              <w:rPr>
                <w:rFonts w:ascii="Arial Narrow" w:hAnsi="Arial Narrow"/>
                <w:sz w:val="20"/>
                <w:szCs w:val="20"/>
              </w:rPr>
            </w:pPr>
            <w:r w:rsidRPr="00BE48FF">
              <w:rPr>
                <w:rFonts w:ascii="Arial Narrow" w:hAnsi="Arial Narrow"/>
                <w:b/>
                <w:sz w:val="20"/>
                <w:szCs w:val="20"/>
              </w:rPr>
              <w:t>Category / Program:</w:t>
            </w:r>
          </w:p>
          <w:p w14:paraId="02CC2793" w14:textId="77777777" w:rsidR="00033B7B" w:rsidRPr="00BE48FF" w:rsidRDefault="00033B7B" w:rsidP="00621CBD">
            <w:pPr>
              <w:keepNext/>
              <w:keepLines/>
              <w:rPr>
                <w:rFonts w:ascii="Arial Narrow" w:hAnsi="Arial Narrow"/>
                <w:sz w:val="20"/>
                <w:szCs w:val="20"/>
              </w:rPr>
            </w:pPr>
            <w:r w:rsidRPr="00BE48FF">
              <w:rPr>
                <w:rFonts w:ascii="Arial Narrow" w:eastAsia="Calibri" w:hAnsi="Arial Narrow"/>
                <w:sz w:val="20"/>
                <w:szCs w:val="20"/>
              </w:rPr>
              <w:fldChar w:fldCharType="begin">
                <w:ffData>
                  <w:name w:val="Check1"/>
                  <w:enabled/>
                  <w:calcOnExit w:val="0"/>
                  <w:checkBox>
                    <w:sizeAuto/>
                    <w:default w:val="1"/>
                  </w:checkBox>
                </w:ffData>
              </w:fldChar>
            </w:r>
            <w:r w:rsidRPr="00BE48FF">
              <w:rPr>
                <w:rFonts w:ascii="Arial Narrow" w:eastAsia="Calibri" w:hAnsi="Arial Narrow"/>
                <w:sz w:val="20"/>
                <w:szCs w:val="20"/>
              </w:rPr>
              <w:instrText xml:space="preserve"> FORMCHECKBOX </w:instrText>
            </w:r>
            <w:r w:rsidRPr="00BE48FF">
              <w:rPr>
                <w:rFonts w:ascii="Arial Narrow" w:eastAsia="Calibri" w:hAnsi="Arial Narrow"/>
                <w:sz w:val="20"/>
                <w:szCs w:val="20"/>
              </w:rPr>
            </w:r>
            <w:r w:rsidRPr="00BE48FF">
              <w:rPr>
                <w:rFonts w:ascii="Arial Narrow" w:eastAsia="Calibri" w:hAnsi="Arial Narrow"/>
                <w:sz w:val="20"/>
                <w:szCs w:val="20"/>
              </w:rPr>
              <w:fldChar w:fldCharType="separate"/>
            </w:r>
            <w:r w:rsidRPr="00BE48FF">
              <w:rPr>
                <w:rFonts w:ascii="Arial Narrow" w:eastAsia="Calibri" w:hAnsi="Arial Narrow"/>
                <w:sz w:val="20"/>
                <w:szCs w:val="20"/>
              </w:rPr>
              <w:fldChar w:fldCharType="end"/>
            </w:r>
            <w:r w:rsidRPr="00BE48FF">
              <w:rPr>
                <w:rFonts w:ascii="Arial Narrow" w:eastAsia="Calibri" w:hAnsi="Arial Narrow"/>
                <w:sz w:val="20"/>
                <w:szCs w:val="20"/>
              </w:rPr>
              <w:t xml:space="preserve"> GENERAL – General Schedule (Code GE) </w:t>
            </w:r>
          </w:p>
        </w:tc>
      </w:tr>
      <w:tr w:rsidR="00033B7B" w:rsidRPr="001428E9" w14:paraId="580CD135" w14:textId="77777777" w:rsidTr="003B351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374EF4B" w14:textId="77777777" w:rsidR="00033B7B" w:rsidRPr="00BE48FF" w:rsidRDefault="00033B7B" w:rsidP="00621CBD">
            <w:pPr>
              <w:keepLines/>
              <w:rPr>
                <w:rFonts w:ascii="Arial Narrow" w:hAnsi="Arial Narrow"/>
                <w:b/>
                <w:sz w:val="20"/>
                <w:szCs w:val="20"/>
              </w:rPr>
            </w:pPr>
            <w:r w:rsidRPr="00BE48FF">
              <w:rPr>
                <w:rFonts w:ascii="Arial Narrow" w:hAnsi="Arial Narrow"/>
                <w:b/>
                <w:sz w:val="20"/>
                <w:szCs w:val="20"/>
              </w:rPr>
              <w:t xml:space="preserve">Prescriber type: </w:t>
            </w:r>
            <w:r w:rsidRPr="00BE48FF">
              <w:rPr>
                <w:rFonts w:ascii="Arial Narrow" w:hAnsi="Arial Narrow"/>
                <w:sz w:val="20"/>
                <w:szCs w:val="20"/>
              </w:rPr>
              <w:fldChar w:fldCharType="begin">
                <w:ffData>
                  <w:name w:val=""/>
                  <w:enabled/>
                  <w:calcOnExit w:val="0"/>
                  <w:checkBox>
                    <w:sizeAuto/>
                    <w:default w:val="1"/>
                  </w:checkBox>
                </w:ffData>
              </w:fldChar>
            </w:r>
            <w:r w:rsidRPr="00BE48FF">
              <w:rPr>
                <w:rFonts w:ascii="Arial Narrow" w:hAnsi="Arial Narrow"/>
                <w:sz w:val="20"/>
                <w:szCs w:val="20"/>
              </w:rPr>
              <w:instrText xml:space="preserve"> FORMCHECKBOX </w:instrText>
            </w:r>
            <w:r w:rsidRPr="00BE48FF">
              <w:rPr>
                <w:rFonts w:ascii="Arial Narrow" w:hAnsi="Arial Narrow"/>
                <w:sz w:val="20"/>
                <w:szCs w:val="20"/>
              </w:rPr>
            </w:r>
            <w:r w:rsidRPr="00BE48FF">
              <w:rPr>
                <w:rFonts w:ascii="Arial Narrow" w:hAnsi="Arial Narrow"/>
                <w:sz w:val="20"/>
                <w:szCs w:val="20"/>
              </w:rPr>
              <w:fldChar w:fldCharType="separate"/>
            </w:r>
            <w:r w:rsidRPr="00BE48FF">
              <w:rPr>
                <w:rFonts w:ascii="Arial Narrow" w:hAnsi="Arial Narrow"/>
                <w:sz w:val="20"/>
                <w:szCs w:val="20"/>
              </w:rPr>
              <w:fldChar w:fldCharType="end"/>
            </w:r>
            <w:r w:rsidRPr="00BE48FF">
              <w:rPr>
                <w:rFonts w:ascii="Arial Narrow" w:hAnsi="Arial Narrow"/>
                <w:sz w:val="20"/>
                <w:szCs w:val="20"/>
              </w:rPr>
              <w:t>Medical Practitioners</w:t>
            </w:r>
          </w:p>
        </w:tc>
      </w:tr>
      <w:tr w:rsidR="00033B7B" w:rsidRPr="001428E9" w14:paraId="11E34273" w14:textId="77777777" w:rsidTr="003B3511">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EC2CA99" w14:textId="77777777" w:rsidR="00033B7B" w:rsidRPr="00BE48FF" w:rsidRDefault="00033B7B" w:rsidP="00621CBD">
            <w:pPr>
              <w:keepLines/>
              <w:rPr>
                <w:rFonts w:ascii="Arial Narrow" w:eastAsia="Calibri" w:hAnsi="Arial Narrow"/>
                <w:sz w:val="20"/>
                <w:szCs w:val="20"/>
              </w:rPr>
            </w:pPr>
            <w:r w:rsidRPr="00BE48FF">
              <w:rPr>
                <w:rFonts w:ascii="Arial Narrow" w:hAnsi="Arial Narrow"/>
                <w:b/>
                <w:sz w:val="20"/>
                <w:szCs w:val="20"/>
              </w:rPr>
              <w:t xml:space="preserve">Restriction type: </w:t>
            </w:r>
            <w:r w:rsidRPr="00BE48FF">
              <w:rPr>
                <w:rFonts w:ascii="Arial Narrow" w:eastAsia="Calibri" w:hAnsi="Arial Narrow"/>
                <w:strike/>
                <w:sz w:val="20"/>
                <w:szCs w:val="20"/>
              </w:rPr>
              <w:fldChar w:fldCharType="begin">
                <w:ffData>
                  <w:name w:val=""/>
                  <w:enabled/>
                  <w:calcOnExit w:val="0"/>
                  <w:checkBox>
                    <w:sizeAuto/>
                    <w:default w:val="1"/>
                  </w:checkBox>
                </w:ffData>
              </w:fldChar>
            </w:r>
            <w:r w:rsidRPr="00BE48FF">
              <w:rPr>
                <w:rFonts w:ascii="Arial Narrow" w:eastAsia="Calibri" w:hAnsi="Arial Narrow"/>
                <w:strike/>
                <w:sz w:val="20"/>
                <w:szCs w:val="20"/>
              </w:rPr>
              <w:instrText xml:space="preserve"> FORMCHECKBOX </w:instrText>
            </w:r>
            <w:r w:rsidRPr="00BE48FF">
              <w:rPr>
                <w:rFonts w:ascii="Arial Narrow" w:eastAsia="Calibri" w:hAnsi="Arial Narrow"/>
                <w:strike/>
                <w:sz w:val="20"/>
                <w:szCs w:val="20"/>
              </w:rPr>
            </w:r>
            <w:r w:rsidRPr="00BE48FF">
              <w:rPr>
                <w:rFonts w:ascii="Arial Narrow" w:eastAsia="Calibri" w:hAnsi="Arial Narrow"/>
                <w:strike/>
                <w:sz w:val="20"/>
                <w:szCs w:val="20"/>
              </w:rPr>
              <w:fldChar w:fldCharType="separate"/>
            </w:r>
            <w:r w:rsidRPr="00BE48FF">
              <w:rPr>
                <w:rFonts w:ascii="Arial Narrow" w:eastAsia="Calibri" w:hAnsi="Arial Narrow"/>
                <w:strike/>
                <w:sz w:val="20"/>
                <w:szCs w:val="20"/>
              </w:rPr>
              <w:fldChar w:fldCharType="end"/>
            </w:r>
            <w:r w:rsidRPr="00BE48FF">
              <w:rPr>
                <w:rFonts w:ascii="Arial Narrow" w:eastAsia="Calibri" w:hAnsi="Arial Narrow"/>
                <w:sz w:val="20"/>
                <w:szCs w:val="20"/>
              </w:rPr>
              <w:t xml:space="preserve">Authority Required (Streamlined) [new code] </w:t>
            </w:r>
          </w:p>
        </w:tc>
      </w:tr>
      <w:tr w:rsidR="00033B7B" w:rsidRPr="001428E9" w14:paraId="17D47854" w14:textId="77777777" w:rsidTr="003B3511">
        <w:tblPrEx>
          <w:tblCellMar>
            <w:top w:w="15" w:type="dxa"/>
            <w:bottom w:w="15" w:type="dxa"/>
          </w:tblCellMar>
          <w:tblLook w:val="04A0" w:firstRow="1" w:lastRow="0" w:firstColumn="1" w:lastColumn="0" w:noHBand="0" w:noVBand="1"/>
        </w:tblPrEx>
        <w:trPr>
          <w:trHeight w:val="311"/>
        </w:trPr>
        <w:tc>
          <w:tcPr>
            <w:tcW w:w="1380" w:type="pct"/>
            <w:vMerge w:val="restart"/>
            <w:tcBorders>
              <w:left w:val="single" w:sz="4" w:space="0" w:color="auto"/>
              <w:right w:val="single" w:sz="4" w:space="0" w:color="auto"/>
            </w:tcBorders>
            <w:textDirection w:val="btLr"/>
            <w:vAlign w:val="center"/>
          </w:tcPr>
          <w:p w14:paraId="5678FAC9" w14:textId="77777777" w:rsidR="00033B7B" w:rsidRPr="00BE48FF" w:rsidRDefault="00033B7B" w:rsidP="00621CBD">
            <w:pPr>
              <w:jc w:val="center"/>
              <w:rPr>
                <w:rFonts w:ascii="Arial Narrow" w:hAnsi="Arial Narrow"/>
                <w:sz w:val="20"/>
                <w:szCs w:val="20"/>
              </w:rPr>
            </w:pPr>
            <w:r w:rsidRPr="00BE48FF">
              <w:rPr>
                <w:rFonts w:ascii="Arial Narrow" w:hAnsi="Arial Narrow"/>
                <w:sz w:val="20"/>
                <w:szCs w:val="20"/>
              </w:rPr>
              <w:t>+Prescribing rule level</w:t>
            </w:r>
          </w:p>
        </w:tc>
        <w:tc>
          <w:tcPr>
            <w:tcW w:w="3620" w:type="pct"/>
            <w:gridSpan w:val="5"/>
            <w:vAlign w:val="center"/>
          </w:tcPr>
          <w:p w14:paraId="7A39D605" w14:textId="77777777" w:rsidR="00033B7B" w:rsidRPr="00BE48FF" w:rsidRDefault="00033B7B" w:rsidP="00621CBD">
            <w:pPr>
              <w:rPr>
                <w:rFonts w:ascii="Arial Narrow" w:hAnsi="Arial Narrow"/>
                <w:i/>
                <w:iCs/>
                <w:sz w:val="20"/>
                <w:szCs w:val="20"/>
              </w:rPr>
            </w:pPr>
            <w:r w:rsidRPr="00BE48FF">
              <w:rPr>
                <w:rFonts w:ascii="Arial Narrow" w:hAnsi="Arial Narrow"/>
                <w:b/>
                <w:bCs/>
                <w:i/>
                <w:iCs/>
                <w:sz w:val="20"/>
                <w:szCs w:val="20"/>
              </w:rPr>
              <w:t xml:space="preserve">Administrative Advice: </w:t>
            </w:r>
            <w:r w:rsidRPr="00BE48FF">
              <w:rPr>
                <w:rFonts w:ascii="Arial Narrow" w:hAnsi="Arial Narrow"/>
                <w:bCs/>
                <w:i/>
                <w:iCs/>
                <w:sz w:val="20"/>
                <w:szCs w:val="20"/>
              </w:rPr>
              <w:t>No increase in the maximum quantity or number of units may be authorised.</w:t>
            </w:r>
          </w:p>
        </w:tc>
      </w:tr>
      <w:tr w:rsidR="00033B7B" w:rsidRPr="001428E9" w14:paraId="5D85342D" w14:textId="77777777" w:rsidTr="003B3511">
        <w:tblPrEx>
          <w:tblCellMar>
            <w:top w:w="15" w:type="dxa"/>
            <w:bottom w:w="15" w:type="dxa"/>
          </w:tblCellMar>
          <w:tblLook w:val="04A0" w:firstRow="1" w:lastRow="0" w:firstColumn="1" w:lastColumn="0" w:noHBand="0" w:noVBand="1"/>
        </w:tblPrEx>
        <w:trPr>
          <w:trHeight w:val="323"/>
        </w:trPr>
        <w:tc>
          <w:tcPr>
            <w:tcW w:w="1380" w:type="pct"/>
            <w:vMerge/>
            <w:tcBorders>
              <w:left w:val="single" w:sz="4" w:space="0" w:color="auto"/>
              <w:right w:val="single" w:sz="4" w:space="0" w:color="auto"/>
            </w:tcBorders>
          </w:tcPr>
          <w:p w14:paraId="4D18E164" w14:textId="77777777" w:rsidR="00033B7B" w:rsidRPr="00BE48FF" w:rsidRDefault="00033B7B" w:rsidP="00621CBD">
            <w:pPr>
              <w:rPr>
                <w:rFonts w:ascii="Arial Narrow" w:hAnsi="Arial Narrow"/>
                <w:sz w:val="20"/>
                <w:szCs w:val="20"/>
              </w:rPr>
            </w:pPr>
          </w:p>
        </w:tc>
        <w:tc>
          <w:tcPr>
            <w:tcW w:w="3620" w:type="pct"/>
            <w:gridSpan w:val="5"/>
            <w:vAlign w:val="center"/>
          </w:tcPr>
          <w:p w14:paraId="4E8B9FFB" w14:textId="77777777" w:rsidR="00033B7B" w:rsidRPr="00BE48FF" w:rsidRDefault="00033B7B" w:rsidP="00621CBD">
            <w:pPr>
              <w:rPr>
                <w:rFonts w:ascii="Arial Narrow" w:hAnsi="Arial Narrow"/>
                <w:b/>
                <w:bCs/>
                <w:i/>
                <w:iCs/>
                <w:sz w:val="20"/>
                <w:szCs w:val="20"/>
              </w:rPr>
            </w:pPr>
            <w:r w:rsidRPr="00BE48FF">
              <w:rPr>
                <w:rFonts w:ascii="Arial Narrow" w:hAnsi="Arial Narrow"/>
                <w:b/>
                <w:bCs/>
                <w:i/>
                <w:iCs/>
                <w:sz w:val="20"/>
                <w:szCs w:val="20"/>
              </w:rPr>
              <w:t xml:space="preserve">Administrative Advice: </w:t>
            </w:r>
            <w:r w:rsidRPr="00BE48FF">
              <w:rPr>
                <w:rFonts w:ascii="Arial Narrow" w:hAnsi="Arial Narrow"/>
                <w:bCs/>
                <w:i/>
                <w:iCs/>
                <w:sz w:val="20"/>
                <w:szCs w:val="20"/>
              </w:rPr>
              <w:t>No increase in the maximum number of repeats may be authorised.</w:t>
            </w:r>
          </w:p>
        </w:tc>
      </w:tr>
      <w:tr w:rsidR="00033B7B" w:rsidRPr="001428E9" w14:paraId="58CD9DE6" w14:textId="77777777" w:rsidTr="003B3511">
        <w:tblPrEx>
          <w:tblCellMar>
            <w:top w:w="15" w:type="dxa"/>
            <w:bottom w:w="15" w:type="dxa"/>
          </w:tblCellMar>
          <w:tblLook w:val="04A0" w:firstRow="1" w:lastRow="0" w:firstColumn="1" w:lastColumn="0" w:noHBand="0" w:noVBand="1"/>
        </w:tblPrEx>
        <w:trPr>
          <w:trHeight w:val="323"/>
        </w:trPr>
        <w:tc>
          <w:tcPr>
            <w:tcW w:w="1380" w:type="pct"/>
            <w:vMerge/>
            <w:tcBorders>
              <w:left w:val="single" w:sz="4" w:space="0" w:color="auto"/>
              <w:bottom w:val="single" w:sz="4" w:space="0" w:color="auto"/>
              <w:right w:val="single" w:sz="4" w:space="0" w:color="auto"/>
            </w:tcBorders>
          </w:tcPr>
          <w:p w14:paraId="5A2F93F0" w14:textId="77777777" w:rsidR="00033B7B" w:rsidRPr="00BE48FF" w:rsidRDefault="00033B7B" w:rsidP="00621CBD">
            <w:pPr>
              <w:rPr>
                <w:rFonts w:ascii="Arial Narrow" w:hAnsi="Arial Narrow"/>
                <w:sz w:val="20"/>
                <w:szCs w:val="20"/>
              </w:rPr>
            </w:pPr>
          </w:p>
        </w:tc>
        <w:tc>
          <w:tcPr>
            <w:tcW w:w="3620" w:type="pct"/>
            <w:gridSpan w:val="5"/>
            <w:vAlign w:val="center"/>
          </w:tcPr>
          <w:p w14:paraId="6E4B461C" w14:textId="77777777" w:rsidR="00033B7B" w:rsidRPr="00BE48FF" w:rsidRDefault="00033B7B" w:rsidP="00621CBD">
            <w:pPr>
              <w:rPr>
                <w:rFonts w:ascii="Arial Narrow" w:hAnsi="Arial Narrow"/>
                <w:b/>
                <w:bCs/>
                <w:sz w:val="20"/>
                <w:szCs w:val="20"/>
              </w:rPr>
            </w:pPr>
            <w:r w:rsidRPr="00BE48FF">
              <w:rPr>
                <w:rFonts w:ascii="Arial Narrow" w:hAnsi="Arial Narrow"/>
                <w:b/>
                <w:bCs/>
                <w:sz w:val="20"/>
                <w:szCs w:val="20"/>
              </w:rPr>
              <w:t xml:space="preserve">Administrative Advice: </w:t>
            </w:r>
            <w:r w:rsidRPr="00BE48FF">
              <w:rPr>
                <w:rFonts w:ascii="Arial Narrow" w:hAnsi="Arial Narrow"/>
                <w:bCs/>
                <w:sz w:val="20"/>
                <w:szCs w:val="20"/>
              </w:rPr>
              <w:t>Special Pricing Arrangements apply.</w:t>
            </w:r>
          </w:p>
        </w:tc>
      </w:tr>
      <w:tr w:rsidR="00033B7B" w:rsidRPr="001428E9" w14:paraId="2F40719A"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32F78F6" w14:textId="77777777" w:rsidR="00033B7B" w:rsidRPr="00BE48FF" w:rsidRDefault="00033B7B" w:rsidP="00621CBD">
            <w:pPr>
              <w:keepLines/>
              <w:rPr>
                <w:rFonts w:ascii="Arial Narrow" w:hAnsi="Arial Narrow"/>
                <w:b/>
                <w:bCs/>
                <w:sz w:val="20"/>
                <w:szCs w:val="20"/>
              </w:rPr>
            </w:pPr>
            <w:r w:rsidRPr="00BE48FF">
              <w:rPr>
                <w:rFonts w:ascii="Arial Narrow" w:hAnsi="Arial Narrow"/>
                <w:b/>
                <w:bCs/>
                <w:sz w:val="20"/>
                <w:szCs w:val="20"/>
              </w:rPr>
              <w:t xml:space="preserve">Episodicity: </w:t>
            </w:r>
            <w:r w:rsidRPr="00BE48FF">
              <w:rPr>
                <w:rFonts w:ascii="Arial Narrow" w:hAnsi="Arial Narrow"/>
                <w:bCs/>
                <w:sz w:val="20"/>
                <w:szCs w:val="20"/>
              </w:rPr>
              <w:t>[blank]</w:t>
            </w:r>
          </w:p>
        </w:tc>
      </w:tr>
      <w:tr w:rsidR="00033B7B" w:rsidRPr="001428E9" w14:paraId="4397BA4D"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652DA90" w14:textId="77777777" w:rsidR="00033B7B" w:rsidRPr="00BE48FF" w:rsidRDefault="00033B7B" w:rsidP="00621CBD">
            <w:pPr>
              <w:keepLines/>
              <w:rPr>
                <w:rFonts w:ascii="Arial Narrow" w:hAnsi="Arial Narrow"/>
                <w:b/>
                <w:bCs/>
                <w:sz w:val="20"/>
                <w:szCs w:val="20"/>
              </w:rPr>
            </w:pPr>
            <w:r w:rsidRPr="00BE48FF">
              <w:rPr>
                <w:rFonts w:ascii="Arial Narrow" w:hAnsi="Arial Narrow"/>
                <w:b/>
                <w:bCs/>
                <w:sz w:val="20"/>
                <w:szCs w:val="20"/>
              </w:rPr>
              <w:t>Severity:</w:t>
            </w:r>
            <w:r w:rsidRPr="00BE48FF">
              <w:rPr>
                <w:rFonts w:ascii="Arial Narrow" w:hAnsi="Arial Narrow"/>
                <w:bCs/>
                <w:sz w:val="20"/>
                <w:szCs w:val="20"/>
              </w:rPr>
              <w:t xml:space="preserve"> [blank] </w:t>
            </w:r>
          </w:p>
        </w:tc>
      </w:tr>
      <w:tr w:rsidR="00033B7B" w:rsidRPr="001428E9" w14:paraId="6F35725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ED2FCB5" w14:textId="77777777" w:rsidR="00033B7B" w:rsidRPr="00BE48FF" w:rsidRDefault="00033B7B" w:rsidP="00621CBD">
            <w:pPr>
              <w:keepLines/>
              <w:rPr>
                <w:rFonts w:ascii="Arial Narrow" w:hAnsi="Arial Narrow"/>
                <w:b/>
                <w:bCs/>
                <w:sz w:val="20"/>
                <w:szCs w:val="20"/>
              </w:rPr>
            </w:pPr>
            <w:r w:rsidRPr="00BE48FF">
              <w:rPr>
                <w:rFonts w:ascii="Arial Narrow" w:hAnsi="Arial Narrow"/>
                <w:b/>
                <w:bCs/>
                <w:sz w:val="20"/>
                <w:szCs w:val="20"/>
              </w:rPr>
              <w:t xml:space="preserve">Condition: </w:t>
            </w:r>
            <w:r w:rsidRPr="00BE48FF">
              <w:rPr>
                <w:rFonts w:ascii="Arial Narrow" w:hAnsi="Arial Narrow"/>
                <w:bCs/>
                <w:sz w:val="20"/>
                <w:szCs w:val="20"/>
              </w:rPr>
              <w:t>Adult-type IDH-mutant astrocytoma or oligodendroglioma</w:t>
            </w:r>
          </w:p>
        </w:tc>
      </w:tr>
      <w:tr w:rsidR="00033B7B" w:rsidRPr="001428E9" w14:paraId="1A335B6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70702B20" w14:textId="77777777" w:rsidR="00033B7B" w:rsidRPr="00BE48FF" w:rsidRDefault="00033B7B" w:rsidP="00621CBD">
            <w:pPr>
              <w:keepLines/>
              <w:rPr>
                <w:rFonts w:ascii="Arial Narrow" w:hAnsi="Arial Narrow"/>
                <w:sz w:val="20"/>
                <w:szCs w:val="20"/>
              </w:rPr>
            </w:pPr>
            <w:r w:rsidRPr="00BE48FF">
              <w:rPr>
                <w:rFonts w:ascii="Arial Narrow" w:hAnsi="Arial Narrow"/>
                <w:b/>
                <w:bCs/>
                <w:sz w:val="20"/>
                <w:szCs w:val="20"/>
              </w:rPr>
              <w:t>Indication:</w:t>
            </w:r>
            <w:r w:rsidRPr="00BE48FF">
              <w:rPr>
                <w:rFonts w:ascii="Arial Narrow" w:hAnsi="Arial Narrow"/>
                <w:sz w:val="20"/>
                <w:szCs w:val="20"/>
              </w:rPr>
              <w:t xml:space="preserve"> Adult-type IDH-mutant astrocytoma or oligodendroglioma</w:t>
            </w:r>
          </w:p>
        </w:tc>
      </w:tr>
      <w:tr w:rsidR="00033B7B" w:rsidRPr="001428E9" w14:paraId="79979BB8"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F45F367" w14:textId="77777777" w:rsidR="00033B7B" w:rsidRPr="00BE48FF" w:rsidRDefault="00033B7B" w:rsidP="00621CBD">
            <w:pPr>
              <w:keepLines/>
              <w:rPr>
                <w:rFonts w:ascii="Arial Narrow" w:hAnsi="Arial Narrow"/>
                <w:b/>
                <w:bCs/>
                <w:sz w:val="20"/>
                <w:szCs w:val="20"/>
              </w:rPr>
            </w:pPr>
            <w:r w:rsidRPr="00BE48FF">
              <w:rPr>
                <w:rFonts w:ascii="Arial Narrow" w:hAnsi="Arial Narrow"/>
                <w:b/>
                <w:sz w:val="20"/>
                <w:szCs w:val="20"/>
              </w:rPr>
              <w:t>Restriction Summary [new1] / Treatment of Concept: [new1A]</w:t>
            </w:r>
          </w:p>
        </w:tc>
      </w:tr>
      <w:tr w:rsidR="00033B7B" w:rsidRPr="001428E9" w14:paraId="06A8D40B"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483DD1DD"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Treatment Phase:</w:t>
            </w:r>
            <w:r w:rsidRPr="00BE48FF">
              <w:rPr>
                <w:rFonts w:ascii="Arial Narrow" w:hAnsi="Arial Narrow"/>
                <w:sz w:val="20"/>
                <w:szCs w:val="20"/>
              </w:rPr>
              <w:t xml:space="preserve"> Initial treatment</w:t>
            </w:r>
          </w:p>
        </w:tc>
      </w:tr>
      <w:tr w:rsidR="00033B7B" w:rsidRPr="001428E9" w14:paraId="1DC2C3EE"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5DB6BC9" w14:textId="77777777" w:rsidR="00033B7B" w:rsidRPr="00BE48FF" w:rsidRDefault="00033B7B" w:rsidP="00621CBD">
            <w:pPr>
              <w:rPr>
                <w:rFonts w:ascii="Arial Narrow" w:hAnsi="Arial Narrow"/>
                <w:b/>
                <w:bCs/>
                <w:sz w:val="20"/>
                <w:szCs w:val="20"/>
              </w:rPr>
            </w:pPr>
            <w:r w:rsidRPr="00BE48FF">
              <w:rPr>
                <w:rFonts w:ascii="Arial Narrow" w:hAnsi="Arial Narrow"/>
                <w:b/>
                <w:bCs/>
                <w:sz w:val="20"/>
                <w:szCs w:val="20"/>
              </w:rPr>
              <w:t>Clinical criteria:</w:t>
            </w:r>
          </w:p>
        </w:tc>
      </w:tr>
      <w:tr w:rsidR="00033B7B" w:rsidRPr="001428E9" w14:paraId="51276DB1"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3E346FE" w14:textId="77777777" w:rsidR="00033B7B" w:rsidRPr="00BE48FF" w:rsidRDefault="00033B7B" w:rsidP="00621CBD">
            <w:pPr>
              <w:rPr>
                <w:rFonts w:ascii="Arial Narrow" w:hAnsi="Arial Narrow"/>
                <w:b/>
                <w:bCs/>
                <w:sz w:val="20"/>
                <w:szCs w:val="20"/>
              </w:rPr>
            </w:pPr>
            <w:r w:rsidRPr="00BE48FF">
              <w:rPr>
                <w:rFonts w:ascii="Arial Narrow" w:hAnsi="Arial Narrow"/>
                <w:i/>
                <w:iCs/>
                <w:sz w:val="20"/>
                <w:szCs w:val="20"/>
              </w:rPr>
              <w:t>Patient must have a</w:t>
            </w:r>
            <w:r w:rsidRPr="00BE48FF">
              <w:rPr>
                <w:rFonts w:ascii="Arial Narrow" w:hAnsi="Arial Narrow"/>
                <w:sz w:val="20"/>
                <w:szCs w:val="20"/>
              </w:rPr>
              <w:t xml:space="preserve"> </w:t>
            </w:r>
            <w:r w:rsidRPr="00BE48FF">
              <w:rPr>
                <w:rFonts w:ascii="Arial Narrow" w:hAnsi="Arial Narrow"/>
                <w:strike/>
                <w:sz w:val="20"/>
                <w:szCs w:val="20"/>
              </w:rPr>
              <w:t>The condition must be</w:t>
            </w:r>
            <w:r w:rsidRPr="00BE48FF">
              <w:rPr>
                <w:rFonts w:ascii="Arial Narrow" w:hAnsi="Arial Narrow"/>
                <w:sz w:val="20"/>
                <w:szCs w:val="20"/>
              </w:rPr>
              <w:t xml:space="preserve"> World Health Organisation (WHO) Grade 2</w:t>
            </w:r>
            <w:r w:rsidRPr="00BE48FF">
              <w:rPr>
                <w:rFonts w:ascii="Arial Narrow" w:hAnsi="Arial Narrow"/>
                <w:i/>
                <w:iCs/>
                <w:sz w:val="20"/>
                <w:szCs w:val="20"/>
              </w:rPr>
              <w:t xml:space="preserve"> astrocytoma or oligodendroglioma</w:t>
            </w:r>
            <w:r w:rsidRPr="00BE48FF">
              <w:rPr>
                <w:rFonts w:ascii="Arial Narrow" w:hAnsi="Arial Narrow"/>
                <w:sz w:val="20"/>
                <w:szCs w:val="20"/>
              </w:rPr>
              <w:t>,</w:t>
            </w:r>
          </w:p>
        </w:tc>
      </w:tr>
      <w:tr w:rsidR="00033B7B" w:rsidRPr="001428E9" w14:paraId="77A04527"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0A7FCF5"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1428E9" w14:paraId="74FC1396"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A89D6A3"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1428E9" w14:paraId="5C3E19A7"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58862AC"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 xml:space="preserve">The </w:t>
            </w:r>
            <w:r w:rsidRPr="00BE48FF">
              <w:rPr>
                <w:rFonts w:ascii="Arial Narrow" w:hAnsi="Arial Narrow"/>
                <w:strike/>
                <w:sz w:val="20"/>
                <w:szCs w:val="20"/>
              </w:rPr>
              <w:t>condition</w:t>
            </w:r>
            <w:r w:rsidRPr="00BE48FF">
              <w:rPr>
                <w:rFonts w:ascii="Arial Narrow" w:hAnsi="Arial Narrow"/>
                <w:sz w:val="20"/>
                <w:szCs w:val="20"/>
              </w:rPr>
              <w:t xml:space="preserve"> </w:t>
            </w:r>
            <w:r w:rsidRPr="00BE48FF">
              <w:rPr>
                <w:rFonts w:ascii="Arial Narrow" w:hAnsi="Arial Narrow"/>
                <w:i/>
                <w:iCs/>
                <w:sz w:val="20"/>
                <w:szCs w:val="20"/>
              </w:rPr>
              <w:t xml:space="preserve">patient </w:t>
            </w:r>
            <w:r w:rsidRPr="00BE48FF">
              <w:rPr>
                <w:rFonts w:ascii="Arial Narrow" w:hAnsi="Arial Narrow"/>
                <w:sz w:val="20"/>
                <w:szCs w:val="20"/>
              </w:rPr>
              <w:t xml:space="preserve">must have a </w:t>
            </w:r>
            <w:r w:rsidRPr="00BE48FF">
              <w:rPr>
                <w:rFonts w:ascii="Arial Narrow" w:hAnsi="Arial Narrow"/>
                <w:i/>
                <w:iCs/>
                <w:sz w:val="20"/>
                <w:szCs w:val="20"/>
              </w:rPr>
              <w:t>test of tumour tissue confirming the presence of a</w:t>
            </w:r>
            <w:r w:rsidRPr="00BE48FF">
              <w:rPr>
                <w:rFonts w:ascii="Arial Narrow" w:hAnsi="Arial Narrow"/>
                <w:sz w:val="20"/>
                <w:szCs w:val="20"/>
              </w:rPr>
              <w:t xml:space="preserve"> susceptible isocitrate dehydrogenase-1 (IDH1) </w:t>
            </w:r>
            <w:r w:rsidRPr="00BE48FF">
              <w:rPr>
                <w:rFonts w:ascii="Arial Narrow" w:hAnsi="Arial Narrow"/>
                <w:i/>
                <w:iCs/>
                <w:sz w:val="20"/>
                <w:szCs w:val="20"/>
              </w:rPr>
              <w:t>R132H/C/G/S/L</w:t>
            </w:r>
            <w:r w:rsidRPr="00BE48FF">
              <w:rPr>
                <w:rFonts w:ascii="Arial Narrow" w:hAnsi="Arial Narrow"/>
                <w:sz w:val="20"/>
                <w:szCs w:val="20"/>
              </w:rPr>
              <w:t xml:space="preserve"> </w:t>
            </w:r>
            <w:r w:rsidRPr="00BE48FF">
              <w:rPr>
                <w:rFonts w:ascii="Arial Narrow" w:hAnsi="Arial Narrow"/>
                <w:i/>
                <w:iCs/>
                <w:sz w:val="20"/>
                <w:szCs w:val="20"/>
              </w:rPr>
              <w:t>variant</w:t>
            </w:r>
            <w:r w:rsidRPr="00BE48FF">
              <w:rPr>
                <w:rFonts w:ascii="Arial Narrow" w:hAnsi="Arial Narrow"/>
                <w:sz w:val="20"/>
                <w:szCs w:val="20"/>
              </w:rPr>
              <w:t xml:space="preserve"> or isocitrate dehydrogenase-2 (IDH2) </w:t>
            </w:r>
            <w:r w:rsidRPr="00BE48FF">
              <w:rPr>
                <w:rFonts w:ascii="Arial Narrow" w:hAnsi="Arial Narrow"/>
                <w:i/>
                <w:iCs/>
                <w:sz w:val="20"/>
                <w:szCs w:val="20"/>
              </w:rPr>
              <w:t>R172K/M/W/S/G variant</w:t>
            </w:r>
            <w:r w:rsidRPr="00BE48FF">
              <w:rPr>
                <w:rFonts w:ascii="Arial Narrow" w:hAnsi="Arial Narrow"/>
                <w:sz w:val="20"/>
                <w:szCs w:val="20"/>
              </w:rPr>
              <w:t>,</w:t>
            </w:r>
          </w:p>
        </w:tc>
      </w:tr>
      <w:tr w:rsidR="00033B7B" w:rsidRPr="001428E9" w14:paraId="06C046B7"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56B0C36"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1428E9" w14:paraId="6A8A8493"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9659ED1"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1428E9" w14:paraId="0F11E703"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F0CF4A2"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Patient must have residual or recurrent disease after at least one prior surgery (biopsy, sub-total resection, or gross total resection) for this condition,</w:t>
            </w:r>
          </w:p>
        </w:tc>
      </w:tr>
      <w:tr w:rsidR="00033B7B" w:rsidRPr="001428E9" w14:paraId="48071AC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CD810BE" w14:textId="77777777" w:rsidR="00033B7B" w:rsidRPr="00BE48FF" w:rsidRDefault="00033B7B" w:rsidP="00621CBD">
            <w:pPr>
              <w:rPr>
                <w:rFonts w:ascii="Arial Narrow" w:hAnsi="Arial Narrow"/>
                <w:strike/>
                <w:sz w:val="20"/>
                <w:szCs w:val="20"/>
              </w:rPr>
            </w:pPr>
            <w:r w:rsidRPr="00BE48FF">
              <w:rPr>
                <w:rFonts w:ascii="Arial Narrow" w:hAnsi="Arial Narrow"/>
                <w:b/>
                <w:bCs/>
                <w:strike/>
                <w:sz w:val="20"/>
                <w:szCs w:val="20"/>
              </w:rPr>
              <w:t>AND</w:t>
            </w:r>
          </w:p>
        </w:tc>
      </w:tr>
      <w:tr w:rsidR="00033B7B" w:rsidRPr="00C232D9" w14:paraId="765A6933"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39AD7EC"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C232D9" w14:paraId="0373D447"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582BC06" w14:textId="77777777" w:rsidR="00033B7B" w:rsidRPr="00BE48FF" w:rsidRDefault="00033B7B" w:rsidP="00621CBD">
            <w:pPr>
              <w:rPr>
                <w:rFonts w:ascii="Arial Narrow" w:hAnsi="Arial Narrow"/>
                <w:sz w:val="20"/>
                <w:szCs w:val="20"/>
              </w:rPr>
            </w:pPr>
            <w:r w:rsidRPr="00BE48FF">
              <w:rPr>
                <w:rFonts w:ascii="Arial Narrow" w:hAnsi="Arial Narrow"/>
                <w:strike/>
                <w:sz w:val="20"/>
                <w:szCs w:val="20"/>
              </w:rPr>
              <w:t>The</w:t>
            </w:r>
            <w:r w:rsidRPr="00BE48FF">
              <w:rPr>
                <w:rFonts w:ascii="Arial Narrow" w:hAnsi="Arial Narrow"/>
                <w:sz w:val="20"/>
                <w:szCs w:val="20"/>
              </w:rPr>
              <w:t xml:space="preserve"> Patient must not be in immediate need of radiotherapy and/or chemotherapy for this condition,</w:t>
            </w:r>
          </w:p>
        </w:tc>
      </w:tr>
      <w:tr w:rsidR="00033B7B" w:rsidRPr="001428E9" w14:paraId="4CE8EF2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DA34DB6"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1428E9" w14:paraId="5A96373F"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F2B48D8"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1428E9" w14:paraId="5236D1D1"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FD24F3E"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 xml:space="preserve">The condition must not have been previously treated with </w:t>
            </w:r>
            <w:r w:rsidRPr="00BE48FF">
              <w:rPr>
                <w:rFonts w:ascii="Arial Narrow" w:hAnsi="Arial Narrow"/>
                <w:i/>
                <w:iCs/>
                <w:sz w:val="20"/>
                <w:szCs w:val="20"/>
              </w:rPr>
              <w:t>systemic</w:t>
            </w:r>
            <w:r w:rsidRPr="00BE48FF">
              <w:rPr>
                <w:rFonts w:ascii="Arial Narrow" w:hAnsi="Arial Narrow"/>
                <w:sz w:val="20"/>
                <w:szCs w:val="20"/>
              </w:rPr>
              <w:t xml:space="preserve"> anticancer therapy </w:t>
            </w:r>
            <w:r w:rsidRPr="00BE48FF">
              <w:rPr>
                <w:rFonts w:ascii="Arial Narrow" w:hAnsi="Arial Narrow"/>
                <w:i/>
                <w:iCs/>
                <w:sz w:val="20"/>
                <w:szCs w:val="20"/>
              </w:rPr>
              <w:t>or radiotherapy</w:t>
            </w:r>
            <w:r w:rsidRPr="00BE48FF">
              <w:rPr>
                <w:rFonts w:ascii="Arial Narrow" w:hAnsi="Arial Narrow"/>
                <w:sz w:val="20"/>
                <w:szCs w:val="20"/>
              </w:rPr>
              <w:t>,</w:t>
            </w:r>
          </w:p>
        </w:tc>
      </w:tr>
      <w:tr w:rsidR="00033B7B" w:rsidRPr="001428E9" w14:paraId="7EEBB1FB"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C1C2608"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1428E9" w14:paraId="37624B78"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317E96A" w14:textId="77777777" w:rsidR="00033B7B" w:rsidRPr="00BE48FF" w:rsidRDefault="00033B7B" w:rsidP="00621CBD">
            <w:pPr>
              <w:rPr>
                <w:rFonts w:ascii="Arial Narrow" w:hAnsi="Arial Narrow"/>
                <w:b/>
                <w:bCs/>
                <w:i/>
                <w:iCs/>
                <w:strike/>
                <w:sz w:val="20"/>
                <w:szCs w:val="20"/>
              </w:rPr>
            </w:pPr>
            <w:r w:rsidRPr="00BE48FF">
              <w:rPr>
                <w:rFonts w:ascii="Arial Narrow" w:hAnsi="Arial Narrow"/>
                <w:b/>
                <w:bCs/>
                <w:sz w:val="20"/>
                <w:szCs w:val="20"/>
              </w:rPr>
              <w:t>Clinical criteria:</w:t>
            </w:r>
          </w:p>
        </w:tc>
      </w:tr>
      <w:tr w:rsidR="00033B7B" w:rsidRPr="00386ABD" w14:paraId="0A07E8AF"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0F60AC4" w14:textId="77777777" w:rsidR="00033B7B" w:rsidRPr="00386ABD" w:rsidRDefault="00033B7B" w:rsidP="00621CBD">
            <w:pPr>
              <w:rPr>
                <w:rFonts w:ascii="Arial Narrow" w:hAnsi="Arial Narrow"/>
                <w:sz w:val="20"/>
                <w:szCs w:val="20"/>
              </w:rPr>
            </w:pPr>
            <w:r w:rsidRPr="00386ABD">
              <w:rPr>
                <w:rFonts w:ascii="Arial Narrow" w:hAnsi="Arial Narrow"/>
                <w:sz w:val="20"/>
                <w:szCs w:val="20"/>
              </w:rPr>
              <w:t>Patient must have an Eastern Cooperative Oncology Group (ECOG) performance status score of 1 or less,</w:t>
            </w:r>
          </w:p>
        </w:tc>
      </w:tr>
      <w:tr w:rsidR="00033B7B" w:rsidRPr="001428E9" w14:paraId="0CFAEF9D"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C762F21" w14:textId="77777777" w:rsidR="00033B7B" w:rsidRPr="00BE48FF" w:rsidRDefault="00033B7B" w:rsidP="00621CBD">
            <w:pPr>
              <w:rPr>
                <w:rFonts w:ascii="Arial Narrow" w:hAnsi="Arial Narrow"/>
                <w:strike/>
                <w:sz w:val="20"/>
                <w:szCs w:val="20"/>
              </w:rPr>
            </w:pPr>
            <w:r w:rsidRPr="00BE48FF">
              <w:rPr>
                <w:rFonts w:ascii="Arial Narrow" w:hAnsi="Arial Narrow"/>
                <w:b/>
                <w:bCs/>
                <w:strike/>
                <w:sz w:val="20"/>
                <w:szCs w:val="20"/>
              </w:rPr>
              <w:t>AND</w:t>
            </w:r>
          </w:p>
        </w:tc>
      </w:tr>
      <w:tr w:rsidR="00033B7B" w:rsidRPr="001428E9" w14:paraId="1F1B8CB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1C71FCC" w14:textId="77777777" w:rsidR="00033B7B" w:rsidRPr="00BE48FF" w:rsidRDefault="00033B7B" w:rsidP="00621CBD">
            <w:pPr>
              <w:rPr>
                <w:rFonts w:ascii="Arial Narrow" w:hAnsi="Arial Narrow"/>
                <w:strike/>
                <w:sz w:val="20"/>
                <w:szCs w:val="20"/>
              </w:rPr>
            </w:pPr>
            <w:r w:rsidRPr="00BE48FF">
              <w:rPr>
                <w:rFonts w:ascii="Arial Narrow" w:hAnsi="Arial Narrow"/>
                <w:b/>
                <w:bCs/>
                <w:strike/>
                <w:sz w:val="20"/>
                <w:szCs w:val="20"/>
              </w:rPr>
              <w:t>Clinical criteria:</w:t>
            </w:r>
          </w:p>
        </w:tc>
      </w:tr>
      <w:tr w:rsidR="00033B7B" w:rsidRPr="001428E9" w14:paraId="1D5448A3"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EF1CD0C" w14:textId="77777777" w:rsidR="00033B7B" w:rsidRPr="00BE48FF" w:rsidRDefault="00033B7B" w:rsidP="00621CBD">
            <w:pPr>
              <w:rPr>
                <w:rFonts w:ascii="Arial Narrow" w:hAnsi="Arial Narrow"/>
                <w:strike/>
                <w:sz w:val="20"/>
                <w:szCs w:val="20"/>
              </w:rPr>
            </w:pPr>
            <w:r w:rsidRPr="00BE48FF">
              <w:rPr>
                <w:rFonts w:ascii="Arial Narrow" w:hAnsi="Arial Narrow"/>
                <w:strike/>
                <w:sz w:val="20"/>
                <w:szCs w:val="20"/>
              </w:rPr>
              <w:t>Patient must not have developed disease progression while receiving treatment with this drug for this condition</w:t>
            </w:r>
          </w:p>
        </w:tc>
      </w:tr>
      <w:tr w:rsidR="00033B7B" w:rsidRPr="001428E9" w14:paraId="5C13EFBA"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57351AF" w14:textId="77777777" w:rsidR="00033B7B" w:rsidRPr="00BE48FF" w:rsidRDefault="00033B7B" w:rsidP="00621CBD">
            <w:pPr>
              <w:rPr>
                <w:rFonts w:ascii="Arial Narrow" w:hAnsi="Arial Narrow"/>
                <w:b/>
                <w:bCs/>
                <w:sz w:val="20"/>
                <w:szCs w:val="20"/>
              </w:rPr>
            </w:pPr>
            <w:r w:rsidRPr="00BE48FF">
              <w:rPr>
                <w:rFonts w:ascii="Arial Narrow" w:hAnsi="Arial Narrow"/>
                <w:b/>
                <w:bCs/>
                <w:sz w:val="20"/>
                <w:szCs w:val="20"/>
              </w:rPr>
              <w:t xml:space="preserve">Prescriber instructions: </w:t>
            </w:r>
          </w:p>
          <w:p w14:paraId="74117073" w14:textId="77777777" w:rsidR="00033B7B" w:rsidRPr="00BE48FF" w:rsidRDefault="00033B7B" w:rsidP="00621CBD">
            <w:pPr>
              <w:rPr>
                <w:rFonts w:ascii="Arial Narrow" w:hAnsi="Arial Narrow"/>
                <w:i/>
                <w:iCs/>
                <w:strike/>
                <w:sz w:val="20"/>
                <w:szCs w:val="20"/>
              </w:rPr>
            </w:pPr>
            <w:r w:rsidRPr="00BE48FF">
              <w:rPr>
                <w:rStyle w:val="normaltextrun"/>
                <w:rFonts w:ascii="Arial Narrow" w:hAnsi="Arial Narrow"/>
                <w:i/>
                <w:iCs/>
                <w:sz w:val="20"/>
                <w:szCs w:val="20"/>
                <w:shd w:val="clear" w:color="auto" w:fill="FFFFFF"/>
              </w:rPr>
              <w:t>Confirm that evidence of the presence of a pathogenic variant of the IDH1 or IDH2 gene is documented/retained in the patient's medical records once only with the first PBS prescription</w:t>
            </w:r>
            <w:r w:rsidRPr="00BE48FF">
              <w:rPr>
                <w:rStyle w:val="normaltextrun"/>
                <w:rFonts w:ascii="Arial Narrow" w:hAnsi="Arial Narrow"/>
                <w:i/>
                <w:iCs/>
                <w:szCs w:val="20"/>
                <w:shd w:val="clear" w:color="auto" w:fill="FFFFFF"/>
              </w:rPr>
              <w:t>.</w:t>
            </w:r>
          </w:p>
        </w:tc>
      </w:tr>
      <w:tr w:rsidR="00033B7B" w:rsidRPr="001428E9" w14:paraId="57B9B25A"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3E08778" w14:textId="77777777" w:rsidR="00033B7B" w:rsidRPr="00BE48FF" w:rsidRDefault="00033B7B" w:rsidP="00621CBD">
            <w:pPr>
              <w:rPr>
                <w:rFonts w:ascii="Arial Narrow" w:hAnsi="Arial Narrow"/>
                <w:strike/>
                <w:sz w:val="20"/>
                <w:szCs w:val="20"/>
              </w:rPr>
            </w:pPr>
          </w:p>
        </w:tc>
      </w:tr>
      <w:tr w:rsidR="00033B7B" w:rsidRPr="001428E9" w14:paraId="2420544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09FC0389"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Treatment Phase:</w:t>
            </w:r>
            <w:r w:rsidRPr="00BE48FF">
              <w:rPr>
                <w:rFonts w:ascii="Arial Narrow" w:hAnsi="Arial Narrow"/>
                <w:sz w:val="20"/>
                <w:szCs w:val="20"/>
              </w:rPr>
              <w:t xml:space="preserve"> Continuing treatment</w:t>
            </w:r>
          </w:p>
        </w:tc>
      </w:tr>
      <w:tr w:rsidR="00033B7B" w:rsidRPr="00AF597C" w14:paraId="495BCE63"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74DA912"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AF597C" w14:paraId="22258419"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209844E" w14:textId="77777777" w:rsidR="00033B7B" w:rsidRPr="00BE48FF" w:rsidRDefault="00033B7B" w:rsidP="00621CBD">
            <w:pPr>
              <w:rPr>
                <w:rFonts w:ascii="Arial Narrow" w:hAnsi="Arial Narrow"/>
                <w:sz w:val="20"/>
                <w:szCs w:val="20"/>
              </w:rPr>
            </w:pPr>
            <w:r w:rsidRPr="00BE48FF">
              <w:rPr>
                <w:rFonts w:ascii="Arial Narrow" w:hAnsi="Arial Narrow"/>
                <w:sz w:val="20"/>
                <w:szCs w:val="20"/>
              </w:rPr>
              <w:lastRenderedPageBreak/>
              <w:t>Patient must have previously received PBS-subsidised treatment with this drug for this condition.</w:t>
            </w:r>
          </w:p>
        </w:tc>
      </w:tr>
      <w:tr w:rsidR="00033B7B" w:rsidRPr="00AF597C" w14:paraId="5FB98491"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4496BCE"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AF597C" w14:paraId="3676E296"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B1F9A7F" w14:textId="77777777" w:rsidR="00033B7B" w:rsidRPr="00BE48FF" w:rsidRDefault="00033B7B" w:rsidP="00621CBD">
            <w:pPr>
              <w:rPr>
                <w:rFonts w:ascii="Arial Narrow" w:hAnsi="Arial Narrow"/>
                <w:b/>
                <w:bCs/>
                <w:sz w:val="20"/>
                <w:szCs w:val="20"/>
              </w:rPr>
            </w:pPr>
            <w:r w:rsidRPr="00BE48FF">
              <w:rPr>
                <w:rFonts w:ascii="Arial Narrow" w:hAnsi="Arial Narrow"/>
                <w:b/>
                <w:bCs/>
                <w:sz w:val="20"/>
                <w:szCs w:val="20"/>
              </w:rPr>
              <w:t>Clinical criteria</w:t>
            </w:r>
          </w:p>
        </w:tc>
      </w:tr>
      <w:tr w:rsidR="00033B7B" w:rsidRPr="00AF597C" w14:paraId="5CCEF69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9DF766D"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Patient must not have developed disease progression while receiving treatment with this drug for this condition.</w:t>
            </w:r>
          </w:p>
        </w:tc>
      </w:tr>
      <w:tr w:rsidR="00033B7B" w:rsidRPr="00AF597C" w14:paraId="65FDA128"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AD69ACF" w14:textId="77777777" w:rsidR="00033B7B" w:rsidRPr="00BE48FF" w:rsidRDefault="00033B7B" w:rsidP="00621CBD">
            <w:pPr>
              <w:rPr>
                <w:rFonts w:ascii="Arial Narrow" w:hAnsi="Arial Narrow"/>
                <w:sz w:val="20"/>
                <w:szCs w:val="20"/>
              </w:rPr>
            </w:pPr>
          </w:p>
        </w:tc>
      </w:tr>
      <w:tr w:rsidR="00033B7B" w:rsidRPr="00AF597C" w14:paraId="3425BF98"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E1C70F1" w14:textId="77777777" w:rsidR="00033B7B" w:rsidRPr="00BE48FF" w:rsidRDefault="00033B7B" w:rsidP="00621CBD">
            <w:pPr>
              <w:rPr>
                <w:rFonts w:ascii="Arial Narrow" w:hAnsi="Arial Narrow"/>
                <w:sz w:val="20"/>
                <w:szCs w:val="20"/>
              </w:rPr>
            </w:pPr>
            <w:r w:rsidRPr="00BE48FF">
              <w:rPr>
                <w:rFonts w:ascii="Arial Narrow" w:hAnsi="Arial Narrow"/>
                <w:b/>
                <w:sz w:val="20"/>
                <w:szCs w:val="20"/>
              </w:rPr>
              <w:t>Restriction Summary [new3] / Treatment of Concept: [new3A]</w:t>
            </w:r>
          </w:p>
        </w:tc>
      </w:tr>
      <w:tr w:rsidR="00033B7B" w:rsidRPr="001428E9" w14:paraId="0E6D6914"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2733EF3B"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Treatment Phase:</w:t>
            </w:r>
            <w:r w:rsidRPr="00BE48FF">
              <w:rPr>
                <w:rFonts w:ascii="Arial Narrow" w:hAnsi="Arial Narrow"/>
                <w:sz w:val="20"/>
                <w:szCs w:val="20"/>
              </w:rPr>
              <w:t xml:space="preserve"> Transitioning from non-PBS to PBS-subsidised treatment - Grandfather arrangements</w:t>
            </w:r>
          </w:p>
        </w:tc>
      </w:tr>
      <w:tr w:rsidR="00033B7B" w:rsidRPr="001428E9" w14:paraId="34DAEF86"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664D20D" w14:textId="77777777" w:rsidR="00033B7B" w:rsidRPr="00BE48FF" w:rsidRDefault="00033B7B" w:rsidP="00621CBD">
            <w:pPr>
              <w:rPr>
                <w:rFonts w:ascii="Arial Narrow" w:hAnsi="Arial Narrow"/>
                <w:b/>
                <w:bCs/>
                <w:sz w:val="20"/>
                <w:szCs w:val="20"/>
              </w:rPr>
            </w:pPr>
            <w:r w:rsidRPr="00BE48FF">
              <w:rPr>
                <w:rFonts w:ascii="Arial Narrow" w:hAnsi="Arial Narrow"/>
                <w:b/>
                <w:bCs/>
                <w:sz w:val="20"/>
                <w:szCs w:val="20"/>
              </w:rPr>
              <w:t>Clinical criteria:</w:t>
            </w:r>
          </w:p>
        </w:tc>
      </w:tr>
      <w:tr w:rsidR="00033B7B" w:rsidRPr="00AF597C" w14:paraId="4DA412E6"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E23C75D"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Patient must have received non-PBS-subsidised treatment with this drug for this condition prior to [date of listing],</w:t>
            </w:r>
          </w:p>
        </w:tc>
      </w:tr>
      <w:tr w:rsidR="00033B7B" w:rsidRPr="00AF597C" w14:paraId="09EF5B04"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A75F2C6" w14:textId="77777777" w:rsidR="00033B7B" w:rsidRPr="00BE48FF" w:rsidRDefault="00033B7B" w:rsidP="00621CBD">
            <w:pPr>
              <w:rPr>
                <w:rFonts w:ascii="Arial Narrow" w:hAnsi="Arial Narrow"/>
                <w:i/>
                <w:iCs/>
                <w:sz w:val="20"/>
                <w:szCs w:val="20"/>
              </w:rPr>
            </w:pPr>
            <w:r w:rsidRPr="00BE48FF">
              <w:rPr>
                <w:rFonts w:ascii="Arial Narrow" w:hAnsi="Arial Narrow"/>
                <w:b/>
                <w:bCs/>
                <w:i/>
                <w:iCs/>
                <w:sz w:val="20"/>
                <w:szCs w:val="20"/>
              </w:rPr>
              <w:t>AND</w:t>
            </w:r>
          </w:p>
        </w:tc>
      </w:tr>
      <w:tr w:rsidR="00033B7B" w:rsidRPr="00AF597C" w14:paraId="53222BD6"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E836E10" w14:textId="77777777" w:rsidR="00033B7B" w:rsidRPr="00BE48FF" w:rsidRDefault="00033B7B" w:rsidP="00621CBD">
            <w:pPr>
              <w:rPr>
                <w:rFonts w:ascii="Arial Narrow" w:hAnsi="Arial Narrow"/>
                <w:i/>
                <w:iCs/>
                <w:sz w:val="20"/>
                <w:szCs w:val="20"/>
              </w:rPr>
            </w:pPr>
            <w:r w:rsidRPr="00BE48FF">
              <w:rPr>
                <w:rFonts w:ascii="Arial Narrow" w:hAnsi="Arial Narrow"/>
                <w:b/>
                <w:bCs/>
                <w:i/>
                <w:iCs/>
                <w:sz w:val="20"/>
                <w:szCs w:val="20"/>
              </w:rPr>
              <w:t>Clinical criteria:</w:t>
            </w:r>
          </w:p>
        </w:tc>
      </w:tr>
      <w:tr w:rsidR="00033B7B" w:rsidRPr="00AF597C" w14:paraId="39DDC852"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0F88A48" w14:textId="77777777" w:rsidR="00033B7B" w:rsidRPr="00BE48FF" w:rsidRDefault="00033B7B" w:rsidP="00621CBD">
            <w:pPr>
              <w:rPr>
                <w:rFonts w:ascii="Arial Narrow" w:hAnsi="Arial Narrow"/>
                <w:sz w:val="20"/>
                <w:szCs w:val="20"/>
              </w:rPr>
            </w:pPr>
            <w:r w:rsidRPr="00BE48FF">
              <w:rPr>
                <w:rFonts w:ascii="Arial Narrow" w:hAnsi="Arial Narrow"/>
                <w:i/>
                <w:iCs/>
                <w:sz w:val="20"/>
                <w:szCs w:val="20"/>
              </w:rPr>
              <w:t>Patient must have a World Health Organisation (WHO) Grade 2 astrocytoma or oligodendroglioma</w:t>
            </w:r>
          </w:p>
        </w:tc>
      </w:tr>
      <w:tr w:rsidR="00033B7B" w:rsidRPr="00AF597C" w14:paraId="0EEA17B4"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0C5AB54E"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AF597C" w14:paraId="0DE6A153"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59C07DE"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AF597C" w14:paraId="7C58D2EF"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3C7A02D"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 xml:space="preserve">The </w:t>
            </w:r>
            <w:r w:rsidRPr="00BE48FF">
              <w:rPr>
                <w:rFonts w:ascii="Arial Narrow" w:hAnsi="Arial Narrow"/>
                <w:strike/>
                <w:sz w:val="20"/>
                <w:szCs w:val="20"/>
              </w:rPr>
              <w:t>condition</w:t>
            </w:r>
            <w:r w:rsidRPr="00BE48FF">
              <w:rPr>
                <w:rFonts w:ascii="Arial Narrow" w:hAnsi="Arial Narrow"/>
                <w:sz w:val="20"/>
                <w:szCs w:val="20"/>
              </w:rPr>
              <w:t xml:space="preserve"> </w:t>
            </w:r>
            <w:r w:rsidRPr="00BE48FF">
              <w:rPr>
                <w:rFonts w:ascii="Arial Narrow" w:hAnsi="Arial Narrow"/>
                <w:i/>
                <w:iCs/>
                <w:sz w:val="20"/>
                <w:szCs w:val="20"/>
              </w:rPr>
              <w:t xml:space="preserve">patient </w:t>
            </w:r>
            <w:r w:rsidRPr="00BE48FF">
              <w:rPr>
                <w:rFonts w:ascii="Arial Narrow" w:hAnsi="Arial Narrow"/>
                <w:sz w:val="20"/>
                <w:szCs w:val="20"/>
              </w:rPr>
              <w:t xml:space="preserve">must have a </w:t>
            </w:r>
            <w:r w:rsidRPr="00BE48FF">
              <w:rPr>
                <w:rFonts w:ascii="Arial Narrow" w:hAnsi="Arial Narrow"/>
                <w:i/>
                <w:iCs/>
                <w:sz w:val="20"/>
                <w:szCs w:val="20"/>
              </w:rPr>
              <w:t>test of tumour tissue confirming the presence of a</w:t>
            </w:r>
            <w:r w:rsidRPr="00BE48FF">
              <w:rPr>
                <w:rFonts w:ascii="Arial Narrow" w:hAnsi="Arial Narrow"/>
                <w:sz w:val="20"/>
                <w:szCs w:val="20"/>
              </w:rPr>
              <w:t xml:space="preserve"> susceptible isocitrate dehydrogenase-1 (IDH1) </w:t>
            </w:r>
            <w:r w:rsidRPr="00BE48FF">
              <w:rPr>
                <w:rFonts w:ascii="Arial Narrow" w:hAnsi="Arial Narrow"/>
                <w:i/>
                <w:iCs/>
                <w:sz w:val="20"/>
                <w:szCs w:val="20"/>
              </w:rPr>
              <w:t>R132H/C/G/S/L</w:t>
            </w:r>
            <w:r w:rsidRPr="00BE48FF">
              <w:rPr>
                <w:rFonts w:ascii="Arial Narrow" w:hAnsi="Arial Narrow"/>
                <w:sz w:val="20"/>
                <w:szCs w:val="20"/>
              </w:rPr>
              <w:t xml:space="preserve"> </w:t>
            </w:r>
            <w:r w:rsidRPr="00BE48FF">
              <w:rPr>
                <w:rFonts w:ascii="Arial Narrow" w:hAnsi="Arial Narrow"/>
                <w:i/>
                <w:iCs/>
                <w:sz w:val="20"/>
                <w:szCs w:val="20"/>
              </w:rPr>
              <w:t>variant</w:t>
            </w:r>
            <w:r w:rsidRPr="00BE48FF">
              <w:rPr>
                <w:rFonts w:ascii="Arial Narrow" w:hAnsi="Arial Narrow"/>
                <w:sz w:val="20"/>
                <w:szCs w:val="20"/>
              </w:rPr>
              <w:t xml:space="preserve"> or isocitrate dehydrogenase-2 (IDH2) </w:t>
            </w:r>
            <w:r w:rsidRPr="00BE48FF">
              <w:rPr>
                <w:rFonts w:ascii="Arial Narrow" w:hAnsi="Arial Narrow"/>
                <w:i/>
                <w:iCs/>
                <w:sz w:val="20"/>
                <w:szCs w:val="20"/>
              </w:rPr>
              <w:t>R172K/M/W/S/G variant</w:t>
            </w:r>
          </w:p>
        </w:tc>
      </w:tr>
      <w:tr w:rsidR="00033B7B" w:rsidRPr="00AF597C" w14:paraId="1B7A459B"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6A10CF0"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AF597C" w14:paraId="21739E61"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CCD0CDF"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AF597C" w14:paraId="04F123A6"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B8FC122"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Patient must have had an Eastern Cooperative Oncology Group (ECOG) performance status score of 1 or less at the time of initiation of non-PBS subsidised treatment with this drug,</w:t>
            </w:r>
          </w:p>
        </w:tc>
      </w:tr>
      <w:tr w:rsidR="00033B7B" w:rsidRPr="00AF597C" w14:paraId="12F69380"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1F1592B"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AF597C" w14:paraId="4E641870"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88556EA"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AF597C" w14:paraId="354B3E33"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10A5AD3"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Patient must have had residual or recurrent disease after at least one prior surgery (biopsy, sub-total resection, or gross total resection) for this condition at the time of initiation of non-PBS-subsidised treatment with this drug for this condition,</w:t>
            </w:r>
          </w:p>
        </w:tc>
      </w:tr>
      <w:tr w:rsidR="00033B7B" w:rsidRPr="00AF597C" w14:paraId="209678CB"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29DF396"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AF597C" w14:paraId="1560940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7A4B92B" w14:textId="77777777" w:rsidR="00033B7B" w:rsidRPr="00BE48FF" w:rsidRDefault="00033B7B" w:rsidP="00621CBD">
            <w:pPr>
              <w:rPr>
                <w:rFonts w:ascii="Arial Narrow" w:hAnsi="Arial Narrow"/>
                <w:strike/>
                <w:sz w:val="20"/>
                <w:szCs w:val="20"/>
              </w:rPr>
            </w:pPr>
            <w:r w:rsidRPr="00BE48FF">
              <w:rPr>
                <w:rFonts w:ascii="Arial Narrow" w:hAnsi="Arial Narrow"/>
                <w:b/>
                <w:bCs/>
                <w:strike/>
                <w:sz w:val="20"/>
                <w:szCs w:val="20"/>
              </w:rPr>
              <w:t>Clinical criteria:</w:t>
            </w:r>
          </w:p>
        </w:tc>
      </w:tr>
      <w:tr w:rsidR="00033B7B" w:rsidRPr="00AF597C" w14:paraId="71447CFC"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51B3EC9" w14:textId="77777777" w:rsidR="00033B7B" w:rsidRPr="00BE48FF" w:rsidRDefault="00033B7B" w:rsidP="00621CBD">
            <w:pPr>
              <w:rPr>
                <w:rFonts w:ascii="Arial Narrow" w:hAnsi="Arial Narrow"/>
                <w:strike/>
                <w:sz w:val="20"/>
                <w:szCs w:val="20"/>
              </w:rPr>
            </w:pPr>
            <w:r w:rsidRPr="00BE48FF">
              <w:rPr>
                <w:rFonts w:ascii="Arial Narrow" w:hAnsi="Arial Narrow"/>
                <w:strike/>
                <w:sz w:val="20"/>
                <w:szCs w:val="20"/>
              </w:rPr>
              <w:t>The patient must not have been in immediate need of radiotherapy and/or chemotherapy for this condition at the time of initiation of non-PBS subsidised treatment with this drug,</w:t>
            </w:r>
          </w:p>
        </w:tc>
      </w:tr>
      <w:tr w:rsidR="00033B7B" w:rsidRPr="00AF597C" w14:paraId="03883C6C"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B7BB2D3" w14:textId="77777777" w:rsidR="00033B7B" w:rsidRPr="00BE48FF" w:rsidRDefault="00033B7B" w:rsidP="00621CBD">
            <w:pPr>
              <w:rPr>
                <w:rFonts w:ascii="Arial Narrow" w:hAnsi="Arial Narrow"/>
                <w:strike/>
                <w:sz w:val="20"/>
                <w:szCs w:val="20"/>
              </w:rPr>
            </w:pPr>
            <w:r w:rsidRPr="00BE48FF">
              <w:rPr>
                <w:rFonts w:ascii="Arial Narrow" w:hAnsi="Arial Narrow"/>
                <w:b/>
                <w:bCs/>
                <w:strike/>
                <w:sz w:val="20"/>
                <w:szCs w:val="20"/>
              </w:rPr>
              <w:t>AND</w:t>
            </w:r>
          </w:p>
        </w:tc>
      </w:tr>
      <w:tr w:rsidR="00033B7B" w:rsidRPr="00AF597C" w14:paraId="5A5EA5D8"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C82A0C7"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AF597C" w14:paraId="1FC88F71"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C0D281B"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 xml:space="preserve">The condition must not have been previously treated with </w:t>
            </w:r>
            <w:r w:rsidRPr="00BE48FF">
              <w:rPr>
                <w:rFonts w:ascii="Arial Narrow" w:hAnsi="Arial Narrow"/>
                <w:i/>
                <w:iCs/>
                <w:sz w:val="20"/>
                <w:szCs w:val="20"/>
              </w:rPr>
              <w:t>systemic</w:t>
            </w:r>
            <w:r w:rsidRPr="00BE48FF">
              <w:rPr>
                <w:rFonts w:ascii="Arial Narrow" w:hAnsi="Arial Narrow"/>
                <w:sz w:val="20"/>
                <w:szCs w:val="20"/>
              </w:rPr>
              <w:t xml:space="preserve"> anticancer therapy </w:t>
            </w:r>
            <w:r w:rsidRPr="00BE48FF">
              <w:rPr>
                <w:rFonts w:ascii="Arial Narrow" w:hAnsi="Arial Narrow"/>
                <w:i/>
                <w:iCs/>
                <w:sz w:val="20"/>
                <w:szCs w:val="20"/>
              </w:rPr>
              <w:t>prior to initiation non-PBS subsidised treatment with this drug for this condition</w:t>
            </w:r>
          </w:p>
        </w:tc>
      </w:tr>
      <w:tr w:rsidR="00033B7B" w:rsidRPr="00AF597C" w14:paraId="16127EA5"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C33B0CC"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AND</w:t>
            </w:r>
          </w:p>
        </w:tc>
      </w:tr>
      <w:tr w:rsidR="00033B7B" w:rsidRPr="00AF597C" w14:paraId="02CD68CA"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5E912F38"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Clinical criteria:</w:t>
            </w:r>
          </w:p>
        </w:tc>
      </w:tr>
      <w:tr w:rsidR="00033B7B" w:rsidRPr="00AF597C" w14:paraId="4BAE4956"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D39C103" w14:textId="77777777" w:rsidR="00033B7B" w:rsidRPr="00BE48FF" w:rsidRDefault="00033B7B" w:rsidP="00621CBD">
            <w:pPr>
              <w:rPr>
                <w:rFonts w:ascii="Arial Narrow" w:hAnsi="Arial Narrow"/>
                <w:sz w:val="20"/>
                <w:szCs w:val="20"/>
              </w:rPr>
            </w:pPr>
            <w:r w:rsidRPr="00BE48FF">
              <w:rPr>
                <w:rFonts w:ascii="Arial Narrow" w:hAnsi="Arial Narrow"/>
                <w:sz w:val="20"/>
                <w:szCs w:val="20"/>
              </w:rPr>
              <w:t>Patient must not have developed disease progression while receiving treatment with this drug for this condition.</w:t>
            </w:r>
          </w:p>
        </w:tc>
      </w:tr>
      <w:tr w:rsidR="00033B7B" w:rsidRPr="00AF597C" w14:paraId="2E45F18E"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78405064" w14:textId="77777777" w:rsidR="00033B7B" w:rsidRPr="00BE48FF" w:rsidRDefault="00033B7B" w:rsidP="00621CBD">
            <w:pPr>
              <w:rPr>
                <w:rFonts w:ascii="Arial Narrow" w:hAnsi="Arial Narrow"/>
                <w:b/>
                <w:bCs/>
                <w:sz w:val="20"/>
                <w:szCs w:val="20"/>
              </w:rPr>
            </w:pPr>
            <w:r w:rsidRPr="00BE48FF">
              <w:rPr>
                <w:rFonts w:ascii="Arial Narrow" w:hAnsi="Arial Narrow"/>
                <w:b/>
                <w:bCs/>
                <w:sz w:val="20"/>
                <w:szCs w:val="20"/>
              </w:rPr>
              <w:t xml:space="preserve">Prescriber instructions: </w:t>
            </w:r>
          </w:p>
          <w:p w14:paraId="5658F899" w14:textId="77777777" w:rsidR="00033B7B" w:rsidRPr="00BE48FF" w:rsidRDefault="00033B7B" w:rsidP="00621CBD">
            <w:pPr>
              <w:rPr>
                <w:rFonts w:ascii="Arial Narrow" w:hAnsi="Arial Narrow"/>
                <w:sz w:val="20"/>
                <w:szCs w:val="20"/>
              </w:rPr>
            </w:pPr>
            <w:r w:rsidRPr="00BE48FF">
              <w:rPr>
                <w:rStyle w:val="normaltextrun"/>
                <w:rFonts w:ascii="Arial Narrow" w:hAnsi="Arial Narrow"/>
                <w:i/>
                <w:iCs/>
                <w:sz w:val="20"/>
                <w:szCs w:val="20"/>
                <w:shd w:val="clear" w:color="auto" w:fill="FFFFFF"/>
              </w:rPr>
              <w:t>Confirm that evidence of the presence of a pathogenic variant of the IDH1 or IDH2 gene is documented/retained in the patient's medical records once only with the first PBS prescription</w:t>
            </w:r>
            <w:r w:rsidRPr="00BE48FF">
              <w:rPr>
                <w:rStyle w:val="normaltextrun"/>
                <w:rFonts w:ascii="Arial Narrow" w:hAnsi="Arial Narrow"/>
                <w:i/>
                <w:iCs/>
                <w:szCs w:val="20"/>
                <w:shd w:val="clear" w:color="auto" w:fill="FFFFFF"/>
              </w:rPr>
              <w:t>.</w:t>
            </w:r>
          </w:p>
        </w:tc>
      </w:tr>
      <w:tr w:rsidR="00033B7B" w:rsidRPr="00AF597C" w14:paraId="4CC7CE36"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4C50A49C" w14:textId="77777777" w:rsidR="00033B7B" w:rsidRPr="00BE48FF" w:rsidRDefault="00033B7B" w:rsidP="00621CBD">
            <w:pPr>
              <w:rPr>
                <w:rFonts w:ascii="Arial Narrow" w:hAnsi="Arial Narrow"/>
                <w:strike/>
                <w:sz w:val="20"/>
                <w:szCs w:val="20"/>
              </w:rPr>
            </w:pPr>
            <w:r w:rsidRPr="00BE48FF">
              <w:rPr>
                <w:rFonts w:ascii="Arial Narrow" w:hAnsi="Arial Narrow"/>
                <w:b/>
                <w:bCs/>
                <w:strike/>
                <w:sz w:val="20"/>
                <w:szCs w:val="20"/>
              </w:rPr>
              <w:t>Administrative advice:</w:t>
            </w:r>
            <w:r w:rsidRPr="00BE48FF">
              <w:rPr>
                <w:rFonts w:ascii="Arial Narrow" w:hAnsi="Arial Narrow"/>
                <w:strike/>
                <w:sz w:val="20"/>
                <w:szCs w:val="20"/>
              </w:rPr>
              <w:t xml:space="preserve"> Special Pricing Arrangements apply</w:t>
            </w:r>
          </w:p>
        </w:tc>
      </w:tr>
      <w:tr w:rsidR="00033B7B" w:rsidRPr="00AF597C" w14:paraId="0BCFC12C"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283EC9C8" w14:textId="77777777" w:rsidR="00033B7B" w:rsidRPr="00BE48FF" w:rsidRDefault="00033B7B" w:rsidP="00621CBD">
            <w:pPr>
              <w:rPr>
                <w:rFonts w:ascii="Arial Narrow" w:hAnsi="Arial Narrow"/>
                <w:sz w:val="20"/>
                <w:szCs w:val="20"/>
              </w:rPr>
            </w:pPr>
            <w:r w:rsidRPr="00BE48FF">
              <w:rPr>
                <w:rFonts w:ascii="Arial Narrow" w:hAnsi="Arial Narrow"/>
                <w:b/>
                <w:bCs/>
                <w:sz w:val="20"/>
                <w:szCs w:val="20"/>
              </w:rPr>
              <w:t>Administrative advice:</w:t>
            </w:r>
            <w:r w:rsidRPr="00BE48FF">
              <w:rPr>
                <w:rFonts w:ascii="Arial Narrow" w:hAnsi="Arial Narrow"/>
                <w:sz w:val="20"/>
                <w:szCs w:val="20"/>
              </w:rPr>
              <w:t xml:space="preserve"> This grandfather restriction will cease to operate from 12 months after the date specified in the clinical criteria.</w:t>
            </w:r>
          </w:p>
        </w:tc>
      </w:tr>
      <w:tr w:rsidR="00033B7B" w:rsidRPr="00AF597C" w14:paraId="72E73F2B" w14:textId="77777777" w:rsidTr="003B3511">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3C325B59" w14:textId="77777777" w:rsidR="00033B7B" w:rsidRPr="00BE48FF" w:rsidRDefault="00033B7B" w:rsidP="00621CBD">
            <w:pPr>
              <w:rPr>
                <w:rFonts w:ascii="Arial Narrow" w:hAnsi="Arial Narrow"/>
                <w:sz w:val="20"/>
                <w:szCs w:val="20"/>
              </w:rPr>
            </w:pPr>
            <w:r w:rsidRPr="00BE48FF">
              <w:rPr>
                <w:rFonts w:ascii="Arial Narrow" w:hAnsi="Arial Narrow"/>
                <w:b/>
                <w:bCs/>
                <w:strike/>
                <w:sz w:val="20"/>
                <w:szCs w:val="20"/>
              </w:rPr>
              <w:t>Note:</w:t>
            </w:r>
            <w:r w:rsidRPr="00BE48FF">
              <w:rPr>
                <w:rFonts w:ascii="Arial Narrow" w:hAnsi="Arial Narrow"/>
                <w:sz w:val="20"/>
                <w:szCs w:val="20"/>
              </w:rPr>
              <w:t xml:space="preserve"> </w:t>
            </w:r>
            <w:r w:rsidRPr="00BE48FF">
              <w:rPr>
                <w:rFonts w:ascii="Arial Narrow" w:hAnsi="Arial Narrow"/>
                <w:b/>
                <w:bCs/>
                <w:i/>
                <w:iCs/>
                <w:sz w:val="20"/>
                <w:szCs w:val="20"/>
              </w:rPr>
              <w:t>Administrative advice:</w:t>
            </w:r>
            <w:r w:rsidRPr="00BE48FF">
              <w:rPr>
                <w:rFonts w:ascii="Arial Narrow" w:hAnsi="Arial Narrow"/>
                <w:b/>
                <w:bCs/>
                <w:sz w:val="20"/>
                <w:szCs w:val="20"/>
              </w:rPr>
              <w:t xml:space="preserve"> </w:t>
            </w:r>
            <w:r w:rsidRPr="00BE48FF">
              <w:rPr>
                <w:rFonts w:ascii="Arial Narrow" w:hAnsi="Arial Narrow"/>
                <w:sz w:val="20"/>
                <w:szCs w:val="20"/>
              </w:rPr>
              <w:t>Patients may qualify for PBS-subsidised treatment under this restriction once only. For continuing PBS-subsidised treatment, a 'Grandfathered' patient must qualify under the 'Continuing treatment' criteria.</w:t>
            </w:r>
          </w:p>
        </w:tc>
      </w:tr>
    </w:tbl>
    <w:p w14:paraId="20A706B2" w14:textId="77777777" w:rsidR="00531A03" w:rsidRPr="00531A03" w:rsidRDefault="00531A03" w:rsidP="00531A03">
      <w:pPr>
        <w:pStyle w:val="COMexecsummnumbered"/>
        <w:numPr>
          <w:ilvl w:val="0"/>
          <w:numId w:val="0"/>
        </w:numPr>
        <w:ind w:left="720"/>
      </w:pPr>
    </w:p>
    <w:p w14:paraId="729A3784" w14:textId="4F1D51D2" w:rsidR="00A52EC6" w:rsidRPr="00F57392" w:rsidRDefault="00BC1908" w:rsidP="00A52EC6">
      <w:pPr>
        <w:pStyle w:val="COMexecsummnumbered"/>
      </w:pPr>
      <w:r w:rsidRPr="00F57392">
        <w:t xml:space="preserve">The submission proposed a special pricing arrangement, with a published </w:t>
      </w:r>
      <w:r w:rsidR="006D773D">
        <w:t xml:space="preserve">dispensed price maximum quantity (DPMQ) </w:t>
      </w:r>
      <w:r w:rsidRPr="00F57392">
        <w:t>price of $</w:t>
      </w:r>
      <w:r w:rsidR="00103C74" w:rsidRPr="00103C74">
        <w:rPr>
          <w:color w:val="000000"/>
          <w:w w:val="27"/>
          <w:shd w:val="solid" w:color="000000" w:fill="000000"/>
          <w:fitText w:val="92" w:id="-626751744"/>
          <w14:textFill>
            <w14:solidFill>
              <w14:srgbClr w14:val="000000">
                <w14:alpha w14:val="100000"/>
              </w14:srgbClr>
            </w14:solidFill>
          </w14:textFill>
        </w:rPr>
        <w:t>|  |</w:t>
      </w:r>
      <w:r w:rsidRPr="00F57392">
        <w:t xml:space="preserve"> and an effective </w:t>
      </w:r>
      <w:r w:rsidR="006D773D">
        <w:t xml:space="preserve">DPMQ </w:t>
      </w:r>
      <w:r w:rsidRPr="00F57392">
        <w:t>price of $</w:t>
      </w:r>
      <w:r w:rsidR="00556852" w:rsidRPr="003C0757">
        <w:rPr>
          <w:color w:val="000000"/>
          <w:w w:val="15"/>
          <w:shd w:val="solid" w:color="000000" w:fill="000000"/>
          <w:fitText w:val="-20" w:id="-629514491"/>
          <w14:textFill>
            <w14:solidFill>
              <w14:srgbClr w14:val="000000">
                <w14:alpha w14:val="100000"/>
              </w14:srgbClr>
            </w14:solidFill>
          </w14:textFill>
        </w:rPr>
        <w:t xml:space="preserve">|  </w:t>
      </w:r>
      <w:r w:rsidR="00556852" w:rsidRPr="003C0757">
        <w:rPr>
          <w:color w:val="000000"/>
          <w:spacing w:val="-69"/>
          <w:w w:val="15"/>
          <w:shd w:val="solid" w:color="000000" w:fill="000000"/>
          <w:fitText w:val="-20" w:id="-629514491"/>
          <w14:textFill>
            <w14:solidFill>
              <w14:srgbClr w14:val="000000">
                <w14:alpha w14:val="100000"/>
              </w14:srgbClr>
            </w14:solidFill>
          </w14:textFill>
        </w:rPr>
        <w:t>|</w:t>
      </w:r>
      <w:r w:rsidR="006D773D">
        <w:t xml:space="preserve"> </w:t>
      </w:r>
      <w:r w:rsidRPr="00F57392">
        <w:t xml:space="preserve">per </w:t>
      </w:r>
      <w:r w:rsidRPr="00F57392">
        <w:lastRenderedPageBreak/>
        <w:t>pack of 30 × 40 mg tablets.</w:t>
      </w:r>
      <w:r w:rsidR="0033475A">
        <w:t xml:space="preserve"> The same published and effective DPMQ </w:t>
      </w:r>
      <w:r w:rsidR="00A14DB4">
        <w:t>was proposed per pack of 60 x 10 mg tablets.</w:t>
      </w:r>
      <w:r w:rsidRPr="00F57392">
        <w:t xml:space="preserve"> </w:t>
      </w:r>
    </w:p>
    <w:p w14:paraId="55C1833B" w14:textId="346107E6" w:rsidR="00A52EC6" w:rsidRPr="00847870" w:rsidRDefault="00A52EC6" w:rsidP="00A52EC6">
      <w:pPr>
        <w:pStyle w:val="COMexecsummnumbered"/>
      </w:pPr>
      <w:r w:rsidRPr="00F57392">
        <w:t xml:space="preserve">The </w:t>
      </w:r>
      <w:r w:rsidRPr="00847870">
        <w:t xml:space="preserve">submission proposed an Authority Required (Streamlined) listing for initial and continuing treatment. This differs from the PBS restriction for dabrafenib for the treatment of paediatric glioma, which is an Authority Required (telephone/online) listing for initial and continuing treatment. </w:t>
      </w:r>
      <w:r w:rsidR="005732F3" w:rsidRPr="00531A03">
        <w:t>The Commentary noted that</w:t>
      </w:r>
      <w:r w:rsidR="005732F3">
        <w:t xml:space="preserve"> a</w:t>
      </w:r>
      <w:r w:rsidRPr="00847870">
        <w:t>n Authority Required (telephone/online) listing may be more appropriate given the risk of use outside of the proposed restriction. Additionally, it may be reasonable to require documentation of relevant tumour characteristics at the time of treatment initiation.</w:t>
      </w:r>
    </w:p>
    <w:p w14:paraId="27E92400" w14:textId="3165FD63" w:rsidR="00014E52" w:rsidRPr="00014E52" w:rsidRDefault="00A52EC6" w:rsidP="00AA19A0">
      <w:pPr>
        <w:pStyle w:val="COMexecsummnumbered"/>
        <w:rPr>
          <w:i/>
          <w:iCs/>
        </w:rPr>
      </w:pPr>
      <w:r w:rsidRPr="00847870">
        <w:t xml:space="preserve">The proposed listing is broader than the TGA indication with respect to age, as the TGA indication limits treatment to patients aged 12 years and older. </w:t>
      </w:r>
      <w:r w:rsidR="00AA19A0" w:rsidRPr="00531A03">
        <w:t>There is a lack of data regarding the effectiveness and safety of vorasidenib in paediatric patients (the youngest patient in the vorasidenib arm of the INDIGO trial was 21 years).</w:t>
      </w:r>
      <w:r w:rsidR="00014E52" w:rsidRPr="00014E52">
        <w:t xml:space="preserve"> </w:t>
      </w:r>
    </w:p>
    <w:p w14:paraId="39D6468C" w14:textId="25DFBD46" w:rsidR="00A52EC6" w:rsidRPr="0098593E" w:rsidRDefault="00014E52" w:rsidP="00AA19A0">
      <w:pPr>
        <w:pStyle w:val="COMexecsummnumbered"/>
        <w:rPr>
          <w:i/>
          <w:iCs/>
        </w:rPr>
      </w:pPr>
      <w:r w:rsidRPr="00847870">
        <w:t>The proposed listing is narrower than the TGA indication, which does not limit treatment on the basis of previous anticancer therapy, performance status, the presence of residual or recurrent disease, or the occurrence of disease progression while receiving treatment.</w:t>
      </w:r>
    </w:p>
    <w:p w14:paraId="4F0122C0" w14:textId="68A8AEB8" w:rsidR="00A52EC6" w:rsidRPr="00847870" w:rsidRDefault="00A52EC6" w:rsidP="00A52EC6">
      <w:pPr>
        <w:pStyle w:val="COMexecsummnumbered"/>
      </w:pPr>
      <w:r w:rsidRPr="00847870">
        <w:t>The submission noted that the proposed restriction requires an ECOG score ≤1, whereas eligibility for the INDIGO trial was based on a Karnofsky Performance Status score ≥80% (Lansky Play-Performance Scale score for patients aged &lt;16 years). The submission argued that the Karnofsky Performance Status and Lansky Play-Performance Scale are not routinely assessed in clinical practice</w:t>
      </w:r>
      <w:r w:rsidR="00A32490" w:rsidRPr="00847870">
        <w:t>,</w:t>
      </w:r>
      <w:r w:rsidRPr="00847870">
        <w:t xml:space="preserve"> but acknowledged that an ECOG score of ≤1 would encompass a slightly broader population than a Karnofsky Performance Status/Lansky Play-Performance Scale score of ≥80. This may be reasonable given greater familiarity with ECOG scoring in clinical practice and given that the NCCN guidelines include vorasidenib as a recommended treatment for patients with patients a Karnofsky Performance Status score ≥60. However, the PBS restriction for dabrafenib for the treatment of paediatric low grade glioma is based on Karnofsky or Lansky performance scores rather than an ECOG score. </w:t>
      </w:r>
    </w:p>
    <w:p w14:paraId="72FFF3B4" w14:textId="38A4B2FB" w:rsidR="00CB3446" w:rsidRPr="00543632" w:rsidRDefault="00A52EC6" w:rsidP="00A52EC6">
      <w:pPr>
        <w:pStyle w:val="COMexecsummnumbered"/>
        <w:rPr>
          <w:i/>
          <w:iCs/>
        </w:rPr>
      </w:pPr>
      <w:r w:rsidRPr="00847870">
        <w:t xml:space="preserve">The submission noted that the proposed restriction does not specify a duration of time since surgery, whereas the INDIGO trial enrolled patients </w:t>
      </w:r>
      <w:r w:rsidR="00314303" w:rsidRPr="00847870">
        <w:t xml:space="preserve">whose </w:t>
      </w:r>
      <w:r w:rsidR="00BC0282" w:rsidRPr="00847870">
        <w:t xml:space="preserve">most recent </w:t>
      </w:r>
      <w:r w:rsidRPr="00847870">
        <w:t xml:space="preserve">surgery </w:t>
      </w:r>
      <w:r w:rsidR="00314303" w:rsidRPr="00847870">
        <w:t xml:space="preserve">was </w:t>
      </w:r>
      <w:r w:rsidR="00BC0282" w:rsidRPr="00847870">
        <w:t xml:space="preserve">at least one year </w:t>
      </w:r>
      <w:r w:rsidR="00314303" w:rsidRPr="00847870">
        <w:t>(</w:t>
      </w:r>
      <w:r w:rsidR="00BC0282" w:rsidRPr="00847870">
        <w:t>and not more than 5 years</w:t>
      </w:r>
      <w:r w:rsidR="00314303" w:rsidRPr="00847870">
        <w:t>) prior</w:t>
      </w:r>
      <w:r w:rsidR="00BC0282" w:rsidRPr="00847870">
        <w:t xml:space="preserve"> to randomisation</w:t>
      </w:r>
      <w:r w:rsidRPr="00847870">
        <w:t xml:space="preserve">. The submission argued that the impact of surgery on overall health, aggressiveness of disease and tumour growth rate can be determined by imaging and clinical assessment within the 12 months following surgery; and that limiting access during the initial 12 months following surgery would limit access to vorasidenib for patients with residual disease who may be ideal candidates for treatment, and patients with recurrent disease following complete resection. </w:t>
      </w:r>
      <w:r w:rsidR="00DD2D5F" w:rsidRPr="00531A03">
        <w:t>The Commentary noted that</w:t>
      </w:r>
      <w:r w:rsidR="00DD2D5F">
        <w:t xml:space="preserve"> w</w:t>
      </w:r>
      <w:r w:rsidRPr="00847870">
        <w:t xml:space="preserve">hile it may be reasonable to allow patients to initiate treatment with vorasidenib within 12 months of surgery, early initiation of vorasidenib may impact the ability to gauge the underlying rate of tumour growth. As a result, some patients with aggressive tumours may receive treatment with vorasidenib rather than </w:t>
      </w:r>
      <w:r w:rsidRPr="00847870">
        <w:lastRenderedPageBreak/>
        <w:t>radiotherapy/chemotherapy, and some patients with slow growing tumours who would otherwise have been observed for years may receive upfront treatment with vorasidenib. In general, the optimal time to initiate therapy with vorasidenib is unclear, and will likely require individualisation based on the unique underlying risk profile and patient preferences.</w:t>
      </w:r>
      <w:r w:rsidR="00B754A0">
        <w:t xml:space="preserve"> </w:t>
      </w:r>
    </w:p>
    <w:p w14:paraId="2CABA17B" w14:textId="31C44A90" w:rsidR="00982673" w:rsidRPr="00A35B65" w:rsidRDefault="00A52EC6" w:rsidP="00A35B65">
      <w:pPr>
        <w:pStyle w:val="COMexecsummnumbered"/>
        <w:rPr>
          <w:i/>
          <w:iCs/>
        </w:rPr>
      </w:pPr>
      <w:r w:rsidRPr="00847870">
        <w:t xml:space="preserve">The submission argued that there is no clinical rationale </w:t>
      </w:r>
      <w:r w:rsidR="00A32490" w:rsidRPr="00847870">
        <w:t xml:space="preserve">to </w:t>
      </w:r>
      <w:r w:rsidRPr="00847870">
        <w:t xml:space="preserve">exclude patients who had their last surgery more than 5 years ago from accessing vorasidenib, given that these patients would have likely been treated earlier if vorasidenib was available on the PBS. </w:t>
      </w:r>
      <w:r w:rsidR="007F519D">
        <w:t>T</w:t>
      </w:r>
      <w:r w:rsidR="00982673" w:rsidRPr="00531A03">
        <w:t>he Pre-Sub-Committee response (PSCR) noted that the sponsor consider</w:t>
      </w:r>
      <w:r w:rsidR="00A35B65">
        <w:t>ed</w:t>
      </w:r>
      <w:r w:rsidR="00982673" w:rsidRPr="00531A03">
        <w:t xml:space="preserve"> that it </w:t>
      </w:r>
      <w:r w:rsidR="00A35B65">
        <w:t>would be</w:t>
      </w:r>
      <w:r w:rsidR="00982673" w:rsidRPr="00531A03">
        <w:t xml:space="preserve"> reasonable for the restriction to avoid specifying a fixed time window for initiation of vorasidenib and argued that subgroup analyses indicate that treatment outcomes did not vary meaningfully with earlier or later initiation. </w:t>
      </w:r>
    </w:p>
    <w:p w14:paraId="5467A518" w14:textId="7084C3C8" w:rsidR="00CB3446" w:rsidRPr="00847870" w:rsidRDefault="004D7DF5" w:rsidP="00A52EC6">
      <w:pPr>
        <w:pStyle w:val="COMexecsummnumbered"/>
      </w:pPr>
      <w:r w:rsidRPr="00847870">
        <w:t>T</w:t>
      </w:r>
      <w:r w:rsidR="00A52EC6" w:rsidRPr="00847870">
        <w:t>he proposed restriction requires patients to have residual or recurrent disease. It is unclear how ‘residual disease’ will be interpreted in clinical practice, given that gross total resection of Grade 2 IDH-mutant gliomas is typically not curative (and therefore all patients could be considered to have residual disease). However, the proposed criterion is consistent with the NCCN guidelines, which recommend observation for patients who do not have evidence of residual disease after surgery.</w:t>
      </w:r>
      <w:r w:rsidR="008208BA">
        <w:t xml:space="preserve"> </w:t>
      </w:r>
    </w:p>
    <w:p w14:paraId="16B9330C" w14:textId="526D4297" w:rsidR="00CB3446" w:rsidRPr="00531A03" w:rsidRDefault="00A52EC6" w:rsidP="00CB3446">
      <w:pPr>
        <w:pStyle w:val="COMexecsummnumbered"/>
      </w:pPr>
      <w:r w:rsidRPr="00847870">
        <w:t>The proposed restriction</w:t>
      </w:r>
      <w:r w:rsidR="008208BA">
        <w:t>s</w:t>
      </w:r>
      <w:r w:rsidRPr="00847870">
        <w:t xml:space="preserve"> require that patients not be in need of immediate treatment with radiotherapy/chemotherapy. While this was also an eligibility requirement for the INDIGO trial, there does not appear to be accepted criteria to determine whether a patient should proceed to immediate radiotherapy/chemotherapy. The RTOG 9802 study established that the addition of chemotherapy to radiotherapy was associated with a substantial survival benefit among patients with low grade glioma with high-risk features. A large proportion of patients in the INDIGO trial had subtotal resection or biopsy only and would likely be considered high risk based on the definition used in the RTOG 9802 study</w:t>
      </w:r>
      <w:r w:rsidRPr="00531A03">
        <w:t>.</w:t>
      </w:r>
      <w:r w:rsidR="007C7782" w:rsidRPr="00531A03">
        <w:t xml:space="preserve"> </w:t>
      </w:r>
      <w:r w:rsidR="00134846" w:rsidRPr="00531A03">
        <w:t xml:space="preserve">The </w:t>
      </w:r>
      <w:r w:rsidR="00677276" w:rsidRPr="00531A03">
        <w:t xml:space="preserve">PSCR noted that the INDIGO trial protocol defined high risk features as including brainstem involvement, clinically relevant functional or neurocognitive deficits due to the tumour or uncontrolled seizures. </w:t>
      </w:r>
      <w:r w:rsidR="00BE029D" w:rsidRPr="00531A03">
        <w:t xml:space="preserve">The </w:t>
      </w:r>
      <w:r w:rsidR="006A2F99" w:rsidRPr="00531A03">
        <w:t>Sub-Committees</w:t>
      </w:r>
      <w:r w:rsidR="00ED5A7E">
        <w:t xml:space="preserve"> (ESC and DUSC)</w:t>
      </w:r>
      <w:r w:rsidR="00BE029D" w:rsidRPr="00531A03">
        <w:t xml:space="preserve"> noted that this restriction was consistent with the INDIGO trial, TGA indication and NCCN guidelines.</w:t>
      </w:r>
    </w:p>
    <w:p w14:paraId="4C8FC922" w14:textId="1E006BD9" w:rsidR="00CB3446" w:rsidRPr="00531A03" w:rsidRDefault="00A52EC6" w:rsidP="00A52EC6">
      <w:pPr>
        <w:pStyle w:val="COMexecsummnumbered"/>
      </w:pPr>
      <w:r w:rsidRPr="005C73D6">
        <w:t>Th</w:t>
      </w:r>
      <w:r w:rsidR="00434022" w:rsidRPr="005C73D6">
        <w:t xml:space="preserve">e Commentary </w:t>
      </w:r>
      <w:r w:rsidR="00B76869" w:rsidRPr="005C73D6">
        <w:t>considered</w:t>
      </w:r>
      <w:r w:rsidR="00B76869">
        <w:t xml:space="preserve"> th</w:t>
      </w:r>
      <w:r w:rsidRPr="00847870">
        <w:t>ere is a risk of use outside the proposed restriction among patients with non-Grade</w:t>
      </w:r>
      <w:r w:rsidR="00CB3446" w:rsidRPr="00847870">
        <w:t> </w:t>
      </w:r>
      <w:r w:rsidRPr="00847870">
        <w:t>2 disease; patients in immediate need of radiotherapy and/or chemotherapy; patients with previous anticancer therapy use (e.g., patients with recurrent or progressive disease after radiotherapy and chemotherapy); and patients with an ECOG &gt;1.</w:t>
      </w:r>
      <w:r w:rsidR="00434022" w:rsidRPr="7BC319D9">
        <w:rPr>
          <w:i/>
          <w:iCs/>
        </w:rPr>
        <w:t xml:space="preserve"> </w:t>
      </w:r>
      <w:r w:rsidR="00F818CF" w:rsidRPr="00531A03">
        <w:t>T</w:t>
      </w:r>
      <w:r w:rsidR="00434022" w:rsidRPr="00531A03">
        <w:t xml:space="preserve">he </w:t>
      </w:r>
      <w:r w:rsidR="006A2F99" w:rsidRPr="00531A03">
        <w:t>Sub-Committees</w:t>
      </w:r>
      <w:r w:rsidR="00434022" w:rsidRPr="00531A03">
        <w:t xml:space="preserve"> considered that clinicians are unlikely to delay initiation of radiotherapy/chemotherapy where patients are symptomatic</w:t>
      </w:r>
      <w:r w:rsidR="00A37A4A" w:rsidRPr="00531A03">
        <w:t xml:space="preserve"> or</w:t>
      </w:r>
      <w:r w:rsidR="00434022" w:rsidRPr="00531A03">
        <w:t xml:space="preserve"> have impending symptoms</w:t>
      </w:r>
      <w:r w:rsidR="00795FAA" w:rsidRPr="00531A03">
        <w:t xml:space="preserve"> as</w:t>
      </w:r>
      <w:r w:rsidR="008E3204" w:rsidRPr="00531A03">
        <w:t xml:space="preserve"> </w:t>
      </w:r>
      <w:r w:rsidR="00434022" w:rsidRPr="00531A03">
        <w:t xml:space="preserve">vorasidenib does not provide </w:t>
      </w:r>
      <w:r w:rsidR="00AA3D1C" w:rsidRPr="00531A03">
        <w:t xml:space="preserve">a reduction in </w:t>
      </w:r>
      <w:r w:rsidR="00434022" w:rsidRPr="00531A03">
        <w:t xml:space="preserve">tumour </w:t>
      </w:r>
      <w:r w:rsidR="00AA3D1C" w:rsidRPr="00531A03">
        <w:t xml:space="preserve">size </w:t>
      </w:r>
      <w:r w:rsidR="00B96630" w:rsidRPr="00531A03">
        <w:t>(</w:t>
      </w:r>
      <w:r w:rsidR="00AA3D1C" w:rsidRPr="00531A03">
        <w:t xml:space="preserve">based on tumour growth rate and overall response rate, </w:t>
      </w:r>
      <w:r w:rsidR="00B96630" w:rsidRPr="00531A03">
        <w:t xml:space="preserve">see also paragraph </w:t>
      </w:r>
      <w:r w:rsidRPr="00531A03">
        <w:fldChar w:fldCharType="begin"/>
      </w:r>
      <w:r w:rsidRPr="00531A03">
        <w:instrText xml:space="preserve"> REF _Ref200541229 \r \h </w:instrText>
      </w:r>
      <w:r w:rsidR="00531A03">
        <w:instrText xml:space="preserve"> \* MERGEFORMAT </w:instrText>
      </w:r>
      <w:r w:rsidRPr="00531A03">
        <w:fldChar w:fldCharType="separate"/>
      </w:r>
      <w:r w:rsidR="003C0757">
        <w:t>6.24</w:t>
      </w:r>
      <w:r w:rsidRPr="00531A03">
        <w:fldChar w:fldCharType="end"/>
      </w:r>
      <w:r w:rsidR="00B96630" w:rsidRPr="00531A03">
        <w:t>)</w:t>
      </w:r>
      <w:r w:rsidR="00434022" w:rsidRPr="00531A03">
        <w:t>.</w:t>
      </w:r>
      <w:r w:rsidR="00F818CF" w:rsidRPr="00531A03">
        <w:t xml:space="preserve"> In addition, </w:t>
      </w:r>
      <w:r w:rsidR="00407181" w:rsidRPr="00531A03">
        <w:t xml:space="preserve">the </w:t>
      </w:r>
      <w:r w:rsidR="006A2F99" w:rsidRPr="00531A03">
        <w:t>Sub-Committees</w:t>
      </w:r>
      <w:r w:rsidR="00407181" w:rsidRPr="00531A03">
        <w:t xml:space="preserve"> considered that clinicians are unlikely to </w:t>
      </w:r>
      <w:r w:rsidR="00964373" w:rsidRPr="00531A03">
        <w:t xml:space="preserve">use vorasidenib in patients with </w:t>
      </w:r>
      <w:r w:rsidR="00A37A4A" w:rsidRPr="00531A03">
        <w:t xml:space="preserve">high risk disease (including </w:t>
      </w:r>
      <w:r w:rsidR="00964373" w:rsidRPr="00531A03">
        <w:t>Grade 3</w:t>
      </w:r>
      <w:r w:rsidR="00A37A4A" w:rsidRPr="00531A03">
        <w:t xml:space="preserve"> or 4)</w:t>
      </w:r>
      <w:r w:rsidR="00964373" w:rsidRPr="00531A03">
        <w:t xml:space="preserve"> </w:t>
      </w:r>
      <w:r w:rsidR="00C754BE" w:rsidRPr="00531A03">
        <w:t xml:space="preserve">or with progression on radiotherapy/chemotherapy </w:t>
      </w:r>
      <w:r w:rsidR="00254DA7" w:rsidRPr="00531A03">
        <w:t xml:space="preserve">as there is no </w:t>
      </w:r>
      <w:r w:rsidR="00254DA7" w:rsidRPr="00531A03">
        <w:lastRenderedPageBreak/>
        <w:t xml:space="preserve">evidence to suggest it would be effective. </w:t>
      </w:r>
      <w:r w:rsidR="00461542">
        <w:t xml:space="preserve">The PBAC noted that there may be </w:t>
      </w:r>
      <w:r w:rsidR="00657EA1">
        <w:t>trials in other treatment setting</w:t>
      </w:r>
      <w:r w:rsidR="000837C4">
        <w:t>s</w:t>
      </w:r>
      <w:r w:rsidR="00657EA1">
        <w:t xml:space="preserve"> in the future</w:t>
      </w:r>
      <w:r w:rsidR="000837C4">
        <w:t xml:space="preserve"> (e.g. after prior chemotherapy)</w:t>
      </w:r>
      <w:r w:rsidR="00657EA1">
        <w:t xml:space="preserve">, however the </w:t>
      </w:r>
      <w:r w:rsidR="00AB5AA9">
        <w:t>appropriate clinical place based on the INDIGO trial is clear</w:t>
      </w:r>
      <w:r w:rsidR="006A4350">
        <w:t xml:space="preserve"> and effectiveness has not been demonstrated for use outside the proposed population.</w:t>
      </w:r>
    </w:p>
    <w:p w14:paraId="759A7269" w14:textId="1B9FE2F2" w:rsidR="00624F9B" w:rsidRPr="00847870" w:rsidRDefault="00A52EC6" w:rsidP="00A52EC6">
      <w:pPr>
        <w:pStyle w:val="COMexecsummnumbered"/>
      </w:pPr>
      <w:r w:rsidRPr="00847870">
        <w:t>The proposed initial and continuing treatment listings do not preclude the use of vorasidenib in combination with other treatments.</w:t>
      </w:r>
      <w:r w:rsidR="00314303" w:rsidRPr="00847870">
        <w:t xml:space="preserve"> </w:t>
      </w:r>
      <w:r w:rsidR="000C777A" w:rsidRPr="00847870">
        <w:t>Concomitant treatment with o</w:t>
      </w:r>
      <w:r w:rsidR="00314303" w:rsidRPr="00847870">
        <w:t xml:space="preserve">ther anticancer therapies </w:t>
      </w:r>
      <w:r w:rsidR="000C777A" w:rsidRPr="00847870">
        <w:t xml:space="preserve">was </w:t>
      </w:r>
      <w:r w:rsidR="00314303" w:rsidRPr="00847870">
        <w:t xml:space="preserve">not permitted </w:t>
      </w:r>
      <w:r w:rsidR="000C777A" w:rsidRPr="00847870">
        <w:t>in the INDIGO trial.</w:t>
      </w:r>
      <w:r w:rsidR="00314303" w:rsidRPr="00847870">
        <w:t xml:space="preserve"> </w:t>
      </w:r>
    </w:p>
    <w:p w14:paraId="12F44EC3" w14:textId="3B6EFB5B" w:rsidR="00A52EC6" w:rsidRPr="00847870" w:rsidRDefault="00A52EC6" w:rsidP="00A52EC6">
      <w:pPr>
        <w:pStyle w:val="COMexecsummnumbered"/>
      </w:pPr>
      <w:r w:rsidRPr="00847870">
        <w:t xml:space="preserve">The proposed initial and continuing treatment restrictions state that patients must not have developed disease progression while receiving treatment with vorasidenib for this condition. A definition of disease progression was not included in the proposed restriction. </w:t>
      </w:r>
      <w:r w:rsidR="002915B3">
        <w:t>The PBAC considered i</w:t>
      </w:r>
      <w:r w:rsidRPr="00847870">
        <w:t xml:space="preserve">t is </w:t>
      </w:r>
      <w:r w:rsidR="002915B3">
        <w:t xml:space="preserve">unlikely </w:t>
      </w:r>
      <w:r w:rsidR="00426B27">
        <w:t xml:space="preserve">that </w:t>
      </w:r>
      <w:r w:rsidRPr="00847870">
        <w:t>patients who develop disease progression will discontinue treatment with vorasidenib if there is a possible/perceived benefit associated with ongoing IDH inhibitor therapy.</w:t>
      </w:r>
      <w:r w:rsidR="000C777A" w:rsidRPr="00847870">
        <w:t xml:space="preserve"> In the INDIGO trial</w:t>
      </w:r>
      <w:r w:rsidR="00B7104D" w:rsidRPr="00847870">
        <w:t>, treatment was continued until centrally confirmed disease progression.</w:t>
      </w:r>
      <w:r w:rsidR="00426B27">
        <w:t xml:space="preserve"> The PBAC noted that </w:t>
      </w:r>
      <w:r w:rsidR="00FE2EEB">
        <w:t>the cost-effectiveness of ongoing treatment</w:t>
      </w:r>
      <w:r w:rsidR="009F624D">
        <w:t xml:space="preserve"> beyond progression was uncertain and could not be assessed.</w:t>
      </w:r>
      <w:r w:rsidR="00FE2EEB">
        <w:t xml:space="preserve"> </w:t>
      </w:r>
    </w:p>
    <w:p w14:paraId="018D5AF1" w14:textId="44A0713F" w:rsidR="00624F9B" w:rsidRDefault="00624F9B" w:rsidP="00A52EC6">
      <w:pPr>
        <w:pStyle w:val="COMexecsummnumbered"/>
      </w:pPr>
      <w:r w:rsidRPr="00847870">
        <w:t>The submission requested grandfather provisions for patients enrolled in the sponsor’s compassionate access program</w:t>
      </w:r>
      <w:r w:rsidR="004D7DF5" w:rsidRPr="00847870">
        <w:t xml:space="preserve"> and </w:t>
      </w:r>
      <w:r w:rsidRPr="00847870">
        <w:t xml:space="preserve">estimated that </w:t>
      </w:r>
      <w:r w:rsidR="00B70327">
        <w:t>&lt; 500</w:t>
      </w:r>
      <w:r w:rsidRPr="00847870">
        <w:t xml:space="preserve"> patients would require grandfathered treatment.</w:t>
      </w:r>
    </w:p>
    <w:p w14:paraId="2234EE7E" w14:textId="77777777" w:rsidR="0072208D" w:rsidRDefault="0072208D" w:rsidP="002F5E79">
      <w:pPr>
        <w:rPr>
          <w:i/>
          <w:iCs/>
        </w:rPr>
      </w:pPr>
    </w:p>
    <w:p w14:paraId="0EC64D26" w14:textId="5CAC30C5" w:rsidR="0072208D" w:rsidRPr="002F5E79" w:rsidRDefault="0072208D" w:rsidP="002F5E79">
      <w:pPr>
        <w:ind w:firstLine="720"/>
        <w:rPr>
          <w:i/>
          <w:iCs/>
        </w:rPr>
      </w:pPr>
      <w:r w:rsidRPr="0072208D">
        <w:rPr>
          <w:i/>
          <w:iCs/>
        </w:rPr>
        <w:t>For more detail on PBAC’s view, see section 7 PBAC outcome.</w:t>
      </w:r>
    </w:p>
    <w:p w14:paraId="7075B85C" w14:textId="62A47B7B" w:rsidR="00B50DB8" w:rsidRPr="00847870" w:rsidDel="00195452" w:rsidRDefault="00203181" w:rsidP="004E18E9">
      <w:pPr>
        <w:pStyle w:val="COMH1-numbered"/>
      </w:pPr>
      <w:bookmarkStart w:id="7" w:name="_Toc198628224"/>
      <w:r w:rsidRPr="00847870" w:rsidDel="00195452">
        <w:t xml:space="preserve">Population and </w:t>
      </w:r>
      <w:r w:rsidR="008E0D3C" w:rsidRPr="00847870" w:rsidDel="00195452">
        <w:t>d</w:t>
      </w:r>
      <w:r w:rsidRPr="00847870" w:rsidDel="00195452">
        <w:t>isease</w:t>
      </w:r>
      <w:bookmarkEnd w:id="7"/>
    </w:p>
    <w:p w14:paraId="21EA7B4C" w14:textId="0C39D1D6" w:rsidR="00493100" w:rsidRPr="00847870" w:rsidRDefault="00493100" w:rsidP="00493100">
      <w:pPr>
        <w:pStyle w:val="COMexecsummnumbered"/>
      </w:pPr>
      <w:r w:rsidRPr="00847870">
        <w:t xml:space="preserve">Gliomas are tumours that originate from glial cells in the central nervous system and are the most common form of primary malignant brain tumour. Astrocytomas and oligodendrogliomas are types of IDH-mutant diffuse glioma. </w:t>
      </w:r>
      <w:r w:rsidR="004D7DF5" w:rsidRPr="00847870">
        <w:t>T</w:t>
      </w:r>
      <w:r w:rsidRPr="00847870">
        <w:t>he Australian incidence of IDH-mutant astrocytomas in 2020 was 1.0 cases per 100,000 persons (0.8 cases per 100,000 females and 1.1 cases per 100,000 males); and the incidence of IDH-mutant oligodendrogliomas was 0.4 cases per 100,000 persons (0.4 cases per 100,000 in females and males</w:t>
      </w:r>
      <w:r w:rsidR="004D7DF5" w:rsidRPr="00847870">
        <w:t>; AIHW, 2025</w:t>
      </w:r>
      <w:r w:rsidRPr="00847870">
        <w:t xml:space="preserve">). </w:t>
      </w:r>
    </w:p>
    <w:p w14:paraId="672FC5A7" w14:textId="29DED787" w:rsidR="00493100" w:rsidRPr="00847870" w:rsidRDefault="00493100" w:rsidP="00493100">
      <w:pPr>
        <w:pStyle w:val="COMexecsummnumbered"/>
      </w:pPr>
      <w:r w:rsidRPr="00847870">
        <w:t>The presence of key molecular markers (mutations in IDH1 or IDH2 and the codeletion of 1p/19q) is used to categorise diffuse gliomas into 3 main groups: IDH-mutant astrocytoma, IDH-mutant and 1p/19q-codeleted oligodendroglioma and IDH-wildtype glioblastoma. In general, the presence of an IDH1 or IDH2 enzyme mutation is associated with a more favourable prognosis compared to IDH-wildtype tumours.</w:t>
      </w:r>
    </w:p>
    <w:p w14:paraId="64B573D8" w14:textId="5390FA1F" w:rsidR="00493100" w:rsidRPr="00847870" w:rsidRDefault="00493100" w:rsidP="00903311">
      <w:pPr>
        <w:pStyle w:val="COMexecsummnumbered"/>
      </w:pPr>
      <w:r w:rsidRPr="00847870">
        <w:t>Symptoms of IDH-mutant glioma vary according to the tumour size, location, and degree of infiltration. Common symptoms include headaches, nausea/vomiting, seizures, drowsiness, visual disturbance, speech/language problems, sensory loss, motor deficits and changes in cognitive and/or functional ability. Impairment of coordination, motor skills, balance and increased seizure activity may lead to loss of independence and increased reliance on carers and family members.</w:t>
      </w:r>
    </w:p>
    <w:p w14:paraId="144EFB3B" w14:textId="496F9789" w:rsidR="00493100" w:rsidRPr="00847870" w:rsidDel="00195452" w:rsidRDefault="00493100" w:rsidP="00903311">
      <w:pPr>
        <w:pStyle w:val="COMexecsummnumbered"/>
      </w:pPr>
      <w:r w:rsidRPr="00847870">
        <w:lastRenderedPageBreak/>
        <w:t>Initial treatment typically involves maximal safe tumour resection, which also allows for tissue diagnosis and tumour grading. As total resection may not be a feasible option, patients may undergo subtotal resection or biopsy of the tumour only. Following surgery, management of patients with diffuse gliomas is individualised based on the underlying histologic and molecular characteristics of the tumour, the extent of surgical resection, and other patient factors.</w:t>
      </w:r>
    </w:p>
    <w:p w14:paraId="11FCAAEE" w14:textId="6AA5DA10" w:rsidR="007627BE" w:rsidRPr="00847870" w:rsidRDefault="00903AC0" w:rsidP="004E18E9">
      <w:pPr>
        <w:pStyle w:val="COMexecsummnumbered"/>
      </w:pPr>
      <w:r w:rsidRPr="00847870">
        <w:t>Patients considered to be at high risk of progression (i.e., patients with Grade 3 and Grade 4 IDH-mutant glioma and patients with high-risk Grade 2 IDH-mutant glioma) typically receive treatment with radiotherapy and chemotherapy following surgery. Due to the relatively slow progression of the disease, and side effects associated with radiotherapy/chemotherapy treatment, patients considered to be at lower risk of disease progression may delay the initiation of radiotherapy/chemotherapy until signs of disease progression become apparent.</w:t>
      </w:r>
    </w:p>
    <w:p w14:paraId="4B95C435" w14:textId="62F72DD5" w:rsidR="00B7104D" w:rsidRPr="00847870" w:rsidRDefault="00BB17BA" w:rsidP="004E18E9">
      <w:pPr>
        <w:pStyle w:val="COMexecsummnumbered"/>
      </w:pPr>
      <w:r w:rsidRPr="00847870">
        <w:t>The submission positioned vorasidenib in combination with active surveillance as an alternative to active surveillance alone for patients with residual or recurrent disease who are not in immediate need of radiotherapy/chemotherapy. The NCCN guidelines do not provide specific recommendations regarding the selection of patients with Grade 2 IDH-mutant glioma who are preferred/not preferred for radiotherapy and chemotherapy</w:t>
      </w:r>
      <w:r w:rsidR="00C73C83" w:rsidRPr="00847870">
        <w:t>, but note that f</w:t>
      </w:r>
      <w:r w:rsidR="00B7104D" w:rsidRPr="00847870">
        <w:t xml:space="preserve">actors associated with a higher risk of progression include age &gt;40 years and/or subtotal tumour resection. </w:t>
      </w:r>
      <w:r w:rsidR="00C73C83" w:rsidRPr="00847870">
        <w:t>The guidelines state that o</w:t>
      </w:r>
      <w:r w:rsidR="00B7104D" w:rsidRPr="00847870">
        <w:t xml:space="preserve">ther prognostic factors such as tumour size, presence of neurologic deficits, and the loss of CDKN2A homozygous deletion may also be used to guide treatment choice. </w:t>
      </w:r>
      <w:r w:rsidRPr="00847870">
        <w:t>The guidelines note that treatment decisions should be based on multidisciplinary input once pathology is available.</w:t>
      </w:r>
    </w:p>
    <w:p w14:paraId="1948EA20" w14:textId="14EC62C4" w:rsidR="00BB17BA" w:rsidRDefault="00BB17BA" w:rsidP="004E18E9">
      <w:pPr>
        <w:pStyle w:val="COMexecsummnumbered"/>
      </w:pPr>
      <w:r w:rsidRPr="00847870">
        <w:t xml:space="preserve">Vorasidenib is also included as a preferred regimen in the NCCN guidelines for the treatment of recurrent or progressive disease after radiotherapy and chemotherapy in patients with WHO Grade 2 disease with a Karnofsky performance score ≥60; and as a preferred regimen for patients with recurrent or progressive WHO Grade 3 disease with a Karnofsky Performance Score </w:t>
      </w:r>
      <w:r w:rsidRPr="00847870">
        <w:rPr>
          <w:rFonts w:cs="Calibri"/>
        </w:rPr>
        <w:t>≥</w:t>
      </w:r>
      <w:r w:rsidRPr="00847870">
        <w:t>60. Vorasidenib is listed as ‘useful in certain circumstances’ for the adjuvant treatment of WHO Grade 2 or 3 disease for patients with a Karnofsky performance score &lt;60.</w:t>
      </w:r>
    </w:p>
    <w:p w14:paraId="7F3D36BE" w14:textId="77777777" w:rsidR="00CE36FD" w:rsidRDefault="00CE36FD" w:rsidP="00CE36FD">
      <w:pPr>
        <w:pStyle w:val="COMexecsummnumbered"/>
        <w:numPr>
          <w:ilvl w:val="0"/>
          <w:numId w:val="0"/>
        </w:numPr>
        <w:ind w:left="720"/>
      </w:pPr>
    </w:p>
    <w:p w14:paraId="5FD31EF7" w14:textId="77777777" w:rsidR="00CE36FD" w:rsidRPr="0072208D" w:rsidRDefault="00CE36FD" w:rsidP="00CE36FD">
      <w:pPr>
        <w:ind w:firstLine="720"/>
        <w:rPr>
          <w:i/>
          <w:iCs/>
        </w:rPr>
      </w:pPr>
      <w:r w:rsidRPr="0072208D">
        <w:rPr>
          <w:i/>
          <w:iCs/>
        </w:rPr>
        <w:t>For more detail on PBAC’s view, see section 7 PBAC outcome.</w:t>
      </w:r>
    </w:p>
    <w:p w14:paraId="51E5AE96" w14:textId="136A63B1" w:rsidR="00B50DB8" w:rsidRPr="00847870" w:rsidRDefault="00B50DB8" w:rsidP="004E18E9">
      <w:pPr>
        <w:pStyle w:val="COMH1-numbered"/>
      </w:pPr>
      <w:bookmarkStart w:id="8" w:name="_Toc198628225"/>
      <w:r w:rsidRPr="00847870">
        <w:t>Comparator</w:t>
      </w:r>
      <w:bookmarkEnd w:id="8"/>
    </w:p>
    <w:p w14:paraId="1BE47893" w14:textId="5A256849" w:rsidR="00903AC0" w:rsidRDefault="00903AC0" w:rsidP="00903AC0">
      <w:pPr>
        <w:pStyle w:val="COMexecsummnumbered"/>
      </w:pPr>
      <w:r>
        <w:t xml:space="preserve">The submission nominated active surveillance as the main comparator. The main argument provided in support of this nomination was that active surveillance is the treatment strategy most likely to be replaced in the target population of patients with WHO Grade 2 IDH-mutant glioma who have residual or recurrent disease after surgery and are not in immediate need of treatment with radiotherapy/chemotherapy. </w:t>
      </w:r>
      <w:r w:rsidR="00DA36DC" w:rsidRPr="00531A03">
        <w:t xml:space="preserve">The </w:t>
      </w:r>
      <w:r w:rsidR="646AE446" w:rsidRPr="00531A03">
        <w:t>S</w:t>
      </w:r>
      <w:r w:rsidR="00DA36DC" w:rsidRPr="00531A03">
        <w:t>ub-</w:t>
      </w:r>
      <w:r w:rsidR="272D6E98" w:rsidRPr="00531A03">
        <w:t>C</w:t>
      </w:r>
      <w:r w:rsidR="00DA36DC" w:rsidRPr="00531A03">
        <w:t>ommittees agreed with the Commentary that a</w:t>
      </w:r>
      <w:r w:rsidRPr="00531A03">
        <w:t>ctive surveillance is an appropriate comparator.</w:t>
      </w:r>
      <w:r w:rsidR="00DA36DC" w:rsidRPr="00531A03">
        <w:t xml:space="preserve"> The </w:t>
      </w:r>
      <w:r w:rsidR="43F1FB46" w:rsidRPr="00531A03">
        <w:t>S</w:t>
      </w:r>
      <w:r w:rsidR="002C760A" w:rsidRPr="00531A03">
        <w:t>ub-</w:t>
      </w:r>
      <w:r w:rsidR="0DA28E4C" w:rsidRPr="00531A03">
        <w:t>C</w:t>
      </w:r>
      <w:r w:rsidR="002C760A" w:rsidRPr="00531A03">
        <w:t xml:space="preserve">ommittees </w:t>
      </w:r>
      <w:r w:rsidR="000A3F2F" w:rsidRPr="00531A03">
        <w:t xml:space="preserve">agreed with the PSCR that a </w:t>
      </w:r>
      <w:r w:rsidR="000A3F2F" w:rsidRPr="00531A03">
        <w:lastRenderedPageBreak/>
        <w:t xml:space="preserve">comparison with </w:t>
      </w:r>
      <w:r w:rsidR="002C760A" w:rsidRPr="00531A03">
        <w:t xml:space="preserve">radiotherapy/chemotherapy was not </w:t>
      </w:r>
      <w:r w:rsidR="002E3EA4" w:rsidRPr="00531A03">
        <w:t>informative</w:t>
      </w:r>
      <w:r w:rsidR="00A776A4" w:rsidRPr="00531A03">
        <w:t xml:space="preserve"> as </w:t>
      </w:r>
      <w:r w:rsidR="003B7BE4" w:rsidRPr="00531A03">
        <w:t xml:space="preserve">vorasidenib is indicated for a population who would not be treated with radiotherapy/chemotherapy. </w:t>
      </w:r>
    </w:p>
    <w:p w14:paraId="77295DA0" w14:textId="77777777" w:rsidR="00CE36FD" w:rsidRDefault="00CE36FD" w:rsidP="00CE36FD">
      <w:pPr>
        <w:pStyle w:val="COMexecsummnumbered"/>
        <w:numPr>
          <w:ilvl w:val="0"/>
          <w:numId w:val="0"/>
        </w:numPr>
        <w:ind w:left="720"/>
      </w:pPr>
    </w:p>
    <w:p w14:paraId="050FFDFD" w14:textId="77777777" w:rsidR="00CE36FD" w:rsidRPr="0072208D" w:rsidRDefault="00CE36FD" w:rsidP="00CE36FD">
      <w:pPr>
        <w:ind w:firstLine="720"/>
        <w:rPr>
          <w:i/>
          <w:iCs/>
        </w:rPr>
      </w:pPr>
      <w:r w:rsidRPr="0072208D">
        <w:rPr>
          <w:i/>
          <w:iCs/>
        </w:rPr>
        <w:t>For more detail on PBAC’s view, see section 7 PBAC outcome.</w:t>
      </w:r>
    </w:p>
    <w:p w14:paraId="474DCDA2" w14:textId="77777777" w:rsidR="008A1762" w:rsidRDefault="008A1762" w:rsidP="00E6570C">
      <w:bookmarkStart w:id="9" w:name="_Toc198628226"/>
      <w:bookmarkStart w:id="10" w:name="_Toc22897640"/>
    </w:p>
    <w:p w14:paraId="7F9C27C8" w14:textId="1D6F0634" w:rsidR="00223D5A" w:rsidRPr="00847870" w:rsidRDefault="00223D5A" w:rsidP="008A1762">
      <w:pPr>
        <w:pStyle w:val="COMH1-numbered"/>
      </w:pPr>
      <w:r w:rsidRPr="00847870">
        <w:t>Consideration of the evidence</w:t>
      </w:r>
      <w:bookmarkEnd w:id="9"/>
    </w:p>
    <w:p w14:paraId="770E5CBA" w14:textId="77777777" w:rsidR="00A85354" w:rsidRPr="006E1229" w:rsidRDefault="00A85354" w:rsidP="00A85354">
      <w:pPr>
        <w:pStyle w:val="COMH2-non-numbered"/>
      </w:pPr>
      <w:bookmarkStart w:id="11" w:name="_Hlk76375935"/>
      <w:bookmarkStart w:id="12" w:name="_Toc198628227"/>
      <w:r w:rsidRPr="006E1229">
        <w:t>Sponsor hearing</w:t>
      </w:r>
    </w:p>
    <w:p w14:paraId="41E28197" w14:textId="2FFC2C0F" w:rsidR="00A85354" w:rsidRPr="00F91542" w:rsidRDefault="00A85354" w:rsidP="00A85354">
      <w:pPr>
        <w:widowControl w:val="0"/>
        <w:numPr>
          <w:ilvl w:val="1"/>
          <w:numId w:val="1"/>
        </w:numPr>
        <w:spacing w:after="120"/>
        <w:rPr>
          <w:rFonts w:cs="Calibri"/>
          <w:bCs/>
          <w:snapToGrid w:val="0"/>
        </w:rPr>
      </w:pPr>
      <w:r w:rsidRPr="00F91542">
        <w:rPr>
          <w:rFonts w:cs="Calibri"/>
          <w:bCs/>
          <w:snapToGrid w:val="0"/>
        </w:rPr>
        <w:t>There was no hearing for this item.</w:t>
      </w:r>
    </w:p>
    <w:p w14:paraId="6FB0C885" w14:textId="77777777" w:rsidR="00A85354" w:rsidRPr="006E1229" w:rsidRDefault="00A85354" w:rsidP="00A85354">
      <w:pPr>
        <w:pStyle w:val="COMH2-non-numbered"/>
      </w:pPr>
      <w:r w:rsidRPr="006E1229">
        <w:t>Consumer comments</w:t>
      </w:r>
    </w:p>
    <w:p w14:paraId="53A045EE" w14:textId="77777777" w:rsidR="00083843" w:rsidRDefault="00A85354" w:rsidP="00903311">
      <w:pPr>
        <w:pStyle w:val="COMexecsummnumbered"/>
        <w:rPr>
          <w:snapToGrid w:val="0"/>
        </w:rPr>
      </w:pPr>
      <w:bookmarkStart w:id="13" w:name="_Hlk76382618"/>
      <w:r w:rsidRPr="00A924DE">
        <w:rPr>
          <w:snapToGrid w:val="0"/>
        </w:rPr>
        <w:t>The PBAC noted and welcomed the input from individuals (</w:t>
      </w:r>
      <w:r w:rsidR="00105585" w:rsidRPr="00A924DE">
        <w:rPr>
          <w:snapToGrid w:val="0"/>
        </w:rPr>
        <w:t>107</w:t>
      </w:r>
      <w:r w:rsidRPr="00A924DE">
        <w:rPr>
          <w:snapToGrid w:val="0"/>
        </w:rPr>
        <w:t>), health care professionals (</w:t>
      </w:r>
      <w:r w:rsidR="00105585" w:rsidRPr="00A924DE">
        <w:rPr>
          <w:snapToGrid w:val="0"/>
        </w:rPr>
        <w:t>13</w:t>
      </w:r>
      <w:r w:rsidRPr="00A924DE">
        <w:rPr>
          <w:snapToGrid w:val="0"/>
        </w:rPr>
        <w:t>) and organisations (</w:t>
      </w:r>
      <w:r w:rsidR="00EA4EEE" w:rsidRPr="00A924DE">
        <w:rPr>
          <w:snapToGrid w:val="0"/>
        </w:rPr>
        <w:t>6</w:t>
      </w:r>
      <w:r w:rsidRPr="00A924DE">
        <w:rPr>
          <w:snapToGrid w:val="0"/>
        </w:rPr>
        <w:t xml:space="preserve">) via the Consumer Comments facility on the PBS website.  </w:t>
      </w:r>
    </w:p>
    <w:p w14:paraId="7BDDF8B1" w14:textId="477A03AE" w:rsidR="00551659" w:rsidRPr="00A924DE" w:rsidRDefault="00A85354" w:rsidP="00903311">
      <w:pPr>
        <w:pStyle w:val="COMexecsummnumbered"/>
        <w:rPr>
          <w:snapToGrid w:val="0"/>
        </w:rPr>
      </w:pPr>
      <w:r w:rsidRPr="00A924DE">
        <w:rPr>
          <w:snapToGrid w:val="0"/>
        </w:rPr>
        <w:t xml:space="preserve">The comments </w:t>
      </w:r>
      <w:r w:rsidR="00A830D0" w:rsidRPr="00A924DE">
        <w:rPr>
          <w:snapToGrid w:val="0"/>
        </w:rPr>
        <w:t xml:space="preserve">from health professionals </w:t>
      </w:r>
      <w:r w:rsidRPr="00A924DE">
        <w:rPr>
          <w:snapToGrid w:val="0"/>
        </w:rPr>
        <w:t xml:space="preserve">described </w:t>
      </w:r>
      <w:r w:rsidR="00B91147" w:rsidRPr="00A924DE">
        <w:rPr>
          <w:snapToGrid w:val="0"/>
        </w:rPr>
        <w:t xml:space="preserve">the </w:t>
      </w:r>
      <w:r w:rsidR="00752217" w:rsidRPr="00A924DE">
        <w:rPr>
          <w:snapToGrid w:val="0"/>
        </w:rPr>
        <w:t xml:space="preserve">current treatment options for IDH mutant gliomas </w:t>
      </w:r>
      <w:r w:rsidR="00E204DD" w:rsidRPr="00A924DE">
        <w:rPr>
          <w:snapToGrid w:val="0"/>
        </w:rPr>
        <w:t xml:space="preserve">as surgery, radiotherapy and chemotherapy. </w:t>
      </w:r>
      <w:r w:rsidR="00A52FE4" w:rsidRPr="00A924DE">
        <w:rPr>
          <w:snapToGrid w:val="0"/>
        </w:rPr>
        <w:t xml:space="preserve">These treatments can have immediate impacts </w:t>
      </w:r>
      <w:r w:rsidR="005C56A5">
        <w:rPr>
          <w:snapToGrid w:val="0"/>
        </w:rPr>
        <w:t>on independence (e.g. ability to drive)</w:t>
      </w:r>
      <w:r w:rsidR="00A52FE4" w:rsidRPr="00A924DE">
        <w:rPr>
          <w:snapToGrid w:val="0"/>
        </w:rPr>
        <w:t xml:space="preserve">, </w:t>
      </w:r>
      <w:r w:rsidR="00501658">
        <w:rPr>
          <w:snapToGrid w:val="0"/>
        </w:rPr>
        <w:t xml:space="preserve">and result in </w:t>
      </w:r>
      <w:r w:rsidR="00A52FE4" w:rsidRPr="00A924DE">
        <w:rPr>
          <w:snapToGrid w:val="0"/>
        </w:rPr>
        <w:t>brain fogginess, nausea/vomiting, constipation and</w:t>
      </w:r>
      <w:r w:rsidR="00501658">
        <w:rPr>
          <w:snapToGrid w:val="0"/>
        </w:rPr>
        <w:t xml:space="preserve"> increased</w:t>
      </w:r>
      <w:r w:rsidR="00A52FE4" w:rsidRPr="00A924DE">
        <w:rPr>
          <w:snapToGrid w:val="0"/>
        </w:rPr>
        <w:t xml:space="preserve"> infection risk; as well as longer term impacts such as memory loss, reduced cognition (ability to think, problem solve etc), fatigue, infertility, and an inability to work.</w:t>
      </w:r>
      <w:r w:rsidR="00181D92" w:rsidRPr="00A924DE">
        <w:rPr>
          <w:snapToGrid w:val="0"/>
        </w:rPr>
        <w:t xml:space="preserve"> </w:t>
      </w:r>
      <w:r w:rsidR="004C5DBB" w:rsidRPr="00A924DE">
        <w:rPr>
          <w:snapToGrid w:val="0"/>
        </w:rPr>
        <w:t>The comments noted that</w:t>
      </w:r>
      <w:r w:rsidR="00A830D0" w:rsidRPr="00A924DE">
        <w:rPr>
          <w:snapToGrid w:val="0"/>
        </w:rPr>
        <w:t xml:space="preserve"> </w:t>
      </w:r>
      <w:r w:rsidR="0073535C" w:rsidRPr="00A924DE">
        <w:rPr>
          <w:snapToGrid w:val="0"/>
        </w:rPr>
        <w:t xml:space="preserve">new treatments in this space have been very limited for a long time and </w:t>
      </w:r>
      <w:r w:rsidR="00367895" w:rsidRPr="00A924DE">
        <w:rPr>
          <w:snapToGrid w:val="0"/>
        </w:rPr>
        <w:t>vorasidenib has the potential to improve outcomes for patients</w:t>
      </w:r>
      <w:r w:rsidR="00827F7D" w:rsidRPr="00A924DE">
        <w:rPr>
          <w:snapToGrid w:val="0"/>
        </w:rPr>
        <w:t xml:space="preserve">. The comments </w:t>
      </w:r>
      <w:r w:rsidR="009D2375" w:rsidRPr="00A924DE">
        <w:rPr>
          <w:snapToGrid w:val="0"/>
        </w:rPr>
        <w:t>stated that vorasidenib</w:t>
      </w:r>
      <w:r w:rsidR="00367895" w:rsidRPr="00A924DE">
        <w:rPr>
          <w:snapToGrid w:val="0"/>
        </w:rPr>
        <w:t xml:space="preserve"> may delay the conversion of tumours to high grade, aggressive tumours</w:t>
      </w:r>
      <w:r w:rsidR="00484901" w:rsidRPr="00A924DE">
        <w:rPr>
          <w:snapToGrid w:val="0"/>
        </w:rPr>
        <w:t>, which will significantly extend survival</w:t>
      </w:r>
      <w:r w:rsidR="009D2375" w:rsidRPr="00A924DE">
        <w:rPr>
          <w:snapToGrid w:val="0"/>
        </w:rPr>
        <w:t>, though survival outcomes will not be known for some years</w:t>
      </w:r>
      <w:r w:rsidR="00484901" w:rsidRPr="00A924DE">
        <w:rPr>
          <w:snapToGrid w:val="0"/>
        </w:rPr>
        <w:t>. The comments note</w:t>
      </w:r>
      <w:r w:rsidR="00827F7D" w:rsidRPr="00A924DE">
        <w:rPr>
          <w:snapToGrid w:val="0"/>
        </w:rPr>
        <w:t>d</w:t>
      </w:r>
      <w:r w:rsidR="00484901" w:rsidRPr="00A924DE">
        <w:rPr>
          <w:snapToGrid w:val="0"/>
        </w:rPr>
        <w:t xml:space="preserve"> that the </w:t>
      </w:r>
      <w:r w:rsidR="00551659" w:rsidRPr="00A924DE">
        <w:rPr>
          <w:rFonts w:eastAsia="Times New Roman" w:cs="Arial"/>
          <w:bCs/>
          <w:snapToGrid w:val="0"/>
          <w:szCs w:val="24"/>
        </w:rPr>
        <w:t>primary advantage of vorasidenib will be delaying toxic adjuvant therapies, including chemotherapy and high-dose radiation, in a group of patients who are generally healthy, active members of society.</w:t>
      </w:r>
      <w:r w:rsidR="006C03AC" w:rsidRPr="00A924DE">
        <w:rPr>
          <w:rFonts w:eastAsia="Times New Roman" w:cs="Arial"/>
          <w:bCs/>
          <w:snapToGrid w:val="0"/>
          <w:szCs w:val="24"/>
        </w:rPr>
        <w:t xml:space="preserve"> The comments noted that vorasidenib provides a more palatable option with less short-term and long-term impacts on patient wellbeing</w:t>
      </w:r>
      <w:r w:rsidR="006C70F0" w:rsidRPr="00A924DE">
        <w:rPr>
          <w:rFonts w:eastAsia="Times New Roman" w:cs="Arial"/>
          <w:bCs/>
          <w:snapToGrid w:val="0"/>
          <w:szCs w:val="24"/>
        </w:rPr>
        <w:t>.</w:t>
      </w:r>
      <w:r w:rsidR="00666C2B">
        <w:rPr>
          <w:rFonts w:eastAsia="Times New Roman" w:cs="Arial"/>
          <w:bCs/>
          <w:snapToGrid w:val="0"/>
          <w:szCs w:val="24"/>
        </w:rPr>
        <w:t xml:space="preserve"> Comments from one health professional indicated that g</w:t>
      </w:r>
      <w:r w:rsidR="006C70F0" w:rsidRPr="00A924DE">
        <w:rPr>
          <w:rFonts w:eastAsia="Times New Roman" w:cs="Arial"/>
          <w:bCs/>
          <w:snapToGrid w:val="0"/>
          <w:szCs w:val="24"/>
        </w:rPr>
        <w:t xml:space="preserve">iven these benefits </w:t>
      </w:r>
      <w:r w:rsidR="00A924DE">
        <w:rPr>
          <w:rFonts w:eastAsia="Times New Roman" w:cs="Arial"/>
          <w:bCs/>
          <w:snapToGrid w:val="0"/>
          <w:szCs w:val="24"/>
        </w:rPr>
        <w:t xml:space="preserve">there may be </w:t>
      </w:r>
      <w:r w:rsidR="00A924DE" w:rsidRPr="00A924DE">
        <w:rPr>
          <w:rFonts w:eastAsia="Times New Roman" w:cs="Arial"/>
          <w:bCs/>
          <w:snapToGrid w:val="0"/>
          <w:szCs w:val="24"/>
        </w:rPr>
        <w:t xml:space="preserve">patients who </w:t>
      </w:r>
      <w:r w:rsidR="00A924DE">
        <w:rPr>
          <w:rFonts w:eastAsia="Times New Roman" w:cs="Arial"/>
          <w:bCs/>
          <w:snapToGrid w:val="0"/>
          <w:szCs w:val="24"/>
        </w:rPr>
        <w:t xml:space="preserve">should </w:t>
      </w:r>
      <w:r w:rsidR="00A924DE" w:rsidRPr="00A924DE">
        <w:rPr>
          <w:rFonts w:eastAsia="Times New Roman" w:cs="Arial"/>
          <w:bCs/>
          <w:snapToGrid w:val="0"/>
          <w:szCs w:val="24"/>
        </w:rPr>
        <w:t>be having radiotherapy and chemotherapy</w:t>
      </w:r>
      <w:r w:rsidR="00A924DE">
        <w:rPr>
          <w:rFonts w:eastAsia="Times New Roman" w:cs="Arial"/>
          <w:bCs/>
          <w:snapToGrid w:val="0"/>
          <w:szCs w:val="24"/>
        </w:rPr>
        <w:t>, but would</w:t>
      </w:r>
      <w:r w:rsidR="00A924DE" w:rsidRPr="00A924DE">
        <w:rPr>
          <w:rFonts w:eastAsia="Times New Roman" w:cs="Arial"/>
          <w:bCs/>
          <w:snapToGrid w:val="0"/>
          <w:szCs w:val="24"/>
        </w:rPr>
        <w:t xml:space="preserve"> seek to have lower toxicity vorasidenib</w:t>
      </w:r>
      <w:r w:rsidR="00A924DE">
        <w:rPr>
          <w:rFonts w:eastAsia="Times New Roman" w:cs="Arial"/>
          <w:bCs/>
          <w:snapToGrid w:val="0"/>
          <w:szCs w:val="24"/>
        </w:rPr>
        <w:t>, despite this not being an evidence-based approach to use of the drug</w:t>
      </w:r>
      <w:r w:rsidR="00005EE0">
        <w:rPr>
          <w:rFonts w:eastAsia="Times New Roman" w:cs="Arial"/>
          <w:bCs/>
          <w:snapToGrid w:val="0"/>
          <w:szCs w:val="24"/>
        </w:rPr>
        <w:t>. These comments suggested that el</w:t>
      </w:r>
      <w:r w:rsidR="00EC1E80">
        <w:rPr>
          <w:rFonts w:eastAsia="Times New Roman" w:cs="Arial"/>
          <w:bCs/>
          <w:snapToGrid w:val="0"/>
          <w:szCs w:val="24"/>
        </w:rPr>
        <w:t xml:space="preserve">igibility criteria should ensure that the </w:t>
      </w:r>
      <w:r w:rsidR="00083843">
        <w:rPr>
          <w:rFonts w:eastAsia="Times New Roman" w:cs="Arial"/>
          <w:bCs/>
          <w:snapToGrid w:val="0"/>
          <w:szCs w:val="24"/>
        </w:rPr>
        <w:t xml:space="preserve">appropriate </w:t>
      </w:r>
      <w:r w:rsidR="00EC1E80">
        <w:rPr>
          <w:rFonts w:eastAsia="Times New Roman" w:cs="Arial"/>
          <w:bCs/>
          <w:snapToGrid w:val="0"/>
          <w:szCs w:val="24"/>
        </w:rPr>
        <w:t xml:space="preserve">setting for vorasidenib is </w:t>
      </w:r>
      <w:r w:rsidR="00083843">
        <w:rPr>
          <w:rFonts w:eastAsia="Times New Roman" w:cs="Arial"/>
          <w:bCs/>
          <w:snapToGrid w:val="0"/>
          <w:szCs w:val="24"/>
        </w:rPr>
        <w:t>considered</w:t>
      </w:r>
      <w:r w:rsidR="00A924DE">
        <w:rPr>
          <w:rFonts w:eastAsia="Times New Roman" w:cs="Arial"/>
          <w:bCs/>
          <w:snapToGrid w:val="0"/>
          <w:szCs w:val="24"/>
        </w:rPr>
        <w:t xml:space="preserve">. </w:t>
      </w:r>
      <w:r w:rsidR="00A924DE" w:rsidRPr="00A924DE">
        <w:rPr>
          <w:rFonts w:eastAsia="Times New Roman" w:cs="Arial"/>
          <w:bCs/>
          <w:snapToGrid w:val="0"/>
          <w:szCs w:val="24"/>
        </w:rPr>
        <w:t xml:space="preserve"> </w:t>
      </w:r>
    </w:p>
    <w:p w14:paraId="69AFC3A3" w14:textId="211DC556" w:rsidR="004841F9" w:rsidRPr="004841F9" w:rsidRDefault="00083843" w:rsidP="002D26A6">
      <w:pPr>
        <w:pStyle w:val="COMexecsummnumbered"/>
        <w:rPr>
          <w:snapToGrid w:val="0"/>
        </w:rPr>
      </w:pPr>
      <w:r w:rsidRPr="00DE25C3">
        <w:rPr>
          <w:snapToGrid w:val="0"/>
        </w:rPr>
        <w:t xml:space="preserve">The comments from </w:t>
      </w:r>
      <w:r w:rsidR="00936003" w:rsidRPr="00DE25C3">
        <w:rPr>
          <w:snapToGrid w:val="0"/>
        </w:rPr>
        <w:t>individuals</w:t>
      </w:r>
      <w:r w:rsidRPr="00DE25C3">
        <w:rPr>
          <w:snapToGrid w:val="0"/>
        </w:rPr>
        <w:t xml:space="preserve"> </w:t>
      </w:r>
      <w:r w:rsidR="00337C0D" w:rsidRPr="00DE25C3">
        <w:rPr>
          <w:snapToGrid w:val="0"/>
        </w:rPr>
        <w:t xml:space="preserve">also noted the </w:t>
      </w:r>
      <w:r w:rsidR="00D6603E" w:rsidRPr="00DE25C3">
        <w:rPr>
          <w:snapToGrid w:val="0"/>
        </w:rPr>
        <w:t>side effects from surgery, radiation and chemotherapy</w:t>
      </w:r>
      <w:r w:rsidR="00FC6B18" w:rsidRPr="00DE25C3">
        <w:rPr>
          <w:snapToGrid w:val="0"/>
        </w:rPr>
        <w:t xml:space="preserve"> </w:t>
      </w:r>
      <w:r w:rsidR="00EC7A92" w:rsidRPr="00DE25C3">
        <w:rPr>
          <w:snapToGrid w:val="0"/>
        </w:rPr>
        <w:t xml:space="preserve">can </w:t>
      </w:r>
      <w:r w:rsidR="00B62B34" w:rsidRPr="00DE25C3">
        <w:rPr>
          <w:snapToGrid w:val="0"/>
        </w:rPr>
        <w:t>include</w:t>
      </w:r>
      <w:r w:rsidR="00FC6B18" w:rsidRPr="00DE25C3">
        <w:rPr>
          <w:snapToGrid w:val="0"/>
        </w:rPr>
        <w:t xml:space="preserve"> long-term effects that significantly affect memory, cognition, </w:t>
      </w:r>
      <w:r w:rsidR="00B62B34" w:rsidRPr="00DE25C3">
        <w:rPr>
          <w:snapToGrid w:val="0"/>
        </w:rPr>
        <w:t xml:space="preserve">language, </w:t>
      </w:r>
      <w:r w:rsidR="00FC6B18" w:rsidRPr="00DE25C3">
        <w:rPr>
          <w:snapToGrid w:val="0"/>
        </w:rPr>
        <w:t>energy levels, and emotional wellbeing</w:t>
      </w:r>
      <w:r w:rsidR="00EC7A92" w:rsidRPr="00DE25C3">
        <w:rPr>
          <w:snapToGrid w:val="0"/>
        </w:rPr>
        <w:t xml:space="preserve"> </w:t>
      </w:r>
      <w:r w:rsidR="00A21AD6" w:rsidRPr="00DE25C3">
        <w:rPr>
          <w:snapToGrid w:val="0"/>
        </w:rPr>
        <w:t>and the commencement of seizures</w:t>
      </w:r>
      <w:r w:rsidR="00EC7A92" w:rsidRPr="00DE25C3">
        <w:rPr>
          <w:snapToGrid w:val="0"/>
        </w:rPr>
        <w:t>.</w:t>
      </w:r>
      <w:r w:rsidR="00E34AB1" w:rsidRPr="00DE25C3">
        <w:rPr>
          <w:snapToGrid w:val="0"/>
        </w:rPr>
        <w:t xml:space="preserve"> Comments from </w:t>
      </w:r>
      <w:r w:rsidR="00936003" w:rsidRPr="00DE25C3">
        <w:rPr>
          <w:snapToGrid w:val="0"/>
        </w:rPr>
        <w:t xml:space="preserve">individuals noted that </w:t>
      </w:r>
      <w:r w:rsidR="00B577BC" w:rsidRPr="00DE25C3">
        <w:rPr>
          <w:snapToGrid w:val="0"/>
        </w:rPr>
        <w:t xml:space="preserve">vorasidenib offers a chance to </w:t>
      </w:r>
      <w:r w:rsidR="00875585" w:rsidRPr="00DE25C3">
        <w:rPr>
          <w:snapToGrid w:val="0"/>
        </w:rPr>
        <w:t>delay radiotherapy or further surgery</w:t>
      </w:r>
      <w:r w:rsidR="001F15FD" w:rsidRPr="00DE25C3">
        <w:rPr>
          <w:snapToGrid w:val="0"/>
        </w:rPr>
        <w:t xml:space="preserve"> and </w:t>
      </w:r>
      <w:r w:rsidR="004841F9" w:rsidRPr="00DE25C3">
        <w:rPr>
          <w:snapToGrid w:val="0"/>
        </w:rPr>
        <w:t xml:space="preserve">so </w:t>
      </w:r>
      <w:r w:rsidR="001F15FD" w:rsidRPr="00DE25C3">
        <w:rPr>
          <w:snapToGrid w:val="0"/>
        </w:rPr>
        <w:t xml:space="preserve">preserve cognitive function and independence for as long as possible. </w:t>
      </w:r>
      <w:r w:rsidR="008F08CA">
        <w:rPr>
          <w:snapToGrid w:val="0"/>
        </w:rPr>
        <w:t xml:space="preserve">Comments described the potential side effects </w:t>
      </w:r>
      <w:r w:rsidR="008F08CA">
        <w:rPr>
          <w:snapToGrid w:val="0"/>
        </w:rPr>
        <w:lastRenderedPageBreak/>
        <w:t>of vorasidenib as being manageable</w:t>
      </w:r>
      <w:r w:rsidR="006636FE">
        <w:rPr>
          <w:snapToGrid w:val="0"/>
        </w:rPr>
        <w:t xml:space="preserve">. </w:t>
      </w:r>
      <w:r w:rsidR="00643A76" w:rsidRPr="00DE25C3">
        <w:rPr>
          <w:snapToGrid w:val="0"/>
        </w:rPr>
        <w:t>Comments</w:t>
      </w:r>
      <w:r w:rsidR="00113364" w:rsidRPr="00DE25C3">
        <w:rPr>
          <w:snapToGrid w:val="0"/>
        </w:rPr>
        <w:t xml:space="preserve"> described the </w:t>
      </w:r>
      <w:r w:rsidR="00A74A0A" w:rsidRPr="00DE25C3">
        <w:rPr>
          <w:snapToGrid w:val="0"/>
        </w:rPr>
        <w:t xml:space="preserve">quality of life </w:t>
      </w:r>
      <w:r w:rsidR="00113364" w:rsidRPr="00DE25C3">
        <w:rPr>
          <w:snapToGrid w:val="0"/>
        </w:rPr>
        <w:t xml:space="preserve">impact </w:t>
      </w:r>
      <w:r w:rsidR="00A74A0A" w:rsidRPr="00DE25C3">
        <w:rPr>
          <w:snapToGrid w:val="0"/>
        </w:rPr>
        <w:t xml:space="preserve">of </w:t>
      </w:r>
      <w:r w:rsidR="00643A76" w:rsidRPr="00DE25C3">
        <w:rPr>
          <w:snapToGrid w:val="0"/>
        </w:rPr>
        <w:t xml:space="preserve">IDH gliomas </w:t>
      </w:r>
      <w:r w:rsidR="00113364" w:rsidRPr="00DE25C3">
        <w:rPr>
          <w:snapToGrid w:val="0"/>
        </w:rPr>
        <w:t>on family, career, and friends. Input also outline</w:t>
      </w:r>
      <w:r w:rsidR="00643A76" w:rsidRPr="00DE25C3">
        <w:rPr>
          <w:snapToGrid w:val="0"/>
        </w:rPr>
        <w:t>d</w:t>
      </w:r>
      <w:r w:rsidR="00113364" w:rsidRPr="00DE25C3">
        <w:rPr>
          <w:snapToGrid w:val="0"/>
        </w:rPr>
        <w:t xml:space="preserve"> what impact vorasidenib has had since commencing treatment, offering hope, prolonging life and allowing for a better quality of life</w:t>
      </w:r>
      <w:r w:rsidR="00D55C01" w:rsidRPr="00DE25C3">
        <w:rPr>
          <w:snapToGrid w:val="0"/>
        </w:rPr>
        <w:t>.</w:t>
      </w:r>
      <w:r w:rsidR="004841F9" w:rsidRPr="00DE25C3">
        <w:rPr>
          <w:snapToGrid w:val="0"/>
        </w:rPr>
        <w:t xml:space="preserve"> The comments described the current non-PBS listed price of vorasidenib as extremely expensive, with inequality in access deeply concerning, especially considering it is the first targeted therapy specifically developed for low-grade gliomas with IDH mutation. </w:t>
      </w:r>
      <w:r w:rsidR="00DE25C3" w:rsidRPr="00DE25C3">
        <w:rPr>
          <w:snapToGrid w:val="0"/>
        </w:rPr>
        <w:t>Consumers</w:t>
      </w:r>
      <w:r w:rsidR="004841F9" w:rsidRPr="00DE25C3">
        <w:rPr>
          <w:snapToGrid w:val="0"/>
        </w:rPr>
        <w:t xml:space="preserve"> also noted the high costs of regular MRIs to manage their disease. Those accessing vorasidenib through compassionate means </w:t>
      </w:r>
      <w:r w:rsidR="00DE25C3" w:rsidRPr="00DE25C3">
        <w:rPr>
          <w:snapToGrid w:val="0"/>
        </w:rPr>
        <w:t>expressed</w:t>
      </w:r>
      <w:r w:rsidR="004841F9" w:rsidRPr="00DE25C3">
        <w:rPr>
          <w:snapToGrid w:val="0"/>
        </w:rPr>
        <w:t xml:space="preserve"> concern</w:t>
      </w:r>
      <w:r w:rsidR="00DE25C3" w:rsidRPr="00DE25C3">
        <w:rPr>
          <w:snapToGrid w:val="0"/>
        </w:rPr>
        <w:t xml:space="preserve"> that</w:t>
      </w:r>
      <w:r w:rsidR="004841F9" w:rsidRPr="00DE25C3">
        <w:rPr>
          <w:snapToGrid w:val="0"/>
        </w:rPr>
        <w:t xml:space="preserve"> they will be unable to afford to continue treatment if it is not listed on the PBS</w:t>
      </w:r>
      <w:r w:rsidR="00DE25C3">
        <w:rPr>
          <w:snapToGrid w:val="0"/>
        </w:rPr>
        <w:t xml:space="preserve">. </w:t>
      </w:r>
    </w:p>
    <w:p w14:paraId="63B7672A" w14:textId="2F6E3A89" w:rsidR="0088626E" w:rsidRDefault="004C7A20" w:rsidP="002D26A6">
      <w:pPr>
        <w:pStyle w:val="COMexecsummnumbered"/>
        <w:rPr>
          <w:bCs/>
          <w:snapToGrid w:val="0"/>
        </w:rPr>
      </w:pPr>
      <w:bookmarkStart w:id="14" w:name="_Hlk97141415"/>
      <w:r>
        <w:rPr>
          <w:bCs/>
          <w:snapToGrid w:val="0"/>
        </w:rPr>
        <w:t>Consumer groups (Rare Cancers Australia, Cure Brain Cancer Foundation</w:t>
      </w:r>
      <w:r w:rsidR="005A7F4F">
        <w:rPr>
          <w:bCs/>
          <w:snapToGrid w:val="0"/>
        </w:rPr>
        <w:t xml:space="preserve">, Brain Tumour Alliance Australia and the Australian Brain Tumour Collaborative) </w:t>
      </w:r>
      <w:r w:rsidR="00161BDB">
        <w:rPr>
          <w:bCs/>
          <w:snapToGrid w:val="0"/>
        </w:rPr>
        <w:t>were strongly supportive of the submission for vorasidenib. The comments from consumer gro</w:t>
      </w:r>
      <w:r w:rsidR="00E52669">
        <w:rPr>
          <w:bCs/>
          <w:snapToGrid w:val="0"/>
        </w:rPr>
        <w:t xml:space="preserve">ups </w:t>
      </w:r>
      <w:r w:rsidR="0088626E">
        <w:rPr>
          <w:bCs/>
          <w:snapToGrid w:val="0"/>
        </w:rPr>
        <w:t>described</w:t>
      </w:r>
      <w:r w:rsidR="00434A03">
        <w:rPr>
          <w:bCs/>
          <w:snapToGrid w:val="0"/>
        </w:rPr>
        <w:t xml:space="preserve"> </w:t>
      </w:r>
      <w:r w:rsidR="00927AD3">
        <w:rPr>
          <w:bCs/>
          <w:snapToGrid w:val="0"/>
        </w:rPr>
        <w:t>t</w:t>
      </w:r>
      <w:r w:rsidR="008D40E8">
        <w:rPr>
          <w:bCs/>
          <w:snapToGrid w:val="0"/>
        </w:rPr>
        <w:t xml:space="preserve">he </w:t>
      </w:r>
      <w:r w:rsidR="00C7571E">
        <w:rPr>
          <w:bCs/>
          <w:snapToGrid w:val="0"/>
        </w:rPr>
        <w:t xml:space="preserve">high </w:t>
      </w:r>
      <w:r w:rsidR="008D40E8">
        <w:rPr>
          <w:bCs/>
          <w:snapToGrid w:val="0"/>
        </w:rPr>
        <w:t xml:space="preserve">unmet need </w:t>
      </w:r>
      <w:r w:rsidR="005F0501">
        <w:rPr>
          <w:bCs/>
          <w:snapToGrid w:val="0"/>
        </w:rPr>
        <w:t>for effective treatments for patients with glioma</w:t>
      </w:r>
      <w:r w:rsidR="00416F61">
        <w:rPr>
          <w:bCs/>
          <w:snapToGrid w:val="0"/>
        </w:rPr>
        <w:t xml:space="preserve">, </w:t>
      </w:r>
      <w:r w:rsidR="00EB210D">
        <w:rPr>
          <w:bCs/>
          <w:snapToGrid w:val="0"/>
        </w:rPr>
        <w:t>and the impact o</w:t>
      </w:r>
      <w:r w:rsidR="00F0037E">
        <w:rPr>
          <w:bCs/>
          <w:snapToGrid w:val="0"/>
        </w:rPr>
        <w:t>f</w:t>
      </w:r>
      <w:r w:rsidR="00EB210D">
        <w:rPr>
          <w:bCs/>
          <w:snapToGrid w:val="0"/>
        </w:rPr>
        <w:t xml:space="preserve"> </w:t>
      </w:r>
      <w:r w:rsidR="00892137">
        <w:rPr>
          <w:bCs/>
          <w:snapToGrid w:val="0"/>
        </w:rPr>
        <w:t xml:space="preserve">glioma </w:t>
      </w:r>
      <w:r w:rsidR="00EB5469">
        <w:rPr>
          <w:bCs/>
          <w:snapToGrid w:val="0"/>
        </w:rPr>
        <w:t>and treatments (surgery, chemotherapy and radi</w:t>
      </w:r>
      <w:r w:rsidR="006C2178">
        <w:rPr>
          <w:bCs/>
          <w:snapToGrid w:val="0"/>
        </w:rPr>
        <w:t xml:space="preserve">otherapy) </w:t>
      </w:r>
      <w:r w:rsidR="00F0037E">
        <w:rPr>
          <w:bCs/>
          <w:snapToGrid w:val="0"/>
        </w:rPr>
        <w:t>on</w:t>
      </w:r>
      <w:r w:rsidR="00416F61">
        <w:rPr>
          <w:bCs/>
          <w:snapToGrid w:val="0"/>
        </w:rPr>
        <w:t xml:space="preserve"> typically </w:t>
      </w:r>
      <w:r w:rsidR="00F0037E">
        <w:rPr>
          <w:bCs/>
          <w:snapToGrid w:val="0"/>
        </w:rPr>
        <w:t>relatively young</w:t>
      </w:r>
      <w:r w:rsidR="00EB210D">
        <w:rPr>
          <w:bCs/>
          <w:snapToGrid w:val="0"/>
        </w:rPr>
        <w:t xml:space="preserve"> adult</w:t>
      </w:r>
      <w:r w:rsidR="00F0037E">
        <w:rPr>
          <w:bCs/>
          <w:snapToGrid w:val="0"/>
        </w:rPr>
        <w:t xml:space="preserve"> patients</w:t>
      </w:r>
      <w:r w:rsidR="00BB31BE">
        <w:rPr>
          <w:bCs/>
          <w:snapToGrid w:val="0"/>
        </w:rPr>
        <w:t xml:space="preserve">, and </w:t>
      </w:r>
      <w:r w:rsidR="00F0037E">
        <w:rPr>
          <w:bCs/>
          <w:snapToGrid w:val="0"/>
        </w:rPr>
        <w:t xml:space="preserve">on </w:t>
      </w:r>
      <w:r w:rsidR="00BB31BE">
        <w:rPr>
          <w:bCs/>
          <w:snapToGrid w:val="0"/>
        </w:rPr>
        <w:t>their families</w:t>
      </w:r>
      <w:r w:rsidR="005F0501">
        <w:rPr>
          <w:bCs/>
          <w:snapToGrid w:val="0"/>
        </w:rPr>
        <w:t xml:space="preserve">. They also described </w:t>
      </w:r>
      <w:r w:rsidR="00434A03">
        <w:rPr>
          <w:bCs/>
          <w:snapToGrid w:val="0"/>
        </w:rPr>
        <w:t xml:space="preserve">the potential benefit of vorasidenib in terms of offering patients more </w:t>
      </w:r>
      <w:r w:rsidR="00A82812">
        <w:rPr>
          <w:bCs/>
          <w:snapToGrid w:val="0"/>
        </w:rPr>
        <w:t>time and a better quality of life</w:t>
      </w:r>
      <w:r w:rsidR="00C2188A">
        <w:rPr>
          <w:bCs/>
          <w:snapToGrid w:val="0"/>
        </w:rPr>
        <w:t xml:space="preserve"> by slowing disease progression and delaying the need for ra</w:t>
      </w:r>
      <w:r w:rsidR="004F1F51">
        <w:rPr>
          <w:bCs/>
          <w:snapToGrid w:val="0"/>
        </w:rPr>
        <w:t>d</w:t>
      </w:r>
      <w:r w:rsidR="00C2188A">
        <w:rPr>
          <w:bCs/>
          <w:snapToGrid w:val="0"/>
        </w:rPr>
        <w:t>io</w:t>
      </w:r>
      <w:r w:rsidR="00D20A1C">
        <w:rPr>
          <w:bCs/>
          <w:snapToGrid w:val="0"/>
        </w:rPr>
        <w:t>therapy</w:t>
      </w:r>
      <w:r w:rsidR="00A82812">
        <w:rPr>
          <w:bCs/>
          <w:snapToGrid w:val="0"/>
        </w:rPr>
        <w:t xml:space="preserve">. </w:t>
      </w:r>
      <w:r w:rsidR="00385E8B">
        <w:rPr>
          <w:bCs/>
          <w:snapToGrid w:val="0"/>
        </w:rPr>
        <w:t xml:space="preserve">The comments noted </w:t>
      </w:r>
      <w:r w:rsidR="00FC6F14">
        <w:rPr>
          <w:bCs/>
          <w:snapToGrid w:val="0"/>
        </w:rPr>
        <w:t xml:space="preserve">concerns regarding equity of access to vorasidenib treatment without PBS subsidisation. </w:t>
      </w:r>
    </w:p>
    <w:p w14:paraId="4702BC83" w14:textId="268A48B7" w:rsidR="00A85354" w:rsidRDefault="001B7044" w:rsidP="002D26A6">
      <w:pPr>
        <w:pStyle w:val="COMexecsummnumbered"/>
        <w:rPr>
          <w:bCs/>
          <w:snapToGrid w:val="0"/>
        </w:rPr>
      </w:pPr>
      <w:r>
        <w:rPr>
          <w:bCs/>
          <w:snapToGrid w:val="0"/>
        </w:rPr>
        <w:t xml:space="preserve">Comments from </w:t>
      </w:r>
      <w:r w:rsidR="00DD0932">
        <w:rPr>
          <w:bCs/>
          <w:snapToGrid w:val="0"/>
        </w:rPr>
        <w:t>the m</w:t>
      </w:r>
      <w:r w:rsidR="0088626E">
        <w:rPr>
          <w:bCs/>
          <w:snapToGrid w:val="0"/>
        </w:rPr>
        <w:t>edical organisation Cooperative Trial Group for Neur</w:t>
      </w:r>
      <w:r w:rsidR="00C7571E">
        <w:rPr>
          <w:bCs/>
          <w:snapToGrid w:val="0"/>
        </w:rPr>
        <w:t>o</w:t>
      </w:r>
      <w:r w:rsidR="0088626E">
        <w:rPr>
          <w:bCs/>
          <w:snapToGrid w:val="0"/>
        </w:rPr>
        <w:t>-Oncology (COGNO)</w:t>
      </w:r>
      <w:bookmarkEnd w:id="14"/>
      <w:r w:rsidR="00DD0932">
        <w:rPr>
          <w:bCs/>
          <w:snapToGrid w:val="0"/>
        </w:rPr>
        <w:t xml:space="preserve"> echoed those from consumer groups, and also </w:t>
      </w:r>
      <w:r w:rsidR="00531388">
        <w:rPr>
          <w:bCs/>
          <w:snapToGrid w:val="0"/>
        </w:rPr>
        <w:t>noted the key trial evidence from the INDIGO trial</w:t>
      </w:r>
      <w:r w:rsidR="0056356A">
        <w:rPr>
          <w:bCs/>
          <w:snapToGrid w:val="0"/>
        </w:rPr>
        <w:t xml:space="preserve"> and ongoing research including </w:t>
      </w:r>
      <w:r w:rsidR="006D2422">
        <w:rPr>
          <w:bCs/>
          <w:snapToGrid w:val="0"/>
        </w:rPr>
        <w:t xml:space="preserve">a study assessing vorasidenib as maintenance therapy in patients with </w:t>
      </w:r>
      <w:r w:rsidR="00334217">
        <w:rPr>
          <w:bCs/>
          <w:snapToGrid w:val="0"/>
        </w:rPr>
        <w:t xml:space="preserve">high risk grade 2 or 3 astrocytoma following chemotherapy. </w:t>
      </w:r>
      <w:r w:rsidR="00DD0932">
        <w:rPr>
          <w:bCs/>
          <w:snapToGrid w:val="0"/>
        </w:rPr>
        <w:t xml:space="preserve"> </w:t>
      </w:r>
    </w:p>
    <w:bookmarkEnd w:id="11"/>
    <w:bookmarkEnd w:id="13"/>
    <w:p w14:paraId="6EE44494" w14:textId="61CB9792" w:rsidR="00C13756" w:rsidRPr="00525B39" w:rsidRDefault="00A85354" w:rsidP="002D26A6">
      <w:pPr>
        <w:pStyle w:val="COMexecsummnumbered"/>
        <w:rPr>
          <w:bCs/>
          <w:snapToGrid w:val="0"/>
          <w:sz w:val="16"/>
        </w:rPr>
      </w:pPr>
      <w:r w:rsidRPr="00A74363">
        <w:rPr>
          <w:bCs/>
          <w:snapToGrid w:val="0"/>
        </w:rPr>
        <w:t xml:space="preserve">The Medical Oncology Group of Australia (MOGA) also expressed its strong support for the </w:t>
      </w:r>
      <w:r w:rsidR="00DC1CB1">
        <w:rPr>
          <w:bCs/>
          <w:snapToGrid w:val="0"/>
        </w:rPr>
        <w:t>vorasidenib</w:t>
      </w:r>
      <w:r w:rsidRPr="00A74363">
        <w:rPr>
          <w:bCs/>
          <w:snapToGrid w:val="0"/>
        </w:rPr>
        <w:t xml:space="preserve"> submission, categorising it as one of the therapies of “highest priority for PBS listing”</w:t>
      </w:r>
      <w:r w:rsidR="00DC1CB1">
        <w:rPr>
          <w:bCs/>
          <w:snapToGrid w:val="0"/>
        </w:rPr>
        <w:t xml:space="preserve">, noting </w:t>
      </w:r>
      <w:r w:rsidR="002B23EB">
        <w:rPr>
          <w:bCs/>
          <w:snapToGrid w:val="0"/>
        </w:rPr>
        <w:t>the clinical need,</w:t>
      </w:r>
      <w:r w:rsidRPr="00A74363">
        <w:rPr>
          <w:bCs/>
          <w:snapToGrid w:val="0"/>
        </w:rPr>
        <w:t xml:space="preserve"> on the basis of the </w:t>
      </w:r>
      <w:r w:rsidR="002B23EB">
        <w:rPr>
          <w:bCs/>
          <w:snapToGrid w:val="0"/>
        </w:rPr>
        <w:t>INDIGO</w:t>
      </w:r>
      <w:r w:rsidRPr="00A74363">
        <w:rPr>
          <w:bCs/>
          <w:snapToGrid w:val="0"/>
        </w:rPr>
        <w:t xml:space="preserve"> trial. The PBAC noted that the MOGA presented a European Society for Medical Oncology Magnitude of Clinical Benefit Scale (ESMO-MCBS) </w:t>
      </w:r>
      <w:r w:rsidRPr="00525B39">
        <w:rPr>
          <w:bCs/>
          <w:snapToGrid w:val="0"/>
        </w:rPr>
        <w:t xml:space="preserve">for </w:t>
      </w:r>
      <w:r w:rsidR="002B23EB">
        <w:rPr>
          <w:bCs/>
          <w:snapToGrid w:val="0"/>
        </w:rPr>
        <w:t>vorasidenib</w:t>
      </w:r>
      <w:r w:rsidRPr="00525B39">
        <w:rPr>
          <w:bCs/>
          <w:snapToGrid w:val="0"/>
        </w:rPr>
        <w:t xml:space="preserve">, which was limited to </w:t>
      </w:r>
      <w:r w:rsidR="00BE3235">
        <w:rPr>
          <w:bCs/>
          <w:snapToGrid w:val="0"/>
        </w:rPr>
        <w:t>3</w:t>
      </w:r>
      <w:r w:rsidRPr="00525B39">
        <w:rPr>
          <w:bCs/>
          <w:snapToGrid w:val="0"/>
        </w:rPr>
        <w:t xml:space="preserve"> (out of a maximum of 5, where 5 and 4 represent the grades with substantial improvement)</w:t>
      </w:r>
      <w:r w:rsidR="00BE3235">
        <w:rPr>
          <w:rStyle w:val="FootnoteReference"/>
          <w:bCs/>
          <w:snapToGrid w:val="0"/>
        </w:rPr>
        <w:footnoteReference w:id="2"/>
      </w:r>
      <w:r w:rsidRPr="00525B39">
        <w:rPr>
          <w:bCs/>
          <w:snapToGrid w:val="0"/>
        </w:rPr>
        <w:t xml:space="preserve">, based on a comparison with </w:t>
      </w:r>
      <w:r w:rsidR="00BE3235">
        <w:rPr>
          <w:bCs/>
          <w:snapToGrid w:val="0"/>
        </w:rPr>
        <w:t>active surveillance alone</w:t>
      </w:r>
      <w:r w:rsidR="00C13756">
        <w:rPr>
          <w:bCs/>
          <w:snapToGrid w:val="0"/>
        </w:rPr>
        <w:t>.</w:t>
      </w:r>
    </w:p>
    <w:p w14:paraId="609C0765" w14:textId="1442DC16" w:rsidR="00B60939" w:rsidRPr="00F57392" w:rsidRDefault="00B60939" w:rsidP="003D5DE7">
      <w:pPr>
        <w:pStyle w:val="COMH2-non-numbered"/>
      </w:pPr>
      <w:r w:rsidRPr="00F57392">
        <w:t>Clinical trials</w:t>
      </w:r>
      <w:bookmarkEnd w:id="10"/>
      <w:bookmarkEnd w:id="12"/>
    </w:p>
    <w:p w14:paraId="03718C1D" w14:textId="08E52D99" w:rsidR="0019258D" w:rsidRPr="00F57392" w:rsidRDefault="0019258D" w:rsidP="002E4F02">
      <w:pPr>
        <w:pStyle w:val="COMexecsummnumbered"/>
      </w:pPr>
      <w:r w:rsidRPr="00F57392">
        <w:t xml:space="preserve">The submission was based on one head-to-head randomised trial comparing vorasidenib to placebo </w:t>
      </w:r>
      <w:r w:rsidR="00FC22FD" w:rsidRPr="00F57392">
        <w:t xml:space="preserve">in patients with Grade 2 IDH-mutant astrocytoma or oligodendroglioma </w:t>
      </w:r>
      <w:r w:rsidRPr="00F57392">
        <w:t xml:space="preserve">(INDIGO). </w:t>
      </w:r>
    </w:p>
    <w:p w14:paraId="2B59ABAC" w14:textId="4CDF5958" w:rsidR="00862502" w:rsidRPr="00F57392" w:rsidRDefault="00A73134" w:rsidP="002E4F02">
      <w:pPr>
        <w:pStyle w:val="COMexecsummnumbered"/>
      </w:pPr>
      <w:r w:rsidRPr="00F57392">
        <w:lastRenderedPageBreak/>
        <w:t xml:space="preserve">Details of the </w:t>
      </w:r>
      <w:r w:rsidR="00FC22FD" w:rsidRPr="00F57392">
        <w:t>INDIGO trial</w:t>
      </w:r>
      <w:r w:rsidRPr="00F57392">
        <w:t xml:space="preserve"> are provided in </w:t>
      </w:r>
      <w:r w:rsidR="00696EF9" w:rsidRPr="00F57392">
        <w:fldChar w:fldCharType="begin"/>
      </w:r>
      <w:r w:rsidR="00696EF9" w:rsidRPr="00F57392">
        <w:instrText xml:space="preserve"> REF _Ref104803956 \h </w:instrText>
      </w:r>
      <w:r w:rsidR="00696EF9" w:rsidRPr="00F57392">
        <w:fldChar w:fldCharType="separate"/>
      </w:r>
      <w:r w:rsidR="003C0757" w:rsidRPr="00F57392">
        <w:t xml:space="preserve">Table </w:t>
      </w:r>
      <w:r w:rsidR="003C0757">
        <w:rPr>
          <w:noProof/>
        </w:rPr>
        <w:t>2</w:t>
      </w:r>
      <w:r w:rsidR="00696EF9" w:rsidRPr="00F57392">
        <w:fldChar w:fldCharType="end"/>
      </w:r>
      <w:r w:rsidRPr="00F57392">
        <w:t>.</w:t>
      </w:r>
      <w:r w:rsidR="00BC591F" w:rsidRPr="00F57392">
        <w:t xml:space="preserve"> </w:t>
      </w:r>
    </w:p>
    <w:p w14:paraId="7DE3A286" w14:textId="56EAD396" w:rsidR="008E0D3C" w:rsidRPr="00F57392" w:rsidRDefault="00696EF9" w:rsidP="00B50F7F">
      <w:pPr>
        <w:pStyle w:val="COMtablefigcaption"/>
      </w:pPr>
      <w:bookmarkStart w:id="15" w:name="_Ref104803956"/>
      <w:r w:rsidRPr="00F57392">
        <w:t xml:space="preserve">Table </w:t>
      </w:r>
      <w:r w:rsidR="00052B1E">
        <w:fldChar w:fldCharType="begin"/>
      </w:r>
      <w:r w:rsidR="00052B1E">
        <w:instrText xml:space="preserve"> SEQ Table \* ARABIC </w:instrText>
      </w:r>
      <w:r w:rsidR="00052B1E">
        <w:fldChar w:fldCharType="separate"/>
      </w:r>
      <w:r w:rsidR="003C0757">
        <w:rPr>
          <w:noProof/>
        </w:rPr>
        <w:t>2</w:t>
      </w:r>
      <w:r w:rsidR="00052B1E">
        <w:rPr>
          <w:noProof/>
        </w:rPr>
        <w:fldChar w:fldCharType="end"/>
      </w:r>
      <w:bookmarkEnd w:id="15"/>
      <w:r w:rsidRPr="00F57392">
        <w:t>:</w:t>
      </w:r>
      <w:r w:rsidR="00BC591F" w:rsidRPr="00F57392">
        <w:t xml:space="preserve"> </w:t>
      </w:r>
      <w:r w:rsidR="008E0D3C" w:rsidRPr="00F57392">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41"/>
        <w:gridCol w:w="3888"/>
        <w:gridCol w:w="3888"/>
      </w:tblGrid>
      <w:tr w:rsidR="00347618" w:rsidRPr="00F57392" w14:paraId="569FD117" w14:textId="77777777" w:rsidTr="00957988">
        <w:trPr>
          <w:tblHeader/>
        </w:trPr>
        <w:tc>
          <w:tcPr>
            <w:tcW w:w="688" w:type="pct"/>
            <w:vAlign w:val="center"/>
          </w:tcPr>
          <w:p w14:paraId="45B32F98" w14:textId="77777777" w:rsidR="00347618" w:rsidRPr="00F57392" w:rsidRDefault="00347618" w:rsidP="00903311">
            <w:pPr>
              <w:pStyle w:val="COMTableheadingrow"/>
              <w:rPr>
                <w:lang w:val="en-AU"/>
              </w:rPr>
            </w:pPr>
            <w:r w:rsidRPr="00F57392">
              <w:rPr>
                <w:lang w:val="en-AU"/>
              </w:rPr>
              <w:t>Trial ID</w:t>
            </w:r>
          </w:p>
        </w:tc>
        <w:tc>
          <w:tcPr>
            <w:tcW w:w="2156" w:type="pct"/>
            <w:vAlign w:val="center"/>
          </w:tcPr>
          <w:p w14:paraId="0635B88F" w14:textId="77777777" w:rsidR="00347618" w:rsidRPr="00F57392" w:rsidRDefault="00347618" w:rsidP="00903311">
            <w:pPr>
              <w:pStyle w:val="COMTableheadingrow"/>
              <w:jc w:val="center"/>
              <w:rPr>
                <w:lang w:val="en-AU"/>
              </w:rPr>
            </w:pPr>
            <w:r w:rsidRPr="00F57392">
              <w:rPr>
                <w:lang w:val="en-AU"/>
              </w:rPr>
              <w:t>Protocol title/publication title</w:t>
            </w:r>
          </w:p>
        </w:tc>
        <w:tc>
          <w:tcPr>
            <w:tcW w:w="2156" w:type="pct"/>
            <w:vAlign w:val="center"/>
          </w:tcPr>
          <w:p w14:paraId="55F5ED5C" w14:textId="77777777" w:rsidR="00347618" w:rsidRPr="00F57392" w:rsidRDefault="00347618" w:rsidP="00903311">
            <w:pPr>
              <w:pStyle w:val="COMTableheadingrow"/>
              <w:jc w:val="center"/>
              <w:rPr>
                <w:lang w:val="en-AU"/>
              </w:rPr>
            </w:pPr>
            <w:r w:rsidRPr="00F57392">
              <w:rPr>
                <w:lang w:val="en-AU"/>
              </w:rPr>
              <w:t>Publication citation</w:t>
            </w:r>
          </w:p>
        </w:tc>
      </w:tr>
      <w:tr w:rsidR="00347618" w:rsidRPr="00F57392" w14:paraId="1FA9149A" w14:textId="77777777" w:rsidTr="00957988">
        <w:tc>
          <w:tcPr>
            <w:tcW w:w="688" w:type="pct"/>
            <w:vMerge w:val="restart"/>
            <w:vAlign w:val="center"/>
          </w:tcPr>
          <w:p w14:paraId="4C25440F" w14:textId="77777777" w:rsidR="00347618" w:rsidRPr="00F57392" w:rsidRDefault="00347618" w:rsidP="00903311">
            <w:pPr>
              <w:pStyle w:val="COMTabletext"/>
            </w:pPr>
            <w:r w:rsidRPr="00F57392">
              <w:t>INDIGO</w:t>
            </w:r>
          </w:p>
          <w:p w14:paraId="4CB0D215" w14:textId="77777777" w:rsidR="00347618" w:rsidRPr="00F57392" w:rsidRDefault="00347618" w:rsidP="00903311">
            <w:pPr>
              <w:pStyle w:val="COMTabletext"/>
            </w:pPr>
            <w:r w:rsidRPr="00F57392">
              <w:t>(NCT04164901)</w:t>
            </w:r>
          </w:p>
        </w:tc>
        <w:tc>
          <w:tcPr>
            <w:tcW w:w="2156" w:type="pct"/>
            <w:tcBorders>
              <w:bottom w:val="nil"/>
            </w:tcBorders>
            <w:vAlign w:val="center"/>
          </w:tcPr>
          <w:p w14:paraId="36785947" w14:textId="77777777" w:rsidR="00347618" w:rsidRPr="00F57392" w:rsidRDefault="00347618" w:rsidP="00903311">
            <w:pPr>
              <w:pStyle w:val="COMTabletext"/>
            </w:pPr>
            <w:r w:rsidRPr="00F57392">
              <w:t>A Phase 3, multicentre, randomised, double-blind, placebo-controlled study of AG-881 in patients with residual or recurrent Grade 2 glioma with an IDH1 or IDH2 mutation.</w:t>
            </w:r>
          </w:p>
        </w:tc>
        <w:tc>
          <w:tcPr>
            <w:tcW w:w="2156" w:type="pct"/>
            <w:tcBorders>
              <w:bottom w:val="nil"/>
            </w:tcBorders>
            <w:vAlign w:val="center"/>
          </w:tcPr>
          <w:p w14:paraId="4205D6FA" w14:textId="77777777" w:rsidR="00347618" w:rsidRPr="00F57392" w:rsidRDefault="00347618" w:rsidP="00903311">
            <w:pPr>
              <w:pStyle w:val="COMTabletext"/>
            </w:pPr>
            <w:r w:rsidRPr="00F57392">
              <w:t>Primary clinical study report, 29 September 2023 (data cutoff: 6 September 2022).</w:t>
            </w:r>
          </w:p>
          <w:p w14:paraId="75151B05" w14:textId="77777777" w:rsidR="00347618" w:rsidRPr="00F57392" w:rsidRDefault="00347618" w:rsidP="00903311">
            <w:pPr>
              <w:pStyle w:val="COMTabletext"/>
            </w:pPr>
            <w:r w:rsidRPr="00F57392">
              <w:t>Clinical study report addendum 2, 2 December 2024 (data cutoff: 7 March 2023).</w:t>
            </w:r>
          </w:p>
          <w:p w14:paraId="45BA85BA" w14:textId="77777777" w:rsidR="00347618" w:rsidRPr="00F57392" w:rsidRDefault="00347618" w:rsidP="00903311">
            <w:pPr>
              <w:pStyle w:val="COMTabletext"/>
            </w:pPr>
            <w:r w:rsidRPr="00F57392">
              <w:t>Clinical study report Japan addendum, 14 March 2024 (data cutoff: 18 September 2024).</w:t>
            </w:r>
          </w:p>
        </w:tc>
      </w:tr>
      <w:tr w:rsidR="00347618" w:rsidRPr="00F57392" w14:paraId="5B98779A" w14:textId="77777777" w:rsidTr="00957988">
        <w:trPr>
          <w:trHeight w:val="53"/>
        </w:trPr>
        <w:tc>
          <w:tcPr>
            <w:tcW w:w="688" w:type="pct"/>
            <w:vMerge/>
            <w:vAlign w:val="center"/>
          </w:tcPr>
          <w:p w14:paraId="34881E3B" w14:textId="77777777" w:rsidR="00347618" w:rsidRPr="00F57392" w:rsidRDefault="00347618" w:rsidP="00903311">
            <w:pPr>
              <w:pStyle w:val="COMTabletext"/>
            </w:pPr>
          </w:p>
        </w:tc>
        <w:tc>
          <w:tcPr>
            <w:tcW w:w="2156" w:type="pct"/>
            <w:tcBorders>
              <w:top w:val="nil"/>
            </w:tcBorders>
            <w:vAlign w:val="center"/>
          </w:tcPr>
          <w:p w14:paraId="64FC7F72" w14:textId="77777777" w:rsidR="00347618" w:rsidRPr="00F57392" w:rsidRDefault="00347618" w:rsidP="00903311">
            <w:pPr>
              <w:pStyle w:val="COMTabletext"/>
            </w:pPr>
            <w:r w:rsidRPr="00F57392">
              <w:t xml:space="preserve">Mellinghoff IK, van den Bent MJ, Blumenthal DT, Touat M, et al. Vorasidenib in IDH1-or IDH2-mutant low-grade glioma. </w:t>
            </w:r>
          </w:p>
        </w:tc>
        <w:tc>
          <w:tcPr>
            <w:tcW w:w="2156" w:type="pct"/>
            <w:tcBorders>
              <w:top w:val="nil"/>
            </w:tcBorders>
            <w:vAlign w:val="center"/>
          </w:tcPr>
          <w:p w14:paraId="45B2133A" w14:textId="15255204" w:rsidR="00347618" w:rsidRPr="00F57392" w:rsidRDefault="00347618" w:rsidP="00903311">
            <w:pPr>
              <w:pStyle w:val="COMTabletext"/>
            </w:pPr>
            <w:r w:rsidRPr="00F57392">
              <w:rPr>
                <w:i/>
                <w:iCs/>
              </w:rPr>
              <w:t xml:space="preserve">New England Journal of Medicine </w:t>
            </w:r>
            <w:r w:rsidRPr="00F57392">
              <w:t>2023; 389(7): 589-601.</w:t>
            </w:r>
          </w:p>
        </w:tc>
      </w:tr>
    </w:tbl>
    <w:p w14:paraId="03313F7E" w14:textId="77777777" w:rsidR="00347618" w:rsidRPr="00F57392" w:rsidRDefault="00347618" w:rsidP="00347618">
      <w:pPr>
        <w:pStyle w:val="COMTablefooter"/>
      </w:pPr>
      <w:r w:rsidRPr="00F57392">
        <w:t>Source: Table 2.4, pp21-22 of the submission.</w:t>
      </w:r>
    </w:p>
    <w:p w14:paraId="135D7182" w14:textId="77777777" w:rsidR="00347618" w:rsidRPr="00F57392" w:rsidRDefault="00347618" w:rsidP="00347618">
      <w:pPr>
        <w:pStyle w:val="COMTablefooter"/>
        <w:rPr>
          <w:sz w:val="20"/>
        </w:rPr>
      </w:pPr>
      <w:r w:rsidRPr="00F57392">
        <w:t>Citations relating to conference abstracts omitted.</w:t>
      </w:r>
    </w:p>
    <w:p w14:paraId="1DD06D7D" w14:textId="4BAA85DB" w:rsidR="007F1017" w:rsidRPr="00F57392" w:rsidRDefault="008F120A" w:rsidP="00EC5836">
      <w:pPr>
        <w:pStyle w:val="COMexecsummnumbered"/>
      </w:pPr>
      <w:r w:rsidRPr="00F57392">
        <w:t xml:space="preserve">The key features of the </w:t>
      </w:r>
      <w:r w:rsidR="00FC22FD" w:rsidRPr="00F57392">
        <w:t>INDIGO trial</w:t>
      </w:r>
      <w:r w:rsidR="00347618" w:rsidRPr="00F57392">
        <w:t xml:space="preserve"> </w:t>
      </w:r>
      <w:r w:rsidRPr="00F57392">
        <w:t>are summarised in</w:t>
      </w:r>
      <w:r w:rsidR="00D6076E" w:rsidRPr="00F57392">
        <w:t xml:space="preserve"> </w:t>
      </w:r>
      <w:r w:rsidR="00D6076E" w:rsidRPr="00F57392">
        <w:fldChar w:fldCharType="begin"/>
      </w:r>
      <w:r w:rsidR="00D6076E" w:rsidRPr="00F57392">
        <w:instrText xml:space="preserve"> REF _Ref104804098 \h  \* MERGEFORMAT </w:instrText>
      </w:r>
      <w:r w:rsidR="00D6076E" w:rsidRPr="00F57392">
        <w:fldChar w:fldCharType="separate"/>
      </w:r>
      <w:r w:rsidR="003C0757" w:rsidRPr="00F57392">
        <w:t xml:space="preserve">Table </w:t>
      </w:r>
      <w:r w:rsidR="003C0757">
        <w:t>3</w:t>
      </w:r>
      <w:r w:rsidR="00D6076E" w:rsidRPr="00F57392">
        <w:fldChar w:fldCharType="end"/>
      </w:r>
      <w:r w:rsidRPr="00F57392">
        <w:t>.</w:t>
      </w:r>
    </w:p>
    <w:p w14:paraId="355E2F15" w14:textId="07BE5DA0" w:rsidR="007F1017" w:rsidRPr="00F57392" w:rsidRDefault="00696EF9" w:rsidP="00FF3ECD">
      <w:pPr>
        <w:pStyle w:val="COMtablefigcaption"/>
      </w:pPr>
      <w:bookmarkStart w:id="16" w:name="_Ref104804098"/>
      <w:r w:rsidRPr="00F57392">
        <w:t xml:space="preserve">Table </w:t>
      </w:r>
      <w:r w:rsidR="00052B1E">
        <w:fldChar w:fldCharType="begin"/>
      </w:r>
      <w:r w:rsidR="00052B1E">
        <w:instrText xml:space="preserve"> SEQ Table \* ARABIC </w:instrText>
      </w:r>
      <w:r w:rsidR="00052B1E">
        <w:fldChar w:fldCharType="separate"/>
      </w:r>
      <w:r w:rsidR="003C0757">
        <w:rPr>
          <w:noProof/>
        </w:rPr>
        <w:t>3</w:t>
      </w:r>
      <w:r w:rsidR="00052B1E">
        <w:rPr>
          <w:noProof/>
        </w:rPr>
        <w:fldChar w:fldCharType="end"/>
      </w:r>
      <w:bookmarkEnd w:id="16"/>
      <w:r w:rsidR="00D6076E" w:rsidRPr="00F57392">
        <w:t xml:space="preserve">: </w:t>
      </w:r>
      <w:r w:rsidR="007F1017" w:rsidRPr="00F57392">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757"/>
        <w:gridCol w:w="494"/>
        <w:gridCol w:w="1154"/>
        <w:gridCol w:w="595"/>
        <w:gridCol w:w="3160"/>
        <w:gridCol w:w="1504"/>
        <w:gridCol w:w="1353"/>
      </w:tblGrid>
      <w:tr w:rsidR="00914F6D" w:rsidRPr="00F57392" w14:paraId="53DD7CC6" w14:textId="77777777" w:rsidTr="00914F6D">
        <w:trPr>
          <w:cantSplit/>
          <w:tblHeader/>
        </w:trPr>
        <w:tc>
          <w:tcPr>
            <w:tcW w:w="420" w:type="pct"/>
            <w:vAlign w:val="center"/>
          </w:tcPr>
          <w:p w14:paraId="794116BC" w14:textId="77777777" w:rsidR="007F1017" w:rsidRPr="00F57392" w:rsidRDefault="007F1017" w:rsidP="001548C7">
            <w:pPr>
              <w:pStyle w:val="COMTableheadingrow"/>
              <w:jc w:val="center"/>
              <w:rPr>
                <w:lang w:val="en-AU"/>
              </w:rPr>
            </w:pPr>
            <w:r w:rsidRPr="00F57392">
              <w:rPr>
                <w:lang w:val="en-AU"/>
              </w:rPr>
              <w:t>Trial</w:t>
            </w:r>
          </w:p>
        </w:tc>
        <w:tc>
          <w:tcPr>
            <w:tcW w:w="274" w:type="pct"/>
            <w:vAlign w:val="center"/>
          </w:tcPr>
          <w:p w14:paraId="51122FE5" w14:textId="77777777" w:rsidR="007F1017" w:rsidRPr="00F57392" w:rsidRDefault="007F1017" w:rsidP="001548C7">
            <w:pPr>
              <w:pStyle w:val="COMTableheadingrow"/>
              <w:jc w:val="center"/>
              <w:rPr>
                <w:lang w:val="en-AU"/>
              </w:rPr>
            </w:pPr>
            <w:r w:rsidRPr="00F57392">
              <w:rPr>
                <w:lang w:val="en-AU"/>
              </w:rPr>
              <w:t>N</w:t>
            </w:r>
          </w:p>
        </w:tc>
        <w:tc>
          <w:tcPr>
            <w:tcW w:w="640" w:type="pct"/>
            <w:vAlign w:val="center"/>
          </w:tcPr>
          <w:p w14:paraId="41C438EF" w14:textId="77777777" w:rsidR="007F1017" w:rsidRPr="00F57392" w:rsidRDefault="007F1017" w:rsidP="001548C7">
            <w:pPr>
              <w:pStyle w:val="COMTableheadingrow"/>
              <w:jc w:val="center"/>
              <w:rPr>
                <w:lang w:val="en-AU"/>
              </w:rPr>
            </w:pPr>
            <w:r w:rsidRPr="00F57392">
              <w:rPr>
                <w:lang w:val="en-AU"/>
              </w:rPr>
              <w:t>Design/ duration</w:t>
            </w:r>
          </w:p>
        </w:tc>
        <w:tc>
          <w:tcPr>
            <w:tcW w:w="330" w:type="pct"/>
            <w:vAlign w:val="center"/>
          </w:tcPr>
          <w:p w14:paraId="1FC91360" w14:textId="77777777" w:rsidR="007F1017" w:rsidRPr="00F57392" w:rsidRDefault="007F1017" w:rsidP="001548C7">
            <w:pPr>
              <w:pStyle w:val="COMTableheadingrow"/>
              <w:jc w:val="center"/>
              <w:rPr>
                <w:lang w:val="en-AU"/>
              </w:rPr>
            </w:pPr>
            <w:r w:rsidRPr="00F57392">
              <w:rPr>
                <w:lang w:val="en-AU"/>
              </w:rPr>
              <w:t>Risk of bias</w:t>
            </w:r>
          </w:p>
        </w:tc>
        <w:tc>
          <w:tcPr>
            <w:tcW w:w="1752" w:type="pct"/>
            <w:vAlign w:val="center"/>
          </w:tcPr>
          <w:p w14:paraId="7FF90896" w14:textId="77777777" w:rsidR="007F1017" w:rsidRPr="00F57392" w:rsidRDefault="007F1017" w:rsidP="001548C7">
            <w:pPr>
              <w:pStyle w:val="COMTableheadingrow"/>
              <w:jc w:val="center"/>
              <w:rPr>
                <w:lang w:val="en-AU"/>
              </w:rPr>
            </w:pPr>
            <w:r w:rsidRPr="00F57392">
              <w:rPr>
                <w:lang w:val="en-AU"/>
              </w:rPr>
              <w:t>Patient population</w:t>
            </w:r>
          </w:p>
        </w:tc>
        <w:tc>
          <w:tcPr>
            <w:tcW w:w="834" w:type="pct"/>
            <w:vAlign w:val="center"/>
          </w:tcPr>
          <w:p w14:paraId="0FCB63F9" w14:textId="148F7B33" w:rsidR="007F1017" w:rsidRPr="00F57392" w:rsidRDefault="007F1017" w:rsidP="001548C7">
            <w:pPr>
              <w:pStyle w:val="COMTableheadingrow"/>
              <w:jc w:val="center"/>
              <w:rPr>
                <w:lang w:val="en-AU"/>
              </w:rPr>
            </w:pPr>
            <w:r w:rsidRPr="00F57392">
              <w:rPr>
                <w:lang w:val="en-AU"/>
              </w:rPr>
              <w:t>Outcomes</w:t>
            </w:r>
          </w:p>
        </w:tc>
        <w:tc>
          <w:tcPr>
            <w:tcW w:w="749" w:type="pct"/>
            <w:vAlign w:val="center"/>
          </w:tcPr>
          <w:p w14:paraId="08C6F624" w14:textId="77777777" w:rsidR="007F1017" w:rsidRPr="00F57392" w:rsidRDefault="007F1017" w:rsidP="001548C7">
            <w:pPr>
              <w:pStyle w:val="COMTableheadingrow"/>
              <w:jc w:val="center"/>
              <w:rPr>
                <w:lang w:val="en-AU"/>
              </w:rPr>
            </w:pPr>
            <w:r w:rsidRPr="00F57392">
              <w:rPr>
                <w:lang w:val="en-AU"/>
              </w:rPr>
              <w:t>Use in modelled evaluation</w:t>
            </w:r>
          </w:p>
        </w:tc>
      </w:tr>
      <w:tr w:rsidR="006618CC" w:rsidRPr="00F57392" w14:paraId="2A03CD4B" w14:textId="77777777" w:rsidTr="00682BA6">
        <w:trPr>
          <w:cantSplit/>
        </w:trPr>
        <w:tc>
          <w:tcPr>
            <w:tcW w:w="5000" w:type="pct"/>
            <w:gridSpan w:val="7"/>
            <w:vAlign w:val="center"/>
          </w:tcPr>
          <w:p w14:paraId="73088C85" w14:textId="7B9A8264" w:rsidR="007F1017" w:rsidRPr="00F57392" w:rsidRDefault="00347618" w:rsidP="001548C7">
            <w:pPr>
              <w:pStyle w:val="COMTableheadingrow"/>
              <w:rPr>
                <w:lang w:val="en-AU"/>
              </w:rPr>
            </w:pPr>
            <w:r w:rsidRPr="00F57392">
              <w:rPr>
                <w:lang w:val="en-AU"/>
              </w:rPr>
              <w:t>Vorasidenib versus placebo</w:t>
            </w:r>
          </w:p>
        </w:tc>
      </w:tr>
      <w:tr w:rsidR="00914F6D" w:rsidRPr="00F57392" w14:paraId="4EE88DCB" w14:textId="77777777" w:rsidTr="00914F6D">
        <w:trPr>
          <w:cantSplit/>
        </w:trPr>
        <w:tc>
          <w:tcPr>
            <w:tcW w:w="420" w:type="pct"/>
            <w:vAlign w:val="center"/>
          </w:tcPr>
          <w:p w14:paraId="6EE77D33" w14:textId="7B36E9FB" w:rsidR="007F1017" w:rsidRPr="00F57392" w:rsidRDefault="00347618" w:rsidP="005C5D04">
            <w:pPr>
              <w:pStyle w:val="COMTabletext"/>
            </w:pPr>
            <w:r w:rsidRPr="00F57392">
              <w:t>INDIG</w:t>
            </w:r>
            <w:r w:rsidR="00EB3B38" w:rsidRPr="00F57392">
              <w:t>O</w:t>
            </w:r>
          </w:p>
        </w:tc>
        <w:tc>
          <w:tcPr>
            <w:tcW w:w="274" w:type="pct"/>
            <w:vAlign w:val="center"/>
          </w:tcPr>
          <w:p w14:paraId="41BB0E41" w14:textId="2B21A124" w:rsidR="007F1017" w:rsidRPr="00F57392" w:rsidRDefault="00EB3B38" w:rsidP="001548C7">
            <w:pPr>
              <w:pStyle w:val="COMTabletext"/>
              <w:jc w:val="center"/>
            </w:pPr>
            <w:r w:rsidRPr="00F57392">
              <w:t>331</w:t>
            </w:r>
          </w:p>
        </w:tc>
        <w:tc>
          <w:tcPr>
            <w:tcW w:w="640" w:type="pct"/>
            <w:vAlign w:val="center"/>
          </w:tcPr>
          <w:p w14:paraId="744D08AC" w14:textId="442F9B53" w:rsidR="007F1017" w:rsidRPr="00F57392" w:rsidRDefault="00347618" w:rsidP="00EB3B38">
            <w:pPr>
              <w:pStyle w:val="COMTabletext"/>
              <w:jc w:val="center"/>
            </w:pPr>
            <w:r w:rsidRPr="00F57392">
              <w:t>Phase 3, randomised, double-blind,</w:t>
            </w:r>
            <w:r w:rsidR="00EB3B38" w:rsidRPr="00F57392">
              <w:t xml:space="preserve"> placebo-controlled trial; median follow-up of 17.3 months.</w:t>
            </w:r>
          </w:p>
        </w:tc>
        <w:tc>
          <w:tcPr>
            <w:tcW w:w="330" w:type="pct"/>
            <w:vAlign w:val="center"/>
          </w:tcPr>
          <w:p w14:paraId="4A529D74" w14:textId="77777777" w:rsidR="007F1017" w:rsidRPr="00D37C15" w:rsidRDefault="007F1017" w:rsidP="001548C7">
            <w:pPr>
              <w:pStyle w:val="COMTabletext"/>
              <w:jc w:val="center"/>
            </w:pPr>
            <w:r w:rsidRPr="00D37C15">
              <w:t>Low</w:t>
            </w:r>
          </w:p>
        </w:tc>
        <w:tc>
          <w:tcPr>
            <w:tcW w:w="1752" w:type="pct"/>
            <w:vAlign w:val="center"/>
          </w:tcPr>
          <w:p w14:paraId="2D09392E" w14:textId="6DEBD3F4" w:rsidR="000248B2" w:rsidRPr="00F57392" w:rsidRDefault="000248B2" w:rsidP="000F5C2C">
            <w:pPr>
              <w:pStyle w:val="COMTabletext"/>
              <w:numPr>
                <w:ilvl w:val="0"/>
                <w:numId w:val="7"/>
              </w:numPr>
              <w:ind w:left="147" w:hanging="113"/>
            </w:pPr>
            <w:r w:rsidRPr="00F57392">
              <w:t>Age ≥12 years</w:t>
            </w:r>
          </w:p>
          <w:p w14:paraId="70A50648" w14:textId="77777777" w:rsidR="000248B2" w:rsidRPr="00A1769B" w:rsidRDefault="000248B2" w:rsidP="000F5C2C">
            <w:pPr>
              <w:pStyle w:val="COMTabletext"/>
              <w:numPr>
                <w:ilvl w:val="0"/>
                <w:numId w:val="7"/>
              </w:numPr>
              <w:ind w:left="147" w:hanging="113"/>
              <w:rPr>
                <w:lang w:val="pt-PT"/>
              </w:rPr>
            </w:pPr>
            <w:r w:rsidRPr="00A1769B">
              <w:rPr>
                <w:lang w:val="pt-PT"/>
              </w:rPr>
              <w:t>Grade 2 oligodendroglioma or astrocytoma (WHO 2016 criteria)</w:t>
            </w:r>
          </w:p>
          <w:p w14:paraId="479AEEA0" w14:textId="0F22E94A" w:rsidR="000248B2" w:rsidRPr="00F57392" w:rsidRDefault="000248B2" w:rsidP="000F5C2C">
            <w:pPr>
              <w:pStyle w:val="COMTabletext"/>
              <w:numPr>
                <w:ilvl w:val="0"/>
                <w:numId w:val="7"/>
              </w:numPr>
              <w:ind w:left="147" w:hanging="113"/>
            </w:pPr>
            <w:r w:rsidRPr="00F57392">
              <w:t>At least one prior surgery for glioma (biopsy, subtotal resection, gross</w:t>
            </w:r>
            <w:r w:rsidR="00FC22FD" w:rsidRPr="00F57392">
              <w:t xml:space="preserve"> </w:t>
            </w:r>
            <w:r w:rsidRPr="00F57392">
              <w:t>total resection)</w:t>
            </w:r>
          </w:p>
          <w:p w14:paraId="1758921E" w14:textId="1DB75FA1" w:rsidR="000248B2" w:rsidRPr="00F57392" w:rsidRDefault="000248B2" w:rsidP="000F5C2C">
            <w:pPr>
              <w:pStyle w:val="COMTabletext"/>
              <w:numPr>
                <w:ilvl w:val="0"/>
                <w:numId w:val="7"/>
              </w:numPr>
              <w:ind w:left="147" w:hanging="113"/>
            </w:pPr>
            <w:r w:rsidRPr="00F57392">
              <w:t xml:space="preserve">Most recent surgery </w:t>
            </w:r>
            <w:r w:rsidR="00C20FFE">
              <w:t xml:space="preserve">at least </w:t>
            </w:r>
            <w:r w:rsidRPr="00F57392">
              <w:t>1</w:t>
            </w:r>
            <w:r w:rsidR="00C20FFE">
              <w:t xml:space="preserve"> year and no more than</w:t>
            </w:r>
            <w:r w:rsidRPr="00F57392">
              <w:t xml:space="preserve"> 5 years</w:t>
            </w:r>
            <w:r w:rsidR="00C20FFE">
              <w:t xml:space="preserve"> prior to randomisation</w:t>
            </w:r>
          </w:p>
          <w:p w14:paraId="08A63928" w14:textId="77777777" w:rsidR="000248B2" w:rsidRPr="00F57392" w:rsidRDefault="000248B2" w:rsidP="000F5C2C">
            <w:pPr>
              <w:pStyle w:val="COMTabletext"/>
              <w:numPr>
                <w:ilvl w:val="0"/>
                <w:numId w:val="7"/>
              </w:numPr>
              <w:ind w:left="147" w:hanging="113"/>
            </w:pPr>
            <w:r w:rsidRPr="00F57392">
              <w:t>Confirmed IDH1 or IDH2 gene mutation and available 1p19q status</w:t>
            </w:r>
          </w:p>
          <w:p w14:paraId="4A7434CA" w14:textId="671A17AD" w:rsidR="000248B2" w:rsidRPr="00F57392" w:rsidRDefault="000248B2" w:rsidP="000F5C2C">
            <w:pPr>
              <w:pStyle w:val="COMTabletext"/>
              <w:numPr>
                <w:ilvl w:val="0"/>
                <w:numId w:val="7"/>
              </w:numPr>
              <w:ind w:left="147" w:hanging="113"/>
            </w:pPr>
            <w:r w:rsidRPr="00F57392">
              <w:t>MRI-evaluable, measurable, non-enhancing disease</w:t>
            </w:r>
          </w:p>
          <w:p w14:paraId="2626FA04" w14:textId="77777777" w:rsidR="000248B2" w:rsidRPr="00F57392" w:rsidRDefault="000248B2" w:rsidP="000F5C2C">
            <w:pPr>
              <w:pStyle w:val="COMTabletext"/>
              <w:numPr>
                <w:ilvl w:val="0"/>
                <w:numId w:val="7"/>
              </w:numPr>
              <w:ind w:left="147" w:hanging="113"/>
            </w:pPr>
            <w:r w:rsidRPr="00F57392">
              <w:t>No other prior anticancer therapy (including chemotherapy and radiotherapy)</w:t>
            </w:r>
          </w:p>
          <w:p w14:paraId="27C057A8" w14:textId="77777777" w:rsidR="000248B2" w:rsidRPr="00F57392" w:rsidRDefault="000248B2" w:rsidP="000F5C2C">
            <w:pPr>
              <w:pStyle w:val="COMTabletext"/>
              <w:numPr>
                <w:ilvl w:val="0"/>
                <w:numId w:val="7"/>
              </w:numPr>
              <w:ind w:left="147" w:hanging="113"/>
            </w:pPr>
            <w:r w:rsidRPr="00F57392">
              <w:t xml:space="preserve">Not in need of immediate chemotherapy or radiotherapy. </w:t>
            </w:r>
          </w:p>
          <w:p w14:paraId="7EBFCF20" w14:textId="77777777" w:rsidR="000248B2" w:rsidRPr="00F57392" w:rsidRDefault="000248B2" w:rsidP="000F5C2C">
            <w:pPr>
              <w:pStyle w:val="COMTabletext"/>
              <w:numPr>
                <w:ilvl w:val="0"/>
                <w:numId w:val="7"/>
              </w:numPr>
              <w:ind w:left="147" w:hanging="113"/>
            </w:pPr>
            <w:r w:rsidRPr="00F57392">
              <w:t>Karnofsky performance score or Lansky Play-Performance Scale score ≥80%</w:t>
            </w:r>
          </w:p>
          <w:p w14:paraId="5E6F456D" w14:textId="285F83AD" w:rsidR="007F1017" w:rsidRPr="00F57392" w:rsidRDefault="000248B2" w:rsidP="000F5C2C">
            <w:pPr>
              <w:pStyle w:val="COMTabletext"/>
              <w:numPr>
                <w:ilvl w:val="0"/>
                <w:numId w:val="7"/>
              </w:numPr>
              <w:ind w:left="147" w:hanging="113"/>
            </w:pPr>
            <w:r w:rsidRPr="00F57392">
              <w:t>Expected survival of ≥12 months.</w:t>
            </w:r>
          </w:p>
        </w:tc>
        <w:tc>
          <w:tcPr>
            <w:tcW w:w="834" w:type="pct"/>
            <w:vAlign w:val="center"/>
          </w:tcPr>
          <w:p w14:paraId="7005DEDF" w14:textId="6A1825BD" w:rsidR="00914F6D" w:rsidRPr="00F57392" w:rsidRDefault="00914F6D" w:rsidP="000F5C2C">
            <w:pPr>
              <w:pStyle w:val="COMTabletext"/>
              <w:numPr>
                <w:ilvl w:val="0"/>
                <w:numId w:val="7"/>
              </w:numPr>
              <w:ind w:left="147" w:hanging="113"/>
            </w:pPr>
            <w:r w:rsidRPr="00F57392">
              <w:t>Radiographic PFS by blinded independent review (primary)</w:t>
            </w:r>
          </w:p>
          <w:p w14:paraId="638BD964" w14:textId="77777777" w:rsidR="00914F6D" w:rsidRPr="00F57392" w:rsidRDefault="00914F6D" w:rsidP="000F5C2C">
            <w:pPr>
              <w:pStyle w:val="COMTabletext"/>
              <w:numPr>
                <w:ilvl w:val="0"/>
                <w:numId w:val="7"/>
              </w:numPr>
              <w:ind w:left="147" w:hanging="113"/>
            </w:pPr>
            <w:r w:rsidRPr="00F57392">
              <w:t>Time to next intervention (key secondary)</w:t>
            </w:r>
          </w:p>
          <w:p w14:paraId="44F6408D" w14:textId="3D71CCC5" w:rsidR="00914F6D" w:rsidRPr="00F57392" w:rsidRDefault="00914F6D" w:rsidP="000F5C2C">
            <w:pPr>
              <w:pStyle w:val="COMTabletext"/>
              <w:numPr>
                <w:ilvl w:val="0"/>
                <w:numId w:val="7"/>
              </w:numPr>
              <w:ind w:left="147" w:hanging="113"/>
            </w:pPr>
            <w:r w:rsidRPr="00F57392">
              <w:t>Tumour growth rate</w:t>
            </w:r>
          </w:p>
          <w:p w14:paraId="2F714564" w14:textId="77777777" w:rsidR="00914F6D" w:rsidRPr="00F57392" w:rsidRDefault="00914F6D" w:rsidP="000F5C2C">
            <w:pPr>
              <w:pStyle w:val="COMTabletext"/>
              <w:numPr>
                <w:ilvl w:val="0"/>
                <w:numId w:val="7"/>
              </w:numPr>
              <w:ind w:left="147" w:hanging="113"/>
            </w:pPr>
            <w:r w:rsidRPr="00F57392">
              <w:t>Objective response rate</w:t>
            </w:r>
          </w:p>
          <w:p w14:paraId="0CD72182" w14:textId="77777777" w:rsidR="00914F6D" w:rsidRPr="00F57392" w:rsidRDefault="00914F6D" w:rsidP="000F5C2C">
            <w:pPr>
              <w:pStyle w:val="COMTabletext"/>
              <w:numPr>
                <w:ilvl w:val="0"/>
                <w:numId w:val="7"/>
              </w:numPr>
              <w:ind w:left="147" w:hanging="113"/>
            </w:pPr>
            <w:r w:rsidRPr="00F57392">
              <w:t>Time to response</w:t>
            </w:r>
          </w:p>
          <w:p w14:paraId="5338EE45" w14:textId="77777777" w:rsidR="00914F6D" w:rsidRPr="00F57392" w:rsidRDefault="00914F6D" w:rsidP="000F5C2C">
            <w:pPr>
              <w:pStyle w:val="COMTabletext"/>
              <w:numPr>
                <w:ilvl w:val="0"/>
                <w:numId w:val="7"/>
              </w:numPr>
              <w:ind w:left="147" w:hanging="113"/>
            </w:pPr>
            <w:r w:rsidRPr="00F57392">
              <w:t>Overall survival</w:t>
            </w:r>
          </w:p>
          <w:p w14:paraId="22028CC2" w14:textId="77777777" w:rsidR="00914F6D" w:rsidRPr="00F57392" w:rsidRDefault="00914F6D" w:rsidP="000F5C2C">
            <w:pPr>
              <w:pStyle w:val="COMTabletext"/>
              <w:numPr>
                <w:ilvl w:val="0"/>
                <w:numId w:val="7"/>
              </w:numPr>
              <w:ind w:left="147" w:hanging="113"/>
            </w:pPr>
            <w:r w:rsidRPr="00F57392">
              <w:t>HRQoL (FACT-Brain, EQ-5D-5L, PGI)</w:t>
            </w:r>
          </w:p>
          <w:p w14:paraId="6DC76214" w14:textId="4D6C1F66" w:rsidR="00914F6D" w:rsidRPr="00F57392" w:rsidRDefault="00914F6D" w:rsidP="000F5C2C">
            <w:pPr>
              <w:pStyle w:val="COMTabletext"/>
              <w:numPr>
                <w:ilvl w:val="0"/>
                <w:numId w:val="7"/>
              </w:numPr>
              <w:ind w:left="147" w:hanging="113"/>
            </w:pPr>
            <w:r w:rsidRPr="00F57392">
              <w:t>Adverse events</w:t>
            </w:r>
          </w:p>
        </w:tc>
        <w:tc>
          <w:tcPr>
            <w:tcW w:w="749" w:type="pct"/>
            <w:vAlign w:val="center"/>
          </w:tcPr>
          <w:p w14:paraId="49E9BA46" w14:textId="77777777" w:rsidR="007F1017" w:rsidRPr="00F57392" w:rsidRDefault="006501E0" w:rsidP="000F5C2C">
            <w:pPr>
              <w:pStyle w:val="COMTabletext"/>
              <w:numPr>
                <w:ilvl w:val="0"/>
                <w:numId w:val="7"/>
              </w:numPr>
              <w:ind w:left="147" w:hanging="113"/>
            </w:pPr>
            <w:r w:rsidRPr="00F57392">
              <w:t>Radiographic PFS by blinded independent review</w:t>
            </w:r>
          </w:p>
          <w:p w14:paraId="559F671E" w14:textId="77777777" w:rsidR="006501E0" w:rsidRPr="00F57392" w:rsidRDefault="006501E0" w:rsidP="000F5C2C">
            <w:pPr>
              <w:pStyle w:val="COMTabletext"/>
              <w:numPr>
                <w:ilvl w:val="0"/>
                <w:numId w:val="7"/>
              </w:numPr>
              <w:ind w:left="147" w:hanging="113"/>
            </w:pPr>
            <w:r w:rsidRPr="00F57392">
              <w:t>Adverse events</w:t>
            </w:r>
          </w:p>
          <w:p w14:paraId="150A804C" w14:textId="5D1FCBDB" w:rsidR="006501E0" w:rsidRPr="00F57392" w:rsidRDefault="006501E0" w:rsidP="000F5C2C">
            <w:pPr>
              <w:pStyle w:val="COMTabletext"/>
              <w:numPr>
                <w:ilvl w:val="0"/>
                <w:numId w:val="7"/>
              </w:numPr>
              <w:ind w:left="147" w:hanging="113"/>
            </w:pPr>
            <w:r w:rsidRPr="00F57392">
              <w:t>EQ</w:t>
            </w:r>
            <w:r w:rsidRPr="00F57392">
              <w:noBreakHyphen/>
              <w:t>5D</w:t>
            </w:r>
            <w:r w:rsidRPr="00F57392">
              <w:noBreakHyphen/>
              <w:t>5L</w:t>
            </w:r>
          </w:p>
        </w:tc>
      </w:tr>
    </w:tbl>
    <w:p w14:paraId="560080D2" w14:textId="2B5BB7A0" w:rsidR="00045017" w:rsidRPr="00F57392" w:rsidRDefault="00045017" w:rsidP="007E51D5">
      <w:pPr>
        <w:pStyle w:val="COMTablefooter"/>
      </w:pPr>
      <w:r w:rsidRPr="00F57392">
        <w:t xml:space="preserve">Source: </w:t>
      </w:r>
      <w:r w:rsidR="00734CFE" w:rsidRPr="00F57392">
        <w:t>Table 2.13, p34; Table 2.16, p36; Table 2.17, pp27-28 of the submission; Section 4.2, pp55-56; Section 4.3, pp57-58 of the INDIGO trial protocol (Amendment 3, Version 4).</w:t>
      </w:r>
    </w:p>
    <w:p w14:paraId="1095487C" w14:textId="0A919368" w:rsidR="00620C25" w:rsidRPr="00F57392" w:rsidRDefault="00734CFE" w:rsidP="007E51D5">
      <w:pPr>
        <w:pStyle w:val="COMTablefooter"/>
        <w:rPr>
          <w:sz w:val="20"/>
        </w:rPr>
      </w:pPr>
      <w:r w:rsidRPr="00F57392">
        <w:t>Abbreviations: 5L, 5-level; FACT, Functional Assessment of Cancer Therapy; HRQoL, health-related quality of life; IDH, isocitrate dehydrogenase; MRI, magnetic resonance imaging; PGI, Patient Global Impression; PFS, progression-free survival; WHO, World Health Organization.</w:t>
      </w:r>
    </w:p>
    <w:p w14:paraId="272C6A73" w14:textId="2FB6C73F" w:rsidR="00BC5EAF" w:rsidRPr="00F57392" w:rsidRDefault="008002A1" w:rsidP="00EC5836">
      <w:pPr>
        <w:pStyle w:val="COMexecsummnumbered"/>
      </w:pPr>
      <w:r w:rsidRPr="00F57392">
        <w:t xml:space="preserve">The clinical evidence </w:t>
      </w:r>
      <w:r w:rsidR="002E452C" w:rsidRPr="00F57392">
        <w:t>for vorasidenib w</w:t>
      </w:r>
      <w:r w:rsidRPr="00F57392">
        <w:t>as derived from the INDIGO trial, an ongoing, Phase 3, multicentre, randomised, double-blind trial of vorasidenib versus placebo conducted at 77 study centres across 10 countries. Three analyses were planned for the INDIGO trial</w:t>
      </w:r>
      <w:r w:rsidR="002E452C" w:rsidRPr="00F57392">
        <w:t xml:space="preserve">, including </w:t>
      </w:r>
      <w:r w:rsidRPr="00F57392">
        <w:t xml:space="preserve">an initial interim analysis for futility, a second interim analysis for superiority, and a final analysis. </w:t>
      </w:r>
      <w:r w:rsidR="00BC5EAF" w:rsidRPr="00F57392">
        <w:t xml:space="preserve">Patients in the placebo arm with radiographic disease progression </w:t>
      </w:r>
      <w:r w:rsidR="002E1DD4" w:rsidRPr="00F57392">
        <w:t>(</w:t>
      </w:r>
      <w:r w:rsidR="00BC5EAF" w:rsidRPr="00F57392">
        <w:t xml:space="preserve">confirmed </w:t>
      </w:r>
      <w:r w:rsidR="002E1DD4" w:rsidRPr="00F57392">
        <w:t>by the blinded independent review committee) could cross over to receive treatment with vorasidenib.</w:t>
      </w:r>
    </w:p>
    <w:p w14:paraId="23F3A46C" w14:textId="5CF1112A" w:rsidR="008002A1" w:rsidRPr="00F57392" w:rsidRDefault="008002A1" w:rsidP="00EC5836">
      <w:pPr>
        <w:pStyle w:val="COMexecsummnumbered"/>
      </w:pPr>
      <w:r w:rsidRPr="00F57392">
        <w:lastRenderedPageBreak/>
        <w:t>The trial was unblinded after the second interim analysis based on the recommendation of the independent data and safety monitoring committee due to early demonstration of efficacy. At the time the trial was unblinded (approximately 6 months after the second interim analysis), patients in the placebo arm, including patients who had not yet experienced disease progression, were able to cross over to receive vorasidenib treatment.</w:t>
      </w:r>
    </w:p>
    <w:p w14:paraId="36FED9DB" w14:textId="1060D7E1" w:rsidR="008002A1" w:rsidRPr="00F57392" w:rsidRDefault="008002A1" w:rsidP="00EC5836">
      <w:pPr>
        <w:pStyle w:val="COMexecsummnumbered"/>
      </w:pPr>
      <w:r w:rsidRPr="00F57392">
        <w:t xml:space="preserve">The submission included clinical study reports corresponding to the second interim analysis (September 2022 data cut) and the end of blinded treatment (March 2023 data </w:t>
      </w:r>
      <w:r w:rsidRPr="00D04436">
        <w:t xml:space="preserve">cut; referred to as extended follow-up </w:t>
      </w:r>
      <w:r w:rsidR="00E31364" w:rsidRPr="00D04436">
        <w:t>herein</w:t>
      </w:r>
      <w:r w:rsidRPr="00F57392">
        <w:t>). The extended follow-up analysis included approximately 6 months of additional blinded follow-up following the second interim analysis.</w:t>
      </w:r>
    </w:p>
    <w:p w14:paraId="4A4FE085" w14:textId="1C5613CC" w:rsidR="00B60939" w:rsidRPr="00F57392" w:rsidRDefault="00B60939" w:rsidP="003D5DE7">
      <w:pPr>
        <w:pStyle w:val="COMH2-non-numbered"/>
      </w:pPr>
      <w:bookmarkStart w:id="17" w:name="_Toc22897641"/>
      <w:bookmarkStart w:id="18" w:name="_Toc198628228"/>
      <w:r w:rsidRPr="00F57392">
        <w:t>Comparative effectiveness</w:t>
      </w:r>
      <w:bookmarkEnd w:id="17"/>
      <w:bookmarkEnd w:id="18"/>
    </w:p>
    <w:p w14:paraId="313E139B" w14:textId="3EB5AE98" w:rsidR="00B34FE2" w:rsidRPr="00F57392" w:rsidRDefault="00950956" w:rsidP="00EC5836">
      <w:pPr>
        <w:pStyle w:val="COMexecsummnumbered"/>
      </w:pPr>
      <w:r w:rsidRPr="00F57392">
        <w:fldChar w:fldCharType="begin"/>
      </w:r>
      <w:r w:rsidRPr="00F57392">
        <w:instrText xml:space="preserve"> REF _Ref197896690 \h </w:instrText>
      </w:r>
      <w:r w:rsidRPr="00F57392">
        <w:fldChar w:fldCharType="separate"/>
      </w:r>
      <w:r w:rsidR="003C0757" w:rsidRPr="00F57392">
        <w:t xml:space="preserve">Figure </w:t>
      </w:r>
      <w:r w:rsidR="003C0757">
        <w:rPr>
          <w:noProof/>
        </w:rPr>
        <w:t>1</w:t>
      </w:r>
      <w:r w:rsidRPr="00F57392">
        <w:fldChar w:fldCharType="end"/>
      </w:r>
      <w:r w:rsidR="000B7C07" w:rsidRPr="00F57392">
        <w:t xml:space="preserve"> and </w:t>
      </w:r>
      <w:r w:rsidRPr="00F57392">
        <w:fldChar w:fldCharType="begin"/>
      </w:r>
      <w:r w:rsidRPr="00F57392">
        <w:instrText xml:space="preserve"> REF _Ref197896699 \h </w:instrText>
      </w:r>
      <w:r w:rsidRPr="00F57392">
        <w:fldChar w:fldCharType="separate"/>
      </w:r>
      <w:r w:rsidR="003C0757" w:rsidRPr="00F57392">
        <w:t xml:space="preserve">Table </w:t>
      </w:r>
      <w:r w:rsidR="003C0757">
        <w:rPr>
          <w:noProof/>
        </w:rPr>
        <w:t>4</w:t>
      </w:r>
      <w:r w:rsidRPr="00F57392">
        <w:fldChar w:fldCharType="end"/>
      </w:r>
      <w:r w:rsidR="000B7C07" w:rsidRPr="00F57392">
        <w:t xml:space="preserve"> present the results for progression-free survival </w:t>
      </w:r>
      <w:r w:rsidR="00234976">
        <w:t xml:space="preserve">(PFS) </w:t>
      </w:r>
      <w:r w:rsidR="000B7C07" w:rsidRPr="00F57392">
        <w:t>assessed by the blinded independent review committee based on extended follow-up.</w:t>
      </w:r>
    </w:p>
    <w:p w14:paraId="62B8EB0E" w14:textId="61C0F9E2" w:rsidR="000B7C07" w:rsidRPr="00F57392" w:rsidRDefault="000B7C07" w:rsidP="000B7C07">
      <w:pPr>
        <w:pStyle w:val="COMtablefigcaption"/>
      </w:pPr>
      <w:bookmarkStart w:id="19" w:name="_Ref197896690"/>
      <w:r w:rsidRPr="00F57392">
        <w:t xml:space="preserve">Figure </w:t>
      </w:r>
      <w:r w:rsidR="00052B1E">
        <w:fldChar w:fldCharType="begin"/>
      </w:r>
      <w:r w:rsidR="00052B1E">
        <w:instrText xml:space="preserve"> SEQ Figure \* ARABIC </w:instrText>
      </w:r>
      <w:r w:rsidR="00052B1E">
        <w:fldChar w:fldCharType="separate"/>
      </w:r>
      <w:r w:rsidR="003C0757">
        <w:rPr>
          <w:noProof/>
        </w:rPr>
        <w:t>1</w:t>
      </w:r>
      <w:r w:rsidR="00052B1E">
        <w:rPr>
          <w:noProof/>
        </w:rPr>
        <w:fldChar w:fldCharType="end"/>
      </w:r>
      <w:bookmarkEnd w:id="19"/>
      <w:r w:rsidRPr="00F57392">
        <w:t xml:space="preserve">: Kaplan-Meier plot of progression-free survival assessed by BIRC based on extended follow-up </w:t>
      </w:r>
    </w:p>
    <w:p w14:paraId="6B1E640E" w14:textId="77777777" w:rsidR="000B7C07" w:rsidRPr="00F57392" w:rsidRDefault="000B7C07" w:rsidP="000B7C07">
      <w:r w:rsidRPr="00F57392">
        <w:rPr>
          <w:noProof/>
        </w:rPr>
        <w:drawing>
          <wp:inline distT="0" distB="0" distL="0" distR="0" wp14:anchorId="6825A2A4" wp14:editId="711FBFCC">
            <wp:extent cx="5731510" cy="2811780"/>
            <wp:effectExtent l="0" t="0" r="2540" b="7620"/>
            <wp:docPr id="367732584" name="Picture 1" descr="Figure 1: Kaplan-Meier plot of progression-free survival assessed by BIRC based on extended follow-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32584" name="Picture 1" descr="Figure 1: Kaplan-Meier plot of progression-free survival assessed by BIRC based on extended follow-up "/>
                    <pic:cNvPicPr/>
                  </pic:nvPicPr>
                  <pic:blipFill>
                    <a:blip r:embed="rId11"/>
                    <a:stretch>
                      <a:fillRect/>
                    </a:stretch>
                  </pic:blipFill>
                  <pic:spPr>
                    <a:xfrm>
                      <a:off x="0" y="0"/>
                      <a:ext cx="5731510" cy="2811780"/>
                    </a:xfrm>
                    <a:prstGeom prst="rect">
                      <a:avLst/>
                    </a:prstGeom>
                    <a:ln>
                      <a:noFill/>
                    </a:ln>
                  </pic:spPr>
                </pic:pic>
              </a:graphicData>
            </a:graphic>
          </wp:inline>
        </w:drawing>
      </w:r>
    </w:p>
    <w:p w14:paraId="07F1637A" w14:textId="77777777" w:rsidR="000B7C07" w:rsidRPr="00F57392" w:rsidRDefault="000B7C07" w:rsidP="000B7C07">
      <w:pPr>
        <w:pStyle w:val="COMTablefooter"/>
      </w:pPr>
      <w:r w:rsidRPr="00F57392">
        <w:t>Source: Figure 2.5, p43 of the submission.</w:t>
      </w:r>
    </w:p>
    <w:p w14:paraId="5281F27F" w14:textId="77777777" w:rsidR="000B7C07" w:rsidRPr="00F57392" w:rsidRDefault="000B7C07" w:rsidP="000B7C07">
      <w:pPr>
        <w:pStyle w:val="COMTablefooter"/>
      </w:pPr>
      <w:r w:rsidRPr="00F57392">
        <w:t>Abbreviations: BIRC, blinded independent review committee; NE, not estimable.</w:t>
      </w:r>
    </w:p>
    <w:p w14:paraId="5E40CE4C" w14:textId="01D52BED" w:rsidR="000B7C07" w:rsidRPr="00F57392" w:rsidRDefault="000B7C07" w:rsidP="000B7C07">
      <w:pPr>
        <w:pStyle w:val="COMtablefigcaption"/>
      </w:pPr>
      <w:bookmarkStart w:id="20" w:name="_Ref197896699"/>
      <w:r w:rsidRPr="00F57392">
        <w:lastRenderedPageBreak/>
        <w:t xml:space="preserve">Table </w:t>
      </w:r>
      <w:r w:rsidR="00052B1E">
        <w:fldChar w:fldCharType="begin"/>
      </w:r>
      <w:r w:rsidR="00052B1E">
        <w:instrText xml:space="preserve"> SEQ Table \* ARABIC </w:instrText>
      </w:r>
      <w:r w:rsidR="00052B1E">
        <w:fldChar w:fldCharType="separate"/>
      </w:r>
      <w:r w:rsidR="003C0757">
        <w:rPr>
          <w:noProof/>
        </w:rPr>
        <w:t>4</w:t>
      </w:r>
      <w:r w:rsidR="00052B1E">
        <w:rPr>
          <w:noProof/>
        </w:rPr>
        <w:fldChar w:fldCharType="end"/>
      </w:r>
      <w:bookmarkEnd w:id="20"/>
      <w:r w:rsidRPr="00F57392">
        <w:t xml:space="preserve">: </w:t>
      </w:r>
      <w:r w:rsidR="00234976">
        <w:t>PFS</w:t>
      </w:r>
      <w:r w:rsidRPr="00F57392">
        <w:t xml:space="preserve"> assessed by BIRC based on extended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PFS assessed by BIRC based on extended follow-up"/>
      </w:tblPr>
      <w:tblGrid>
        <w:gridCol w:w="3683"/>
        <w:gridCol w:w="2667"/>
        <w:gridCol w:w="2667"/>
      </w:tblGrid>
      <w:tr w:rsidR="000B7C07" w:rsidRPr="00F57392" w14:paraId="1E475873" w14:textId="77777777" w:rsidTr="00903311">
        <w:trPr>
          <w:tblHeader/>
        </w:trPr>
        <w:tc>
          <w:tcPr>
            <w:tcW w:w="2042" w:type="pct"/>
            <w:vAlign w:val="center"/>
          </w:tcPr>
          <w:p w14:paraId="7737237B" w14:textId="77777777" w:rsidR="000B7C07" w:rsidRPr="00F57392" w:rsidRDefault="000B7C07" w:rsidP="00903311">
            <w:pPr>
              <w:pStyle w:val="COMTableheadingrow"/>
              <w:rPr>
                <w:lang w:val="en-AU"/>
              </w:rPr>
            </w:pPr>
          </w:p>
        </w:tc>
        <w:tc>
          <w:tcPr>
            <w:tcW w:w="1479" w:type="pct"/>
            <w:vAlign w:val="center"/>
          </w:tcPr>
          <w:p w14:paraId="195918C7" w14:textId="77777777" w:rsidR="000B7C07" w:rsidRPr="00F57392" w:rsidRDefault="000B7C07" w:rsidP="00903311">
            <w:pPr>
              <w:pStyle w:val="COMTableheadingrow"/>
              <w:jc w:val="center"/>
              <w:rPr>
                <w:lang w:val="en-AU"/>
              </w:rPr>
            </w:pPr>
            <w:r w:rsidRPr="00F57392">
              <w:rPr>
                <w:lang w:val="en-AU"/>
              </w:rPr>
              <w:t>Vorasidenib</w:t>
            </w:r>
          </w:p>
          <w:p w14:paraId="0A183DC6" w14:textId="77777777" w:rsidR="000B7C07" w:rsidRPr="00F57392" w:rsidRDefault="000B7C07" w:rsidP="00903311">
            <w:pPr>
              <w:pStyle w:val="COMTableheadingrow"/>
              <w:jc w:val="center"/>
              <w:rPr>
                <w:lang w:val="en-AU"/>
              </w:rPr>
            </w:pPr>
            <w:r w:rsidRPr="00F57392">
              <w:rPr>
                <w:lang w:val="en-AU"/>
              </w:rPr>
              <w:t>N=168</w:t>
            </w:r>
          </w:p>
        </w:tc>
        <w:tc>
          <w:tcPr>
            <w:tcW w:w="1479" w:type="pct"/>
          </w:tcPr>
          <w:p w14:paraId="5F06803D" w14:textId="77777777" w:rsidR="000B7C07" w:rsidRPr="00F57392" w:rsidRDefault="000B7C07" w:rsidP="00903311">
            <w:pPr>
              <w:pStyle w:val="COMTableheadingrow"/>
              <w:jc w:val="center"/>
              <w:rPr>
                <w:lang w:val="en-AU"/>
              </w:rPr>
            </w:pPr>
            <w:r w:rsidRPr="00F57392">
              <w:rPr>
                <w:lang w:val="en-AU"/>
              </w:rPr>
              <w:t>Placebo</w:t>
            </w:r>
          </w:p>
          <w:p w14:paraId="17727D8D" w14:textId="77777777" w:rsidR="000B7C07" w:rsidRPr="00F57392" w:rsidRDefault="000B7C07" w:rsidP="00903311">
            <w:pPr>
              <w:pStyle w:val="COMTableheadingrow"/>
              <w:jc w:val="center"/>
              <w:rPr>
                <w:lang w:val="en-AU"/>
              </w:rPr>
            </w:pPr>
            <w:r w:rsidRPr="00F57392">
              <w:rPr>
                <w:lang w:val="en-AU"/>
              </w:rPr>
              <w:t>N=163</w:t>
            </w:r>
          </w:p>
        </w:tc>
      </w:tr>
      <w:tr w:rsidR="000B7C07" w:rsidRPr="00F57392" w14:paraId="187D0992" w14:textId="77777777" w:rsidTr="00903311">
        <w:tc>
          <w:tcPr>
            <w:tcW w:w="2042" w:type="pct"/>
          </w:tcPr>
          <w:p w14:paraId="3218FF88" w14:textId="77777777" w:rsidR="000B7C07" w:rsidRPr="00F57392" w:rsidRDefault="000B7C07" w:rsidP="00903311">
            <w:pPr>
              <w:pStyle w:val="COMTabletext"/>
            </w:pPr>
            <w:r w:rsidRPr="00F57392">
              <w:t>Median duration of follow-up, months (95% CI)</w:t>
            </w:r>
          </w:p>
        </w:tc>
        <w:tc>
          <w:tcPr>
            <w:tcW w:w="1479" w:type="pct"/>
          </w:tcPr>
          <w:p w14:paraId="040FD063" w14:textId="77777777" w:rsidR="000B7C07" w:rsidRPr="00F57392" w:rsidRDefault="000B7C07" w:rsidP="00903311">
            <w:pPr>
              <w:pStyle w:val="COMTabletext"/>
              <w:jc w:val="center"/>
            </w:pPr>
            <w:r w:rsidRPr="00F57392">
              <w:t>17.7 (16.7, 19.4)</w:t>
            </w:r>
          </w:p>
        </w:tc>
        <w:tc>
          <w:tcPr>
            <w:tcW w:w="1479" w:type="pct"/>
          </w:tcPr>
          <w:p w14:paraId="6DBA207B" w14:textId="77777777" w:rsidR="000B7C07" w:rsidRPr="00F57392" w:rsidRDefault="000B7C07" w:rsidP="00903311">
            <w:pPr>
              <w:pStyle w:val="COMTabletext"/>
              <w:jc w:val="center"/>
            </w:pPr>
            <w:r w:rsidRPr="00F57392">
              <w:t>16.7 (16.4, 19.9)</w:t>
            </w:r>
          </w:p>
        </w:tc>
      </w:tr>
      <w:tr w:rsidR="000B7C07" w:rsidRPr="00F57392" w14:paraId="4C7F55BC" w14:textId="77777777" w:rsidTr="00903311">
        <w:tc>
          <w:tcPr>
            <w:tcW w:w="2042" w:type="pct"/>
          </w:tcPr>
          <w:p w14:paraId="0FE4D552" w14:textId="77777777" w:rsidR="000B7C07" w:rsidRPr="00F57392" w:rsidRDefault="000B7C07" w:rsidP="00903311">
            <w:pPr>
              <w:pStyle w:val="COMTabletext"/>
            </w:pPr>
            <w:r w:rsidRPr="00F57392">
              <w:t>Participants with event, n (%)</w:t>
            </w:r>
          </w:p>
          <w:p w14:paraId="58D875DE" w14:textId="77777777" w:rsidR="000B7C07" w:rsidRPr="00F57392" w:rsidRDefault="000B7C07" w:rsidP="00903311">
            <w:pPr>
              <w:pStyle w:val="COMTabletext"/>
            </w:pPr>
            <w:r w:rsidRPr="00F57392">
              <w:t>- Progressive disease, n (%)</w:t>
            </w:r>
          </w:p>
          <w:p w14:paraId="032E9FA4" w14:textId="77777777" w:rsidR="000B7C07" w:rsidRPr="00F57392" w:rsidRDefault="000B7C07" w:rsidP="00903311">
            <w:pPr>
              <w:pStyle w:val="COMTabletext"/>
            </w:pPr>
            <w:r w:rsidRPr="00F57392">
              <w:t>- Death, n (%)</w:t>
            </w:r>
          </w:p>
        </w:tc>
        <w:tc>
          <w:tcPr>
            <w:tcW w:w="1479" w:type="pct"/>
          </w:tcPr>
          <w:p w14:paraId="2EAF0FD3" w14:textId="77777777" w:rsidR="000B7C07" w:rsidRPr="00F57392" w:rsidRDefault="000B7C07" w:rsidP="00903311">
            <w:pPr>
              <w:pStyle w:val="COMTabletext"/>
              <w:jc w:val="center"/>
            </w:pPr>
            <w:r w:rsidRPr="00F57392">
              <w:t>54 (32.1)</w:t>
            </w:r>
          </w:p>
          <w:p w14:paraId="0CFEE2CE" w14:textId="77777777" w:rsidR="000B7C07" w:rsidRPr="00F57392" w:rsidRDefault="000B7C07" w:rsidP="00903311">
            <w:pPr>
              <w:pStyle w:val="COMTabletext"/>
              <w:jc w:val="center"/>
            </w:pPr>
            <w:r w:rsidRPr="00F57392">
              <w:t>54 (32.1)</w:t>
            </w:r>
          </w:p>
          <w:p w14:paraId="294FB874" w14:textId="77777777" w:rsidR="000B7C07" w:rsidRPr="00F57392" w:rsidRDefault="000B7C07" w:rsidP="00903311">
            <w:pPr>
              <w:pStyle w:val="COMTabletext"/>
              <w:jc w:val="center"/>
            </w:pPr>
            <w:r w:rsidRPr="00F57392">
              <w:t>0</w:t>
            </w:r>
          </w:p>
        </w:tc>
        <w:tc>
          <w:tcPr>
            <w:tcW w:w="1479" w:type="pct"/>
          </w:tcPr>
          <w:p w14:paraId="7263F5C8" w14:textId="77777777" w:rsidR="000B7C07" w:rsidRPr="00F57392" w:rsidRDefault="000B7C07" w:rsidP="00903311">
            <w:pPr>
              <w:pStyle w:val="COMTabletext"/>
              <w:jc w:val="center"/>
            </w:pPr>
            <w:r w:rsidRPr="00F57392">
              <w:t>104 (63.8)</w:t>
            </w:r>
          </w:p>
          <w:p w14:paraId="7FD8E9F8" w14:textId="77777777" w:rsidR="000B7C07" w:rsidRPr="00F57392" w:rsidRDefault="000B7C07" w:rsidP="00903311">
            <w:pPr>
              <w:pStyle w:val="COMTabletext"/>
              <w:jc w:val="center"/>
            </w:pPr>
            <w:r w:rsidRPr="00F57392">
              <w:t>104 (63.8)</w:t>
            </w:r>
          </w:p>
          <w:p w14:paraId="3F94DA16" w14:textId="77777777" w:rsidR="000B7C07" w:rsidRPr="00F57392" w:rsidRDefault="000B7C07" w:rsidP="00903311">
            <w:pPr>
              <w:pStyle w:val="COMTabletext"/>
              <w:jc w:val="center"/>
            </w:pPr>
            <w:r w:rsidRPr="00F57392">
              <w:t>0</w:t>
            </w:r>
          </w:p>
        </w:tc>
      </w:tr>
      <w:tr w:rsidR="000B7C07" w:rsidRPr="00F57392" w14:paraId="3864A455" w14:textId="77777777" w:rsidTr="00903311">
        <w:tc>
          <w:tcPr>
            <w:tcW w:w="2042" w:type="pct"/>
          </w:tcPr>
          <w:p w14:paraId="4C08DBAC" w14:textId="77777777" w:rsidR="000B7C07" w:rsidRPr="00F57392" w:rsidRDefault="000B7C07" w:rsidP="00903311">
            <w:pPr>
              <w:pStyle w:val="COMTabletext"/>
            </w:pPr>
            <w:r w:rsidRPr="00F57392">
              <w:t>Number censored, n (%)</w:t>
            </w:r>
          </w:p>
          <w:p w14:paraId="0AE02F2D" w14:textId="77777777" w:rsidR="000B7C07" w:rsidRPr="00F57392" w:rsidRDefault="000B7C07" w:rsidP="00903311">
            <w:pPr>
              <w:pStyle w:val="COMTabletext"/>
            </w:pPr>
            <w:r w:rsidRPr="00F57392">
              <w:t>- Start of subsequent anticancer therapy</w:t>
            </w:r>
          </w:p>
          <w:p w14:paraId="557E9515" w14:textId="77777777" w:rsidR="000B7C07" w:rsidRPr="00F57392" w:rsidRDefault="000B7C07" w:rsidP="00903311">
            <w:pPr>
              <w:pStyle w:val="COMTabletext"/>
            </w:pPr>
            <w:r w:rsidRPr="00F57392">
              <w:t>- No adequate baseline assessment</w:t>
            </w:r>
          </w:p>
          <w:p w14:paraId="742A2842" w14:textId="77777777" w:rsidR="000B7C07" w:rsidRPr="00F57392" w:rsidRDefault="000B7C07" w:rsidP="00903311">
            <w:pPr>
              <w:pStyle w:val="COMTabletext"/>
            </w:pPr>
            <w:r w:rsidRPr="00F57392">
              <w:t>- Withdrawal of consent</w:t>
            </w:r>
          </w:p>
          <w:p w14:paraId="10575FD2" w14:textId="77777777" w:rsidR="000B7C07" w:rsidRPr="00F57392" w:rsidRDefault="000B7C07" w:rsidP="00903311">
            <w:pPr>
              <w:pStyle w:val="COMTabletext"/>
            </w:pPr>
            <w:r w:rsidRPr="00F57392">
              <w:t>- Ongoing without an event</w:t>
            </w:r>
          </w:p>
        </w:tc>
        <w:tc>
          <w:tcPr>
            <w:tcW w:w="1479" w:type="pct"/>
          </w:tcPr>
          <w:p w14:paraId="6818E1AE" w14:textId="77777777" w:rsidR="00220ECA" w:rsidRPr="00F57392" w:rsidRDefault="00220ECA" w:rsidP="00220ECA">
            <w:pPr>
              <w:pStyle w:val="COMTabletext"/>
              <w:jc w:val="center"/>
            </w:pPr>
            <w:r w:rsidRPr="00F57392">
              <w:t>114 (67.9)</w:t>
            </w:r>
          </w:p>
          <w:p w14:paraId="1D96B8BD" w14:textId="77777777" w:rsidR="00220ECA" w:rsidRPr="00F57392" w:rsidRDefault="00220ECA" w:rsidP="00220ECA">
            <w:pPr>
              <w:pStyle w:val="COMTabletext"/>
              <w:jc w:val="center"/>
            </w:pPr>
            <w:r w:rsidRPr="00F57392">
              <w:t>4 (2.4)</w:t>
            </w:r>
          </w:p>
          <w:p w14:paraId="3A39ED0C" w14:textId="77777777" w:rsidR="00220ECA" w:rsidRPr="00F57392" w:rsidRDefault="00220ECA" w:rsidP="00220ECA">
            <w:pPr>
              <w:pStyle w:val="COMTabletext"/>
              <w:jc w:val="center"/>
            </w:pPr>
            <w:r w:rsidRPr="00F57392">
              <w:t>1 (0.6)</w:t>
            </w:r>
          </w:p>
          <w:p w14:paraId="5B47BCA6" w14:textId="77777777" w:rsidR="00220ECA" w:rsidRPr="00F57392" w:rsidRDefault="00220ECA" w:rsidP="00220ECA">
            <w:pPr>
              <w:pStyle w:val="COMTabletext"/>
              <w:jc w:val="center"/>
            </w:pPr>
            <w:r w:rsidRPr="00F57392">
              <w:t>5 (3.0)</w:t>
            </w:r>
          </w:p>
          <w:p w14:paraId="4DCBEB11" w14:textId="6A1D1D98" w:rsidR="000B7C07" w:rsidRPr="00F57392" w:rsidRDefault="00220ECA" w:rsidP="00220ECA">
            <w:pPr>
              <w:pStyle w:val="COMTabletext"/>
              <w:jc w:val="center"/>
            </w:pPr>
            <w:r w:rsidRPr="00F57392">
              <w:t>104 (61.9)</w:t>
            </w:r>
          </w:p>
        </w:tc>
        <w:tc>
          <w:tcPr>
            <w:tcW w:w="1479" w:type="pct"/>
          </w:tcPr>
          <w:p w14:paraId="2305B881" w14:textId="77777777" w:rsidR="000B7C07" w:rsidRPr="00F57392" w:rsidRDefault="000B7C07" w:rsidP="00903311">
            <w:pPr>
              <w:pStyle w:val="COMTabletext"/>
              <w:jc w:val="center"/>
            </w:pPr>
            <w:r w:rsidRPr="00F57392">
              <w:t>59 (36.2)</w:t>
            </w:r>
          </w:p>
          <w:p w14:paraId="2D83F1B9" w14:textId="77777777" w:rsidR="000B7C07" w:rsidRPr="00F57392" w:rsidRDefault="000B7C07" w:rsidP="00903311">
            <w:pPr>
              <w:pStyle w:val="COMTabletext"/>
              <w:jc w:val="center"/>
            </w:pPr>
            <w:r w:rsidRPr="00F57392">
              <w:t>2 (1.2)</w:t>
            </w:r>
          </w:p>
          <w:p w14:paraId="39DD1D46" w14:textId="77777777" w:rsidR="000B7C07" w:rsidRPr="00F57392" w:rsidRDefault="000B7C07" w:rsidP="00903311">
            <w:pPr>
              <w:pStyle w:val="COMTabletext"/>
              <w:jc w:val="center"/>
            </w:pPr>
            <w:r w:rsidRPr="00F57392">
              <w:t>0</w:t>
            </w:r>
          </w:p>
          <w:p w14:paraId="72B8E2D0" w14:textId="77777777" w:rsidR="000B7C07" w:rsidRPr="00F57392" w:rsidRDefault="000B7C07" w:rsidP="00903311">
            <w:pPr>
              <w:pStyle w:val="COMTabletext"/>
              <w:jc w:val="center"/>
            </w:pPr>
            <w:r w:rsidRPr="00F57392">
              <w:t>4 (2.5)</w:t>
            </w:r>
          </w:p>
          <w:p w14:paraId="39E24458" w14:textId="77777777" w:rsidR="000B7C07" w:rsidRPr="00F57392" w:rsidRDefault="000B7C07" w:rsidP="00903311">
            <w:pPr>
              <w:pStyle w:val="COMTabletext"/>
              <w:jc w:val="center"/>
            </w:pPr>
            <w:r w:rsidRPr="00F57392">
              <w:t>53 (32.5)</w:t>
            </w:r>
          </w:p>
        </w:tc>
      </w:tr>
      <w:tr w:rsidR="000B7C07" w:rsidRPr="00F57392" w14:paraId="6EB3843C" w14:textId="77777777" w:rsidTr="00903311">
        <w:tc>
          <w:tcPr>
            <w:tcW w:w="2042" w:type="pct"/>
          </w:tcPr>
          <w:p w14:paraId="08012BD8" w14:textId="77777777" w:rsidR="000B7C07" w:rsidRPr="00F57392" w:rsidRDefault="000B7C07" w:rsidP="00903311">
            <w:pPr>
              <w:pStyle w:val="COMTabletext"/>
            </w:pPr>
            <w:r w:rsidRPr="00F57392">
              <w:t>Median PFS, months (95% CI)</w:t>
            </w:r>
          </w:p>
        </w:tc>
        <w:tc>
          <w:tcPr>
            <w:tcW w:w="1479" w:type="pct"/>
          </w:tcPr>
          <w:p w14:paraId="2FFBC494" w14:textId="77777777" w:rsidR="000B7C07" w:rsidRPr="00F57392" w:rsidRDefault="000B7C07" w:rsidP="00903311">
            <w:pPr>
              <w:pStyle w:val="COMTabletext"/>
              <w:jc w:val="center"/>
            </w:pPr>
            <w:r w:rsidRPr="00F57392">
              <w:t>NE (22.1, NE)</w:t>
            </w:r>
          </w:p>
        </w:tc>
        <w:tc>
          <w:tcPr>
            <w:tcW w:w="1479" w:type="pct"/>
          </w:tcPr>
          <w:p w14:paraId="68B123B3" w14:textId="77777777" w:rsidR="000B7C07" w:rsidRPr="00F57392" w:rsidRDefault="000B7C07" w:rsidP="00903311">
            <w:pPr>
              <w:pStyle w:val="COMTabletext"/>
              <w:jc w:val="center"/>
            </w:pPr>
            <w:r w:rsidRPr="00F57392">
              <w:t>11.4 (11.1, 13.9)</w:t>
            </w:r>
          </w:p>
        </w:tc>
      </w:tr>
      <w:tr w:rsidR="000B7C07" w:rsidRPr="00F57392" w14:paraId="6E7AB658" w14:textId="77777777" w:rsidTr="00903311">
        <w:tc>
          <w:tcPr>
            <w:tcW w:w="2042" w:type="pct"/>
          </w:tcPr>
          <w:p w14:paraId="77E4D573" w14:textId="77777777" w:rsidR="000B7C07" w:rsidRPr="00F57392" w:rsidRDefault="000B7C07" w:rsidP="00903311">
            <w:pPr>
              <w:pStyle w:val="COMTabletext"/>
            </w:pPr>
            <w:r w:rsidRPr="00F57392">
              <w:t>Hazard ratio (95% CI)</w:t>
            </w:r>
          </w:p>
        </w:tc>
        <w:tc>
          <w:tcPr>
            <w:tcW w:w="2958" w:type="pct"/>
            <w:gridSpan w:val="2"/>
          </w:tcPr>
          <w:p w14:paraId="20DD8D19" w14:textId="77777777" w:rsidR="000B7C07" w:rsidRPr="00F57392" w:rsidRDefault="000B7C07" w:rsidP="00903311">
            <w:pPr>
              <w:pStyle w:val="COMTabletext"/>
              <w:jc w:val="center"/>
            </w:pPr>
            <w:r w:rsidRPr="00F57392">
              <w:t>0.35 (0.25, 0.49)</w:t>
            </w:r>
          </w:p>
        </w:tc>
      </w:tr>
      <w:tr w:rsidR="000B7C07" w:rsidRPr="00F57392" w14:paraId="4D830072" w14:textId="77777777" w:rsidTr="00903311">
        <w:tc>
          <w:tcPr>
            <w:tcW w:w="2042" w:type="pct"/>
          </w:tcPr>
          <w:p w14:paraId="74B24BFF" w14:textId="77777777" w:rsidR="000B7C07" w:rsidRPr="00F57392" w:rsidRDefault="000B7C07" w:rsidP="00903311">
            <w:pPr>
              <w:pStyle w:val="COMTabletext"/>
            </w:pPr>
            <w:r w:rsidRPr="00F57392">
              <w:t>KM estimate of proportion remaining event-free</w:t>
            </w:r>
          </w:p>
          <w:p w14:paraId="771A638E" w14:textId="77777777" w:rsidR="000B7C07" w:rsidRPr="00F57392" w:rsidRDefault="000B7C07" w:rsidP="00903311">
            <w:pPr>
              <w:pStyle w:val="COMTabletext"/>
            </w:pPr>
            <w:r w:rsidRPr="00F57392">
              <w:t>- 3 months, % (95% CI)</w:t>
            </w:r>
          </w:p>
          <w:p w14:paraId="4A6A2A68" w14:textId="77777777" w:rsidR="000B7C07" w:rsidRPr="00F57392" w:rsidRDefault="000B7C07" w:rsidP="00903311">
            <w:pPr>
              <w:pStyle w:val="COMTabletext"/>
            </w:pPr>
            <w:r w:rsidRPr="00F57392">
              <w:t>- 6 months, % (95% CI)</w:t>
            </w:r>
          </w:p>
          <w:p w14:paraId="65E9C04E" w14:textId="77777777" w:rsidR="000B7C07" w:rsidRPr="00F57392" w:rsidRDefault="000B7C07" w:rsidP="00903311">
            <w:pPr>
              <w:pStyle w:val="COMTabletext"/>
            </w:pPr>
            <w:r w:rsidRPr="00F57392">
              <w:t>- 12 months, % (95% CI)</w:t>
            </w:r>
          </w:p>
          <w:p w14:paraId="53835916" w14:textId="77777777" w:rsidR="000B7C07" w:rsidRPr="00F57392" w:rsidRDefault="000B7C07" w:rsidP="00903311">
            <w:pPr>
              <w:pStyle w:val="COMTabletext"/>
            </w:pPr>
            <w:r w:rsidRPr="00F57392">
              <w:t>- 18 months, % (95% CI)</w:t>
            </w:r>
          </w:p>
          <w:p w14:paraId="70FD7848" w14:textId="77777777" w:rsidR="000B7C07" w:rsidRPr="00F57392" w:rsidRDefault="000B7C07" w:rsidP="00903311">
            <w:pPr>
              <w:pStyle w:val="COMTabletext"/>
            </w:pPr>
            <w:r w:rsidRPr="00F57392">
              <w:t>- 24 months, % (95% CI)</w:t>
            </w:r>
          </w:p>
          <w:p w14:paraId="46FC5373" w14:textId="77777777" w:rsidR="000B7C07" w:rsidRPr="00F57392" w:rsidRDefault="000B7C07" w:rsidP="00903311">
            <w:pPr>
              <w:pStyle w:val="COMTabletext"/>
            </w:pPr>
            <w:r w:rsidRPr="00F57392">
              <w:t>- 30 months, % (95% CI)</w:t>
            </w:r>
          </w:p>
        </w:tc>
        <w:tc>
          <w:tcPr>
            <w:tcW w:w="1479" w:type="pct"/>
          </w:tcPr>
          <w:p w14:paraId="591A2ED4" w14:textId="77777777" w:rsidR="000B7C07" w:rsidRPr="00F57392" w:rsidRDefault="000B7C07" w:rsidP="00903311">
            <w:pPr>
              <w:pStyle w:val="COMTabletext"/>
              <w:jc w:val="center"/>
            </w:pPr>
          </w:p>
          <w:p w14:paraId="5C8362DD" w14:textId="77777777" w:rsidR="000B7C07" w:rsidRPr="00F57392" w:rsidRDefault="000B7C07" w:rsidP="00903311">
            <w:pPr>
              <w:pStyle w:val="COMTabletext"/>
              <w:jc w:val="center"/>
            </w:pPr>
            <w:r w:rsidRPr="00F57392">
              <w:t>94.6 (89.8, 97.1)</w:t>
            </w:r>
          </w:p>
          <w:p w14:paraId="3774AF0C" w14:textId="77777777" w:rsidR="000B7C07" w:rsidRPr="00F57392" w:rsidRDefault="000B7C07" w:rsidP="00903311">
            <w:pPr>
              <w:pStyle w:val="COMTabletext"/>
              <w:jc w:val="center"/>
            </w:pPr>
            <w:r w:rsidRPr="00F57392">
              <w:t>89.7 (84.0, 93.5)</w:t>
            </w:r>
          </w:p>
          <w:p w14:paraId="126C3561" w14:textId="77777777" w:rsidR="000B7C07" w:rsidRPr="00F57392" w:rsidRDefault="000B7C07" w:rsidP="00903311">
            <w:pPr>
              <w:pStyle w:val="COMTabletext"/>
              <w:jc w:val="center"/>
            </w:pPr>
            <w:r w:rsidRPr="00F57392">
              <w:t>77.3 (70.1, 83.0)</w:t>
            </w:r>
          </w:p>
          <w:p w14:paraId="5C4891CB" w14:textId="77777777" w:rsidR="000B7C07" w:rsidRPr="00F57392" w:rsidRDefault="000B7C07" w:rsidP="00903311">
            <w:pPr>
              <w:pStyle w:val="COMTabletext"/>
              <w:jc w:val="center"/>
            </w:pPr>
            <w:r w:rsidRPr="00F57392">
              <w:t>68.5 (59.9, 75.7)</w:t>
            </w:r>
          </w:p>
          <w:p w14:paraId="670E047E" w14:textId="77777777" w:rsidR="000B7C07" w:rsidRPr="00F57392" w:rsidRDefault="000B7C07" w:rsidP="00903311">
            <w:pPr>
              <w:pStyle w:val="COMTabletext"/>
              <w:jc w:val="center"/>
            </w:pPr>
            <w:r w:rsidRPr="00F57392">
              <w:t>58.8 (48.4, 67.8)</w:t>
            </w:r>
          </w:p>
          <w:p w14:paraId="1FCF3742" w14:textId="77777777" w:rsidR="000B7C07" w:rsidRPr="00F57392" w:rsidRDefault="000B7C07" w:rsidP="00903311">
            <w:pPr>
              <w:pStyle w:val="COMTabletext"/>
              <w:jc w:val="center"/>
            </w:pPr>
            <w:r w:rsidRPr="00F57392">
              <w:t>52.2 (36.6, 65.8)</w:t>
            </w:r>
          </w:p>
        </w:tc>
        <w:tc>
          <w:tcPr>
            <w:tcW w:w="1479" w:type="pct"/>
          </w:tcPr>
          <w:p w14:paraId="6B879E83" w14:textId="77777777" w:rsidR="000B7C07" w:rsidRPr="00F57392" w:rsidRDefault="000B7C07" w:rsidP="00903311">
            <w:pPr>
              <w:pStyle w:val="COMTabletext"/>
              <w:jc w:val="center"/>
            </w:pPr>
          </w:p>
          <w:p w14:paraId="4CD908FE" w14:textId="77777777" w:rsidR="000B7C07" w:rsidRPr="00F57392" w:rsidRDefault="000B7C07" w:rsidP="00903311">
            <w:pPr>
              <w:pStyle w:val="COMTabletext"/>
              <w:jc w:val="center"/>
            </w:pPr>
            <w:r w:rsidRPr="00F57392">
              <w:t>91.8 (86.3, 95.2)</w:t>
            </w:r>
          </w:p>
          <w:p w14:paraId="3D3AC66D" w14:textId="77777777" w:rsidR="000B7C07" w:rsidRPr="00F57392" w:rsidRDefault="000B7C07" w:rsidP="00903311">
            <w:pPr>
              <w:pStyle w:val="COMTabletext"/>
              <w:jc w:val="center"/>
            </w:pPr>
            <w:r w:rsidRPr="00F57392">
              <w:t>81.1 (74.1, 86.4)</w:t>
            </w:r>
          </w:p>
          <w:p w14:paraId="12DB0863" w14:textId="77777777" w:rsidR="000B7C07" w:rsidRPr="00F57392" w:rsidRDefault="000B7C07" w:rsidP="00903311">
            <w:pPr>
              <w:pStyle w:val="COMTabletext"/>
              <w:jc w:val="center"/>
            </w:pPr>
            <w:r w:rsidRPr="00F57392">
              <w:t>47.3 (39.3, 54.9)</w:t>
            </w:r>
          </w:p>
          <w:p w14:paraId="77DD67B2" w14:textId="77777777" w:rsidR="000B7C07" w:rsidRPr="00F57392" w:rsidRDefault="000B7C07" w:rsidP="00903311">
            <w:pPr>
              <w:pStyle w:val="COMTabletext"/>
              <w:jc w:val="center"/>
            </w:pPr>
            <w:r w:rsidRPr="00F57392">
              <w:t>32.6 (24.6, 41.0)</w:t>
            </w:r>
          </w:p>
          <w:p w14:paraId="03E01E8A" w14:textId="77777777" w:rsidR="000B7C07" w:rsidRPr="00F57392" w:rsidRDefault="000B7C07" w:rsidP="00903311">
            <w:pPr>
              <w:pStyle w:val="COMTabletext"/>
              <w:jc w:val="center"/>
            </w:pPr>
            <w:r w:rsidRPr="00F57392">
              <w:t>26.2 (17.9, 35.3)</w:t>
            </w:r>
          </w:p>
          <w:p w14:paraId="480045CF" w14:textId="77777777" w:rsidR="000B7C07" w:rsidRPr="00F57392" w:rsidRDefault="000B7C07" w:rsidP="00903311">
            <w:pPr>
              <w:pStyle w:val="COMTabletext"/>
              <w:jc w:val="center"/>
            </w:pPr>
            <w:r w:rsidRPr="00F57392">
              <w:t>17.5 (5.7, 34.6)</w:t>
            </w:r>
          </w:p>
        </w:tc>
      </w:tr>
    </w:tbl>
    <w:p w14:paraId="35B504FC" w14:textId="77777777" w:rsidR="000B7C07" w:rsidRPr="00F57392" w:rsidRDefault="000B7C07" w:rsidP="000B7C07">
      <w:pPr>
        <w:pStyle w:val="COMTablefooter"/>
      </w:pPr>
      <w:r w:rsidRPr="00F57392">
        <w:t>Source: Table 2.19, p44 of the submission.</w:t>
      </w:r>
    </w:p>
    <w:p w14:paraId="7C8CFCC7" w14:textId="77777777" w:rsidR="000B7C07" w:rsidRPr="00F57392" w:rsidRDefault="000B7C07" w:rsidP="000B7C07">
      <w:pPr>
        <w:pStyle w:val="COMTablefooter"/>
        <w:rPr>
          <w:sz w:val="20"/>
        </w:rPr>
      </w:pPr>
      <w:r w:rsidRPr="00F57392">
        <w:t>Abbreviations: BIRC, blinded independent review committee; CI, confidence interval; KM, Kaplan-Meier; NE, not estimable; PFS, progression-free survival.</w:t>
      </w:r>
    </w:p>
    <w:p w14:paraId="47CA5833" w14:textId="7524CCD7" w:rsidR="000B7C07" w:rsidRPr="0084014B" w:rsidRDefault="000B7C07" w:rsidP="00AC0F44">
      <w:pPr>
        <w:pStyle w:val="COMexecsummnumbered"/>
      </w:pPr>
      <w:r w:rsidRPr="00F57392">
        <w:t xml:space="preserve">Based on a median follow-up of 17.7 months for patients in the vorasidenib arm and 16.7 </w:t>
      </w:r>
      <w:r w:rsidRPr="0084014B">
        <w:t xml:space="preserve">months in the placebo arm, treatment with vorasidenib was associated with a statistically significant improvement in </w:t>
      </w:r>
      <w:r w:rsidR="00234976">
        <w:t>PFS</w:t>
      </w:r>
      <w:r w:rsidRPr="0084014B">
        <w:t xml:space="preserve"> compared to placebo (hazard ratio: 0.35; 95% CI: 0.25, 0.49). All events were disease progression events. There were </w:t>
      </w:r>
      <w:r w:rsidR="008611D7" w:rsidRPr="0084014B">
        <w:t>stepwise</w:t>
      </w:r>
      <w:r w:rsidRPr="0084014B">
        <w:t xml:space="preserve"> decreases in the Kaplan-Meier plots for the vorasidenib and placebo arms, reflecting the timing of scheduled MRI scans in the trial, which were undertaken every 12 weeks during the first 34 months.</w:t>
      </w:r>
    </w:p>
    <w:p w14:paraId="48A72779" w14:textId="0ED7DBBF" w:rsidR="00AC0F44" w:rsidRPr="00F57392" w:rsidRDefault="00950956" w:rsidP="00AC0F44">
      <w:pPr>
        <w:pStyle w:val="COMexecsummnumbered"/>
      </w:pPr>
      <w:r w:rsidRPr="0084014B">
        <w:fldChar w:fldCharType="begin"/>
      </w:r>
      <w:r w:rsidRPr="0084014B">
        <w:instrText xml:space="preserve"> REF _Ref197896715 \h </w:instrText>
      </w:r>
      <w:r w:rsidR="0084014B" w:rsidRPr="0084014B">
        <w:instrText xml:space="preserve"> \* MERGEFORMAT </w:instrText>
      </w:r>
      <w:r w:rsidRPr="0084014B">
        <w:fldChar w:fldCharType="separate"/>
      </w:r>
      <w:r w:rsidR="003C0757" w:rsidRPr="00F57392">
        <w:t xml:space="preserve">Table </w:t>
      </w:r>
      <w:r w:rsidR="003C0757">
        <w:rPr>
          <w:noProof/>
        </w:rPr>
        <w:t>5</w:t>
      </w:r>
      <w:r w:rsidRPr="0084014B">
        <w:fldChar w:fldCharType="end"/>
      </w:r>
      <w:r w:rsidR="00AC0F44" w:rsidRPr="0084014B">
        <w:t xml:space="preserve"> presents</w:t>
      </w:r>
      <w:r w:rsidR="00AC0F44" w:rsidRPr="00F57392">
        <w:t xml:space="preserve"> the results for the time to next intervention based on extended follow-up.</w:t>
      </w:r>
    </w:p>
    <w:p w14:paraId="5813BECF" w14:textId="05FB24DE" w:rsidR="00AC0F44" w:rsidRPr="00F57392" w:rsidRDefault="00AC0F44" w:rsidP="00AC0F44">
      <w:pPr>
        <w:pStyle w:val="COMtablefigcaption"/>
      </w:pPr>
      <w:bookmarkStart w:id="21" w:name="_Ref197896715"/>
      <w:r w:rsidRPr="00F57392">
        <w:lastRenderedPageBreak/>
        <w:t xml:space="preserve">Table </w:t>
      </w:r>
      <w:r w:rsidR="00052B1E">
        <w:fldChar w:fldCharType="begin"/>
      </w:r>
      <w:r w:rsidR="00052B1E">
        <w:instrText xml:space="preserve"> SEQ Table \* ARABIC </w:instrText>
      </w:r>
      <w:r w:rsidR="00052B1E">
        <w:fldChar w:fldCharType="separate"/>
      </w:r>
      <w:r w:rsidR="003C0757">
        <w:rPr>
          <w:noProof/>
        </w:rPr>
        <w:t>5</w:t>
      </w:r>
      <w:r w:rsidR="00052B1E">
        <w:rPr>
          <w:noProof/>
        </w:rPr>
        <w:fldChar w:fldCharType="end"/>
      </w:r>
      <w:bookmarkEnd w:id="21"/>
      <w:r w:rsidRPr="00F57392">
        <w:t>: Time to next intervention based on extended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5: Time to next intervention based on extended follow-up"/>
      </w:tblPr>
      <w:tblGrid>
        <w:gridCol w:w="4475"/>
        <w:gridCol w:w="2270"/>
        <w:gridCol w:w="2272"/>
      </w:tblGrid>
      <w:tr w:rsidR="00AC0F44" w:rsidRPr="00F57392" w14:paraId="0CACF17B" w14:textId="77777777" w:rsidTr="00903311">
        <w:trPr>
          <w:tblHeader/>
        </w:trPr>
        <w:tc>
          <w:tcPr>
            <w:tcW w:w="2481" w:type="pct"/>
            <w:vAlign w:val="center"/>
          </w:tcPr>
          <w:p w14:paraId="088BE411" w14:textId="77777777" w:rsidR="00AC0F44" w:rsidRPr="00F57392" w:rsidRDefault="00AC0F44" w:rsidP="00903311">
            <w:pPr>
              <w:pStyle w:val="COMTableheadingrow"/>
              <w:rPr>
                <w:lang w:val="en-AU"/>
              </w:rPr>
            </w:pPr>
          </w:p>
        </w:tc>
        <w:tc>
          <w:tcPr>
            <w:tcW w:w="1259" w:type="pct"/>
            <w:vAlign w:val="center"/>
          </w:tcPr>
          <w:p w14:paraId="79B923FC" w14:textId="77777777" w:rsidR="00AC0F44" w:rsidRPr="00F57392" w:rsidRDefault="00AC0F44" w:rsidP="00903311">
            <w:pPr>
              <w:pStyle w:val="COMTableheadingrow"/>
              <w:jc w:val="center"/>
              <w:rPr>
                <w:lang w:val="en-AU"/>
              </w:rPr>
            </w:pPr>
            <w:r w:rsidRPr="00F57392">
              <w:rPr>
                <w:lang w:val="en-AU"/>
              </w:rPr>
              <w:t>Vorasidenib</w:t>
            </w:r>
          </w:p>
          <w:p w14:paraId="4EA66325" w14:textId="77777777" w:rsidR="00AC0F44" w:rsidRPr="00F57392" w:rsidRDefault="00AC0F44" w:rsidP="00903311">
            <w:pPr>
              <w:pStyle w:val="COMTableheadingrow"/>
              <w:jc w:val="center"/>
              <w:rPr>
                <w:lang w:val="en-AU"/>
              </w:rPr>
            </w:pPr>
            <w:r w:rsidRPr="00F57392">
              <w:rPr>
                <w:lang w:val="en-AU"/>
              </w:rPr>
              <w:t>N=168</w:t>
            </w:r>
          </w:p>
        </w:tc>
        <w:tc>
          <w:tcPr>
            <w:tcW w:w="1260" w:type="pct"/>
          </w:tcPr>
          <w:p w14:paraId="60367228" w14:textId="77777777" w:rsidR="00AC0F44" w:rsidRPr="00F57392" w:rsidRDefault="00AC0F44" w:rsidP="00903311">
            <w:pPr>
              <w:pStyle w:val="COMTableheadingrow"/>
              <w:jc w:val="center"/>
              <w:rPr>
                <w:lang w:val="en-AU"/>
              </w:rPr>
            </w:pPr>
            <w:r w:rsidRPr="00F57392">
              <w:rPr>
                <w:lang w:val="en-AU"/>
              </w:rPr>
              <w:t>Placebo</w:t>
            </w:r>
          </w:p>
          <w:p w14:paraId="23C66211" w14:textId="77777777" w:rsidR="00AC0F44" w:rsidRPr="00F57392" w:rsidRDefault="00AC0F44" w:rsidP="00903311">
            <w:pPr>
              <w:pStyle w:val="COMTableheadingrow"/>
              <w:jc w:val="center"/>
              <w:rPr>
                <w:lang w:val="en-AU"/>
              </w:rPr>
            </w:pPr>
            <w:r w:rsidRPr="00F57392">
              <w:rPr>
                <w:lang w:val="en-AU"/>
              </w:rPr>
              <w:t>N=163</w:t>
            </w:r>
          </w:p>
        </w:tc>
      </w:tr>
      <w:tr w:rsidR="00AC0F44" w:rsidRPr="00F57392" w14:paraId="712FB860" w14:textId="77777777" w:rsidTr="00903311">
        <w:tc>
          <w:tcPr>
            <w:tcW w:w="2481" w:type="pct"/>
          </w:tcPr>
          <w:p w14:paraId="61B8C436" w14:textId="77777777" w:rsidR="00AC0F44" w:rsidRPr="00F57392" w:rsidRDefault="00AC0F44" w:rsidP="00903311">
            <w:pPr>
              <w:pStyle w:val="COMTabletext"/>
            </w:pPr>
            <w:r w:rsidRPr="00F57392">
              <w:t>Median duration of follow-up, months (95% CI)</w:t>
            </w:r>
          </w:p>
        </w:tc>
        <w:tc>
          <w:tcPr>
            <w:tcW w:w="1259" w:type="pct"/>
          </w:tcPr>
          <w:p w14:paraId="084C453B" w14:textId="77777777" w:rsidR="00AC0F44" w:rsidRPr="00F57392" w:rsidRDefault="00AC0F44" w:rsidP="00903311">
            <w:pPr>
              <w:pStyle w:val="COMTabletext"/>
              <w:jc w:val="center"/>
            </w:pPr>
            <w:r w:rsidRPr="00F57392">
              <w:t>17.7 (16.7, 19.4)</w:t>
            </w:r>
          </w:p>
        </w:tc>
        <w:tc>
          <w:tcPr>
            <w:tcW w:w="1260" w:type="pct"/>
          </w:tcPr>
          <w:p w14:paraId="71089457" w14:textId="77777777" w:rsidR="00AC0F44" w:rsidRPr="00F57392" w:rsidRDefault="00AC0F44" w:rsidP="00903311">
            <w:pPr>
              <w:pStyle w:val="COMTabletext"/>
              <w:jc w:val="center"/>
            </w:pPr>
            <w:r w:rsidRPr="00F57392">
              <w:t>16.7 (16.4, 19.9)</w:t>
            </w:r>
          </w:p>
        </w:tc>
      </w:tr>
      <w:tr w:rsidR="00AC0F44" w:rsidRPr="00F57392" w14:paraId="3214825E" w14:textId="77777777" w:rsidTr="00903311">
        <w:tc>
          <w:tcPr>
            <w:tcW w:w="2481" w:type="pct"/>
          </w:tcPr>
          <w:p w14:paraId="4EC134EF" w14:textId="77777777" w:rsidR="00AC0F44" w:rsidRPr="00F57392" w:rsidRDefault="00AC0F44" w:rsidP="00903311">
            <w:pPr>
              <w:pStyle w:val="COMTabletext"/>
            </w:pPr>
            <w:r w:rsidRPr="00F57392">
              <w:t>Participants with event, n (%)</w:t>
            </w:r>
          </w:p>
          <w:p w14:paraId="65188A9D" w14:textId="77777777" w:rsidR="00AC0F44" w:rsidRPr="00F57392" w:rsidRDefault="00AC0F44" w:rsidP="00903311">
            <w:pPr>
              <w:pStyle w:val="COMTabletext"/>
            </w:pPr>
            <w:r w:rsidRPr="00F57392">
              <w:t>- First subsequent anticancer therapy (except crossover)</w:t>
            </w:r>
          </w:p>
          <w:p w14:paraId="798AA869" w14:textId="77777777" w:rsidR="00AC0F44" w:rsidRPr="00F57392" w:rsidRDefault="00AC0F44" w:rsidP="00903311">
            <w:pPr>
              <w:pStyle w:val="COMTabletext"/>
            </w:pPr>
            <w:r w:rsidRPr="00F57392">
              <w:t>- Crossover to vorasidenib</w:t>
            </w:r>
          </w:p>
          <w:p w14:paraId="576BBC41" w14:textId="77777777" w:rsidR="00AC0F44" w:rsidRPr="00F57392" w:rsidRDefault="00AC0F44" w:rsidP="00903311">
            <w:pPr>
              <w:pStyle w:val="COMTabletext"/>
            </w:pPr>
            <w:r w:rsidRPr="00F57392">
              <w:t>- Death</w:t>
            </w:r>
          </w:p>
        </w:tc>
        <w:tc>
          <w:tcPr>
            <w:tcW w:w="1259" w:type="pct"/>
          </w:tcPr>
          <w:p w14:paraId="5B21EA0B" w14:textId="77777777" w:rsidR="00AC0F44" w:rsidRPr="00F57392" w:rsidRDefault="00AC0F44" w:rsidP="00903311">
            <w:pPr>
              <w:pStyle w:val="COMTabletext"/>
              <w:jc w:val="center"/>
            </w:pPr>
            <w:r w:rsidRPr="00F57392">
              <w:t>28 (16.7)</w:t>
            </w:r>
          </w:p>
          <w:p w14:paraId="3F1C9F6F" w14:textId="77777777" w:rsidR="00AC0F44" w:rsidRPr="00F57392" w:rsidRDefault="00AC0F44" w:rsidP="00903311">
            <w:pPr>
              <w:pStyle w:val="COMTabletext"/>
              <w:jc w:val="center"/>
            </w:pPr>
            <w:r w:rsidRPr="00F57392">
              <w:t>28 (16.7)</w:t>
            </w:r>
          </w:p>
          <w:p w14:paraId="481D2D55" w14:textId="77777777" w:rsidR="00AC0F44" w:rsidRPr="00F57392" w:rsidRDefault="00AC0F44" w:rsidP="00903311">
            <w:pPr>
              <w:pStyle w:val="COMTabletext"/>
              <w:jc w:val="center"/>
            </w:pPr>
            <w:r w:rsidRPr="00F57392">
              <w:t>0 (0)</w:t>
            </w:r>
          </w:p>
          <w:p w14:paraId="2260DEB6" w14:textId="77777777" w:rsidR="00AC0F44" w:rsidRPr="00F57392" w:rsidRDefault="00AC0F44" w:rsidP="00903311">
            <w:pPr>
              <w:pStyle w:val="COMTabletext"/>
              <w:jc w:val="center"/>
            </w:pPr>
            <w:r w:rsidRPr="00F57392">
              <w:t>0 (0)</w:t>
            </w:r>
          </w:p>
        </w:tc>
        <w:tc>
          <w:tcPr>
            <w:tcW w:w="1260" w:type="pct"/>
          </w:tcPr>
          <w:p w14:paraId="794CB4DF" w14:textId="77777777" w:rsidR="00AC0F44" w:rsidRPr="00F57392" w:rsidRDefault="00AC0F44" w:rsidP="00903311">
            <w:pPr>
              <w:pStyle w:val="COMTabletext"/>
              <w:jc w:val="center"/>
            </w:pPr>
            <w:r w:rsidRPr="00F57392">
              <w:t>78 (47.9)</w:t>
            </w:r>
          </w:p>
          <w:p w14:paraId="0EC3B72A" w14:textId="77777777" w:rsidR="00AC0F44" w:rsidRPr="00F57392" w:rsidRDefault="00AC0F44" w:rsidP="00903311">
            <w:pPr>
              <w:pStyle w:val="COMTabletext"/>
              <w:jc w:val="center"/>
            </w:pPr>
            <w:r w:rsidRPr="00F57392">
              <w:t>8 (4.9)</w:t>
            </w:r>
          </w:p>
          <w:p w14:paraId="05568C52" w14:textId="77777777" w:rsidR="00AC0F44" w:rsidRPr="00F57392" w:rsidRDefault="00AC0F44" w:rsidP="00903311">
            <w:pPr>
              <w:pStyle w:val="COMTabletext"/>
              <w:jc w:val="center"/>
            </w:pPr>
            <w:r w:rsidRPr="00F57392">
              <w:t>70 (42.9)</w:t>
            </w:r>
          </w:p>
          <w:p w14:paraId="6451D2E5" w14:textId="77777777" w:rsidR="00AC0F44" w:rsidRPr="00F57392" w:rsidRDefault="00AC0F44" w:rsidP="00903311">
            <w:pPr>
              <w:pStyle w:val="COMTabletext"/>
              <w:jc w:val="center"/>
            </w:pPr>
            <w:r w:rsidRPr="00F57392">
              <w:t>0 (0)</w:t>
            </w:r>
          </w:p>
        </w:tc>
      </w:tr>
      <w:tr w:rsidR="00220ECA" w:rsidRPr="00F57392" w14:paraId="7F3E7301" w14:textId="77777777" w:rsidTr="00903311">
        <w:tc>
          <w:tcPr>
            <w:tcW w:w="2481" w:type="pct"/>
          </w:tcPr>
          <w:p w14:paraId="57DA2E8F" w14:textId="77777777" w:rsidR="00220ECA" w:rsidRPr="00F57392" w:rsidRDefault="00220ECA" w:rsidP="00220ECA">
            <w:pPr>
              <w:pStyle w:val="COMTabletext"/>
            </w:pPr>
            <w:r w:rsidRPr="00F57392">
              <w:t>Number censored, n (%)</w:t>
            </w:r>
          </w:p>
          <w:p w14:paraId="6838F8B1" w14:textId="77777777" w:rsidR="00220ECA" w:rsidRPr="00F57392" w:rsidRDefault="00220ECA" w:rsidP="00220ECA">
            <w:pPr>
              <w:pStyle w:val="COMTabletext"/>
            </w:pPr>
            <w:r w:rsidRPr="00F57392">
              <w:t>- Ongoing without an event</w:t>
            </w:r>
          </w:p>
          <w:p w14:paraId="6CA988D9" w14:textId="77777777" w:rsidR="00220ECA" w:rsidRPr="00F57392" w:rsidRDefault="00220ECA" w:rsidP="00220ECA">
            <w:pPr>
              <w:pStyle w:val="COMTabletext"/>
            </w:pPr>
            <w:r w:rsidRPr="00F57392">
              <w:t>- Withdrawal of consent</w:t>
            </w:r>
          </w:p>
        </w:tc>
        <w:tc>
          <w:tcPr>
            <w:tcW w:w="1259" w:type="pct"/>
          </w:tcPr>
          <w:p w14:paraId="3590A45B" w14:textId="77777777" w:rsidR="00220ECA" w:rsidRPr="00F57392" w:rsidRDefault="00220ECA" w:rsidP="00220ECA">
            <w:pPr>
              <w:pStyle w:val="COMTabletext"/>
              <w:jc w:val="center"/>
            </w:pPr>
            <w:r w:rsidRPr="00F57392">
              <w:t>140 (83.3)</w:t>
            </w:r>
          </w:p>
          <w:p w14:paraId="08FE03A4" w14:textId="77777777" w:rsidR="00220ECA" w:rsidRPr="00F57392" w:rsidRDefault="00220ECA" w:rsidP="00220ECA">
            <w:pPr>
              <w:pStyle w:val="COMTabletext"/>
              <w:jc w:val="center"/>
            </w:pPr>
            <w:r w:rsidRPr="00F57392">
              <w:t>135 (80.4)</w:t>
            </w:r>
          </w:p>
          <w:p w14:paraId="70817163" w14:textId="13DE501F" w:rsidR="00220ECA" w:rsidRPr="00F57392" w:rsidRDefault="00220ECA" w:rsidP="00220ECA">
            <w:pPr>
              <w:pStyle w:val="COMTabletext"/>
              <w:jc w:val="center"/>
            </w:pPr>
            <w:r w:rsidRPr="00F57392">
              <w:t>5 (3.0)</w:t>
            </w:r>
          </w:p>
        </w:tc>
        <w:tc>
          <w:tcPr>
            <w:tcW w:w="1260" w:type="pct"/>
          </w:tcPr>
          <w:p w14:paraId="6E25CC33" w14:textId="77777777" w:rsidR="00220ECA" w:rsidRPr="00F57392" w:rsidRDefault="00220ECA" w:rsidP="00220ECA">
            <w:pPr>
              <w:pStyle w:val="COMTabletext"/>
              <w:jc w:val="center"/>
            </w:pPr>
            <w:r w:rsidRPr="00F57392">
              <w:t>85 (52.1)</w:t>
            </w:r>
          </w:p>
          <w:p w14:paraId="3B17BC29" w14:textId="77777777" w:rsidR="00220ECA" w:rsidRPr="00F57392" w:rsidRDefault="00220ECA" w:rsidP="00220ECA">
            <w:pPr>
              <w:pStyle w:val="COMTabletext"/>
              <w:jc w:val="center"/>
            </w:pPr>
            <w:r w:rsidRPr="00F57392">
              <w:t>81 (49.7)</w:t>
            </w:r>
          </w:p>
          <w:p w14:paraId="52681D72" w14:textId="189A3FA6" w:rsidR="00220ECA" w:rsidRPr="00F57392" w:rsidRDefault="00220ECA" w:rsidP="00220ECA">
            <w:pPr>
              <w:pStyle w:val="COMTabletext"/>
              <w:jc w:val="center"/>
            </w:pPr>
            <w:r w:rsidRPr="00F57392">
              <w:t>4 (2.5)</w:t>
            </w:r>
          </w:p>
        </w:tc>
      </w:tr>
      <w:tr w:rsidR="00AC0F44" w:rsidRPr="00F57392" w14:paraId="155BBEF0" w14:textId="77777777" w:rsidTr="00903311">
        <w:tc>
          <w:tcPr>
            <w:tcW w:w="2481" w:type="pct"/>
          </w:tcPr>
          <w:p w14:paraId="19CEF057" w14:textId="77777777" w:rsidR="00AC0F44" w:rsidRPr="00F57392" w:rsidRDefault="00AC0F44" w:rsidP="00903311">
            <w:pPr>
              <w:pStyle w:val="COMTabletext"/>
            </w:pPr>
            <w:r w:rsidRPr="00F57392">
              <w:t>Median TTNI, months (95% CI)</w:t>
            </w:r>
          </w:p>
        </w:tc>
        <w:tc>
          <w:tcPr>
            <w:tcW w:w="1259" w:type="pct"/>
          </w:tcPr>
          <w:p w14:paraId="32E70090" w14:textId="77777777" w:rsidR="00AC0F44" w:rsidRPr="00F57392" w:rsidRDefault="00AC0F44" w:rsidP="00903311">
            <w:pPr>
              <w:pStyle w:val="COMTabletext"/>
              <w:jc w:val="center"/>
            </w:pPr>
            <w:r w:rsidRPr="00F57392">
              <w:t>NE (NE, NE)</w:t>
            </w:r>
          </w:p>
        </w:tc>
        <w:tc>
          <w:tcPr>
            <w:tcW w:w="1260" w:type="pct"/>
          </w:tcPr>
          <w:p w14:paraId="630D6EAD" w14:textId="77777777" w:rsidR="00AC0F44" w:rsidRPr="00F57392" w:rsidRDefault="00AC0F44" w:rsidP="00903311">
            <w:pPr>
              <w:pStyle w:val="COMTabletext"/>
              <w:jc w:val="center"/>
            </w:pPr>
            <w:r w:rsidRPr="00F57392">
              <w:t>20.1 (17.5, 27.1)</w:t>
            </w:r>
          </w:p>
        </w:tc>
      </w:tr>
      <w:tr w:rsidR="00AC0F44" w:rsidRPr="00F57392" w14:paraId="1462D133" w14:textId="77777777" w:rsidTr="00903311">
        <w:tc>
          <w:tcPr>
            <w:tcW w:w="2481" w:type="pct"/>
          </w:tcPr>
          <w:p w14:paraId="7BB8B9BA" w14:textId="77777777" w:rsidR="00AC0F44" w:rsidRPr="00F57392" w:rsidRDefault="00AC0F44" w:rsidP="00903311">
            <w:pPr>
              <w:pStyle w:val="COMTabletext"/>
            </w:pPr>
            <w:r w:rsidRPr="00F57392">
              <w:t>Hazard ratio (95% CI)</w:t>
            </w:r>
          </w:p>
        </w:tc>
        <w:tc>
          <w:tcPr>
            <w:tcW w:w="2519" w:type="pct"/>
            <w:gridSpan w:val="2"/>
          </w:tcPr>
          <w:p w14:paraId="78BA0BC7" w14:textId="77777777" w:rsidR="00AC0F44" w:rsidRPr="00F57392" w:rsidRDefault="00AC0F44" w:rsidP="00903311">
            <w:pPr>
              <w:pStyle w:val="COMTabletext"/>
              <w:jc w:val="center"/>
            </w:pPr>
            <w:r w:rsidRPr="00F57392">
              <w:t>0.25 (0.16, 0.40)</w:t>
            </w:r>
          </w:p>
        </w:tc>
      </w:tr>
      <w:tr w:rsidR="00AC0F44" w:rsidRPr="00F57392" w14:paraId="6A64F616" w14:textId="77777777" w:rsidTr="00903311">
        <w:tc>
          <w:tcPr>
            <w:tcW w:w="2481" w:type="pct"/>
          </w:tcPr>
          <w:p w14:paraId="2E004767" w14:textId="77777777" w:rsidR="00AC0F44" w:rsidRPr="00F57392" w:rsidRDefault="00AC0F44" w:rsidP="00903311">
            <w:pPr>
              <w:pStyle w:val="COMTabletext"/>
            </w:pPr>
            <w:r w:rsidRPr="00F57392">
              <w:t>KM estimate of proportion remaining event-free</w:t>
            </w:r>
          </w:p>
          <w:p w14:paraId="5BC004E5" w14:textId="77777777" w:rsidR="00AC0F44" w:rsidRPr="00F57392" w:rsidRDefault="00AC0F44" w:rsidP="00903311">
            <w:pPr>
              <w:pStyle w:val="COMTabletext"/>
            </w:pPr>
            <w:r w:rsidRPr="00F57392">
              <w:t>- 6 months, % (95% CI)</w:t>
            </w:r>
          </w:p>
          <w:p w14:paraId="7088B428" w14:textId="77777777" w:rsidR="00AC0F44" w:rsidRPr="00F57392" w:rsidRDefault="00AC0F44" w:rsidP="00903311">
            <w:pPr>
              <w:pStyle w:val="COMTabletext"/>
            </w:pPr>
            <w:r w:rsidRPr="00F57392">
              <w:t>- 12 months, % (95% CI)</w:t>
            </w:r>
          </w:p>
          <w:p w14:paraId="4774631C" w14:textId="77777777" w:rsidR="00AC0F44" w:rsidRPr="00F57392" w:rsidRDefault="00AC0F44" w:rsidP="00903311">
            <w:pPr>
              <w:pStyle w:val="COMTabletext"/>
            </w:pPr>
            <w:r w:rsidRPr="00F57392">
              <w:t>- 18 months, % (95% CI)</w:t>
            </w:r>
          </w:p>
          <w:p w14:paraId="570AF752" w14:textId="77777777" w:rsidR="00AC0F44" w:rsidRPr="00F57392" w:rsidRDefault="00AC0F44" w:rsidP="00903311">
            <w:pPr>
              <w:pStyle w:val="COMTabletext"/>
            </w:pPr>
            <w:r w:rsidRPr="00F57392">
              <w:t>- 24 months, % (95% CI)</w:t>
            </w:r>
          </w:p>
          <w:p w14:paraId="5ABEEFEF" w14:textId="77777777" w:rsidR="00AC0F44" w:rsidRPr="00F57392" w:rsidRDefault="00AC0F44" w:rsidP="00903311">
            <w:pPr>
              <w:pStyle w:val="COMTabletext"/>
            </w:pPr>
            <w:r w:rsidRPr="00F57392">
              <w:t>- 30 months, % (95% CI)</w:t>
            </w:r>
          </w:p>
        </w:tc>
        <w:tc>
          <w:tcPr>
            <w:tcW w:w="1259" w:type="pct"/>
          </w:tcPr>
          <w:p w14:paraId="6A079A49" w14:textId="77777777" w:rsidR="00AC0F44" w:rsidRPr="00F57392" w:rsidRDefault="00AC0F44" w:rsidP="00903311">
            <w:pPr>
              <w:pStyle w:val="COMTabletext"/>
              <w:jc w:val="center"/>
            </w:pPr>
          </w:p>
          <w:p w14:paraId="40B6C307" w14:textId="77777777" w:rsidR="00AC0F44" w:rsidRPr="00F57392" w:rsidRDefault="00AC0F44" w:rsidP="00903311">
            <w:pPr>
              <w:pStyle w:val="COMTabletext"/>
              <w:jc w:val="center"/>
            </w:pPr>
            <w:r w:rsidRPr="00F57392">
              <w:t>97.6 (93.7, 99.1)</w:t>
            </w:r>
          </w:p>
          <w:p w14:paraId="3E64BB96" w14:textId="77777777" w:rsidR="00AC0F44" w:rsidRPr="00F57392" w:rsidRDefault="00AC0F44" w:rsidP="00903311">
            <w:pPr>
              <w:pStyle w:val="COMTabletext"/>
              <w:jc w:val="center"/>
            </w:pPr>
            <w:r w:rsidRPr="00F57392">
              <w:t>90.3 (84.6, 93.9)</w:t>
            </w:r>
          </w:p>
          <w:p w14:paraId="397D2D61" w14:textId="77777777" w:rsidR="00AC0F44" w:rsidRPr="00F57392" w:rsidRDefault="00AC0F44" w:rsidP="00903311">
            <w:pPr>
              <w:pStyle w:val="COMTabletext"/>
              <w:jc w:val="center"/>
            </w:pPr>
            <w:r w:rsidRPr="00F57392">
              <w:t>86.8 (80.5, 91.2)</w:t>
            </w:r>
          </w:p>
          <w:p w14:paraId="1242AB72" w14:textId="77777777" w:rsidR="00AC0F44" w:rsidRPr="00F57392" w:rsidRDefault="00AC0F44" w:rsidP="00903311">
            <w:pPr>
              <w:pStyle w:val="COMTabletext"/>
              <w:jc w:val="center"/>
            </w:pPr>
            <w:r w:rsidRPr="00F57392">
              <w:t>80.3 (71.6, 86.6)</w:t>
            </w:r>
          </w:p>
          <w:p w14:paraId="22B7F9A6" w14:textId="77777777" w:rsidR="00AC0F44" w:rsidRPr="00F57392" w:rsidRDefault="00AC0F44" w:rsidP="00903311">
            <w:pPr>
              <w:pStyle w:val="COMTabletext"/>
              <w:jc w:val="center"/>
            </w:pPr>
            <w:r w:rsidRPr="00F57392">
              <w:t>70.7 (53.0, 82.7)</w:t>
            </w:r>
          </w:p>
        </w:tc>
        <w:tc>
          <w:tcPr>
            <w:tcW w:w="1260" w:type="pct"/>
          </w:tcPr>
          <w:p w14:paraId="06F128DB" w14:textId="77777777" w:rsidR="00AC0F44" w:rsidRPr="00F57392" w:rsidRDefault="00AC0F44" w:rsidP="00903311">
            <w:pPr>
              <w:pStyle w:val="COMTabletext"/>
              <w:jc w:val="center"/>
            </w:pPr>
          </w:p>
          <w:p w14:paraId="6CB8FAF9" w14:textId="77777777" w:rsidR="00AC0F44" w:rsidRPr="00F57392" w:rsidRDefault="00AC0F44" w:rsidP="00903311">
            <w:pPr>
              <w:pStyle w:val="COMTabletext"/>
              <w:jc w:val="center"/>
            </w:pPr>
            <w:r w:rsidRPr="00F57392">
              <w:t>97.5 (93.5, 99.1)</w:t>
            </w:r>
          </w:p>
          <w:p w14:paraId="0F81231D" w14:textId="77777777" w:rsidR="00AC0F44" w:rsidRPr="00F57392" w:rsidRDefault="00AC0F44" w:rsidP="00903311">
            <w:pPr>
              <w:pStyle w:val="COMTabletext"/>
              <w:jc w:val="center"/>
            </w:pPr>
            <w:r w:rsidRPr="00F57392">
              <w:t>74.9 (67.3, 80.9)</w:t>
            </w:r>
          </w:p>
          <w:p w14:paraId="682CBE5D" w14:textId="77777777" w:rsidR="00AC0F44" w:rsidRPr="00F57392" w:rsidRDefault="00AC0F44" w:rsidP="00903311">
            <w:pPr>
              <w:pStyle w:val="COMTabletext"/>
              <w:jc w:val="center"/>
            </w:pPr>
            <w:r w:rsidRPr="00F57392">
              <w:t>54.7 (46.1, 62.5)</w:t>
            </w:r>
          </w:p>
          <w:p w14:paraId="178FE3C8" w14:textId="77777777" w:rsidR="00AC0F44" w:rsidRPr="00F57392" w:rsidRDefault="00AC0F44" w:rsidP="00903311">
            <w:pPr>
              <w:pStyle w:val="COMTabletext"/>
              <w:jc w:val="center"/>
            </w:pPr>
            <w:r w:rsidRPr="00F57392">
              <w:t>41.4 (31.0, 51.5)</w:t>
            </w:r>
          </w:p>
          <w:p w14:paraId="06223C03" w14:textId="77777777" w:rsidR="00AC0F44" w:rsidRPr="00F57392" w:rsidRDefault="00AC0F44" w:rsidP="00903311">
            <w:pPr>
              <w:pStyle w:val="COMTabletext"/>
              <w:jc w:val="center"/>
            </w:pPr>
            <w:r w:rsidRPr="00F57392">
              <w:t>34.5 (20.1, 49.3)</w:t>
            </w:r>
          </w:p>
        </w:tc>
      </w:tr>
    </w:tbl>
    <w:p w14:paraId="3E419045" w14:textId="77777777" w:rsidR="00AC0F44" w:rsidRPr="00F57392" w:rsidRDefault="00AC0F44" w:rsidP="00AC0F44">
      <w:pPr>
        <w:pStyle w:val="COMTablefooter"/>
      </w:pPr>
      <w:r w:rsidRPr="00F57392">
        <w:t>Source: Table 2.21, p49 of the submission.</w:t>
      </w:r>
    </w:p>
    <w:p w14:paraId="74487E94" w14:textId="77777777" w:rsidR="00AC0F44" w:rsidRPr="00F57392" w:rsidRDefault="00AC0F44" w:rsidP="00AC0F44">
      <w:pPr>
        <w:pStyle w:val="COMTablefooter"/>
        <w:rPr>
          <w:sz w:val="20"/>
        </w:rPr>
      </w:pPr>
      <w:r w:rsidRPr="00F57392">
        <w:t>Abbreviations: CI, confidence interval; KM, Kaplan-Meier; NE, not estimable; TTNI, time to next intervention.</w:t>
      </w:r>
    </w:p>
    <w:p w14:paraId="5174A9D4" w14:textId="5CA1BA69" w:rsidR="00AC0F44" w:rsidRPr="0084014B" w:rsidRDefault="00AC0F44" w:rsidP="00AC0F44">
      <w:pPr>
        <w:pStyle w:val="COMexecsummnumbered"/>
      </w:pPr>
      <w:r w:rsidRPr="00F57392">
        <w:t xml:space="preserve">Based </w:t>
      </w:r>
      <w:r w:rsidRPr="0084014B">
        <w:t xml:space="preserve">on a median follow-up of 17.7 months for patients in the vorasidenib arm and 16.7 months in the placebo arm, treatment with vorasidenib was associated with a statistically significant improvement in the time to next intervention compared to placebo (hazard ratio: 0.25; 95% CI: 0.16, 0.40). </w:t>
      </w:r>
      <w:r w:rsidR="000F0A34" w:rsidRPr="0084014B">
        <w:t>The availability of vorasidenib as a crossover treatment for patients in the placebo arm is likely to have influenced the time to next treatment results for the placebo arm.</w:t>
      </w:r>
    </w:p>
    <w:p w14:paraId="2559E107" w14:textId="32D28EA0" w:rsidR="0089267A" w:rsidRPr="00531A03" w:rsidRDefault="00AC0F44" w:rsidP="7BC319D9">
      <w:pPr>
        <w:pStyle w:val="COMexecsummnumbered"/>
      </w:pPr>
      <w:r>
        <w:t xml:space="preserve">Based on extended follow-up, the median duration of follow-up for overall survival </w:t>
      </w:r>
      <w:r w:rsidR="00943D37">
        <w:t xml:space="preserve">(OS) </w:t>
      </w:r>
      <w:r>
        <w:t xml:space="preserve">was similar for the vorasidenib (20.2 months) and placebo arms (19.8 months). </w:t>
      </w:r>
      <w:r w:rsidR="00943D37">
        <w:t>OS</w:t>
      </w:r>
      <w:r w:rsidR="0089267A">
        <w:t xml:space="preserve"> data for the INDIGO trial were immature. </w:t>
      </w:r>
      <w:r>
        <w:t>One patient (0.6%) in the vorasidenib arm had died due to disease progression, and no patients in the placebo arm had died</w:t>
      </w:r>
      <w:r w:rsidR="0089267A" w:rsidRPr="7BC319D9">
        <w:rPr>
          <w:i/>
          <w:iCs/>
        </w:rPr>
        <w:t xml:space="preserve"> </w:t>
      </w:r>
      <w:r w:rsidR="0089267A" w:rsidRPr="00531A03">
        <w:t xml:space="preserve">at the time of extended follow-up analysis, when treatment was unblinded and patients on placebo were crossed over to vorasidenib. </w:t>
      </w:r>
    </w:p>
    <w:p w14:paraId="2879EC1F" w14:textId="7A446DB5" w:rsidR="00D3457A" w:rsidRPr="00531A03" w:rsidRDefault="00D3457A" w:rsidP="7BC319D9">
      <w:pPr>
        <w:pStyle w:val="COMexecsummnumbered"/>
      </w:pPr>
      <w:r w:rsidRPr="00531A03">
        <w:t xml:space="preserve">The PSCR argued that </w:t>
      </w:r>
      <w:r w:rsidR="00F6352B" w:rsidRPr="00531A03">
        <w:t xml:space="preserve">the absence of </w:t>
      </w:r>
      <w:r w:rsidR="00633992" w:rsidRPr="00531A03">
        <w:t xml:space="preserve">comparative </w:t>
      </w:r>
      <w:r w:rsidR="00F6352B" w:rsidRPr="00531A03">
        <w:t xml:space="preserve">OS </w:t>
      </w:r>
      <w:r w:rsidR="00633992" w:rsidRPr="00531A03">
        <w:t>data should not be interpreted as evidence of lack of benefit</w:t>
      </w:r>
      <w:r w:rsidR="00E97F1F" w:rsidRPr="00531A03">
        <w:t>, but reflects</w:t>
      </w:r>
      <w:r w:rsidR="00606EE0" w:rsidRPr="00531A03">
        <w:t>: 1)</w:t>
      </w:r>
      <w:r w:rsidR="00E97F1F" w:rsidRPr="00531A03">
        <w:t xml:space="preserve"> the </w:t>
      </w:r>
      <w:r w:rsidR="0071360D" w:rsidRPr="00531A03">
        <w:t xml:space="preserve">biphasic nature of glioma which typically follows a slow then aggressive </w:t>
      </w:r>
      <w:r w:rsidR="00BB5BDB" w:rsidRPr="00531A03">
        <w:t xml:space="preserve">disease course with median OS 11.4 years, and </w:t>
      </w:r>
      <w:r w:rsidR="00606EE0" w:rsidRPr="00531A03">
        <w:t xml:space="preserve">2) </w:t>
      </w:r>
      <w:r w:rsidR="00BB5BDB" w:rsidRPr="00531A03">
        <w:t xml:space="preserve">the </w:t>
      </w:r>
      <w:r w:rsidR="0006728B" w:rsidRPr="00531A03">
        <w:t xml:space="preserve">ethical considerations of the trial due to the strength of the PFS evidence. </w:t>
      </w:r>
      <w:r w:rsidR="00940D6A" w:rsidRPr="00531A03">
        <w:t xml:space="preserve">The PSCR </w:t>
      </w:r>
      <w:r w:rsidR="00F15CC8">
        <w:t xml:space="preserve">and pre-PBAC response </w:t>
      </w:r>
      <w:r w:rsidR="00940D6A" w:rsidRPr="00531A03">
        <w:t xml:space="preserve">also noted evidence from trials in similar tumour types; the Radiation Therapy Oncology Group (RTOG) 9802 trial in patients with high risk </w:t>
      </w:r>
      <w:r w:rsidR="00940D6A" w:rsidRPr="00531A03">
        <w:lastRenderedPageBreak/>
        <w:t>grade 2 glioma</w:t>
      </w:r>
      <w:r w:rsidR="00940D6A" w:rsidRPr="00531A03">
        <w:rPr>
          <w:rStyle w:val="FootnoteReference"/>
        </w:rPr>
        <w:footnoteReference w:id="3"/>
      </w:r>
      <w:r w:rsidR="00940D6A" w:rsidRPr="00531A03">
        <w:t xml:space="preserve"> and Han et al (2014) in patients with glioblastoma</w:t>
      </w:r>
      <w:r w:rsidR="00940D6A" w:rsidRPr="00531A03">
        <w:rPr>
          <w:rStyle w:val="FootnoteReference"/>
        </w:rPr>
        <w:footnoteReference w:id="4"/>
      </w:r>
      <w:r w:rsidR="00940D6A" w:rsidRPr="00531A03">
        <w:t>, which demonstrate</w:t>
      </w:r>
      <w:r w:rsidR="00F64147">
        <w:t>d</w:t>
      </w:r>
      <w:r w:rsidR="00940D6A" w:rsidRPr="00531A03">
        <w:t xml:space="preserve"> a delay in progression that translated to an improvement in OS.</w:t>
      </w:r>
      <w:r w:rsidR="00DF2A68" w:rsidRPr="00531A03">
        <w:t xml:space="preserve"> </w:t>
      </w:r>
      <w:r w:rsidR="00241C6C" w:rsidRPr="00531A03">
        <w:t xml:space="preserve">The Sub-Committees considered it is unclear whether the improvements in radiographic progression-free survival associated with vorasidenib treatment will translate into improvements in OS, and noted further analyses will not be informative due to the large number of patients who crossed over to receive vorasidenib. </w:t>
      </w:r>
      <w:r w:rsidR="0006728B" w:rsidRPr="00531A03">
        <w:t>The Sub-</w:t>
      </w:r>
      <w:r w:rsidR="22249F83" w:rsidRPr="00531A03">
        <w:t>C</w:t>
      </w:r>
      <w:r w:rsidR="0006728B" w:rsidRPr="00531A03">
        <w:t>ommitte</w:t>
      </w:r>
      <w:r w:rsidR="00471A8B" w:rsidRPr="00531A03">
        <w:t>e</w:t>
      </w:r>
      <w:r w:rsidR="0006728B" w:rsidRPr="00531A03">
        <w:t xml:space="preserve">s </w:t>
      </w:r>
      <w:r w:rsidR="00471A8B" w:rsidRPr="00531A03">
        <w:t>considered that despite the</w:t>
      </w:r>
      <w:r w:rsidR="00F56D19" w:rsidRPr="00531A03">
        <w:t xml:space="preserve"> trial’s inability to demonstrate</w:t>
      </w:r>
      <w:r w:rsidR="00C92D1A" w:rsidRPr="00531A03">
        <w:t xml:space="preserve"> an</w:t>
      </w:r>
      <w:r w:rsidR="00471A8B" w:rsidRPr="00531A03">
        <w:t xml:space="preserve"> effect on OS</w:t>
      </w:r>
      <w:r w:rsidR="00EA5FEB" w:rsidRPr="00531A03">
        <w:t>,</w:t>
      </w:r>
      <w:r w:rsidR="00471A8B" w:rsidRPr="00531A03">
        <w:t xml:space="preserve"> the PFS benefit shown was </w:t>
      </w:r>
      <w:r w:rsidR="00CA3CB3" w:rsidRPr="00531A03">
        <w:t xml:space="preserve">substantial and </w:t>
      </w:r>
      <w:r w:rsidR="00471A8B" w:rsidRPr="00531A03">
        <w:t>likely to be highly clinically relevant</w:t>
      </w:r>
      <w:r w:rsidR="00CA3CB3" w:rsidRPr="00531A03">
        <w:t xml:space="preserve"> for patients</w:t>
      </w:r>
      <w:r w:rsidR="00471A8B" w:rsidRPr="00531A03">
        <w:t xml:space="preserve">. </w:t>
      </w:r>
    </w:p>
    <w:p w14:paraId="0530C857" w14:textId="4ADB4EE5" w:rsidR="00AC0F44" w:rsidRPr="00F57392" w:rsidRDefault="00950956" w:rsidP="00793F1C">
      <w:pPr>
        <w:pStyle w:val="COMexecsummnumbered"/>
      </w:pPr>
      <w:r w:rsidRPr="0084014B">
        <w:fldChar w:fldCharType="begin"/>
      </w:r>
      <w:r w:rsidRPr="0084014B">
        <w:instrText xml:space="preserve"> REF _Ref197896725 \h </w:instrText>
      </w:r>
      <w:r w:rsidR="0084014B" w:rsidRPr="0084014B">
        <w:instrText xml:space="preserve"> \* MERGEFORMAT </w:instrText>
      </w:r>
      <w:r w:rsidRPr="0084014B">
        <w:fldChar w:fldCharType="separate"/>
      </w:r>
      <w:r w:rsidR="003C0757" w:rsidRPr="00F57392">
        <w:t xml:space="preserve">Table </w:t>
      </w:r>
      <w:r w:rsidR="003C0757">
        <w:rPr>
          <w:noProof/>
        </w:rPr>
        <w:t>6</w:t>
      </w:r>
      <w:r w:rsidRPr="0084014B">
        <w:fldChar w:fldCharType="end"/>
      </w:r>
      <w:r w:rsidR="00AC0F44" w:rsidRPr="0084014B">
        <w:t xml:space="preserve"> presents the results for the tumour growth rate assessed by the blinded independent review committee</w:t>
      </w:r>
      <w:r w:rsidR="00AC0F44" w:rsidRPr="00F57392">
        <w:t xml:space="preserve"> based on extended follow-up.</w:t>
      </w:r>
    </w:p>
    <w:p w14:paraId="12925DA5" w14:textId="706741E9" w:rsidR="00AC0F44" w:rsidRPr="00F57392" w:rsidRDefault="00AC0F44" w:rsidP="00AC0F44">
      <w:pPr>
        <w:pStyle w:val="COMtablefigcaption"/>
      </w:pPr>
      <w:bookmarkStart w:id="22" w:name="_Ref197896725"/>
      <w:r w:rsidRPr="00F57392">
        <w:t xml:space="preserve">Table </w:t>
      </w:r>
      <w:r w:rsidR="00052B1E">
        <w:fldChar w:fldCharType="begin"/>
      </w:r>
      <w:r w:rsidR="00052B1E">
        <w:instrText xml:space="preserve"> SEQ Table \* ARABIC </w:instrText>
      </w:r>
      <w:r w:rsidR="00052B1E">
        <w:fldChar w:fldCharType="separate"/>
      </w:r>
      <w:r w:rsidR="003C0757">
        <w:rPr>
          <w:noProof/>
        </w:rPr>
        <w:t>6</w:t>
      </w:r>
      <w:r w:rsidR="00052B1E">
        <w:rPr>
          <w:noProof/>
        </w:rPr>
        <w:fldChar w:fldCharType="end"/>
      </w:r>
      <w:bookmarkEnd w:id="22"/>
      <w:r w:rsidRPr="00F57392">
        <w:t>: Tumour growth rate assessed by BIRC based on extended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6: Tumour growth rate assessed by BIRC based on extended follow-up"/>
      </w:tblPr>
      <w:tblGrid>
        <w:gridCol w:w="4475"/>
        <w:gridCol w:w="2270"/>
        <w:gridCol w:w="2272"/>
      </w:tblGrid>
      <w:tr w:rsidR="00AC0F44" w:rsidRPr="00F57392" w14:paraId="7F397ED0" w14:textId="77777777" w:rsidTr="00903311">
        <w:trPr>
          <w:tblHeader/>
        </w:trPr>
        <w:tc>
          <w:tcPr>
            <w:tcW w:w="2481" w:type="pct"/>
            <w:vAlign w:val="center"/>
          </w:tcPr>
          <w:p w14:paraId="141F2B68" w14:textId="77777777" w:rsidR="00AC0F44" w:rsidRPr="00F57392" w:rsidRDefault="00AC0F44" w:rsidP="00903311">
            <w:pPr>
              <w:pStyle w:val="COMTableheadingrow"/>
              <w:rPr>
                <w:lang w:val="en-AU"/>
              </w:rPr>
            </w:pPr>
          </w:p>
        </w:tc>
        <w:tc>
          <w:tcPr>
            <w:tcW w:w="1259" w:type="pct"/>
            <w:vAlign w:val="center"/>
          </w:tcPr>
          <w:p w14:paraId="0AD0EB8F" w14:textId="77777777" w:rsidR="00AC0F44" w:rsidRPr="00F57392" w:rsidRDefault="00AC0F44" w:rsidP="00903311">
            <w:pPr>
              <w:pStyle w:val="COMTableheadingrow"/>
              <w:jc w:val="center"/>
              <w:rPr>
                <w:lang w:val="en-AU"/>
              </w:rPr>
            </w:pPr>
            <w:r w:rsidRPr="00F57392">
              <w:rPr>
                <w:lang w:val="en-AU"/>
              </w:rPr>
              <w:t>Vorasidenib</w:t>
            </w:r>
          </w:p>
          <w:p w14:paraId="0BE977F6" w14:textId="77777777" w:rsidR="00AC0F44" w:rsidRPr="00F57392" w:rsidRDefault="00AC0F44" w:rsidP="00903311">
            <w:pPr>
              <w:pStyle w:val="COMTableheadingrow"/>
              <w:jc w:val="center"/>
              <w:rPr>
                <w:lang w:val="en-AU"/>
              </w:rPr>
            </w:pPr>
            <w:r w:rsidRPr="00F57392">
              <w:rPr>
                <w:lang w:val="en-AU"/>
              </w:rPr>
              <w:t>N=167</w:t>
            </w:r>
          </w:p>
        </w:tc>
        <w:tc>
          <w:tcPr>
            <w:tcW w:w="1260" w:type="pct"/>
          </w:tcPr>
          <w:p w14:paraId="16ABD5E3" w14:textId="77777777" w:rsidR="00AC0F44" w:rsidRPr="00F57392" w:rsidRDefault="00AC0F44" w:rsidP="00903311">
            <w:pPr>
              <w:pStyle w:val="COMTableheadingrow"/>
              <w:jc w:val="center"/>
              <w:rPr>
                <w:lang w:val="en-AU"/>
              </w:rPr>
            </w:pPr>
            <w:r w:rsidRPr="00F57392">
              <w:rPr>
                <w:lang w:val="en-AU"/>
              </w:rPr>
              <w:t>Placebo</w:t>
            </w:r>
          </w:p>
          <w:p w14:paraId="59391DCF" w14:textId="77777777" w:rsidR="00AC0F44" w:rsidRPr="00F57392" w:rsidRDefault="00AC0F44" w:rsidP="00903311">
            <w:pPr>
              <w:pStyle w:val="COMTableheadingrow"/>
              <w:jc w:val="center"/>
              <w:rPr>
                <w:lang w:val="en-AU"/>
              </w:rPr>
            </w:pPr>
            <w:r w:rsidRPr="00F57392">
              <w:rPr>
                <w:lang w:val="en-AU"/>
              </w:rPr>
              <w:t>N=161</w:t>
            </w:r>
          </w:p>
        </w:tc>
      </w:tr>
      <w:tr w:rsidR="00AC0F44" w:rsidRPr="00F57392" w14:paraId="48DAD8D1" w14:textId="77777777" w:rsidTr="00903311">
        <w:tc>
          <w:tcPr>
            <w:tcW w:w="2481" w:type="pct"/>
          </w:tcPr>
          <w:p w14:paraId="5BC2F1FD" w14:textId="77777777" w:rsidR="00AC0F44" w:rsidRPr="00F57392" w:rsidRDefault="00AC0F44" w:rsidP="00903311">
            <w:pPr>
              <w:pStyle w:val="COMTabletext"/>
            </w:pPr>
            <w:r w:rsidRPr="00F57392">
              <w:t>Median duration of follow-up, months (95% CI)</w:t>
            </w:r>
          </w:p>
        </w:tc>
        <w:tc>
          <w:tcPr>
            <w:tcW w:w="1259" w:type="pct"/>
          </w:tcPr>
          <w:p w14:paraId="60CA5DA3" w14:textId="77777777" w:rsidR="00AC0F44" w:rsidRPr="00F57392" w:rsidRDefault="00AC0F44" w:rsidP="00903311">
            <w:pPr>
              <w:pStyle w:val="COMTabletext"/>
              <w:jc w:val="center"/>
            </w:pPr>
            <w:r w:rsidRPr="00F57392">
              <w:t>17.7 (16.7, 19.4)</w:t>
            </w:r>
          </w:p>
        </w:tc>
        <w:tc>
          <w:tcPr>
            <w:tcW w:w="1260" w:type="pct"/>
          </w:tcPr>
          <w:p w14:paraId="4E77112D" w14:textId="77777777" w:rsidR="00AC0F44" w:rsidRPr="00F57392" w:rsidRDefault="00AC0F44" w:rsidP="00903311">
            <w:pPr>
              <w:pStyle w:val="COMTabletext"/>
              <w:jc w:val="center"/>
            </w:pPr>
            <w:r w:rsidRPr="00F57392">
              <w:t>16.7 (16.4, 19.9)</w:t>
            </w:r>
          </w:p>
        </w:tc>
      </w:tr>
      <w:tr w:rsidR="00AC0F44" w:rsidRPr="00F57392" w14:paraId="26E205B7" w14:textId="77777777" w:rsidTr="00903311">
        <w:tc>
          <w:tcPr>
            <w:tcW w:w="2481" w:type="pct"/>
          </w:tcPr>
          <w:p w14:paraId="0EBCB23B" w14:textId="77777777" w:rsidR="00AC0F44" w:rsidRPr="00F57392" w:rsidRDefault="00AC0F44" w:rsidP="00903311">
            <w:pPr>
              <w:pStyle w:val="COMTabletext"/>
            </w:pPr>
            <w:r w:rsidRPr="00F57392">
              <w:t>Mean percent change for every 6 months, % (95% CI)</w:t>
            </w:r>
          </w:p>
        </w:tc>
        <w:tc>
          <w:tcPr>
            <w:tcW w:w="1259" w:type="pct"/>
          </w:tcPr>
          <w:p w14:paraId="780E2EE9" w14:textId="77777777" w:rsidR="00AC0F44" w:rsidRPr="00F57392" w:rsidRDefault="00AC0F44" w:rsidP="00903311">
            <w:pPr>
              <w:pStyle w:val="COMTabletext"/>
              <w:jc w:val="center"/>
            </w:pPr>
            <w:r w:rsidRPr="00F57392">
              <w:t>-1.3 ( -3.2, 0.7)</w:t>
            </w:r>
          </w:p>
        </w:tc>
        <w:tc>
          <w:tcPr>
            <w:tcW w:w="1260" w:type="pct"/>
          </w:tcPr>
          <w:p w14:paraId="532AAAA9" w14:textId="77777777" w:rsidR="00AC0F44" w:rsidRPr="00F57392" w:rsidRDefault="00AC0F44" w:rsidP="00903311">
            <w:pPr>
              <w:pStyle w:val="COMTabletext"/>
              <w:jc w:val="center"/>
            </w:pPr>
            <w:r w:rsidRPr="00F57392">
              <w:t>14.4 (12.0, 16.8)</w:t>
            </w:r>
          </w:p>
        </w:tc>
      </w:tr>
      <w:tr w:rsidR="00AC0F44" w:rsidRPr="00F57392" w14:paraId="775FC499" w14:textId="77777777" w:rsidTr="00903311">
        <w:tc>
          <w:tcPr>
            <w:tcW w:w="2481" w:type="pct"/>
          </w:tcPr>
          <w:p w14:paraId="4801FBAC" w14:textId="77777777" w:rsidR="00AC0F44" w:rsidRPr="00F57392" w:rsidRDefault="00AC0F44" w:rsidP="00903311">
            <w:pPr>
              <w:pStyle w:val="COMTabletext"/>
            </w:pPr>
            <w:r w:rsidRPr="00F57392">
              <w:t>Between group difference, % (95% CI)</w:t>
            </w:r>
          </w:p>
        </w:tc>
        <w:tc>
          <w:tcPr>
            <w:tcW w:w="2519" w:type="pct"/>
            <w:gridSpan w:val="2"/>
          </w:tcPr>
          <w:p w14:paraId="0F20C62F" w14:textId="77777777" w:rsidR="00AC0F44" w:rsidRPr="00F57392" w:rsidRDefault="00AC0F44" w:rsidP="00903311">
            <w:pPr>
              <w:pStyle w:val="COMTabletext"/>
              <w:jc w:val="center"/>
            </w:pPr>
            <w:r w:rsidRPr="00F57392">
              <w:t>15.9 (12.6, 19.3)</w:t>
            </w:r>
          </w:p>
        </w:tc>
      </w:tr>
    </w:tbl>
    <w:p w14:paraId="30062562" w14:textId="77777777" w:rsidR="00AC0F44" w:rsidRPr="00F57392" w:rsidRDefault="00AC0F44" w:rsidP="00AC0F44">
      <w:pPr>
        <w:pStyle w:val="COMTablefooter"/>
      </w:pPr>
      <w:r w:rsidRPr="00F57392">
        <w:t>Source: Table 14.2.3.1.1.d, p42 of the March 2023 INDIGO clinical study report tables and figures document provided in the submission.</w:t>
      </w:r>
    </w:p>
    <w:p w14:paraId="76D4E78E" w14:textId="77777777" w:rsidR="00AC0F44" w:rsidRPr="00F57392" w:rsidRDefault="00AC0F44" w:rsidP="00AC0F44">
      <w:pPr>
        <w:pStyle w:val="COMTablefooter"/>
      </w:pPr>
      <w:r w:rsidRPr="00F57392">
        <w:t>Abbreviations: BIRC, blinded independent review committee; CI, confidence interval.</w:t>
      </w:r>
    </w:p>
    <w:p w14:paraId="60C43350" w14:textId="27215489" w:rsidR="00AC0F44" w:rsidRPr="00F57392" w:rsidRDefault="00AC0F44" w:rsidP="00793F1C">
      <w:pPr>
        <w:pStyle w:val="COMexecsummnumbered"/>
      </w:pPr>
      <w:r w:rsidRPr="00F57392">
        <w:t>Treatment with vorasidenib was associated with a statistically significant reduction in the mean percent change in the tumour growth rate compared to placebo (between group difference: 15.9%; 95% CI: 12.6, 19.3).</w:t>
      </w:r>
    </w:p>
    <w:p w14:paraId="04083475" w14:textId="4002918A" w:rsidR="00AC0F44" w:rsidRPr="00F57392" w:rsidRDefault="00950956" w:rsidP="00793F1C">
      <w:pPr>
        <w:pStyle w:val="COMexecsummnumbered"/>
      </w:pPr>
      <w:r w:rsidRPr="00F57392">
        <w:fldChar w:fldCharType="begin"/>
      </w:r>
      <w:r w:rsidRPr="00F57392">
        <w:instrText xml:space="preserve"> REF _Ref197896735 \h </w:instrText>
      </w:r>
      <w:r w:rsidRPr="00F57392">
        <w:fldChar w:fldCharType="separate"/>
      </w:r>
      <w:r w:rsidR="003C0757" w:rsidRPr="00F57392">
        <w:t xml:space="preserve">Table </w:t>
      </w:r>
      <w:r w:rsidR="003C0757">
        <w:rPr>
          <w:noProof/>
        </w:rPr>
        <w:t>7</w:t>
      </w:r>
      <w:r w:rsidRPr="00F57392">
        <w:fldChar w:fldCharType="end"/>
      </w:r>
      <w:r w:rsidR="00AC0F44" w:rsidRPr="00F57392">
        <w:t xml:space="preserve"> presents the results for the best overall response assessed by the blinded independent review committee based on extended follow-up.</w:t>
      </w:r>
    </w:p>
    <w:p w14:paraId="742F8F99" w14:textId="43EB4EBD" w:rsidR="00AC0F44" w:rsidRPr="00F57392" w:rsidRDefault="00793F1C" w:rsidP="00AC0F44">
      <w:pPr>
        <w:pStyle w:val="COMtablefigcaption"/>
      </w:pPr>
      <w:bookmarkStart w:id="23" w:name="_Ref197896735"/>
      <w:r w:rsidRPr="00F57392">
        <w:lastRenderedPageBreak/>
        <w:t xml:space="preserve">Table </w:t>
      </w:r>
      <w:r w:rsidR="00052B1E">
        <w:fldChar w:fldCharType="begin"/>
      </w:r>
      <w:r w:rsidR="00052B1E">
        <w:instrText xml:space="preserve"> SEQ Table \* ARABIC </w:instrText>
      </w:r>
      <w:r w:rsidR="00052B1E">
        <w:fldChar w:fldCharType="separate"/>
      </w:r>
      <w:r w:rsidR="003C0757">
        <w:rPr>
          <w:noProof/>
        </w:rPr>
        <w:t>7</w:t>
      </w:r>
      <w:r w:rsidR="00052B1E">
        <w:rPr>
          <w:noProof/>
        </w:rPr>
        <w:fldChar w:fldCharType="end"/>
      </w:r>
      <w:bookmarkEnd w:id="23"/>
      <w:r w:rsidR="00AC0F44" w:rsidRPr="00F57392">
        <w:t xml:space="preserve">: Best overall response assessed by BIRC based on extended follow-up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7: Best overall response assessed by BIRC based on extended follow-up "/>
      </w:tblPr>
      <w:tblGrid>
        <w:gridCol w:w="4475"/>
        <w:gridCol w:w="2270"/>
        <w:gridCol w:w="2272"/>
      </w:tblGrid>
      <w:tr w:rsidR="00AC0F44" w:rsidRPr="00F57392" w14:paraId="3801BD0D" w14:textId="77777777" w:rsidTr="00903311">
        <w:trPr>
          <w:tblHeader/>
        </w:trPr>
        <w:tc>
          <w:tcPr>
            <w:tcW w:w="2481" w:type="pct"/>
            <w:vAlign w:val="center"/>
          </w:tcPr>
          <w:p w14:paraId="5FA4D518" w14:textId="77777777" w:rsidR="00AC0F44" w:rsidRPr="00F57392" w:rsidRDefault="00AC0F44" w:rsidP="00903311">
            <w:pPr>
              <w:pStyle w:val="COMTableheadingrow"/>
              <w:rPr>
                <w:lang w:val="en-AU"/>
              </w:rPr>
            </w:pPr>
          </w:p>
        </w:tc>
        <w:tc>
          <w:tcPr>
            <w:tcW w:w="1259" w:type="pct"/>
            <w:vAlign w:val="center"/>
          </w:tcPr>
          <w:p w14:paraId="518FE4F1" w14:textId="77777777" w:rsidR="00AC0F44" w:rsidRPr="00F57392" w:rsidRDefault="00AC0F44" w:rsidP="00903311">
            <w:pPr>
              <w:pStyle w:val="COMTableheadingrow"/>
              <w:jc w:val="center"/>
              <w:rPr>
                <w:lang w:val="en-AU"/>
              </w:rPr>
            </w:pPr>
            <w:r w:rsidRPr="00F57392">
              <w:rPr>
                <w:lang w:val="en-AU"/>
              </w:rPr>
              <w:t>Vorasidenib</w:t>
            </w:r>
          </w:p>
          <w:p w14:paraId="184EC89F" w14:textId="77777777" w:rsidR="00AC0F44" w:rsidRPr="00F57392" w:rsidRDefault="00AC0F44" w:rsidP="00903311">
            <w:pPr>
              <w:pStyle w:val="COMTableheadingrow"/>
              <w:jc w:val="center"/>
              <w:rPr>
                <w:lang w:val="en-AU"/>
              </w:rPr>
            </w:pPr>
            <w:r w:rsidRPr="00F57392">
              <w:rPr>
                <w:lang w:val="en-AU"/>
              </w:rPr>
              <w:t>N=168</w:t>
            </w:r>
          </w:p>
        </w:tc>
        <w:tc>
          <w:tcPr>
            <w:tcW w:w="1260" w:type="pct"/>
          </w:tcPr>
          <w:p w14:paraId="217331CA" w14:textId="77777777" w:rsidR="00AC0F44" w:rsidRPr="00F57392" w:rsidRDefault="00AC0F44" w:rsidP="00903311">
            <w:pPr>
              <w:pStyle w:val="COMTableheadingrow"/>
              <w:jc w:val="center"/>
              <w:rPr>
                <w:lang w:val="en-AU"/>
              </w:rPr>
            </w:pPr>
            <w:r w:rsidRPr="00F57392">
              <w:rPr>
                <w:lang w:val="en-AU"/>
              </w:rPr>
              <w:t>Placebo</w:t>
            </w:r>
          </w:p>
          <w:p w14:paraId="5B49C46F" w14:textId="77777777" w:rsidR="00AC0F44" w:rsidRPr="00F57392" w:rsidRDefault="00AC0F44" w:rsidP="00903311">
            <w:pPr>
              <w:pStyle w:val="COMTableheadingrow"/>
              <w:jc w:val="center"/>
              <w:rPr>
                <w:lang w:val="en-AU"/>
              </w:rPr>
            </w:pPr>
            <w:r w:rsidRPr="00F57392">
              <w:rPr>
                <w:lang w:val="en-AU"/>
              </w:rPr>
              <w:t>N=163</w:t>
            </w:r>
          </w:p>
        </w:tc>
      </w:tr>
      <w:tr w:rsidR="00AC0F44" w:rsidRPr="00F57392" w14:paraId="10790817" w14:textId="77777777" w:rsidTr="00903311">
        <w:tc>
          <w:tcPr>
            <w:tcW w:w="2481" w:type="pct"/>
          </w:tcPr>
          <w:p w14:paraId="35BE76B0" w14:textId="77777777" w:rsidR="00AC0F44" w:rsidRPr="00F57392" w:rsidRDefault="00AC0F44" w:rsidP="00903311">
            <w:pPr>
              <w:pStyle w:val="COMTabletext"/>
            </w:pPr>
            <w:r w:rsidRPr="00F57392">
              <w:t>Best overall response, n (%)</w:t>
            </w:r>
          </w:p>
          <w:p w14:paraId="66DC050B" w14:textId="77777777" w:rsidR="00AC0F44" w:rsidRPr="00F57392" w:rsidRDefault="00AC0F44" w:rsidP="00903311">
            <w:pPr>
              <w:pStyle w:val="COMTabletext"/>
            </w:pPr>
            <w:r w:rsidRPr="00F57392">
              <w:t>- Complete response</w:t>
            </w:r>
          </w:p>
          <w:p w14:paraId="21BA5F4C" w14:textId="77777777" w:rsidR="00AC0F44" w:rsidRPr="00F57392" w:rsidRDefault="00AC0F44" w:rsidP="00903311">
            <w:pPr>
              <w:pStyle w:val="COMTabletext"/>
            </w:pPr>
            <w:r w:rsidRPr="00F57392">
              <w:t>- Partial response</w:t>
            </w:r>
          </w:p>
          <w:p w14:paraId="05E6BA75" w14:textId="77777777" w:rsidR="00AC0F44" w:rsidRPr="00F57392" w:rsidRDefault="00AC0F44" w:rsidP="00903311">
            <w:pPr>
              <w:pStyle w:val="COMTabletext"/>
            </w:pPr>
            <w:r w:rsidRPr="00F57392">
              <w:t>- Minor response</w:t>
            </w:r>
          </w:p>
          <w:p w14:paraId="7F8BD7CB" w14:textId="77777777" w:rsidR="00AC0F44" w:rsidRPr="00F57392" w:rsidRDefault="00AC0F44" w:rsidP="00903311">
            <w:pPr>
              <w:pStyle w:val="COMTabletext"/>
            </w:pPr>
            <w:r w:rsidRPr="00F57392">
              <w:t>- Stable disease</w:t>
            </w:r>
          </w:p>
          <w:p w14:paraId="32E276EA" w14:textId="77777777" w:rsidR="00AC0F44" w:rsidRPr="00F57392" w:rsidRDefault="00AC0F44" w:rsidP="00903311">
            <w:pPr>
              <w:pStyle w:val="COMTabletext"/>
            </w:pPr>
            <w:r w:rsidRPr="00F57392">
              <w:t>- Progressive disease</w:t>
            </w:r>
          </w:p>
          <w:p w14:paraId="34F8C5B3" w14:textId="77777777" w:rsidR="00AC0F44" w:rsidRPr="00F57392" w:rsidRDefault="00AC0F44" w:rsidP="00903311">
            <w:pPr>
              <w:pStyle w:val="COMTabletext"/>
            </w:pPr>
            <w:r w:rsidRPr="00F57392">
              <w:t>- Not evaluable</w:t>
            </w:r>
          </w:p>
        </w:tc>
        <w:tc>
          <w:tcPr>
            <w:tcW w:w="1259" w:type="pct"/>
          </w:tcPr>
          <w:p w14:paraId="46C543EF" w14:textId="77777777" w:rsidR="00AC0F44" w:rsidRPr="00F57392" w:rsidRDefault="00AC0F44" w:rsidP="00903311">
            <w:pPr>
              <w:pStyle w:val="COMTabletext"/>
              <w:jc w:val="center"/>
            </w:pPr>
          </w:p>
          <w:p w14:paraId="18CC14D9" w14:textId="77777777" w:rsidR="00AC0F44" w:rsidRPr="00F57392" w:rsidRDefault="00AC0F44" w:rsidP="00903311">
            <w:pPr>
              <w:pStyle w:val="COMTabletext"/>
              <w:jc w:val="center"/>
            </w:pPr>
            <w:r w:rsidRPr="00F57392">
              <w:t>0</w:t>
            </w:r>
          </w:p>
          <w:p w14:paraId="68488752" w14:textId="77777777" w:rsidR="00AC0F44" w:rsidRPr="00F57392" w:rsidRDefault="00AC0F44" w:rsidP="00903311">
            <w:pPr>
              <w:pStyle w:val="COMTabletext"/>
              <w:jc w:val="center"/>
            </w:pPr>
            <w:r w:rsidRPr="00F57392">
              <w:t>2 (1.2)</w:t>
            </w:r>
          </w:p>
          <w:p w14:paraId="417C415C" w14:textId="77777777" w:rsidR="00AC0F44" w:rsidRPr="00F57392" w:rsidRDefault="00AC0F44" w:rsidP="00903311">
            <w:pPr>
              <w:pStyle w:val="COMTabletext"/>
              <w:jc w:val="center"/>
            </w:pPr>
            <w:r w:rsidRPr="00F57392">
              <w:t>18 (10.7)</w:t>
            </w:r>
          </w:p>
          <w:p w14:paraId="56E447D4" w14:textId="77777777" w:rsidR="00AC0F44" w:rsidRPr="00F57392" w:rsidRDefault="00AC0F44" w:rsidP="00903311">
            <w:pPr>
              <w:pStyle w:val="COMTabletext"/>
              <w:jc w:val="center"/>
            </w:pPr>
            <w:r w:rsidRPr="00F57392">
              <w:t>137 (81.5)</w:t>
            </w:r>
          </w:p>
          <w:p w14:paraId="0EA46EF4" w14:textId="77777777" w:rsidR="00AC0F44" w:rsidRPr="00F57392" w:rsidRDefault="00AC0F44" w:rsidP="00903311">
            <w:pPr>
              <w:pStyle w:val="COMTabletext"/>
              <w:jc w:val="center"/>
            </w:pPr>
            <w:r w:rsidRPr="00F57392">
              <w:t>10 (6.0)</w:t>
            </w:r>
          </w:p>
          <w:p w14:paraId="55413F6F" w14:textId="77777777" w:rsidR="00AC0F44" w:rsidRPr="00F57392" w:rsidRDefault="00AC0F44" w:rsidP="00903311">
            <w:pPr>
              <w:pStyle w:val="COMTabletext"/>
              <w:jc w:val="center"/>
            </w:pPr>
            <w:r w:rsidRPr="00F57392">
              <w:t>1 (0.6)</w:t>
            </w:r>
          </w:p>
        </w:tc>
        <w:tc>
          <w:tcPr>
            <w:tcW w:w="1260" w:type="pct"/>
          </w:tcPr>
          <w:p w14:paraId="432B7963" w14:textId="77777777" w:rsidR="00AC0F44" w:rsidRPr="00F57392" w:rsidRDefault="00AC0F44" w:rsidP="00903311">
            <w:pPr>
              <w:pStyle w:val="COMTabletext"/>
              <w:jc w:val="center"/>
            </w:pPr>
          </w:p>
          <w:p w14:paraId="75DCB2AA" w14:textId="77777777" w:rsidR="00AC0F44" w:rsidRPr="00F57392" w:rsidRDefault="00AC0F44" w:rsidP="00903311">
            <w:pPr>
              <w:pStyle w:val="COMTabletext"/>
              <w:jc w:val="center"/>
            </w:pPr>
            <w:r w:rsidRPr="00F57392">
              <w:t>0</w:t>
            </w:r>
          </w:p>
          <w:p w14:paraId="2EBF0C95" w14:textId="77777777" w:rsidR="00AC0F44" w:rsidRPr="00F57392" w:rsidRDefault="00AC0F44" w:rsidP="00903311">
            <w:pPr>
              <w:pStyle w:val="COMTabletext"/>
              <w:jc w:val="center"/>
            </w:pPr>
            <w:r w:rsidRPr="00F57392">
              <w:t>0</w:t>
            </w:r>
          </w:p>
          <w:p w14:paraId="72528E76" w14:textId="77777777" w:rsidR="00AC0F44" w:rsidRPr="00F57392" w:rsidRDefault="00AC0F44" w:rsidP="00903311">
            <w:pPr>
              <w:pStyle w:val="COMTabletext"/>
              <w:jc w:val="center"/>
            </w:pPr>
            <w:r w:rsidRPr="00F57392">
              <w:t>4 (2.5)</w:t>
            </w:r>
          </w:p>
          <w:p w14:paraId="64303901" w14:textId="77777777" w:rsidR="00AC0F44" w:rsidRPr="00F57392" w:rsidRDefault="00AC0F44" w:rsidP="00903311">
            <w:pPr>
              <w:pStyle w:val="COMTabletext"/>
              <w:jc w:val="center"/>
            </w:pPr>
            <w:r w:rsidRPr="00F57392">
              <w:t>144 (88.3)</w:t>
            </w:r>
          </w:p>
          <w:p w14:paraId="2907CA2F" w14:textId="77777777" w:rsidR="00AC0F44" w:rsidRPr="00F57392" w:rsidRDefault="00AC0F44" w:rsidP="00903311">
            <w:pPr>
              <w:pStyle w:val="COMTabletext"/>
              <w:jc w:val="center"/>
            </w:pPr>
            <w:r w:rsidRPr="00F57392">
              <w:t>14 (8.6)</w:t>
            </w:r>
          </w:p>
          <w:p w14:paraId="2AE4395A" w14:textId="77777777" w:rsidR="00AC0F44" w:rsidRPr="00F57392" w:rsidRDefault="00AC0F44" w:rsidP="00903311">
            <w:pPr>
              <w:pStyle w:val="COMTabletext"/>
              <w:jc w:val="center"/>
            </w:pPr>
            <w:r w:rsidRPr="00F57392">
              <w:t>1 (0.6)</w:t>
            </w:r>
          </w:p>
        </w:tc>
      </w:tr>
      <w:tr w:rsidR="00AC0F44" w:rsidRPr="00F57392" w14:paraId="23842593" w14:textId="77777777" w:rsidTr="00903311">
        <w:tc>
          <w:tcPr>
            <w:tcW w:w="2481" w:type="pct"/>
          </w:tcPr>
          <w:p w14:paraId="0E381E65" w14:textId="77777777" w:rsidR="00AC0F44" w:rsidRPr="00F57392" w:rsidRDefault="00AC0F44" w:rsidP="00903311">
            <w:pPr>
              <w:pStyle w:val="COMTabletext"/>
              <w:rPr>
                <w:vertAlign w:val="superscript"/>
              </w:rPr>
            </w:pPr>
            <w:r w:rsidRPr="00F57392">
              <w:t xml:space="preserve">Objective response rate, n (%) </w:t>
            </w:r>
            <w:r w:rsidRPr="00F57392">
              <w:rPr>
                <w:vertAlign w:val="superscript"/>
              </w:rPr>
              <w:t>a</w:t>
            </w:r>
          </w:p>
        </w:tc>
        <w:tc>
          <w:tcPr>
            <w:tcW w:w="1259" w:type="pct"/>
          </w:tcPr>
          <w:p w14:paraId="19F2B979" w14:textId="77777777" w:rsidR="00AC0F44" w:rsidRPr="00F57392" w:rsidRDefault="00AC0F44" w:rsidP="00903311">
            <w:pPr>
              <w:pStyle w:val="COMTabletext"/>
              <w:jc w:val="center"/>
            </w:pPr>
            <w:r w:rsidRPr="00F57392">
              <w:t>20 (11.9)</w:t>
            </w:r>
          </w:p>
        </w:tc>
        <w:tc>
          <w:tcPr>
            <w:tcW w:w="1260" w:type="pct"/>
          </w:tcPr>
          <w:p w14:paraId="0FC213F4" w14:textId="77777777" w:rsidR="00AC0F44" w:rsidRPr="00F57392" w:rsidRDefault="00AC0F44" w:rsidP="00903311">
            <w:pPr>
              <w:pStyle w:val="COMTabletext"/>
              <w:jc w:val="center"/>
            </w:pPr>
            <w:r w:rsidRPr="00F57392">
              <w:t>4 (2.5)</w:t>
            </w:r>
          </w:p>
        </w:tc>
      </w:tr>
      <w:tr w:rsidR="00AC0F44" w:rsidRPr="00F57392" w14:paraId="471C542E" w14:textId="77777777" w:rsidTr="00903311">
        <w:tc>
          <w:tcPr>
            <w:tcW w:w="2481" w:type="pct"/>
          </w:tcPr>
          <w:p w14:paraId="1FA23925" w14:textId="77777777" w:rsidR="00AC0F44" w:rsidRPr="00F57392" w:rsidRDefault="00AC0F44" w:rsidP="00903311">
            <w:pPr>
              <w:pStyle w:val="COMTabletext"/>
            </w:pPr>
            <w:r w:rsidRPr="00F57392">
              <w:t>- Odds ratio (95%) CI</w:t>
            </w:r>
          </w:p>
        </w:tc>
        <w:tc>
          <w:tcPr>
            <w:tcW w:w="2519" w:type="pct"/>
            <w:gridSpan w:val="2"/>
          </w:tcPr>
          <w:p w14:paraId="2D76F185" w14:textId="77777777" w:rsidR="00AC0F44" w:rsidRPr="00F57392" w:rsidRDefault="00AC0F44" w:rsidP="00903311">
            <w:pPr>
              <w:pStyle w:val="COMTabletext"/>
              <w:jc w:val="center"/>
            </w:pPr>
            <w:r w:rsidRPr="00F57392">
              <w:t>5.45 (1.77, 16.78)</w:t>
            </w:r>
          </w:p>
        </w:tc>
      </w:tr>
      <w:tr w:rsidR="00AC0F44" w:rsidRPr="00F57392" w14:paraId="378DFC8F" w14:textId="77777777" w:rsidTr="00903311">
        <w:tc>
          <w:tcPr>
            <w:tcW w:w="2481" w:type="pct"/>
          </w:tcPr>
          <w:p w14:paraId="24D652E3" w14:textId="77777777" w:rsidR="00AC0F44" w:rsidRPr="00F57392" w:rsidRDefault="00AC0F44" w:rsidP="00903311">
            <w:pPr>
              <w:pStyle w:val="COMTabletext"/>
            </w:pPr>
            <w:r w:rsidRPr="00F57392">
              <w:t>Complete or partial response, n (%)</w:t>
            </w:r>
          </w:p>
        </w:tc>
        <w:tc>
          <w:tcPr>
            <w:tcW w:w="1259" w:type="pct"/>
          </w:tcPr>
          <w:p w14:paraId="4D3690B3" w14:textId="77777777" w:rsidR="00AC0F44" w:rsidRPr="00F57392" w:rsidRDefault="00AC0F44" w:rsidP="00903311">
            <w:pPr>
              <w:pStyle w:val="COMTabletext"/>
              <w:jc w:val="center"/>
            </w:pPr>
            <w:r w:rsidRPr="00F57392">
              <w:t>2 (1.2)</w:t>
            </w:r>
          </w:p>
        </w:tc>
        <w:tc>
          <w:tcPr>
            <w:tcW w:w="1260" w:type="pct"/>
          </w:tcPr>
          <w:p w14:paraId="415A12BF" w14:textId="77777777" w:rsidR="00AC0F44" w:rsidRPr="00F57392" w:rsidRDefault="00AC0F44" w:rsidP="00903311">
            <w:pPr>
              <w:pStyle w:val="COMTabletext"/>
              <w:jc w:val="center"/>
            </w:pPr>
            <w:r w:rsidRPr="00F57392">
              <w:t>0</w:t>
            </w:r>
          </w:p>
        </w:tc>
      </w:tr>
      <w:tr w:rsidR="00AC0F44" w:rsidRPr="00F57392" w14:paraId="19BEB9B0" w14:textId="77777777" w:rsidTr="00903311">
        <w:tc>
          <w:tcPr>
            <w:tcW w:w="2481" w:type="pct"/>
          </w:tcPr>
          <w:p w14:paraId="5D1EC540" w14:textId="77777777" w:rsidR="00AC0F44" w:rsidRPr="00F57392" w:rsidRDefault="00AC0F44" w:rsidP="00903311">
            <w:pPr>
              <w:pStyle w:val="COMTabletext"/>
            </w:pPr>
            <w:r w:rsidRPr="00F57392">
              <w:t>- Odds ratio (95%) CI</w:t>
            </w:r>
          </w:p>
        </w:tc>
        <w:tc>
          <w:tcPr>
            <w:tcW w:w="2519" w:type="pct"/>
            <w:gridSpan w:val="2"/>
          </w:tcPr>
          <w:p w14:paraId="00821726" w14:textId="77777777" w:rsidR="00AC0F44" w:rsidRPr="00F57392" w:rsidRDefault="00AC0F44" w:rsidP="00903311">
            <w:pPr>
              <w:pStyle w:val="COMTabletext"/>
              <w:jc w:val="center"/>
            </w:pPr>
            <w:r w:rsidRPr="00F57392">
              <w:t>NE (0.28, NE)</w:t>
            </w:r>
          </w:p>
        </w:tc>
      </w:tr>
    </w:tbl>
    <w:p w14:paraId="44E66736" w14:textId="77777777" w:rsidR="00AC0F44" w:rsidRPr="00F57392" w:rsidRDefault="00AC0F44" w:rsidP="00AC0F44">
      <w:pPr>
        <w:pStyle w:val="COMTablefooter"/>
      </w:pPr>
      <w:r w:rsidRPr="00F57392">
        <w:t>Source: Table 14.2.4.1, p47 of the March 2023 INDIGO clinical study report tables and figures document provided in the submission. Abbreviations: BIRC, blinded independent review committee; CI, confidence interval; NE, not estimable.</w:t>
      </w:r>
    </w:p>
    <w:p w14:paraId="56125287" w14:textId="77777777" w:rsidR="00AC0F44" w:rsidRPr="00F57392" w:rsidRDefault="00AC0F44" w:rsidP="00AC0F44">
      <w:pPr>
        <w:pStyle w:val="COMTablefooter"/>
        <w:rPr>
          <w:sz w:val="20"/>
        </w:rPr>
      </w:pPr>
      <w:r w:rsidRPr="00F57392">
        <w:rPr>
          <w:vertAlign w:val="superscript"/>
        </w:rPr>
        <w:t>a</w:t>
      </w:r>
      <w:r w:rsidRPr="00F57392">
        <w:t xml:space="preserve"> The proportion of patients achieving a best response of compete response, partial response or minor response.</w:t>
      </w:r>
    </w:p>
    <w:p w14:paraId="7F150A84" w14:textId="5EBE6291" w:rsidR="001900C9" w:rsidRPr="0084014B" w:rsidRDefault="00AC0F44" w:rsidP="0051749E">
      <w:pPr>
        <w:pStyle w:val="COMexecsummnumbered"/>
      </w:pPr>
      <w:r w:rsidRPr="00F57392">
        <w:t xml:space="preserve">A higher proportion of patients treated with vorasidenib achieved an objective response compared to placebo (11.9% versus 2.5%; odds ratio: 5.45; 95% CI: 1.77, 16.78). </w:t>
      </w:r>
      <w:r w:rsidRPr="0084014B">
        <w:t xml:space="preserve">There were no complete responses and only 2 </w:t>
      </w:r>
      <w:r w:rsidR="00B64113">
        <w:t xml:space="preserve">(1.2%) </w:t>
      </w:r>
      <w:r w:rsidRPr="0084014B">
        <w:t xml:space="preserve">partial responses in the vorasidenib arm. </w:t>
      </w:r>
    </w:p>
    <w:p w14:paraId="6EB633C7" w14:textId="65A047BC" w:rsidR="00CD13DF" w:rsidRPr="00531A03" w:rsidRDefault="00AC0F44" w:rsidP="00CD13DF">
      <w:pPr>
        <w:pStyle w:val="COMexecsummnumbered"/>
      </w:pPr>
      <w:bookmarkStart w:id="24" w:name="_Ref200541229"/>
      <w:r w:rsidRPr="0084014B">
        <w:t xml:space="preserve">The </w:t>
      </w:r>
      <w:r w:rsidR="00355815" w:rsidRPr="00A814F0">
        <w:t>Commentary noted the</w:t>
      </w:r>
      <w:r w:rsidR="00355815" w:rsidRPr="00355815">
        <w:rPr>
          <w:i/>
          <w:iCs/>
        </w:rPr>
        <w:t xml:space="preserve"> </w:t>
      </w:r>
      <w:r w:rsidRPr="0084014B">
        <w:t>objective response rate and the impact of vorasidenib on the tumour growth rate was modest, suggesting a more tumour-static mode of action.</w:t>
      </w:r>
      <w:r w:rsidR="00B96630" w:rsidRPr="00B96630">
        <w:rPr>
          <w:i/>
          <w:iCs/>
        </w:rPr>
        <w:t xml:space="preserve"> </w:t>
      </w:r>
      <w:r w:rsidR="00B96630" w:rsidRPr="00531A03">
        <w:t xml:space="preserve">The </w:t>
      </w:r>
      <w:r w:rsidR="006A2F99" w:rsidRPr="00531A03">
        <w:t>Sub-Committees</w:t>
      </w:r>
      <w:r w:rsidR="00B96630" w:rsidRPr="00531A03">
        <w:t xml:space="preserve"> agreed with the Commentary that these data suggest that vorasidenib does not provide </w:t>
      </w:r>
      <w:r w:rsidR="00AA3D1C" w:rsidRPr="00531A03">
        <w:t>a reduction in tumour size</w:t>
      </w:r>
      <w:r w:rsidR="00B96630" w:rsidRPr="00531A03">
        <w:t>.</w:t>
      </w:r>
      <w:bookmarkEnd w:id="24"/>
    </w:p>
    <w:p w14:paraId="5EC6F9B0" w14:textId="6340444F" w:rsidR="00275667" w:rsidRPr="00F57392" w:rsidRDefault="00CD13DF" w:rsidP="00CD13DF">
      <w:pPr>
        <w:pStyle w:val="COMexecsummnumbered"/>
        <w:rPr>
          <w:i/>
          <w:iCs/>
        </w:rPr>
      </w:pPr>
      <w:r w:rsidRPr="0084014B">
        <w:t>Quality of life in the</w:t>
      </w:r>
      <w:r w:rsidRPr="00F57392">
        <w:t xml:space="preserve"> INDIGO trial was assessed using the </w:t>
      </w:r>
      <w:r w:rsidR="001900C9" w:rsidRPr="00F57392">
        <w:t>Functional Assessment of Cancer Therapy (</w:t>
      </w:r>
      <w:r w:rsidRPr="00F57392">
        <w:t>FACT</w:t>
      </w:r>
      <w:r w:rsidR="001900C9" w:rsidRPr="00F57392">
        <w:t>)</w:t>
      </w:r>
      <w:r w:rsidRPr="00F57392">
        <w:t>-Brain (total and subscale scores), the EQ-5D-5L, and the Patient Global Impression questionnaire. At baseline, FACT-Brain total score and subscale scores were similar between treatment arms. No improvements in the FACT-Brain total score, and physical well-being and brain cancer subscale scores were observed favouring either arm at any time point up to and including Cycle 13. At later time points, some subscales (total score, functional well-being, trial outcome index) showed improvement in the vorasidenib arm; however, the results were sporadic and the small number of assessments at these time points does not allow for meaningful interpretation.</w:t>
      </w:r>
      <w:r w:rsidR="00161CB6" w:rsidRPr="00F57392">
        <w:t xml:space="preserve"> </w:t>
      </w:r>
    </w:p>
    <w:p w14:paraId="72588BE6" w14:textId="7EAA1A7C" w:rsidR="00CD13DF" w:rsidRPr="000C7C51" w:rsidRDefault="00CD13DF" w:rsidP="00CD13DF">
      <w:pPr>
        <w:pStyle w:val="COMexecsummnumbered"/>
        <w:rPr>
          <w:i/>
          <w:iCs/>
        </w:rPr>
      </w:pPr>
      <w:r w:rsidRPr="00F57392">
        <w:t>Results for the change in EQ-5D-5L index and visual analogue scale scores were not presented in the submission. The clinical study report stated that at baseline, the proportions of patients reporting no problems across mobility, self-care, usual activity, pain/discomfort, and anxiety and depression were consistent between arms. In both arms, no respondents reported experiencing severe or extreme baseline problems with selfcare activities. The proportions of patients reporting no problems, some problems, and extreme problems across the EQ-5D-5L questionnaire were consistent between arms on treatment.</w:t>
      </w:r>
    </w:p>
    <w:p w14:paraId="1A1FDE23" w14:textId="190DFBD8" w:rsidR="000C7C51" w:rsidRPr="00531A03" w:rsidRDefault="000C7C51" w:rsidP="7BC319D9">
      <w:pPr>
        <w:pStyle w:val="COMexecsummnumbered"/>
      </w:pPr>
      <w:r w:rsidRPr="00531A03">
        <w:t xml:space="preserve">The </w:t>
      </w:r>
      <w:r w:rsidR="00F975A7" w:rsidRPr="00531A03">
        <w:t xml:space="preserve">PSCR stated that it is highly likely that </w:t>
      </w:r>
      <w:r w:rsidR="00C61AF9" w:rsidRPr="00531A03">
        <w:t>quality of life (</w:t>
      </w:r>
      <w:r w:rsidR="00F975A7" w:rsidRPr="00531A03">
        <w:t>QoL</w:t>
      </w:r>
      <w:r w:rsidR="00C61AF9" w:rsidRPr="00531A03">
        <w:t>)</w:t>
      </w:r>
      <w:r w:rsidR="00F975A7" w:rsidRPr="00531A03">
        <w:t xml:space="preserve"> will reduce post progression due to increasing morbidity and impact of subsequent interventions. Subsequent interventions (after progression) including RT/CT are associated with </w:t>
      </w:r>
      <w:r w:rsidR="00F975A7" w:rsidRPr="00531A03">
        <w:lastRenderedPageBreak/>
        <w:t>toxicity and lead to loss of daily functions. The Sub-</w:t>
      </w:r>
      <w:r w:rsidR="07DCDDC1" w:rsidRPr="00531A03">
        <w:t>C</w:t>
      </w:r>
      <w:r w:rsidR="00F975A7" w:rsidRPr="00531A03">
        <w:t xml:space="preserve">ommittees </w:t>
      </w:r>
      <w:r w:rsidR="00D07458" w:rsidRPr="00531A03">
        <w:t>noted</w:t>
      </w:r>
      <w:r w:rsidR="00F975A7" w:rsidRPr="00531A03">
        <w:t xml:space="preserve"> that the duration of the trial was insufficient to capture the impact of </w:t>
      </w:r>
      <w:r w:rsidR="006F0166" w:rsidRPr="00531A03">
        <w:t>delayed progression on QoL</w:t>
      </w:r>
      <w:r w:rsidR="00F569E9" w:rsidRPr="00531A03">
        <w:t xml:space="preserve">, and agreed with the PSCR that </w:t>
      </w:r>
      <w:r w:rsidR="00D1678F" w:rsidRPr="00531A03">
        <w:t xml:space="preserve">there is potential for significant improvements </w:t>
      </w:r>
      <w:r w:rsidR="00D07458" w:rsidRPr="00531A03">
        <w:t>in QoL where there is a delay in symptomatic progression</w:t>
      </w:r>
      <w:r w:rsidR="006F0166" w:rsidRPr="00531A03">
        <w:t xml:space="preserve">. </w:t>
      </w:r>
    </w:p>
    <w:p w14:paraId="1452C351" w14:textId="0D19F1B0" w:rsidR="00B60939" w:rsidRPr="00F57392" w:rsidRDefault="00B60939" w:rsidP="003D5DE7">
      <w:pPr>
        <w:pStyle w:val="COMH2-non-numbered"/>
      </w:pPr>
      <w:bookmarkStart w:id="25" w:name="_Toc22897642"/>
      <w:bookmarkStart w:id="26" w:name="_Toc198628229"/>
      <w:r w:rsidRPr="00F57392">
        <w:t>Comparative harms</w:t>
      </w:r>
      <w:bookmarkEnd w:id="25"/>
      <w:bookmarkEnd w:id="26"/>
    </w:p>
    <w:p w14:paraId="6B321327" w14:textId="7FC75677" w:rsidR="009262E7" w:rsidRPr="00F57392" w:rsidRDefault="00950956" w:rsidP="009262E7">
      <w:pPr>
        <w:pStyle w:val="COMexecsummnumbered"/>
      </w:pPr>
      <w:r w:rsidRPr="00F57392">
        <w:fldChar w:fldCharType="begin"/>
      </w:r>
      <w:r w:rsidRPr="00F57392">
        <w:instrText xml:space="preserve"> REF _Ref197896745 \h </w:instrText>
      </w:r>
      <w:r w:rsidRPr="00F57392">
        <w:fldChar w:fldCharType="separate"/>
      </w:r>
      <w:r w:rsidR="003C0757" w:rsidRPr="00F57392">
        <w:t xml:space="preserve">Table </w:t>
      </w:r>
      <w:r w:rsidR="003C0757">
        <w:rPr>
          <w:noProof/>
        </w:rPr>
        <w:t>8</w:t>
      </w:r>
      <w:r w:rsidRPr="00F57392">
        <w:fldChar w:fldCharType="end"/>
      </w:r>
      <w:r w:rsidR="009262E7" w:rsidRPr="00F57392">
        <w:t xml:space="preserve"> presents a summary of adverse events among patients in the INDIGO trial, based on extended follow-up.</w:t>
      </w:r>
    </w:p>
    <w:p w14:paraId="7B15BA59" w14:textId="56CBB892" w:rsidR="009262E7" w:rsidRPr="00F57392" w:rsidRDefault="009262E7" w:rsidP="009262E7">
      <w:pPr>
        <w:pStyle w:val="COMtablefigcaption"/>
      </w:pPr>
      <w:bookmarkStart w:id="27" w:name="_Ref197896745"/>
      <w:r w:rsidRPr="00F57392">
        <w:t xml:space="preserve">Table </w:t>
      </w:r>
      <w:r w:rsidR="00052B1E">
        <w:fldChar w:fldCharType="begin"/>
      </w:r>
      <w:r w:rsidR="00052B1E">
        <w:instrText xml:space="preserve"> SEQ Table \* ARABIC </w:instrText>
      </w:r>
      <w:r w:rsidR="00052B1E">
        <w:fldChar w:fldCharType="separate"/>
      </w:r>
      <w:r w:rsidR="003C0757">
        <w:rPr>
          <w:noProof/>
        </w:rPr>
        <w:t>8</w:t>
      </w:r>
      <w:r w:rsidR="00052B1E">
        <w:rPr>
          <w:noProof/>
        </w:rPr>
        <w:fldChar w:fldCharType="end"/>
      </w:r>
      <w:bookmarkEnd w:id="27"/>
      <w:r w:rsidRPr="00F57392">
        <w:t>: Summary of key adverse events in the INDIGO trial based on extended follow-up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Summary of key adverse events in the INDIGO trial based on extended follow-up"/>
      </w:tblPr>
      <w:tblGrid>
        <w:gridCol w:w="4348"/>
        <w:gridCol w:w="2334"/>
        <w:gridCol w:w="2335"/>
      </w:tblGrid>
      <w:tr w:rsidR="00153864" w:rsidRPr="00F57392" w14:paraId="32933242" w14:textId="77777777" w:rsidTr="00153864">
        <w:trPr>
          <w:tblHeader/>
        </w:trPr>
        <w:tc>
          <w:tcPr>
            <w:tcW w:w="2411" w:type="pct"/>
            <w:vAlign w:val="center"/>
          </w:tcPr>
          <w:p w14:paraId="0B9AD9DA" w14:textId="10798A4E" w:rsidR="00153864" w:rsidRPr="00F57392" w:rsidRDefault="00153864" w:rsidP="00903311">
            <w:pPr>
              <w:pStyle w:val="COMTableheadingrow"/>
              <w:rPr>
                <w:lang w:val="en-AU"/>
              </w:rPr>
            </w:pPr>
          </w:p>
        </w:tc>
        <w:tc>
          <w:tcPr>
            <w:tcW w:w="1294" w:type="pct"/>
            <w:vAlign w:val="center"/>
          </w:tcPr>
          <w:p w14:paraId="4EA43ADD" w14:textId="77777777" w:rsidR="00153864" w:rsidRPr="00F57392" w:rsidRDefault="00153864" w:rsidP="00903311">
            <w:pPr>
              <w:pStyle w:val="COMTableheadingrow"/>
              <w:jc w:val="center"/>
              <w:rPr>
                <w:lang w:val="en-AU"/>
              </w:rPr>
            </w:pPr>
            <w:r w:rsidRPr="00F57392">
              <w:rPr>
                <w:lang w:val="en-AU"/>
              </w:rPr>
              <w:t>Vorasidenib</w:t>
            </w:r>
          </w:p>
          <w:p w14:paraId="0D7312BF" w14:textId="77777777" w:rsidR="00153864" w:rsidRPr="00F57392" w:rsidRDefault="00153864" w:rsidP="00903311">
            <w:pPr>
              <w:pStyle w:val="COMTableheadingrow"/>
              <w:jc w:val="center"/>
              <w:rPr>
                <w:lang w:val="en-AU"/>
              </w:rPr>
            </w:pPr>
            <w:r w:rsidRPr="00F57392">
              <w:rPr>
                <w:lang w:val="en-AU"/>
              </w:rPr>
              <w:t>N=167</w:t>
            </w:r>
          </w:p>
        </w:tc>
        <w:tc>
          <w:tcPr>
            <w:tcW w:w="1295" w:type="pct"/>
            <w:vAlign w:val="center"/>
          </w:tcPr>
          <w:p w14:paraId="12A2D06D" w14:textId="77777777" w:rsidR="00153864" w:rsidRPr="00F57392" w:rsidRDefault="00153864" w:rsidP="00903311">
            <w:pPr>
              <w:pStyle w:val="COMTableheadingrow"/>
              <w:jc w:val="center"/>
              <w:rPr>
                <w:lang w:val="en-AU"/>
              </w:rPr>
            </w:pPr>
            <w:r w:rsidRPr="00F57392">
              <w:rPr>
                <w:lang w:val="en-AU"/>
              </w:rPr>
              <w:t>Placebo</w:t>
            </w:r>
          </w:p>
          <w:p w14:paraId="0B22B16E" w14:textId="77777777" w:rsidR="00153864" w:rsidRPr="00F57392" w:rsidRDefault="00153864" w:rsidP="00903311">
            <w:pPr>
              <w:pStyle w:val="COMTableheadingrow"/>
              <w:jc w:val="center"/>
              <w:rPr>
                <w:lang w:val="en-AU"/>
              </w:rPr>
            </w:pPr>
            <w:r w:rsidRPr="00F57392">
              <w:rPr>
                <w:lang w:val="en-AU"/>
              </w:rPr>
              <w:t>N=163</w:t>
            </w:r>
          </w:p>
        </w:tc>
      </w:tr>
      <w:tr w:rsidR="00153864" w:rsidRPr="00F57392" w14:paraId="506A2C70" w14:textId="77777777" w:rsidTr="00153864">
        <w:tc>
          <w:tcPr>
            <w:tcW w:w="2411" w:type="pct"/>
            <w:vAlign w:val="center"/>
          </w:tcPr>
          <w:p w14:paraId="53FBE2DF" w14:textId="77777777" w:rsidR="00153864" w:rsidRPr="00F57392" w:rsidRDefault="00153864" w:rsidP="00903311">
            <w:pPr>
              <w:pStyle w:val="COMTabletext"/>
            </w:pPr>
            <w:r w:rsidRPr="00F57392">
              <w:t>Any AE, n (%)</w:t>
            </w:r>
          </w:p>
        </w:tc>
        <w:tc>
          <w:tcPr>
            <w:tcW w:w="1294" w:type="pct"/>
            <w:vAlign w:val="center"/>
          </w:tcPr>
          <w:p w14:paraId="013B5723" w14:textId="77777777" w:rsidR="00153864" w:rsidRPr="00F57392" w:rsidRDefault="00153864" w:rsidP="00903311">
            <w:pPr>
              <w:pStyle w:val="COMTabletext"/>
              <w:jc w:val="center"/>
            </w:pPr>
            <w:r w:rsidRPr="00F57392">
              <w:t>165 (98.8)</w:t>
            </w:r>
          </w:p>
        </w:tc>
        <w:tc>
          <w:tcPr>
            <w:tcW w:w="1295" w:type="pct"/>
            <w:vAlign w:val="center"/>
          </w:tcPr>
          <w:p w14:paraId="5C8A9030" w14:textId="77777777" w:rsidR="00153864" w:rsidRPr="00F57392" w:rsidRDefault="00153864" w:rsidP="00903311">
            <w:pPr>
              <w:pStyle w:val="COMTabletext"/>
              <w:jc w:val="center"/>
            </w:pPr>
            <w:r w:rsidRPr="00F57392">
              <w:t>155 (95.1)</w:t>
            </w:r>
          </w:p>
        </w:tc>
      </w:tr>
      <w:tr w:rsidR="00153864" w:rsidRPr="00F57392" w14:paraId="23F0E330" w14:textId="77777777" w:rsidTr="00153864">
        <w:tc>
          <w:tcPr>
            <w:tcW w:w="2411" w:type="pct"/>
            <w:vAlign w:val="center"/>
          </w:tcPr>
          <w:p w14:paraId="143799E2" w14:textId="77777777" w:rsidR="00153864" w:rsidRPr="00F57392" w:rsidRDefault="00153864" w:rsidP="00903311">
            <w:pPr>
              <w:pStyle w:val="COMTabletext"/>
            </w:pPr>
            <w:r w:rsidRPr="00F57392">
              <w:t>Grade ≥3 AE, n (%)</w:t>
            </w:r>
          </w:p>
        </w:tc>
        <w:tc>
          <w:tcPr>
            <w:tcW w:w="1294" w:type="pct"/>
            <w:vAlign w:val="center"/>
          </w:tcPr>
          <w:p w14:paraId="34173ABC" w14:textId="77777777" w:rsidR="00153864" w:rsidRPr="00F57392" w:rsidRDefault="00153864" w:rsidP="00903311">
            <w:pPr>
              <w:pStyle w:val="COMTabletext"/>
              <w:jc w:val="center"/>
            </w:pPr>
            <w:r w:rsidRPr="00F57392">
              <w:t>45 (26.9)</w:t>
            </w:r>
          </w:p>
        </w:tc>
        <w:tc>
          <w:tcPr>
            <w:tcW w:w="1295" w:type="pct"/>
            <w:vAlign w:val="center"/>
          </w:tcPr>
          <w:p w14:paraId="7A350AA5" w14:textId="77777777" w:rsidR="00153864" w:rsidRPr="00F57392" w:rsidRDefault="00153864" w:rsidP="00903311">
            <w:pPr>
              <w:pStyle w:val="COMTabletext"/>
              <w:jc w:val="center"/>
            </w:pPr>
            <w:r w:rsidRPr="00F57392">
              <w:t>26 (16.0)</w:t>
            </w:r>
          </w:p>
        </w:tc>
      </w:tr>
      <w:tr w:rsidR="00153864" w:rsidRPr="00F57392" w14:paraId="79C7E567" w14:textId="77777777" w:rsidTr="00153864">
        <w:tc>
          <w:tcPr>
            <w:tcW w:w="2411" w:type="pct"/>
            <w:vAlign w:val="center"/>
          </w:tcPr>
          <w:p w14:paraId="6B486786" w14:textId="77777777" w:rsidR="00153864" w:rsidRPr="00F57392" w:rsidRDefault="00153864" w:rsidP="00903311">
            <w:pPr>
              <w:pStyle w:val="COMTabletext"/>
            </w:pPr>
            <w:r w:rsidRPr="00F57392">
              <w:t>Treatment-related AE, n (%)</w:t>
            </w:r>
          </w:p>
          <w:p w14:paraId="53B87DA2" w14:textId="77777777" w:rsidR="00153864" w:rsidRPr="00F57392" w:rsidRDefault="00153864" w:rsidP="00903311">
            <w:pPr>
              <w:pStyle w:val="COMTabletext"/>
            </w:pPr>
            <w:r w:rsidRPr="00F57392">
              <w:t>- Grade ≥3 treatment-related AE, n (%)</w:t>
            </w:r>
          </w:p>
        </w:tc>
        <w:tc>
          <w:tcPr>
            <w:tcW w:w="1294" w:type="pct"/>
            <w:vAlign w:val="center"/>
          </w:tcPr>
          <w:p w14:paraId="67B896BA" w14:textId="77777777" w:rsidR="00153864" w:rsidRPr="00F57392" w:rsidRDefault="00153864" w:rsidP="00903311">
            <w:pPr>
              <w:pStyle w:val="COMTabletext"/>
              <w:jc w:val="center"/>
            </w:pPr>
            <w:r w:rsidRPr="00F57392">
              <w:t>115 (68.9)</w:t>
            </w:r>
          </w:p>
          <w:p w14:paraId="2F7B4679" w14:textId="77777777" w:rsidR="00153864" w:rsidRPr="00F57392" w:rsidRDefault="00153864" w:rsidP="00903311">
            <w:pPr>
              <w:pStyle w:val="COMTabletext"/>
              <w:jc w:val="center"/>
            </w:pPr>
            <w:r w:rsidRPr="00F57392">
              <w:t>23 (13.8)</w:t>
            </w:r>
          </w:p>
        </w:tc>
        <w:tc>
          <w:tcPr>
            <w:tcW w:w="1295" w:type="pct"/>
            <w:vAlign w:val="center"/>
          </w:tcPr>
          <w:p w14:paraId="274B4ED3" w14:textId="77777777" w:rsidR="00153864" w:rsidRPr="00F57392" w:rsidRDefault="00153864" w:rsidP="00903311">
            <w:pPr>
              <w:pStyle w:val="COMTabletext"/>
              <w:jc w:val="center"/>
            </w:pPr>
            <w:r w:rsidRPr="00F57392">
              <w:t>101 (62.0)</w:t>
            </w:r>
          </w:p>
          <w:p w14:paraId="0F1BB758" w14:textId="77777777" w:rsidR="00153864" w:rsidRPr="00F57392" w:rsidRDefault="00153864" w:rsidP="00903311">
            <w:pPr>
              <w:pStyle w:val="COMTabletext"/>
              <w:jc w:val="center"/>
            </w:pPr>
            <w:r w:rsidRPr="00F57392">
              <w:t>9 (5.5)</w:t>
            </w:r>
          </w:p>
        </w:tc>
      </w:tr>
      <w:tr w:rsidR="00153864" w:rsidRPr="00F57392" w14:paraId="43B76478" w14:textId="77777777" w:rsidTr="00153864">
        <w:tc>
          <w:tcPr>
            <w:tcW w:w="2411" w:type="pct"/>
            <w:vAlign w:val="center"/>
          </w:tcPr>
          <w:p w14:paraId="04B8A08D" w14:textId="77777777" w:rsidR="00153864" w:rsidRPr="00F57392" w:rsidRDefault="00153864" w:rsidP="00903311">
            <w:pPr>
              <w:pStyle w:val="COMTabletext"/>
            </w:pPr>
            <w:r w:rsidRPr="00F57392">
              <w:t>Serious AE, n (%)</w:t>
            </w:r>
          </w:p>
          <w:p w14:paraId="39F3E5B7" w14:textId="77777777" w:rsidR="00153864" w:rsidRPr="00F57392" w:rsidRDefault="00153864" w:rsidP="00903311">
            <w:pPr>
              <w:pStyle w:val="COMTabletext"/>
            </w:pPr>
            <w:r w:rsidRPr="00F57392">
              <w:t>- Treatment-related serious AE, n (%)</w:t>
            </w:r>
          </w:p>
        </w:tc>
        <w:tc>
          <w:tcPr>
            <w:tcW w:w="1294" w:type="pct"/>
            <w:vAlign w:val="center"/>
          </w:tcPr>
          <w:p w14:paraId="5CC06290" w14:textId="77777777" w:rsidR="00153864" w:rsidRPr="00F57392" w:rsidRDefault="00153864" w:rsidP="00903311">
            <w:pPr>
              <w:pStyle w:val="COMTabletext"/>
              <w:jc w:val="center"/>
            </w:pPr>
            <w:r w:rsidRPr="00F57392">
              <w:t>20 (12.0)</w:t>
            </w:r>
          </w:p>
          <w:p w14:paraId="5B921A48" w14:textId="77777777" w:rsidR="00153864" w:rsidRPr="00F57392" w:rsidRDefault="00153864" w:rsidP="00903311">
            <w:pPr>
              <w:pStyle w:val="COMTabletext"/>
              <w:jc w:val="center"/>
            </w:pPr>
            <w:r w:rsidRPr="00F57392">
              <w:t>3 (1.8)</w:t>
            </w:r>
          </w:p>
        </w:tc>
        <w:tc>
          <w:tcPr>
            <w:tcW w:w="1295" w:type="pct"/>
            <w:vAlign w:val="center"/>
          </w:tcPr>
          <w:p w14:paraId="0F07328C" w14:textId="77777777" w:rsidR="00153864" w:rsidRPr="00F57392" w:rsidRDefault="00153864" w:rsidP="00903311">
            <w:pPr>
              <w:pStyle w:val="COMTabletext"/>
              <w:jc w:val="center"/>
            </w:pPr>
            <w:r w:rsidRPr="00F57392">
              <w:t>10 (6.1)</w:t>
            </w:r>
          </w:p>
          <w:p w14:paraId="222AD80A" w14:textId="77777777" w:rsidR="00153864" w:rsidRPr="00F57392" w:rsidRDefault="00153864" w:rsidP="00903311">
            <w:pPr>
              <w:pStyle w:val="COMTabletext"/>
              <w:jc w:val="center"/>
            </w:pPr>
            <w:r w:rsidRPr="00F57392">
              <w:t>0</w:t>
            </w:r>
          </w:p>
        </w:tc>
      </w:tr>
      <w:tr w:rsidR="00153864" w:rsidRPr="00F57392" w14:paraId="2C849F1A" w14:textId="77777777" w:rsidTr="00153864">
        <w:tc>
          <w:tcPr>
            <w:tcW w:w="2411" w:type="pct"/>
            <w:vAlign w:val="center"/>
          </w:tcPr>
          <w:p w14:paraId="6D96296E" w14:textId="77777777" w:rsidR="00153864" w:rsidRPr="00F57392" w:rsidRDefault="00153864" w:rsidP="00903311">
            <w:pPr>
              <w:pStyle w:val="COMTabletext"/>
            </w:pPr>
            <w:r w:rsidRPr="00F57392">
              <w:t>AE leading to treatment discontinuation, n (%)</w:t>
            </w:r>
          </w:p>
        </w:tc>
        <w:tc>
          <w:tcPr>
            <w:tcW w:w="1294" w:type="pct"/>
            <w:vAlign w:val="center"/>
          </w:tcPr>
          <w:p w14:paraId="34C058FF" w14:textId="77777777" w:rsidR="00153864" w:rsidRPr="00F57392" w:rsidRDefault="00153864" w:rsidP="00903311">
            <w:pPr>
              <w:pStyle w:val="COMTabletext"/>
              <w:jc w:val="center"/>
            </w:pPr>
            <w:r w:rsidRPr="00F57392">
              <w:t>7 (4.2)</w:t>
            </w:r>
          </w:p>
        </w:tc>
        <w:tc>
          <w:tcPr>
            <w:tcW w:w="1295" w:type="pct"/>
            <w:vAlign w:val="center"/>
          </w:tcPr>
          <w:p w14:paraId="5223082D" w14:textId="77777777" w:rsidR="00153864" w:rsidRPr="00F57392" w:rsidRDefault="00153864" w:rsidP="00903311">
            <w:pPr>
              <w:pStyle w:val="COMTabletext"/>
              <w:jc w:val="center"/>
            </w:pPr>
            <w:r w:rsidRPr="00F57392">
              <w:t>2 (1.2)</w:t>
            </w:r>
          </w:p>
        </w:tc>
      </w:tr>
      <w:tr w:rsidR="00153864" w:rsidRPr="00F57392" w14:paraId="6F753B9C" w14:textId="77777777" w:rsidTr="00153864">
        <w:tc>
          <w:tcPr>
            <w:tcW w:w="2411" w:type="pct"/>
            <w:vAlign w:val="center"/>
          </w:tcPr>
          <w:p w14:paraId="76D8752B" w14:textId="77777777" w:rsidR="00153864" w:rsidRPr="00F57392" w:rsidRDefault="00153864" w:rsidP="00903311">
            <w:pPr>
              <w:pStyle w:val="COMTabletext"/>
            </w:pPr>
            <w:r w:rsidRPr="00F57392">
              <w:t>AE leading to dose reduction, n (%)</w:t>
            </w:r>
          </w:p>
        </w:tc>
        <w:tc>
          <w:tcPr>
            <w:tcW w:w="1294" w:type="pct"/>
            <w:vAlign w:val="center"/>
          </w:tcPr>
          <w:p w14:paraId="6913F2D2" w14:textId="77777777" w:rsidR="00153864" w:rsidRPr="00F57392" w:rsidRDefault="00153864" w:rsidP="00903311">
            <w:pPr>
              <w:pStyle w:val="COMTabletext"/>
              <w:jc w:val="center"/>
            </w:pPr>
            <w:r w:rsidRPr="00F57392">
              <w:t>19 (11.4)</w:t>
            </w:r>
          </w:p>
        </w:tc>
        <w:tc>
          <w:tcPr>
            <w:tcW w:w="1295" w:type="pct"/>
            <w:vAlign w:val="center"/>
          </w:tcPr>
          <w:p w14:paraId="3D575A66" w14:textId="77777777" w:rsidR="00153864" w:rsidRPr="00F57392" w:rsidRDefault="00153864" w:rsidP="00903311">
            <w:pPr>
              <w:pStyle w:val="COMTabletext"/>
              <w:jc w:val="center"/>
            </w:pPr>
            <w:r w:rsidRPr="00F57392">
              <w:t>7 (4.3)</w:t>
            </w:r>
          </w:p>
        </w:tc>
      </w:tr>
      <w:tr w:rsidR="00153864" w:rsidRPr="00F57392" w14:paraId="0A2C79D0" w14:textId="77777777" w:rsidTr="00153864">
        <w:tc>
          <w:tcPr>
            <w:tcW w:w="2411" w:type="pct"/>
            <w:vAlign w:val="center"/>
          </w:tcPr>
          <w:p w14:paraId="7F7CC229" w14:textId="77777777" w:rsidR="00153864" w:rsidRPr="00F57392" w:rsidRDefault="00153864" w:rsidP="00903311">
            <w:pPr>
              <w:pStyle w:val="COMTabletext"/>
            </w:pPr>
            <w:r w:rsidRPr="00F57392">
              <w:t>AE leading to treatment interruption, n (%)</w:t>
            </w:r>
          </w:p>
        </w:tc>
        <w:tc>
          <w:tcPr>
            <w:tcW w:w="1294" w:type="pct"/>
            <w:vAlign w:val="center"/>
          </w:tcPr>
          <w:p w14:paraId="70318DB6" w14:textId="77777777" w:rsidR="00153864" w:rsidRPr="00F57392" w:rsidRDefault="00153864" w:rsidP="00903311">
            <w:pPr>
              <w:pStyle w:val="COMTabletext"/>
              <w:jc w:val="center"/>
            </w:pPr>
            <w:r w:rsidRPr="00F57392">
              <w:t>55 (32.9)</w:t>
            </w:r>
          </w:p>
        </w:tc>
        <w:tc>
          <w:tcPr>
            <w:tcW w:w="1295" w:type="pct"/>
            <w:vAlign w:val="center"/>
          </w:tcPr>
          <w:p w14:paraId="381671D5" w14:textId="77777777" w:rsidR="00153864" w:rsidRPr="00F57392" w:rsidRDefault="00153864" w:rsidP="00903311">
            <w:pPr>
              <w:pStyle w:val="COMTabletext"/>
              <w:jc w:val="center"/>
            </w:pPr>
            <w:r w:rsidRPr="00F57392">
              <w:t>41 (25.2)</w:t>
            </w:r>
          </w:p>
        </w:tc>
      </w:tr>
      <w:tr w:rsidR="00153864" w:rsidRPr="00F57392" w14:paraId="64221720" w14:textId="77777777" w:rsidTr="00153864">
        <w:tc>
          <w:tcPr>
            <w:tcW w:w="2411" w:type="pct"/>
            <w:vAlign w:val="center"/>
          </w:tcPr>
          <w:p w14:paraId="6749CD98" w14:textId="77777777" w:rsidR="00153864" w:rsidRPr="00F57392" w:rsidRDefault="00153864" w:rsidP="00903311">
            <w:pPr>
              <w:pStyle w:val="COMTabletext"/>
            </w:pPr>
            <w:r w:rsidRPr="00F57392">
              <w:t>AE leading to death, n (%)</w:t>
            </w:r>
          </w:p>
        </w:tc>
        <w:tc>
          <w:tcPr>
            <w:tcW w:w="1294" w:type="pct"/>
            <w:vAlign w:val="center"/>
          </w:tcPr>
          <w:p w14:paraId="1561206E" w14:textId="77777777" w:rsidR="00153864" w:rsidRPr="00F57392" w:rsidRDefault="00153864" w:rsidP="00903311">
            <w:pPr>
              <w:pStyle w:val="COMTabletext"/>
              <w:jc w:val="center"/>
            </w:pPr>
            <w:r w:rsidRPr="00F57392">
              <w:t>0</w:t>
            </w:r>
          </w:p>
        </w:tc>
        <w:tc>
          <w:tcPr>
            <w:tcW w:w="1295" w:type="pct"/>
            <w:vAlign w:val="center"/>
          </w:tcPr>
          <w:p w14:paraId="4A25D821" w14:textId="77777777" w:rsidR="00153864" w:rsidRPr="00F57392" w:rsidRDefault="00153864" w:rsidP="00903311">
            <w:pPr>
              <w:pStyle w:val="COMTabletext"/>
              <w:jc w:val="center"/>
            </w:pPr>
            <w:r w:rsidRPr="00F57392">
              <w:t>0</w:t>
            </w:r>
          </w:p>
        </w:tc>
      </w:tr>
      <w:tr w:rsidR="00153864" w:rsidRPr="00F57392" w14:paraId="45281CAD" w14:textId="77777777" w:rsidTr="00153864">
        <w:tc>
          <w:tcPr>
            <w:tcW w:w="2411" w:type="pct"/>
            <w:vAlign w:val="center"/>
          </w:tcPr>
          <w:p w14:paraId="0ADE2050" w14:textId="77777777" w:rsidR="00153864" w:rsidRPr="00F57392" w:rsidRDefault="00153864" w:rsidP="00903311">
            <w:pPr>
              <w:pStyle w:val="COMTabletext"/>
            </w:pPr>
            <w:r w:rsidRPr="00F57392">
              <w:t>Any adverse event of special interest, n (%)</w:t>
            </w:r>
          </w:p>
        </w:tc>
        <w:tc>
          <w:tcPr>
            <w:tcW w:w="1294" w:type="pct"/>
            <w:vAlign w:val="center"/>
          </w:tcPr>
          <w:p w14:paraId="068A4FF1" w14:textId="77777777" w:rsidR="00153864" w:rsidRPr="00F57392" w:rsidRDefault="00153864" w:rsidP="00903311">
            <w:pPr>
              <w:pStyle w:val="COMTabletext"/>
              <w:jc w:val="center"/>
            </w:pPr>
            <w:r w:rsidRPr="00F57392">
              <w:t>35 (21.0)</w:t>
            </w:r>
          </w:p>
        </w:tc>
        <w:tc>
          <w:tcPr>
            <w:tcW w:w="1295" w:type="pct"/>
            <w:vAlign w:val="center"/>
          </w:tcPr>
          <w:p w14:paraId="032990D8" w14:textId="77777777" w:rsidR="00153864" w:rsidRPr="00F57392" w:rsidRDefault="00153864" w:rsidP="00903311">
            <w:pPr>
              <w:pStyle w:val="COMTabletext"/>
              <w:jc w:val="center"/>
            </w:pPr>
            <w:r w:rsidRPr="00F57392">
              <w:t>7 (4.3)</w:t>
            </w:r>
          </w:p>
        </w:tc>
      </w:tr>
      <w:tr w:rsidR="00153864" w:rsidRPr="00F57392" w14:paraId="2B91CA7C" w14:textId="77777777" w:rsidTr="00153864">
        <w:tc>
          <w:tcPr>
            <w:tcW w:w="2411" w:type="pct"/>
            <w:vAlign w:val="center"/>
          </w:tcPr>
          <w:p w14:paraId="2EE0F17D" w14:textId="77777777" w:rsidR="00153864" w:rsidRPr="00F57392" w:rsidRDefault="00153864" w:rsidP="00903311">
            <w:pPr>
              <w:pStyle w:val="COMTabletext"/>
            </w:pPr>
            <w:r w:rsidRPr="00F57392">
              <w:t>AE associated with COVID-19, n (%)</w:t>
            </w:r>
          </w:p>
        </w:tc>
        <w:tc>
          <w:tcPr>
            <w:tcW w:w="1294" w:type="pct"/>
            <w:vAlign w:val="center"/>
          </w:tcPr>
          <w:p w14:paraId="069D1DAF" w14:textId="77777777" w:rsidR="00153864" w:rsidRPr="00F57392" w:rsidRDefault="00153864" w:rsidP="00903311">
            <w:pPr>
              <w:pStyle w:val="COMTabletext"/>
              <w:jc w:val="center"/>
            </w:pPr>
            <w:r w:rsidRPr="00F57392">
              <w:t>61 (36.5)</w:t>
            </w:r>
          </w:p>
        </w:tc>
        <w:tc>
          <w:tcPr>
            <w:tcW w:w="1295" w:type="pct"/>
            <w:vAlign w:val="center"/>
          </w:tcPr>
          <w:p w14:paraId="54886ACF" w14:textId="77777777" w:rsidR="00153864" w:rsidRPr="00F57392" w:rsidRDefault="00153864" w:rsidP="00903311">
            <w:pPr>
              <w:pStyle w:val="COMTabletext"/>
              <w:jc w:val="center"/>
            </w:pPr>
            <w:r w:rsidRPr="00F57392">
              <w:t>57 (35.0)</w:t>
            </w:r>
          </w:p>
        </w:tc>
      </w:tr>
      <w:tr w:rsidR="00153864" w:rsidRPr="00F57392" w14:paraId="461582C2" w14:textId="77777777" w:rsidTr="00153864">
        <w:tc>
          <w:tcPr>
            <w:tcW w:w="2411" w:type="pct"/>
          </w:tcPr>
          <w:p w14:paraId="1311B371" w14:textId="77777777" w:rsidR="00153864" w:rsidRPr="00F57392" w:rsidRDefault="00153864" w:rsidP="00903311">
            <w:pPr>
              <w:pStyle w:val="COMTabletext"/>
            </w:pPr>
            <w:r w:rsidRPr="00F57392">
              <w:t>Any AE occurring in ≥10%, n (%)</w:t>
            </w:r>
          </w:p>
          <w:p w14:paraId="291DB8F7" w14:textId="77777777" w:rsidR="00153864" w:rsidRPr="00F57392" w:rsidRDefault="00153864" w:rsidP="00903311">
            <w:pPr>
              <w:pStyle w:val="COMTabletext"/>
            </w:pPr>
            <w:r w:rsidRPr="00F57392">
              <w:t>- ALT increased</w:t>
            </w:r>
          </w:p>
          <w:p w14:paraId="744D9712" w14:textId="77777777" w:rsidR="00153864" w:rsidRPr="00F57392" w:rsidRDefault="00153864" w:rsidP="00903311">
            <w:pPr>
              <w:pStyle w:val="COMTabletext"/>
            </w:pPr>
            <w:r w:rsidRPr="00F57392">
              <w:t>- Fatigue</w:t>
            </w:r>
          </w:p>
          <w:p w14:paraId="5FA98858" w14:textId="77777777" w:rsidR="00153864" w:rsidRPr="00F57392" w:rsidRDefault="00153864" w:rsidP="00903311">
            <w:pPr>
              <w:pStyle w:val="COMTabletext"/>
            </w:pPr>
            <w:r w:rsidRPr="00F57392">
              <w:t>- COVID-19</w:t>
            </w:r>
          </w:p>
          <w:p w14:paraId="05E08D16" w14:textId="77777777" w:rsidR="00153864" w:rsidRPr="00F57392" w:rsidRDefault="00153864" w:rsidP="00903311">
            <w:pPr>
              <w:pStyle w:val="COMTabletext"/>
            </w:pPr>
            <w:r w:rsidRPr="00F57392">
              <w:t>- AST increased</w:t>
            </w:r>
          </w:p>
          <w:p w14:paraId="129134CD" w14:textId="77777777" w:rsidR="00153864" w:rsidRPr="00F57392" w:rsidRDefault="00153864" w:rsidP="00903311">
            <w:pPr>
              <w:pStyle w:val="COMTabletext"/>
            </w:pPr>
            <w:r w:rsidRPr="00F57392">
              <w:t>- Headache</w:t>
            </w:r>
          </w:p>
          <w:p w14:paraId="67A34B9A" w14:textId="77777777" w:rsidR="00153864" w:rsidRPr="00F57392" w:rsidRDefault="00153864" w:rsidP="00903311">
            <w:pPr>
              <w:pStyle w:val="COMTabletext"/>
            </w:pPr>
            <w:r w:rsidRPr="00F57392">
              <w:t>- Diarrhoea</w:t>
            </w:r>
          </w:p>
          <w:p w14:paraId="7E983672" w14:textId="77777777" w:rsidR="00153864" w:rsidRPr="00F57392" w:rsidRDefault="00153864" w:rsidP="00903311">
            <w:pPr>
              <w:pStyle w:val="COMTabletext"/>
            </w:pPr>
            <w:r w:rsidRPr="00F57392">
              <w:t>- Nausea</w:t>
            </w:r>
          </w:p>
          <w:p w14:paraId="306DBC02" w14:textId="77777777" w:rsidR="00153864" w:rsidRPr="00F57392" w:rsidRDefault="00153864" w:rsidP="00903311">
            <w:pPr>
              <w:pStyle w:val="COMTabletext"/>
            </w:pPr>
            <w:r w:rsidRPr="00F57392">
              <w:t>- GGT increased</w:t>
            </w:r>
          </w:p>
          <w:p w14:paraId="7CD277A8" w14:textId="77777777" w:rsidR="00153864" w:rsidRPr="00F57392" w:rsidRDefault="00153864" w:rsidP="00903311">
            <w:pPr>
              <w:pStyle w:val="COMTabletext"/>
            </w:pPr>
            <w:r w:rsidRPr="00F57392">
              <w:t>- Dizziness</w:t>
            </w:r>
          </w:p>
          <w:p w14:paraId="31456D8E" w14:textId="77777777" w:rsidR="00153864" w:rsidRPr="00F57392" w:rsidRDefault="00153864" w:rsidP="00903311">
            <w:pPr>
              <w:pStyle w:val="COMTabletext"/>
            </w:pPr>
            <w:r w:rsidRPr="00F57392">
              <w:t>- Seizure</w:t>
            </w:r>
          </w:p>
          <w:p w14:paraId="4F88AE70" w14:textId="77777777" w:rsidR="00153864" w:rsidRPr="00F57392" w:rsidRDefault="00153864" w:rsidP="00903311">
            <w:pPr>
              <w:pStyle w:val="COMTabletext"/>
            </w:pPr>
            <w:r w:rsidRPr="00F57392">
              <w:t>- Constipation</w:t>
            </w:r>
          </w:p>
          <w:p w14:paraId="4998CDF6" w14:textId="77777777" w:rsidR="00153864" w:rsidRPr="00F57392" w:rsidRDefault="00153864" w:rsidP="00903311">
            <w:pPr>
              <w:pStyle w:val="COMTabletext"/>
            </w:pPr>
            <w:r w:rsidRPr="00F57392">
              <w:t>- Insomnia</w:t>
            </w:r>
          </w:p>
          <w:p w14:paraId="062236F4" w14:textId="77777777" w:rsidR="00153864" w:rsidRPr="00F57392" w:rsidRDefault="00153864" w:rsidP="00903311">
            <w:pPr>
              <w:pStyle w:val="COMTabletext"/>
            </w:pPr>
            <w:r w:rsidRPr="00F57392">
              <w:t>- Paraesthesia</w:t>
            </w:r>
          </w:p>
          <w:p w14:paraId="69A2E749" w14:textId="77777777" w:rsidR="00153864" w:rsidRPr="00F57392" w:rsidRDefault="00153864" w:rsidP="00903311">
            <w:pPr>
              <w:pStyle w:val="COMTabletext"/>
            </w:pPr>
            <w:r w:rsidRPr="00F57392">
              <w:t>- Arthralgia</w:t>
            </w:r>
          </w:p>
          <w:p w14:paraId="298FC1A6" w14:textId="77777777" w:rsidR="00153864" w:rsidRPr="00F57392" w:rsidRDefault="00153864" w:rsidP="00903311">
            <w:pPr>
              <w:pStyle w:val="COMTabletext"/>
            </w:pPr>
            <w:r w:rsidRPr="00F57392">
              <w:t>- Vomiting</w:t>
            </w:r>
          </w:p>
          <w:p w14:paraId="0B04C6E3" w14:textId="77777777" w:rsidR="00153864" w:rsidRPr="00F57392" w:rsidRDefault="00153864" w:rsidP="00903311">
            <w:pPr>
              <w:pStyle w:val="COMTabletext"/>
            </w:pPr>
            <w:r w:rsidRPr="00F57392">
              <w:t>- Abdominal pain</w:t>
            </w:r>
          </w:p>
          <w:p w14:paraId="514EB42D" w14:textId="77777777" w:rsidR="00153864" w:rsidRPr="00F57392" w:rsidRDefault="00153864" w:rsidP="00903311">
            <w:pPr>
              <w:pStyle w:val="COMTabletext"/>
            </w:pPr>
            <w:r w:rsidRPr="00F57392">
              <w:t>- Anxiety</w:t>
            </w:r>
          </w:p>
        </w:tc>
        <w:tc>
          <w:tcPr>
            <w:tcW w:w="1294" w:type="pct"/>
          </w:tcPr>
          <w:p w14:paraId="536307A6" w14:textId="77777777" w:rsidR="00153864" w:rsidRPr="00F57392" w:rsidRDefault="00153864" w:rsidP="00903311">
            <w:pPr>
              <w:pStyle w:val="COMTabletext"/>
              <w:jc w:val="center"/>
            </w:pPr>
          </w:p>
          <w:p w14:paraId="19295B53" w14:textId="77777777" w:rsidR="00153864" w:rsidRPr="00F57392" w:rsidRDefault="00153864" w:rsidP="00903311">
            <w:pPr>
              <w:pStyle w:val="COMTabletext"/>
              <w:jc w:val="center"/>
            </w:pPr>
            <w:r w:rsidRPr="00F57392">
              <w:t>72 (43.1)</w:t>
            </w:r>
          </w:p>
          <w:p w14:paraId="62A147D5" w14:textId="77777777" w:rsidR="00153864" w:rsidRPr="00F57392" w:rsidRDefault="00153864" w:rsidP="00903311">
            <w:pPr>
              <w:pStyle w:val="COMTabletext"/>
              <w:jc w:val="center"/>
            </w:pPr>
            <w:r w:rsidRPr="00F57392">
              <w:t>61 (36.5)</w:t>
            </w:r>
          </w:p>
          <w:p w14:paraId="604D978F" w14:textId="77777777" w:rsidR="00153864" w:rsidRPr="00F57392" w:rsidRDefault="00153864" w:rsidP="00903311">
            <w:pPr>
              <w:pStyle w:val="COMTabletext"/>
              <w:jc w:val="center"/>
            </w:pPr>
            <w:r w:rsidRPr="00F57392">
              <w:t>58 (34.7)</w:t>
            </w:r>
          </w:p>
          <w:p w14:paraId="1BBC3958" w14:textId="77777777" w:rsidR="00153864" w:rsidRPr="00F57392" w:rsidRDefault="00153864" w:rsidP="00903311">
            <w:pPr>
              <w:pStyle w:val="COMTabletext"/>
              <w:jc w:val="center"/>
            </w:pPr>
            <w:r w:rsidRPr="00F57392">
              <w:t>55 (32.9)</w:t>
            </w:r>
          </w:p>
          <w:p w14:paraId="1EF0AA21" w14:textId="77777777" w:rsidR="00153864" w:rsidRPr="00F57392" w:rsidRDefault="00153864" w:rsidP="00903311">
            <w:pPr>
              <w:pStyle w:val="COMTabletext"/>
              <w:jc w:val="center"/>
            </w:pPr>
            <w:r w:rsidRPr="00F57392">
              <w:t>48 (28.7)</w:t>
            </w:r>
          </w:p>
          <w:p w14:paraId="11BB8091" w14:textId="77777777" w:rsidR="00153864" w:rsidRPr="00F57392" w:rsidRDefault="00153864" w:rsidP="00903311">
            <w:pPr>
              <w:pStyle w:val="COMTabletext"/>
              <w:jc w:val="center"/>
            </w:pPr>
            <w:r w:rsidRPr="00F57392">
              <w:t>45 (26.9)</w:t>
            </w:r>
          </w:p>
          <w:p w14:paraId="61400694" w14:textId="77777777" w:rsidR="00153864" w:rsidRPr="00F57392" w:rsidRDefault="00153864" w:rsidP="00903311">
            <w:pPr>
              <w:pStyle w:val="COMTabletext"/>
              <w:jc w:val="center"/>
            </w:pPr>
            <w:r w:rsidRPr="00F57392">
              <w:t>40 (24.0)</w:t>
            </w:r>
          </w:p>
          <w:p w14:paraId="704935AD" w14:textId="77777777" w:rsidR="00153864" w:rsidRPr="00F57392" w:rsidRDefault="00153864" w:rsidP="00903311">
            <w:pPr>
              <w:pStyle w:val="COMTabletext"/>
              <w:jc w:val="center"/>
            </w:pPr>
            <w:r w:rsidRPr="00F57392">
              <w:t>31 (18.6)</w:t>
            </w:r>
          </w:p>
          <w:p w14:paraId="439D2CDA" w14:textId="77777777" w:rsidR="00153864" w:rsidRPr="00F57392" w:rsidRDefault="00153864" w:rsidP="00903311">
            <w:pPr>
              <w:pStyle w:val="COMTabletext"/>
              <w:jc w:val="center"/>
            </w:pPr>
            <w:r w:rsidRPr="00F57392">
              <w:t>30 (18.0)</w:t>
            </w:r>
          </w:p>
          <w:p w14:paraId="7FCE7C89" w14:textId="77777777" w:rsidR="00153864" w:rsidRPr="00F57392" w:rsidRDefault="00153864" w:rsidP="00903311">
            <w:pPr>
              <w:pStyle w:val="COMTabletext"/>
              <w:jc w:val="center"/>
            </w:pPr>
            <w:r w:rsidRPr="00F57392">
              <w:t>26 (15.6)</w:t>
            </w:r>
          </w:p>
          <w:p w14:paraId="2F8C8FB4" w14:textId="77777777" w:rsidR="00153864" w:rsidRPr="00F57392" w:rsidRDefault="00153864" w:rsidP="00903311">
            <w:pPr>
              <w:pStyle w:val="COMTabletext"/>
              <w:jc w:val="center"/>
            </w:pPr>
            <w:r w:rsidRPr="00F57392">
              <w:t>22 (13.2)</w:t>
            </w:r>
          </w:p>
          <w:p w14:paraId="3E71B0A7" w14:textId="77777777" w:rsidR="00153864" w:rsidRPr="00F57392" w:rsidRDefault="00153864" w:rsidP="00903311">
            <w:pPr>
              <w:pStyle w:val="COMTabletext"/>
              <w:jc w:val="center"/>
            </w:pPr>
            <w:r w:rsidRPr="00F57392">
              <w:t>18 (10.8)</w:t>
            </w:r>
          </w:p>
          <w:p w14:paraId="2A92BC5A" w14:textId="77777777" w:rsidR="00153864" w:rsidRPr="00F57392" w:rsidRDefault="00153864" w:rsidP="00903311">
            <w:pPr>
              <w:pStyle w:val="COMTabletext"/>
              <w:jc w:val="center"/>
            </w:pPr>
            <w:r w:rsidRPr="00F57392">
              <w:t>18 (10.8)</w:t>
            </w:r>
          </w:p>
          <w:p w14:paraId="5A509FB0" w14:textId="77777777" w:rsidR="00153864" w:rsidRPr="00F57392" w:rsidRDefault="00153864" w:rsidP="00903311">
            <w:pPr>
              <w:pStyle w:val="COMTabletext"/>
              <w:jc w:val="center"/>
            </w:pPr>
            <w:r w:rsidRPr="00F57392">
              <w:t>17 (10.2)</w:t>
            </w:r>
          </w:p>
          <w:p w14:paraId="620AF85B" w14:textId="77777777" w:rsidR="00153864" w:rsidRPr="00F57392" w:rsidRDefault="00153864" w:rsidP="00903311">
            <w:pPr>
              <w:pStyle w:val="COMTabletext"/>
              <w:jc w:val="center"/>
            </w:pPr>
            <w:r w:rsidRPr="00F57392">
              <w:t>16 (9.6)</w:t>
            </w:r>
          </w:p>
          <w:p w14:paraId="59E69798" w14:textId="77777777" w:rsidR="00153864" w:rsidRPr="00F57392" w:rsidRDefault="00153864" w:rsidP="00903311">
            <w:pPr>
              <w:pStyle w:val="COMTabletext"/>
              <w:jc w:val="center"/>
            </w:pPr>
            <w:r w:rsidRPr="00F57392">
              <w:t>15 (9.0)</w:t>
            </w:r>
          </w:p>
          <w:p w14:paraId="7E528891" w14:textId="77777777" w:rsidR="00153864" w:rsidRPr="00F57392" w:rsidRDefault="00153864" w:rsidP="00903311">
            <w:pPr>
              <w:pStyle w:val="COMTabletext"/>
              <w:jc w:val="center"/>
            </w:pPr>
            <w:r w:rsidRPr="00F57392">
              <w:t>13 (7.8)</w:t>
            </w:r>
          </w:p>
        </w:tc>
        <w:tc>
          <w:tcPr>
            <w:tcW w:w="1295" w:type="pct"/>
          </w:tcPr>
          <w:p w14:paraId="3F4E2786" w14:textId="77777777" w:rsidR="00153864" w:rsidRPr="00F57392" w:rsidRDefault="00153864" w:rsidP="00903311">
            <w:pPr>
              <w:pStyle w:val="COMTabletext"/>
              <w:jc w:val="center"/>
            </w:pPr>
          </w:p>
          <w:p w14:paraId="344F1B78" w14:textId="77777777" w:rsidR="00153864" w:rsidRPr="00F57392" w:rsidRDefault="00153864" w:rsidP="00903311">
            <w:pPr>
              <w:pStyle w:val="COMTabletext"/>
              <w:jc w:val="center"/>
            </w:pPr>
            <w:r w:rsidRPr="00F57392">
              <w:t>29 (17.8)</w:t>
            </w:r>
          </w:p>
          <w:p w14:paraId="59DD91A0" w14:textId="77777777" w:rsidR="00153864" w:rsidRPr="00F57392" w:rsidRDefault="00153864" w:rsidP="00903311">
            <w:pPr>
              <w:pStyle w:val="COMTabletext"/>
              <w:jc w:val="center"/>
            </w:pPr>
            <w:r w:rsidRPr="00F57392">
              <w:t>57 (35.0)</w:t>
            </w:r>
          </w:p>
          <w:p w14:paraId="24288875" w14:textId="77777777" w:rsidR="00153864" w:rsidRPr="00F57392" w:rsidRDefault="00153864" w:rsidP="00903311">
            <w:pPr>
              <w:pStyle w:val="COMTabletext"/>
              <w:jc w:val="center"/>
            </w:pPr>
            <w:r w:rsidRPr="00F57392">
              <w:t>54 (33.1)</w:t>
            </w:r>
          </w:p>
          <w:p w14:paraId="4207C878" w14:textId="77777777" w:rsidR="00153864" w:rsidRPr="00F57392" w:rsidRDefault="00153864" w:rsidP="00903311">
            <w:pPr>
              <w:pStyle w:val="COMTabletext"/>
              <w:jc w:val="center"/>
            </w:pPr>
            <w:r w:rsidRPr="00F57392">
              <w:t>15 (9.2)</w:t>
            </w:r>
          </w:p>
          <w:p w14:paraId="3FA286E0" w14:textId="77777777" w:rsidR="00153864" w:rsidRPr="00F57392" w:rsidRDefault="00153864" w:rsidP="00903311">
            <w:pPr>
              <w:pStyle w:val="COMTabletext"/>
              <w:jc w:val="center"/>
            </w:pPr>
            <w:r w:rsidRPr="00F57392">
              <w:t>46 (28.2)</w:t>
            </w:r>
          </w:p>
          <w:p w14:paraId="591D0CB3" w14:textId="77777777" w:rsidR="00153864" w:rsidRPr="00F57392" w:rsidRDefault="00153864" w:rsidP="00903311">
            <w:pPr>
              <w:pStyle w:val="COMTabletext"/>
              <w:jc w:val="center"/>
            </w:pPr>
            <w:r w:rsidRPr="00F57392">
              <w:t>31 (19.0)</w:t>
            </w:r>
          </w:p>
          <w:p w14:paraId="4A7D1A40" w14:textId="77777777" w:rsidR="00153864" w:rsidRPr="00F57392" w:rsidRDefault="00153864" w:rsidP="00903311">
            <w:pPr>
              <w:pStyle w:val="COMTabletext"/>
              <w:jc w:val="center"/>
            </w:pPr>
            <w:r w:rsidRPr="00F57392">
              <w:t>42 (25.8)</w:t>
            </w:r>
          </w:p>
          <w:p w14:paraId="3C64E051" w14:textId="77777777" w:rsidR="00153864" w:rsidRPr="00F57392" w:rsidRDefault="00153864" w:rsidP="00903311">
            <w:pPr>
              <w:pStyle w:val="COMTabletext"/>
              <w:jc w:val="center"/>
            </w:pPr>
            <w:r w:rsidRPr="00F57392">
              <w:t>8 (4.9)</w:t>
            </w:r>
          </w:p>
          <w:p w14:paraId="04FE5FD1" w14:textId="77777777" w:rsidR="00153864" w:rsidRPr="00F57392" w:rsidRDefault="00153864" w:rsidP="00903311">
            <w:pPr>
              <w:pStyle w:val="COMTabletext"/>
              <w:jc w:val="center"/>
            </w:pPr>
            <w:r w:rsidRPr="00F57392">
              <w:t>29 (17.8)</w:t>
            </w:r>
          </w:p>
          <w:p w14:paraId="2DAE86FB" w14:textId="77777777" w:rsidR="00153864" w:rsidRPr="00F57392" w:rsidRDefault="00153864" w:rsidP="00903311">
            <w:pPr>
              <w:pStyle w:val="COMTabletext"/>
              <w:jc w:val="center"/>
            </w:pPr>
            <w:r w:rsidRPr="00F57392">
              <w:t>20 (12.3)</w:t>
            </w:r>
          </w:p>
          <w:p w14:paraId="1B7D0B8D" w14:textId="77777777" w:rsidR="00153864" w:rsidRPr="00F57392" w:rsidRDefault="00153864" w:rsidP="00903311">
            <w:pPr>
              <w:pStyle w:val="COMTabletext"/>
              <w:jc w:val="center"/>
            </w:pPr>
            <w:r w:rsidRPr="00F57392">
              <w:t>20 (12.3)</w:t>
            </w:r>
          </w:p>
          <w:p w14:paraId="2730D4D3" w14:textId="77777777" w:rsidR="00153864" w:rsidRPr="00F57392" w:rsidRDefault="00153864" w:rsidP="00903311">
            <w:pPr>
              <w:pStyle w:val="COMTabletext"/>
              <w:jc w:val="center"/>
            </w:pPr>
            <w:r w:rsidRPr="00F57392">
              <w:t>15 (9.2)</w:t>
            </w:r>
          </w:p>
          <w:p w14:paraId="176169C3" w14:textId="77777777" w:rsidR="00153864" w:rsidRPr="00F57392" w:rsidRDefault="00153864" w:rsidP="00903311">
            <w:pPr>
              <w:pStyle w:val="COMTabletext"/>
              <w:jc w:val="center"/>
            </w:pPr>
            <w:r w:rsidRPr="00F57392">
              <w:t>14 (8.6)</w:t>
            </w:r>
          </w:p>
          <w:p w14:paraId="0F231FC8" w14:textId="77777777" w:rsidR="00153864" w:rsidRPr="00F57392" w:rsidRDefault="00153864" w:rsidP="00903311">
            <w:pPr>
              <w:pStyle w:val="COMTabletext"/>
              <w:jc w:val="center"/>
            </w:pPr>
            <w:r w:rsidRPr="00F57392">
              <w:t>19 (11.7)</w:t>
            </w:r>
          </w:p>
          <w:p w14:paraId="5186E923" w14:textId="77777777" w:rsidR="00153864" w:rsidRPr="00F57392" w:rsidRDefault="00153864" w:rsidP="00903311">
            <w:pPr>
              <w:pStyle w:val="COMTabletext"/>
              <w:jc w:val="center"/>
            </w:pPr>
            <w:r w:rsidRPr="00F57392">
              <w:t>19 (11.7)</w:t>
            </w:r>
          </w:p>
          <w:p w14:paraId="3FAAC75F" w14:textId="77777777" w:rsidR="00153864" w:rsidRPr="00F57392" w:rsidRDefault="00153864" w:rsidP="00903311">
            <w:pPr>
              <w:pStyle w:val="COMTabletext"/>
              <w:jc w:val="center"/>
            </w:pPr>
            <w:r w:rsidRPr="00F57392">
              <w:t>17 (10.4)</w:t>
            </w:r>
          </w:p>
          <w:p w14:paraId="15AF5152" w14:textId="77777777" w:rsidR="00153864" w:rsidRPr="00F57392" w:rsidRDefault="00153864" w:rsidP="00903311">
            <w:pPr>
              <w:pStyle w:val="COMTabletext"/>
              <w:jc w:val="center"/>
            </w:pPr>
            <w:r w:rsidRPr="00F57392">
              <w:t>17 (10.4)</w:t>
            </w:r>
          </w:p>
        </w:tc>
      </w:tr>
      <w:tr w:rsidR="00153864" w:rsidRPr="00F57392" w14:paraId="06272908" w14:textId="77777777" w:rsidTr="00153864">
        <w:trPr>
          <w:trHeight w:val="636"/>
        </w:trPr>
        <w:tc>
          <w:tcPr>
            <w:tcW w:w="2411" w:type="pct"/>
          </w:tcPr>
          <w:p w14:paraId="42461B4D" w14:textId="77777777" w:rsidR="00153864" w:rsidRPr="00F57392" w:rsidRDefault="00153864" w:rsidP="00903311">
            <w:pPr>
              <w:pStyle w:val="COMTabletext"/>
            </w:pPr>
            <w:r w:rsidRPr="00F57392">
              <w:t>Grade ≥3 AE occurring in ≥2%, n (%)</w:t>
            </w:r>
          </w:p>
          <w:p w14:paraId="1692361D" w14:textId="77777777" w:rsidR="00153864" w:rsidRPr="00F57392" w:rsidRDefault="00153864" w:rsidP="00903311">
            <w:pPr>
              <w:pStyle w:val="COMTabletext"/>
            </w:pPr>
            <w:r w:rsidRPr="00F57392">
              <w:t>- ALT increased</w:t>
            </w:r>
          </w:p>
          <w:p w14:paraId="0232A18C" w14:textId="77777777" w:rsidR="00153864" w:rsidRPr="00F57392" w:rsidRDefault="00153864" w:rsidP="00903311">
            <w:pPr>
              <w:pStyle w:val="COMTabletext"/>
            </w:pPr>
            <w:r w:rsidRPr="00F57392">
              <w:t>- AST increased</w:t>
            </w:r>
          </w:p>
          <w:p w14:paraId="6B6C3560" w14:textId="77777777" w:rsidR="00153864" w:rsidRPr="00F57392" w:rsidRDefault="00153864" w:rsidP="00903311">
            <w:pPr>
              <w:pStyle w:val="COMTabletext"/>
            </w:pPr>
            <w:r w:rsidRPr="00F57392">
              <w:t>- Seizure</w:t>
            </w:r>
          </w:p>
          <w:p w14:paraId="31488297" w14:textId="77777777" w:rsidR="00153864" w:rsidRPr="00F57392" w:rsidRDefault="00153864" w:rsidP="00903311">
            <w:pPr>
              <w:pStyle w:val="COMTabletext"/>
            </w:pPr>
            <w:r w:rsidRPr="00F57392">
              <w:t>- GGT increased</w:t>
            </w:r>
          </w:p>
        </w:tc>
        <w:tc>
          <w:tcPr>
            <w:tcW w:w="1294" w:type="pct"/>
          </w:tcPr>
          <w:p w14:paraId="45C695D3" w14:textId="77777777" w:rsidR="00153864" w:rsidRPr="00F57392" w:rsidRDefault="00153864" w:rsidP="00903311">
            <w:pPr>
              <w:pStyle w:val="COMTabletext"/>
              <w:jc w:val="center"/>
            </w:pPr>
          </w:p>
          <w:p w14:paraId="6E6E979E" w14:textId="77777777" w:rsidR="00153864" w:rsidRPr="00F57392" w:rsidRDefault="00153864" w:rsidP="00903311">
            <w:pPr>
              <w:pStyle w:val="COMTabletext"/>
              <w:jc w:val="center"/>
            </w:pPr>
            <w:r w:rsidRPr="00F57392">
              <w:t>17 (10.2)</w:t>
            </w:r>
          </w:p>
          <w:p w14:paraId="23BB6BAE" w14:textId="77777777" w:rsidR="00153864" w:rsidRPr="00F57392" w:rsidRDefault="00153864" w:rsidP="00903311">
            <w:pPr>
              <w:pStyle w:val="COMTabletext"/>
              <w:jc w:val="center"/>
            </w:pPr>
            <w:r w:rsidRPr="00F57392">
              <w:t>8 (4.8)</w:t>
            </w:r>
          </w:p>
          <w:p w14:paraId="681EBF9C" w14:textId="77777777" w:rsidR="00153864" w:rsidRPr="00F57392" w:rsidRDefault="00153864" w:rsidP="00903311">
            <w:pPr>
              <w:pStyle w:val="COMTabletext"/>
              <w:jc w:val="center"/>
            </w:pPr>
            <w:r w:rsidRPr="00F57392">
              <w:t>7 (4.2)</w:t>
            </w:r>
          </w:p>
          <w:p w14:paraId="7EA9B5DC" w14:textId="77777777" w:rsidR="00153864" w:rsidRPr="00F57392" w:rsidRDefault="00153864" w:rsidP="00903311">
            <w:pPr>
              <w:pStyle w:val="COMTabletext"/>
              <w:jc w:val="center"/>
            </w:pPr>
            <w:r w:rsidRPr="00F57392">
              <w:t>5 (3.0)</w:t>
            </w:r>
          </w:p>
        </w:tc>
        <w:tc>
          <w:tcPr>
            <w:tcW w:w="1295" w:type="pct"/>
          </w:tcPr>
          <w:p w14:paraId="4FB2B23B" w14:textId="77777777" w:rsidR="00153864" w:rsidRPr="00F57392" w:rsidRDefault="00153864" w:rsidP="00903311">
            <w:pPr>
              <w:pStyle w:val="COMTabletext"/>
              <w:jc w:val="center"/>
            </w:pPr>
          </w:p>
          <w:p w14:paraId="156C5E46" w14:textId="77777777" w:rsidR="00153864" w:rsidRPr="00F57392" w:rsidRDefault="00153864" w:rsidP="00903311">
            <w:pPr>
              <w:pStyle w:val="COMTabletext"/>
              <w:jc w:val="center"/>
            </w:pPr>
            <w:r w:rsidRPr="00F57392">
              <w:t>2 (1.2)</w:t>
            </w:r>
          </w:p>
          <w:p w14:paraId="796958ED" w14:textId="77777777" w:rsidR="00153864" w:rsidRPr="00F57392" w:rsidRDefault="00153864" w:rsidP="00903311">
            <w:pPr>
              <w:pStyle w:val="COMTabletext"/>
              <w:jc w:val="center"/>
            </w:pPr>
            <w:r w:rsidRPr="00F57392">
              <w:t>0</w:t>
            </w:r>
          </w:p>
          <w:p w14:paraId="59857076" w14:textId="77777777" w:rsidR="00153864" w:rsidRPr="00F57392" w:rsidRDefault="00153864" w:rsidP="00903311">
            <w:pPr>
              <w:pStyle w:val="COMTabletext"/>
              <w:jc w:val="center"/>
            </w:pPr>
            <w:r w:rsidRPr="00F57392">
              <w:t>5 (3.1)</w:t>
            </w:r>
          </w:p>
          <w:p w14:paraId="6F383C26" w14:textId="77777777" w:rsidR="00153864" w:rsidRPr="00F57392" w:rsidRDefault="00153864" w:rsidP="00903311">
            <w:pPr>
              <w:pStyle w:val="COMTabletext"/>
              <w:jc w:val="center"/>
            </w:pPr>
            <w:r w:rsidRPr="00F57392">
              <w:t>2 (1.2)</w:t>
            </w:r>
          </w:p>
        </w:tc>
      </w:tr>
    </w:tbl>
    <w:p w14:paraId="275DC1B8" w14:textId="77777777" w:rsidR="009262E7" w:rsidRPr="00F57392" w:rsidRDefault="009262E7" w:rsidP="009262E7">
      <w:pPr>
        <w:pStyle w:val="COMTablefooter"/>
      </w:pPr>
      <w:r w:rsidRPr="00F57392">
        <w:t>Source: Table 2.27, p56; Table 2.28, pp58-59 of the submission.</w:t>
      </w:r>
    </w:p>
    <w:p w14:paraId="52DD70F5" w14:textId="31075D86" w:rsidR="009262E7" w:rsidRPr="00F57392" w:rsidRDefault="009262E7" w:rsidP="009262E7">
      <w:pPr>
        <w:pStyle w:val="COMTablefooter"/>
      </w:pPr>
      <w:r w:rsidRPr="00F57392">
        <w:t>Abbreviations: AE, adverse event; ALT, alanine aminotransferase; AST, aspartate aminotransferase; CI, confidence interval; GGT, gamma-glutamyl transferase; NE, not estimable</w:t>
      </w:r>
      <w:r w:rsidR="00153864" w:rsidRPr="00F57392">
        <w:t>.</w:t>
      </w:r>
    </w:p>
    <w:p w14:paraId="14433AED" w14:textId="77777777" w:rsidR="009262E7" w:rsidRPr="00F57392" w:rsidRDefault="009262E7" w:rsidP="009262E7">
      <w:pPr>
        <w:pStyle w:val="COMexecsummnumbered"/>
      </w:pPr>
      <w:r w:rsidRPr="00F57392">
        <w:t xml:space="preserve">Almost all patients in each treatment arm of the INDIGO trial experienced at least one adverse event. Treatment-related adverse events were reported for 115 patients </w:t>
      </w:r>
      <w:r w:rsidRPr="00F57392">
        <w:lastRenderedPageBreak/>
        <w:t>(68.9%) in the vorasidenib arm and 101 patients (62.0%) in the placebo arm. The most commonly occurring adverse events in the vorasidenib arm were increased alanine aminotransferase (43.1% versus 17.8% in the placebo arm), fatigue (36.5% versus 35.0%), COVID-19 (34.7% versus 33.1%), increased aspartate aminotransferase (32.9% versus 9.2%), headache (28.7% versus 28.2%) and diarrhoea (26.9% versus 19.0%).</w:t>
      </w:r>
    </w:p>
    <w:p w14:paraId="72385A5B" w14:textId="77777777" w:rsidR="009262E7" w:rsidRPr="00F57392" w:rsidRDefault="009262E7" w:rsidP="009262E7">
      <w:pPr>
        <w:pStyle w:val="COMexecsummnumbered"/>
      </w:pPr>
      <w:r w:rsidRPr="00F57392">
        <w:t xml:space="preserve">Grade </w:t>
      </w:r>
      <w:r w:rsidRPr="00F57392">
        <w:rPr>
          <w:rFonts w:cs="Calibri"/>
        </w:rPr>
        <w:t>≥</w:t>
      </w:r>
      <w:r w:rsidRPr="00F57392">
        <w:t xml:space="preserve">3 adverse events occurred in 26.9% of patients in the vorasidenib arm and 16.0% of patients in the placebo arm. The most commonly occurring Grade </w:t>
      </w:r>
      <w:r w:rsidRPr="00F57392">
        <w:rPr>
          <w:rFonts w:cs="Calibri"/>
        </w:rPr>
        <w:t>≥</w:t>
      </w:r>
      <w:r w:rsidRPr="00F57392">
        <w:t>3 adverse events in the vorasidenib arm were increased alanine aminotransferase (10.2% versus 1.2% in the placebo arm), increased aspartate aminotransferase (4.8% versus 0%), seizure (4.2% versus 3.1%) and increased gamma-glutamyl transferase (3.0% versus 1.2%). There were no reported fatal adverse events.</w:t>
      </w:r>
    </w:p>
    <w:p w14:paraId="04908C7F" w14:textId="415B9B7D" w:rsidR="007F1017" w:rsidRPr="00F57392" w:rsidRDefault="007F1017" w:rsidP="003D5DE7">
      <w:pPr>
        <w:pStyle w:val="COMH2-non-numbered"/>
      </w:pPr>
      <w:bookmarkStart w:id="28" w:name="_Toc22897643"/>
      <w:bookmarkStart w:id="29" w:name="_Toc198628230"/>
      <w:r w:rsidRPr="00F57392">
        <w:t>Benefits/harms</w:t>
      </w:r>
      <w:bookmarkEnd w:id="28"/>
      <w:bookmarkEnd w:id="29"/>
    </w:p>
    <w:p w14:paraId="56A22B9E" w14:textId="5D21D9F0" w:rsidR="002441D2" w:rsidRPr="00F57392" w:rsidRDefault="002441D2" w:rsidP="00E9094A">
      <w:pPr>
        <w:pStyle w:val="COMexecsummnumbered"/>
      </w:pPr>
      <w:r w:rsidRPr="00F57392">
        <w:t>On the basis of direct</w:t>
      </w:r>
      <w:r w:rsidR="0033387F" w:rsidRPr="00F57392">
        <w:t xml:space="preserve"> e</w:t>
      </w:r>
      <w:r w:rsidRPr="00F57392">
        <w:t xml:space="preserve">vidence presented by the submission, for every 100 patients treated with </w:t>
      </w:r>
      <w:r w:rsidR="0033387F" w:rsidRPr="00F57392">
        <w:t xml:space="preserve">vorasidenib </w:t>
      </w:r>
      <w:r w:rsidRPr="00F57392">
        <w:t xml:space="preserve">in comparison </w:t>
      </w:r>
      <w:r w:rsidR="006D68FB" w:rsidRPr="00F57392">
        <w:t>with</w:t>
      </w:r>
      <w:r w:rsidRPr="00F57392">
        <w:t xml:space="preserve"> </w:t>
      </w:r>
      <w:r w:rsidR="0033387F" w:rsidRPr="00F57392">
        <w:t>placebo</w:t>
      </w:r>
      <w:r w:rsidRPr="00F57392">
        <w:t>:</w:t>
      </w:r>
    </w:p>
    <w:p w14:paraId="3DC754A2" w14:textId="67B646FF" w:rsidR="00184B0E" w:rsidRPr="00F57392" w:rsidRDefault="002441D2" w:rsidP="00977FB1">
      <w:pPr>
        <w:pStyle w:val="COMexecsummbulletlist"/>
        <w:spacing w:after="0"/>
        <w:ind w:hanging="357"/>
      </w:pPr>
      <w:r w:rsidRPr="00F57392">
        <w:t xml:space="preserve">Approximately </w:t>
      </w:r>
      <w:r w:rsidR="0033387F" w:rsidRPr="00F57392">
        <w:t>33</w:t>
      </w:r>
      <w:r w:rsidRPr="00F57392">
        <w:t xml:space="preserve"> </w:t>
      </w:r>
      <w:r w:rsidR="00C41768" w:rsidRPr="00F57392">
        <w:t>additional</w:t>
      </w:r>
      <w:r w:rsidRPr="00F57392">
        <w:t xml:space="preserve"> patients </w:t>
      </w:r>
      <w:r w:rsidR="00C41768" w:rsidRPr="00F57392">
        <w:t xml:space="preserve">will </w:t>
      </w:r>
      <w:r w:rsidRPr="00F57392">
        <w:t>remain progression-free</w:t>
      </w:r>
      <w:r w:rsidR="000435EE" w:rsidRPr="00F57392">
        <w:t xml:space="preserve"> </w:t>
      </w:r>
      <w:r w:rsidRPr="00F57392">
        <w:t xml:space="preserve">after </w:t>
      </w:r>
      <w:r w:rsidR="0033387F" w:rsidRPr="00F57392">
        <w:t>24</w:t>
      </w:r>
      <w:r w:rsidR="00114892" w:rsidRPr="00F57392">
        <w:t> </w:t>
      </w:r>
      <w:r w:rsidR="0033387F" w:rsidRPr="00F57392">
        <w:t>months.</w:t>
      </w:r>
      <w:r w:rsidRPr="00F57392">
        <w:t xml:space="preserve"> </w:t>
      </w:r>
    </w:p>
    <w:p w14:paraId="6D14D820" w14:textId="42B89484" w:rsidR="0033387F" w:rsidRPr="00F57392" w:rsidRDefault="0033387F" w:rsidP="00977FB1">
      <w:pPr>
        <w:pStyle w:val="COMexecsummbulletlist"/>
        <w:spacing w:after="0"/>
      </w:pPr>
      <w:r w:rsidRPr="00F57392">
        <w:t>Approximately 3</w:t>
      </w:r>
      <w:r w:rsidR="0088722E">
        <w:t>9</w:t>
      </w:r>
      <w:r w:rsidRPr="00F57392">
        <w:t xml:space="preserve"> additional patients </w:t>
      </w:r>
      <w:r w:rsidR="000F0A34" w:rsidRPr="00F57392">
        <w:t>will not have received a subsequent intervention after 24 months.</w:t>
      </w:r>
    </w:p>
    <w:p w14:paraId="139E92E4" w14:textId="3C288D99" w:rsidR="001900C9" w:rsidRPr="00F57392" w:rsidRDefault="0077057E" w:rsidP="00977FB1">
      <w:pPr>
        <w:pStyle w:val="COMexecsummbulletlist"/>
        <w:spacing w:after="0"/>
      </w:pPr>
      <w:r>
        <w:t xml:space="preserve">It was not possible to assess any differences in survival </w:t>
      </w:r>
      <w:r w:rsidR="00E01E7F">
        <w:t>from the evidence presented in the submission</w:t>
      </w:r>
      <w:r w:rsidR="001900C9" w:rsidRPr="00F57392">
        <w:t>.</w:t>
      </w:r>
    </w:p>
    <w:p w14:paraId="4BD40C82" w14:textId="137909BC" w:rsidR="00977FB1" w:rsidRPr="00F57392" w:rsidRDefault="000F0A34" w:rsidP="001900C9">
      <w:pPr>
        <w:pStyle w:val="COMexecsummbulletlist"/>
        <w:spacing w:after="0"/>
      </w:pPr>
      <w:r w:rsidRPr="00F57392">
        <w:t xml:space="preserve">Approximately </w:t>
      </w:r>
      <w:r w:rsidR="00114892" w:rsidRPr="00F57392">
        <w:t>6</w:t>
      </w:r>
      <w:r w:rsidR="001900C9" w:rsidRPr="00F57392">
        <w:t xml:space="preserve"> additional patients would </w:t>
      </w:r>
      <w:r w:rsidR="00114892" w:rsidRPr="00F57392">
        <w:t>experience a serious adverse event that is life-threatening or required hospitalisation.</w:t>
      </w:r>
    </w:p>
    <w:p w14:paraId="7A1772B6" w14:textId="23BB3145" w:rsidR="00B60939" w:rsidRPr="00F57392" w:rsidRDefault="00B60939" w:rsidP="003D5DE7">
      <w:pPr>
        <w:pStyle w:val="COMH2-non-numbered"/>
      </w:pPr>
      <w:bookmarkStart w:id="30" w:name="_Toc22897644"/>
      <w:bookmarkStart w:id="31" w:name="_Toc198628231"/>
      <w:r w:rsidRPr="00F57392">
        <w:t>Clinical claim</w:t>
      </w:r>
      <w:bookmarkEnd w:id="30"/>
      <w:bookmarkEnd w:id="31"/>
    </w:p>
    <w:p w14:paraId="08DF7206" w14:textId="4BDF5418" w:rsidR="00AE4513" w:rsidRPr="0084014B" w:rsidRDefault="000971C8" w:rsidP="00AE4513">
      <w:pPr>
        <w:pStyle w:val="COMexecsummnumbered"/>
        <w:rPr>
          <w:rFonts w:eastAsia="Calibri"/>
        </w:rPr>
      </w:pPr>
      <w:r w:rsidRPr="0084014B">
        <w:t>The submission described vorasidenib as superior in terms of effectiveness and inferior in terms of safety, compared to placebo</w:t>
      </w:r>
      <w:r w:rsidR="0073774E" w:rsidRPr="0084014B">
        <w:t>.</w:t>
      </w:r>
    </w:p>
    <w:p w14:paraId="428B1411" w14:textId="2C1191B2" w:rsidR="00AE4513" w:rsidRPr="0084014B" w:rsidRDefault="00AE4513" w:rsidP="00AE4513">
      <w:pPr>
        <w:pStyle w:val="COMexecsummnumbered"/>
        <w:rPr>
          <w:rFonts w:eastAsia="Calibri"/>
        </w:rPr>
      </w:pPr>
      <w:r>
        <w:t xml:space="preserve">The </w:t>
      </w:r>
      <w:r w:rsidR="001C19BA" w:rsidRPr="00531A03">
        <w:t>Sub-</w:t>
      </w:r>
      <w:r w:rsidR="028F8917" w:rsidRPr="00531A03">
        <w:t>C</w:t>
      </w:r>
      <w:r w:rsidR="001C19BA" w:rsidRPr="00531A03">
        <w:t xml:space="preserve">ommittees </w:t>
      </w:r>
      <w:r w:rsidR="00BF70D5" w:rsidRPr="00531A03">
        <w:t>agreed with the Commentary that</w:t>
      </w:r>
      <w:r w:rsidR="009120F8" w:rsidRPr="00531A03">
        <w:t xml:space="preserve"> the</w:t>
      </w:r>
      <w:r w:rsidR="009120F8">
        <w:t xml:space="preserve"> </w:t>
      </w:r>
      <w:r>
        <w:t xml:space="preserve">therapeutic conclusion presented in the submission was adequately supported by the evidence presented in the submission. However, the following issues </w:t>
      </w:r>
      <w:r w:rsidR="00B819F2">
        <w:t>were noted</w:t>
      </w:r>
      <w:r>
        <w:t>:</w:t>
      </w:r>
    </w:p>
    <w:p w14:paraId="5038FBCE" w14:textId="6BC4743C" w:rsidR="00AE4513" w:rsidRPr="00531A03" w:rsidRDefault="004E2A3A" w:rsidP="00AE4513">
      <w:pPr>
        <w:pStyle w:val="COMexecsummbulletlist"/>
        <w:spacing w:after="0"/>
        <w:ind w:hanging="357"/>
      </w:pPr>
      <w:r>
        <w:t xml:space="preserve">There was effectively no </w:t>
      </w:r>
      <w:r w:rsidR="00B819F2">
        <w:t>OS</w:t>
      </w:r>
      <w:r w:rsidR="00AE4513" w:rsidRPr="0084014B">
        <w:t xml:space="preserve"> data for the INDIGO trial </w:t>
      </w:r>
      <w:r>
        <w:t xml:space="preserve">(1 death only) </w:t>
      </w:r>
      <w:r w:rsidR="00071A57">
        <w:t xml:space="preserve">and </w:t>
      </w:r>
      <w:r w:rsidR="00FB0ADD" w:rsidRPr="00531A03">
        <w:t xml:space="preserve">further analyses will </w:t>
      </w:r>
      <w:r w:rsidR="00364BA8" w:rsidRPr="00531A03">
        <w:t xml:space="preserve">not </w:t>
      </w:r>
      <w:r w:rsidR="00FB0ADD" w:rsidRPr="00531A03">
        <w:t>be informative.</w:t>
      </w:r>
      <w:r w:rsidR="00AE4513" w:rsidRPr="00531A03">
        <w:t xml:space="preserve"> </w:t>
      </w:r>
    </w:p>
    <w:p w14:paraId="5644FF4C" w14:textId="5C6774C2" w:rsidR="000A6118" w:rsidRPr="00531A03" w:rsidRDefault="000A6118" w:rsidP="00AE4513">
      <w:pPr>
        <w:pStyle w:val="COMexecsummbulletlist"/>
        <w:spacing w:after="0"/>
        <w:ind w:hanging="357"/>
      </w:pPr>
      <w:r w:rsidRPr="00531A03">
        <w:t xml:space="preserve">The </w:t>
      </w:r>
      <w:r w:rsidR="006A2F99" w:rsidRPr="00531A03">
        <w:t>Sub-Committees</w:t>
      </w:r>
      <w:r w:rsidRPr="00531A03">
        <w:t xml:space="preserve"> noted that the magnitude of benefit for PFS over a longer time horizon </w:t>
      </w:r>
      <w:r w:rsidR="00364BA8" w:rsidRPr="00531A03">
        <w:t>wa</w:t>
      </w:r>
      <w:r w:rsidRPr="00531A03">
        <w:t xml:space="preserve">s uncertain </w:t>
      </w:r>
      <w:r w:rsidR="0081539E" w:rsidRPr="00531A03">
        <w:t xml:space="preserve">given the short follow up of the </w:t>
      </w:r>
      <w:r w:rsidR="0023620C" w:rsidRPr="00531A03">
        <w:t xml:space="preserve">comparative </w:t>
      </w:r>
      <w:r w:rsidR="0081539E" w:rsidRPr="00531A03">
        <w:t>trial</w:t>
      </w:r>
      <w:r w:rsidR="0023620C" w:rsidRPr="00531A03">
        <w:t xml:space="preserve"> data</w:t>
      </w:r>
      <w:r w:rsidR="0081539E" w:rsidRPr="00531A03">
        <w:t xml:space="preserve"> (~17 months). </w:t>
      </w:r>
    </w:p>
    <w:p w14:paraId="3AB3B975" w14:textId="39664730" w:rsidR="003829B3" w:rsidRPr="00531A03" w:rsidRDefault="00487E6D" w:rsidP="008C230C">
      <w:pPr>
        <w:pStyle w:val="COMexecsummbulletlist"/>
        <w:spacing w:after="0"/>
        <w:ind w:hanging="357"/>
      </w:pPr>
      <w:r w:rsidRPr="00531A03">
        <w:t>N</w:t>
      </w:r>
      <w:r w:rsidR="003829B3" w:rsidRPr="00531A03">
        <w:t xml:space="preserve">o differences in </w:t>
      </w:r>
      <w:r w:rsidR="00022405" w:rsidRPr="00531A03">
        <w:t>QoL</w:t>
      </w:r>
      <w:r w:rsidR="003829B3" w:rsidRPr="00531A03">
        <w:t xml:space="preserve"> outcomes between vorasidenib and placebo were demonstrated</w:t>
      </w:r>
      <w:r w:rsidRPr="00531A03">
        <w:t xml:space="preserve">, however the </w:t>
      </w:r>
      <w:r w:rsidR="00361021" w:rsidRPr="00531A03">
        <w:t xml:space="preserve">duration of </w:t>
      </w:r>
      <w:r w:rsidR="00022405" w:rsidRPr="00531A03">
        <w:t xml:space="preserve">trial </w:t>
      </w:r>
      <w:r w:rsidR="00361021" w:rsidRPr="00531A03">
        <w:t xml:space="preserve">follow-up </w:t>
      </w:r>
      <w:r w:rsidR="00071A57">
        <w:t>may be</w:t>
      </w:r>
      <w:r w:rsidR="00071A57" w:rsidRPr="00531A03">
        <w:t xml:space="preserve"> </w:t>
      </w:r>
      <w:r w:rsidR="00361021" w:rsidRPr="00531A03">
        <w:t>too short to capture differences due to symptomatic progression</w:t>
      </w:r>
      <w:r w:rsidR="00D636C6" w:rsidRPr="00531A03">
        <w:t>.</w:t>
      </w:r>
    </w:p>
    <w:p w14:paraId="5C383FAE" w14:textId="098097DA" w:rsidR="00AE4513" w:rsidRPr="0084014B" w:rsidRDefault="00AE4513" w:rsidP="00AE4513">
      <w:pPr>
        <w:pStyle w:val="COMexecsummbulletlist"/>
        <w:spacing w:after="0"/>
        <w:ind w:hanging="357"/>
      </w:pPr>
      <w:r w:rsidRPr="0084014B">
        <w:t>The optimal timing of initiation of vorasidenib and the optimal duration of therapy for vorasidenib are unclear.</w:t>
      </w:r>
      <w:r w:rsidR="00D962D0">
        <w:t xml:space="preserve"> </w:t>
      </w:r>
    </w:p>
    <w:p w14:paraId="726FA52E" w14:textId="58BD7609" w:rsidR="00AE4513" w:rsidRDefault="00AE4513" w:rsidP="0018189C">
      <w:pPr>
        <w:pStyle w:val="COMexecsummbulletlist"/>
      </w:pPr>
      <w:r>
        <w:t xml:space="preserve">There is </w:t>
      </w:r>
      <w:r w:rsidR="00AE6B92">
        <w:t xml:space="preserve">a lack of </w:t>
      </w:r>
      <w:r>
        <w:t>long-term safety data for vorasidenib. While treatment with vorasidenib appeared to be well tolerated in the INDIGO trial, the impacts of long-</w:t>
      </w:r>
      <w:r>
        <w:lastRenderedPageBreak/>
        <w:t xml:space="preserve">term exposure to IDH inhibitor therapy </w:t>
      </w:r>
      <w:r w:rsidR="00AE6B92">
        <w:t>are</w:t>
      </w:r>
      <w:r>
        <w:t xml:space="preserve"> unclear.</w:t>
      </w:r>
      <w:r w:rsidR="00685993">
        <w:t xml:space="preserve"> </w:t>
      </w:r>
      <w:r w:rsidR="00685993" w:rsidRPr="00531A03">
        <w:t>The Sub-</w:t>
      </w:r>
      <w:r w:rsidR="27C3B38A" w:rsidRPr="00531A03">
        <w:t>C</w:t>
      </w:r>
      <w:r w:rsidR="00685993" w:rsidRPr="00531A03">
        <w:t xml:space="preserve">ommittees agreed </w:t>
      </w:r>
      <w:r w:rsidR="00344BBB" w:rsidRPr="00531A03">
        <w:t>long-term safety is uncertain</w:t>
      </w:r>
      <w:r w:rsidR="006756B8" w:rsidRPr="00531A03">
        <w:t xml:space="preserve">, particularly as </w:t>
      </w:r>
      <w:r w:rsidR="001F061D" w:rsidRPr="00531A03">
        <w:t xml:space="preserve">some </w:t>
      </w:r>
      <w:r w:rsidR="006756B8" w:rsidRPr="00531A03">
        <w:t xml:space="preserve">patients may </w:t>
      </w:r>
      <w:r w:rsidR="001F061D" w:rsidRPr="00531A03">
        <w:t>be treated with</w:t>
      </w:r>
      <w:r w:rsidR="006756B8" w:rsidRPr="00531A03">
        <w:t xml:space="preserve"> vorasidenib for </w:t>
      </w:r>
      <w:r w:rsidR="001F061D" w:rsidRPr="00531A03">
        <w:t>an extended</w:t>
      </w:r>
      <w:r w:rsidR="006756B8" w:rsidRPr="00531A03">
        <w:t xml:space="preserve"> time</w:t>
      </w:r>
      <w:r w:rsidR="009B6396" w:rsidRPr="00531A03">
        <w:t xml:space="preserve">. The </w:t>
      </w:r>
      <w:r w:rsidR="00D74C96" w:rsidRPr="00531A03">
        <w:t>Sub-</w:t>
      </w:r>
      <w:r w:rsidR="1F8B8A4E" w:rsidRPr="00531A03">
        <w:t>C</w:t>
      </w:r>
      <w:r w:rsidR="00D74C96" w:rsidRPr="00531A03">
        <w:t xml:space="preserve">ommittees </w:t>
      </w:r>
      <w:r w:rsidR="00685993" w:rsidRPr="00531A03">
        <w:t xml:space="preserve">noted that there </w:t>
      </w:r>
      <w:r w:rsidR="000A74C5" w:rsidRPr="00531A03">
        <w:t>wer</w:t>
      </w:r>
      <w:r w:rsidR="00344BBB" w:rsidRPr="00531A03">
        <w:t xml:space="preserve">e no major </w:t>
      </w:r>
      <w:r w:rsidR="00D74C96" w:rsidRPr="00531A03">
        <w:t xml:space="preserve">safety </w:t>
      </w:r>
      <w:r w:rsidR="00344BBB" w:rsidRPr="00531A03">
        <w:t xml:space="preserve">concerns </w:t>
      </w:r>
      <w:r w:rsidR="001F061D" w:rsidRPr="00531A03">
        <w:t xml:space="preserve">identified in the trial </w:t>
      </w:r>
      <w:r w:rsidR="004C1C4D" w:rsidRPr="00531A03">
        <w:t xml:space="preserve">and Grade 3 AEs were predominantly </w:t>
      </w:r>
      <w:r w:rsidR="009B6396" w:rsidRPr="00531A03">
        <w:t xml:space="preserve">liver enzyme abnormalities that </w:t>
      </w:r>
      <w:r w:rsidR="00071A57">
        <w:t>may not</w:t>
      </w:r>
      <w:r w:rsidR="009B6396" w:rsidRPr="00531A03">
        <w:t xml:space="preserve"> have clinical relevance</w:t>
      </w:r>
      <w:r w:rsidR="00344BBB" w:rsidRPr="00531A03">
        <w:t>.</w:t>
      </w:r>
    </w:p>
    <w:p w14:paraId="189FCDF8" w14:textId="60F7D853" w:rsidR="00B66FAE" w:rsidRPr="000D018E" w:rsidRDefault="00B66FAE" w:rsidP="00B66FAE">
      <w:pPr>
        <w:pStyle w:val="COMexecsummnumbered"/>
        <w:rPr>
          <w:snapToGrid w:val="0"/>
        </w:rPr>
      </w:pPr>
      <w:bookmarkStart w:id="32" w:name="_Hlk76376200"/>
      <w:r w:rsidRPr="000D018E">
        <w:rPr>
          <w:iCs/>
          <w:snapToGrid w:val="0"/>
        </w:rPr>
        <w:t>The</w:t>
      </w:r>
      <w:r w:rsidRPr="000D018E">
        <w:rPr>
          <w:snapToGrid w:val="0"/>
        </w:rPr>
        <w:t xml:space="preserve"> PBAC considered that the claim of superior comparative effectiveness was reasonable.</w:t>
      </w:r>
    </w:p>
    <w:p w14:paraId="45AD5D2A" w14:textId="2A19C2B4" w:rsidR="00B66FAE" w:rsidRPr="000D018E" w:rsidRDefault="00B66FAE" w:rsidP="00B66FAE">
      <w:pPr>
        <w:pStyle w:val="COMexecsummnumbered"/>
        <w:rPr>
          <w:snapToGrid w:val="0"/>
        </w:rPr>
      </w:pPr>
      <w:r w:rsidRPr="000D018E">
        <w:rPr>
          <w:snapToGrid w:val="0"/>
        </w:rPr>
        <w:t>The PBAC considered that the claim of inferior comparative safety was reasonable.</w:t>
      </w:r>
    </w:p>
    <w:bookmarkEnd w:id="32"/>
    <w:p w14:paraId="608E24CE" w14:textId="77777777" w:rsidR="00B66FAE" w:rsidRPr="00531A03" w:rsidRDefault="00B66FAE" w:rsidP="00B66FAE">
      <w:pPr>
        <w:pStyle w:val="COMexecsummbulletlist"/>
        <w:numPr>
          <w:ilvl w:val="0"/>
          <w:numId w:val="0"/>
        </w:numPr>
        <w:ind w:left="1134"/>
      </w:pPr>
    </w:p>
    <w:p w14:paraId="74A1172E" w14:textId="128C170E" w:rsidR="00B60939" w:rsidRPr="00F57392" w:rsidRDefault="00B60939" w:rsidP="003D5DE7">
      <w:pPr>
        <w:pStyle w:val="COMH2-non-numbered"/>
      </w:pPr>
      <w:bookmarkStart w:id="33" w:name="_Toc22897645"/>
      <w:bookmarkStart w:id="34" w:name="_Toc198628232"/>
      <w:r w:rsidRPr="00F57392">
        <w:t>Economic analysis</w:t>
      </w:r>
      <w:bookmarkEnd w:id="33"/>
      <w:bookmarkEnd w:id="34"/>
      <w:r w:rsidR="00491B3A" w:rsidRPr="00F57392">
        <w:t xml:space="preserve"> </w:t>
      </w:r>
    </w:p>
    <w:p w14:paraId="154ED34F" w14:textId="30DADC47" w:rsidR="00AD1730" w:rsidRPr="00F57392" w:rsidRDefault="00AD1730" w:rsidP="00641FB3">
      <w:pPr>
        <w:pStyle w:val="COMexecsummnumbered"/>
        <w:rPr>
          <w:b/>
          <w:bCs/>
        </w:rPr>
      </w:pPr>
      <w:r w:rsidRPr="00F57392">
        <w:t xml:space="preserve">The submission presented a modelled economic evaluation comparing vorasidenib with placebo (as a proxy for active surveillance), for the treatment of patients with Grade 2 IDH-mutant astrocytoma or oligodendroglioma. The economic evaluation was based on the results of the INDIGO trial, with additional modelled data. The economic evaluation was presented as a </w:t>
      </w:r>
      <w:r w:rsidR="009F2FDA" w:rsidRPr="00F57392">
        <w:t xml:space="preserve">stepped </w:t>
      </w:r>
      <w:r w:rsidRPr="00F57392">
        <w:t>cost-effectiveness/cost-utility analysis.</w:t>
      </w:r>
    </w:p>
    <w:p w14:paraId="15A9AFA4" w14:textId="5ECFE494" w:rsidR="00275C5A" w:rsidRPr="00F57392" w:rsidRDefault="00E16AD8" w:rsidP="00FF3ECD">
      <w:pPr>
        <w:pStyle w:val="COMtablefigcaption"/>
      </w:pPr>
      <w:r w:rsidRPr="00F57392">
        <w:t xml:space="preserve">Table </w:t>
      </w:r>
      <w:r w:rsidR="00052B1E">
        <w:fldChar w:fldCharType="begin"/>
      </w:r>
      <w:r w:rsidR="00052B1E">
        <w:instrText xml:space="preserve"> SEQ Table \* ARABIC </w:instrText>
      </w:r>
      <w:r w:rsidR="00052B1E">
        <w:fldChar w:fldCharType="separate"/>
      </w:r>
      <w:r w:rsidR="003C0757">
        <w:rPr>
          <w:noProof/>
        </w:rPr>
        <w:t>9</w:t>
      </w:r>
      <w:r w:rsidR="00052B1E">
        <w:rPr>
          <w:noProof/>
        </w:rPr>
        <w:fldChar w:fldCharType="end"/>
      </w:r>
      <w:r w:rsidRPr="00F57392">
        <w:t>:</w:t>
      </w:r>
      <w:r w:rsidR="00275C5A" w:rsidRPr="00F57392">
        <w:t xml:space="preserve"> Summary of model structure</w:t>
      </w:r>
      <w:r w:rsidR="00184B0E" w:rsidRPr="00F57392">
        <w:t>, key inputs</w:t>
      </w:r>
      <w:r w:rsidR="00275C5A" w:rsidRPr="00F57392">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1794"/>
        <w:gridCol w:w="7223"/>
      </w:tblGrid>
      <w:tr w:rsidR="006618CC" w:rsidRPr="00F57392" w14:paraId="48BB958D" w14:textId="77777777" w:rsidTr="0054202F">
        <w:trPr>
          <w:cantSplit/>
          <w:tblHeader/>
        </w:trPr>
        <w:tc>
          <w:tcPr>
            <w:tcW w:w="995" w:type="pct"/>
            <w:vAlign w:val="center"/>
          </w:tcPr>
          <w:p w14:paraId="29C3D629" w14:textId="77777777" w:rsidR="00275C5A" w:rsidRPr="00F57392" w:rsidRDefault="00275C5A" w:rsidP="00963F02">
            <w:pPr>
              <w:pStyle w:val="COMTableheadingrow"/>
              <w:keepNext w:val="0"/>
              <w:rPr>
                <w:lang w:val="en-AU"/>
              </w:rPr>
            </w:pPr>
            <w:r w:rsidRPr="00F57392">
              <w:rPr>
                <w:lang w:val="en-AU"/>
              </w:rPr>
              <w:t>Component</w:t>
            </w:r>
          </w:p>
        </w:tc>
        <w:tc>
          <w:tcPr>
            <w:tcW w:w="4005" w:type="pct"/>
            <w:vAlign w:val="center"/>
          </w:tcPr>
          <w:p w14:paraId="58FBA37B" w14:textId="77777777" w:rsidR="00275C5A" w:rsidRPr="00F57392" w:rsidRDefault="00275C5A" w:rsidP="00963F02">
            <w:pPr>
              <w:pStyle w:val="COMTableheadingrow"/>
              <w:keepNext w:val="0"/>
              <w:jc w:val="center"/>
              <w:rPr>
                <w:lang w:val="en-AU"/>
              </w:rPr>
            </w:pPr>
            <w:r w:rsidRPr="00F57392">
              <w:rPr>
                <w:lang w:val="en-AU"/>
              </w:rPr>
              <w:t>Summary</w:t>
            </w:r>
          </w:p>
        </w:tc>
      </w:tr>
      <w:tr w:rsidR="006618CC" w:rsidRPr="00F57392" w14:paraId="7476B2FD" w14:textId="77777777" w:rsidTr="0054202F">
        <w:trPr>
          <w:cantSplit/>
        </w:trPr>
        <w:tc>
          <w:tcPr>
            <w:tcW w:w="995" w:type="pct"/>
            <w:vAlign w:val="center"/>
          </w:tcPr>
          <w:p w14:paraId="5FA8442E" w14:textId="27CD0EEA" w:rsidR="000A6039" w:rsidRPr="00F57392" w:rsidRDefault="000A6039" w:rsidP="00963F02">
            <w:pPr>
              <w:pStyle w:val="COMTabletext"/>
              <w:keepNext w:val="0"/>
            </w:pPr>
            <w:r w:rsidRPr="00F57392">
              <w:t>Treatments</w:t>
            </w:r>
          </w:p>
        </w:tc>
        <w:tc>
          <w:tcPr>
            <w:tcW w:w="4005" w:type="pct"/>
            <w:vAlign w:val="center"/>
          </w:tcPr>
          <w:p w14:paraId="554C8AD3" w14:textId="10B76EFE" w:rsidR="000A6039" w:rsidRPr="00F57392" w:rsidRDefault="00AD1730" w:rsidP="00963F02">
            <w:pPr>
              <w:pStyle w:val="COMTabletext"/>
              <w:keepNext w:val="0"/>
            </w:pPr>
            <w:r w:rsidRPr="00F57392">
              <w:t xml:space="preserve">Vorasidenib versus </w:t>
            </w:r>
            <w:r w:rsidR="003979A6" w:rsidRPr="00F57392">
              <w:t>active surveillance</w:t>
            </w:r>
          </w:p>
        </w:tc>
      </w:tr>
      <w:tr w:rsidR="00AD1730" w:rsidRPr="00F57392" w14:paraId="6A8D84D4" w14:textId="77777777" w:rsidTr="0054202F">
        <w:trPr>
          <w:cantSplit/>
        </w:trPr>
        <w:tc>
          <w:tcPr>
            <w:tcW w:w="995" w:type="pct"/>
            <w:vAlign w:val="center"/>
          </w:tcPr>
          <w:p w14:paraId="5F652354" w14:textId="77777777" w:rsidR="00AD1730" w:rsidRPr="00F57392" w:rsidRDefault="00AD1730" w:rsidP="00963F02">
            <w:pPr>
              <w:pStyle w:val="COMTabletext"/>
              <w:keepNext w:val="0"/>
            </w:pPr>
            <w:r w:rsidRPr="00F57392">
              <w:t>Time horizon</w:t>
            </w:r>
          </w:p>
        </w:tc>
        <w:tc>
          <w:tcPr>
            <w:tcW w:w="4005" w:type="pct"/>
          </w:tcPr>
          <w:p w14:paraId="460936F1" w14:textId="67CF55BA" w:rsidR="00AD1730" w:rsidRPr="00F57392" w:rsidRDefault="00AD1730" w:rsidP="00963F02">
            <w:pPr>
              <w:pStyle w:val="COMTabletext"/>
              <w:keepNext w:val="0"/>
            </w:pPr>
            <w:r w:rsidRPr="00F57392">
              <w:t>40 years in the base case versus a median follow-up of 17.3 months in the INDIGO trial.</w:t>
            </w:r>
          </w:p>
        </w:tc>
      </w:tr>
      <w:tr w:rsidR="00AD1730" w:rsidRPr="00F57392" w14:paraId="003209BF" w14:textId="77777777" w:rsidTr="0054202F">
        <w:trPr>
          <w:cantSplit/>
        </w:trPr>
        <w:tc>
          <w:tcPr>
            <w:tcW w:w="995" w:type="pct"/>
            <w:vAlign w:val="center"/>
          </w:tcPr>
          <w:p w14:paraId="522DAB95" w14:textId="77777777" w:rsidR="00AD1730" w:rsidRPr="00F57392" w:rsidRDefault="00AD1730" w:rsidP="00963F02">
            <w:pPr>
              <w:pStyle w:val="COMTabletext"/>
              <w:keepNext w:val="0"/>
            </w:pPr>
            <w:r w:rsidRPr="00F57392">
              <w:t>Outcomes</w:t>
            </w:r>
          </w:p>
        </w:tc>
        <w:tc>
          <w:tcPr>
            <w:tcW w:w="4005" w:type="pct"/>
            <w:vAlign w:val="center"/>
          </w:tcPr>
          <w:p w14:paraId="3D1C428E" w14:textId="0E50D1D8" w:rsidR="00AD1730" w:rsidRPr="00F57392" w:rsidRDefault="00AD1730" w:rsidP="00963F02">
            <w:pPr>
              <w:pStyle w:val="COMTabletext"/>
              <w:keepNext w:val="0"/>
            </w:pPr>
            <w:r w:rsidRPr="00F57392">
              <w:t>Quality-adjusted life years; life years; progression-free life years.</w:t>
            </w:r>
          </w:p>
        </w:tc>
      </w:tr>
      <w:tr w:rsidR="00AD1730" w:rsidRPr="00F57392" w14:paraId="29120B3F" w14:textId="77777777" w:rsidTr="0054202F">
        <w:trPr>
          <w:cantSplit/>
        </w:trPr>
        <w:tc>
          <w:tcPr>
            <w:tcW w:w="995" w:type="pct"/>
            <w:vAlign w:val="center"/>
          </w:tcPr>
          <w:p w14:paraId="1AAC94CB" w14:textId="77777777" w:rsidR="00AD1730" w:rsidRPr="00F57392" w:rsidRDefault="00AD1730" w:rsidP="00963F02">
            <w:pPr>
              <w:pStyle w:val="COMTabletext"/>
              <w:keepNext w:val="0"/>
            </w:pPr>
            <w:r w:rsidRPr="00F57392">
              <w:t>Methods used to generate results</w:t>
            </w:r>
          </w:p>
        </w:tc>
        <w:tc>
          <w:tcPr>
            <w:tcW w:w="4005" w:type="pct"/>
            <w:vAlign w:val="center"/>
          </w:tcPr>
          <w:p w14:paraId="69D4F042" w14:textId="169DFB8E" w:rsidR="00AD1730" w:rsidRPr="00F57392" w:rsidRDefault="00AD1730" w:rsidP="00963F02">
            <w:pPr>
              <w:pStyle w:val="COMTabletext"/>
              <w:keepNext w:val="0"/>
            </w:pPr>
            <w:r w:rsidRPr="00F57392">
              <w:t>Markov cohort model.</w:t>
            </w:r>
          </w:p>
        </w:tc>
      </w:tr>
      <w:tr w:rsidR="00AD1730" w:rsidRPr="00F57392" w14:paraId="7F7ACECA" w14:textId="77777777" w:rsidTr="0054202F">
        <w:trPr>
          <w:cantSplit/>
        </w:trPr>
        <w:tc>
          <w:tcPr>
            <w:tcW w:w="995" w:type="pct"/>
            <w:vAlign w:val="center"/>
          </w:tcPr>
          <w:p w14:paraId="344631D3" w14:textId="77777777" w:rsidR="00AD1730" w:rsidRPr="00F57392" w:rsidRDefault="00AD1730" w:rsidP="00963F02">
            <w:pPr>
              <w:pStyle w:val="COMTabletext"/>
              <w:keepNext w:val="0"/>
            </w:pPr>
            <w:r w:rsidRPr="00F57392">
              <w:t>Health states</w:t>
            </w:r>
          </w:p>
        </w:tc>
        <w:tc>
          <w:tcPr>
            <w:tcW w:w="4005" w:type="pct"/>
            <w:vAlign w:val="center"/>
          </w:tcPr>
          <w:p w14:paraId="03F23F80" w14:textId="2747E392" w:rsidR="00AD1730" w:rsidRPr="00F57392" w:rsidRDefault="00AD1730" w:rsidP="00963F02">
            <w:pPr>
              <w:pStyle w:val="COMTabletext"/>
              <w:keepNext w:val="0"/>
            </w:pPr>
            <w:r w:rsidRPr="00F57392">
              <w:t>Progression-free, progressed disease, dead.</w:t>
            </w:r>
          </w:p>
        </w:tc>
      </w:tr>
      <w:tr w:rsidR="00AD1730" w:rsidRPr="00F57392" w14:paraId="7F944EEA" w14:textId="77777777" w:rsidTr="0054202F">
        <w:trPr>
          <w:cantSplit/>
        </w:trPr>
        <w:tc>
          <w:tcPr>
            <w:tcW w:w="995" w:type="pct"/>
            <w:vAlign w:val="center"/>
          </w:tcPr>
          <w:p w14:paraId="255C0B8D" w14:textId="77777777" w:rsidR="00AD1730" w:rsidRPr="00F57392" w:rsidRDefault="00AD1730" w:rsidP="00963F02">
            <w:pPr>
              <w:pStyle w:val="COMTabletext"/>
              <w:keepNext w:val="0"/>
            </w:pPr>
            <w:r w:rsidRPr="00F57392">
              <w:t>Cycle length</w:t>
            </w:r>
          </w:p>
        </w:tc>
        <w:tc>
          <w:tcPr>
            <w:tcW w:w="4005" w:type="pct"/>
            <w:vAlign w:val="center"/>
          </w:tcPr>
          <w:p w14:paraId="5733F6EA" w14:textId="007397A6" w:rsidR="00AD1730" w:rsidRPr="00F57392" w:rsidRDefault="00AD1730" w:rsidP="00963F02">
            <w:pPr>
              <w:pStyle w:val="COMTabletext"/>
              <w:keepNext w:val="0"/>
            </w:pPr>
            <w:r w:rsidRPr="00F57392">
              <w:t>One month</w:t>
            </w:r>
          </w:p>
        </w:tc>
      </w:tr>
      <w:tr w:rsidR="00AD1730" w:rsidRPr="00F57392" w14:paraId="6EFF7035" w14:textId="77777777" w:rsidTr="0054202F">
        <w:trPr>
          <w:cantSplit/>
        </w:trPr>
        <w:tc>
          <w:tcPr>
            <w:tcW w:w="995" w:type="pct"/>
            <w:vAlign w:val="center"/>
          </w:tcPr>
          <w:p w14:paraId="12B7AB48" w14:textId="2E137351" w:rsidR="006A0BCE" w:rsidRPr="00F57392" w:rsidRDefault="00AD1730" w:rsidP="00963F02">
            <w:pPr>
              <w:pStyle w:val="COMTabletext"/>
              <w:keepNext w:val="0"/>
            </w:pPr>
            <w:r w:rsidRPr="00F57392">
              <w:t>Transition probabilities</w:t>
            </w:r>
          </w:p>
          <w:p w14:paraId="77A45407" w14:textId="712627D2" w:rsidR="00AD1730" w:rsidRPr="00F57392" w:rsidRDefault="00AD1730" w:rsidP="00963F02">
            <w:pPr>
              <w:pStyle w:val="COMTabletext"/>
              <w:keepNext w:val="0"/>
            </w:pPr>
          </w:p>
        </w:tc>
        <w:tc>
          <w:tcPr>
            <w:tcW w:w="4005" w:type="pct"/>
            <w:vAlign w:val="center"/>
          </w:tcPr>
          <w:p w14:paraId="2443EA91" w14:textId="3C3E5A5B" w:rsidR="008801F3" w:rsidRPr="00F57392" w:rsidRDefault="008801F3" w:rsidP="008801F3">
            <w:pPr>
              <w:pStyle w:val="COMTabletext"/>
              <w:keepNext w:val="0"/>
              <w:spacing w:after="120"/>
            </w:pPr>
            <w:r w:rsidRPr="00F57392">
              <w:t xml:space="preserve">Transition probabilities from the progression-free health state to the progressed disease state were based on </w:t>
            </w:r>
            <w:r w:rsidR="0023620C">
              <w:t>PFS</w:t>
            </w:r>
            <w:r w:rsidRPr="00F57392">
              <w:t xml:space="preserve"> results for the vorasidenib and placebo arms of the INDIGO trial, with extrapolation using a lognormal function estimated independently for each treatment arm.</w:t>
            </w:r>
          </w:p>
          <w:p w14:paraId="5C8A93BE" w14:textId="77777777" w:rsidR="008801F3" w:rsidRPr="00F57392" w:rsidRDefault="008801F3" w:rsidP="008801F3">
            <w:pPr>
              <w:pStyle w:val="COMTabletext"/>
              <w:keepNext w:val="0"/>
              <w:spacing w:after="120"/>
            </w:pPr>
            <w:r w:rsidRPr="00F57392">
              <w:t>Transition probabilities from progression-free to dead were based on Australian life tables.</w:t>
            </w:r>
          </w:p>
          <w:p w14:paraId="76387578" w14:textId="4B52BC69" w:rsidR="00AD1730" w:rsidRPr="00F57392" w:rsidRDefault="008801F3" w:rsidP="008801F3">
            <w:pPr>
              <w:pStyle w:val="COMTabletext"/>
              <w:keepNext w:val="0"/>
            </w:pPr>
            <w:r w:rsidRPr="00F57392">
              <w:t>Transitions from the progressed disease state to dead were based on an analysis of post-progression survival among patients in an Australian brain tumour registry (BRAIN), extrapolated using a Gompertz function and Australian life tables.</w:t>
            </w:r>
          </w:p>
        </w:tc>
      </w:tr>
      <w:tr w:rsidR="00AD1730" w:rsidRPr="00F57392" w14:paraId="07C0A709" w14:textId="77777777" w:rsidTr="0054202F">
        <w:trPr>
          <w:cantSplit/>
        </w:trPr>
        <w:tc>
          <w:tcPr>
            <w:tcW w:w="995" w:type="pct"/>
            <w:vAlign w:val="center"/>
          </w:tcPr>
          <w:p w14:paraId="33B632EB" w14:textId="4B6D1EE3" w:rsidR="00AD1730" w:rsidRPr="00F57392" w:rsidRDefault="00AD1730" w:rsidP="00963F02">
            <w:pPr>
              <w:pStyle w:val="COMTabletext"/>
              <w:keepNext w:val="0"/>
            </w:pPr>
            <w:r w:rsidRPr="00F57392">
              <w:t>Health related quality of life</w:t>
            </w:r>
          </w:p>
        </w:tc>
        <w:tc>
          <w:tcPr>
            <w:tcW w:w="4005" w:type="pct"/>
            <w:vAlign w:val="center"/>
          </w:tcPr>
          <w:p w14:paraId="11112605" w14:textId="07EE2D97" w:rsidR="00AD1730" w:rsidRPr="00F57392" w:rsidRDefault="00777BFF" w:rsidP="0044735C">
            <w:pPr>
              <w:pStyle w:val="COMTabletext"/>
              <w:keepNext w:val="0"/>
              <w:spacing w:after="120"/>
            </w:pPr>
            <w:r w:rsidRPr="00F57392">
              <w:t>Progression-free health state utility</w:t>
            </w:r>
            <w:r w:rsidR="00667217" w:rsidRPr="00F57392">
              <w:t xml:space="preserve">: 0.93; </w:t>
            </w:r>
            <w:r w:rsidRPr="00F57392">
              <w:t xml:space="preserve">based on a </w:t>
            </w:r>
            <w:r w:rsidRPr="00F57392">
              <w:rPr>
                <w:i/>
                <w:iCs/>
              </w:rPr>
              <w:t>post hoc</w:t>
            </w:r>
            <w:r w:rsidRPr="00F57392">
              <w:t xml:space="preserve"> analysis of the </w:t>
            </w:r>
            <w:r w:rsidR="00667217" w:rsidRPr="00F57392">
              <w:t>INDIGO trial</w:t>
            </w:r>
            <w:r w:rsidR="00C02440" w:rsidRPr="00F57392">
              <w:t>.</w:t>
            </w:r>
          </w:p>
          <w:p w14:paraId="6FCC32AA" w14:textId="703F8E3D" w:rsidR="00AD1730" w:rsidRPr="00F57392" w:rsidRDefault="00667217" w:rsidP="00963F02">
            <w:pPr>
              <w:pStyle w:val="COMTabletext"/>
              <w:keepNext w:val="0"/>
            </w:pPr>
            <w:r w:rsidRPr="00F57392">
              <w:t>Progressed disease health state utility: time-varying utility starting at 0.93 and reducing by 0.00919 per cycle, reaching 0 over 8.43 years; based on assumption.</w:t>
            </w:r>
          </w:p>
        </w:tc>
      </w:tr>
      <w:tr w:rsidR="00EB133B" w:rsidRPr="00F57392" w14:paraId="54535E1D" w14:textId="77777777" w:rsidTr="0054202F">
        <w:trPr>
          <w:cantSplit/>
        </w:trPr>
        <w:tc>
          <w:tcPr>
            <w:tcW w:w="995" w:type="pct"/>
            <w:vAlign w:val="center"/>
          </w:tcPr>
          <w:p w14:paraId="28DBD536" w14:textId="4F49E0A0" w:rsidR="00EB133B" w:rsidRPr="00F57392" w:rsidRDefault="00EB133B" w:rsidP="00963F02">
            <w:pPr>
              <w:pStyle w:val="COMTabletext"/>
              <w:keepNext w:val="0"/>
            </w:pPr>
            <w:r w:rsidRPr="00F57392">
              <w:lastRenderedPageBreak/>
              <w:t>Costs</w:t>
            </w:r>
          </w:p>
        </w:tc>
        <w:tc>
          <w:tcPr>
            <w:tcW w:w="4005" w:type="pct"/>
            <w:vAlign w:val="center"/>
          </w:tcPr>
          <w:p w14:paraId="6FDEFD46" w14:textId="1353ED93" w:rsidR="00EB133B" w:rsidRPr="00F57392" w:rsidRDefault="000515AE" w:rsidP="0044735C">
            <w:pPr>
              <w:pStyle w:val="COMTabletext"/>
              <w:keepNext w:val="0"/>
              <w:spacing w:after="120"/>
            </w:pPr>
            <w:r w:rsidRPr="00F57392">
              <w:t>Initial treatment costs</w:t>
            </w:r>
            <w:r w:rsidR="00CE5322" w:rsidRPr="00F57392">
              <w:t xml:space="preserve">: </w:t>
            </w:r>
            <w:r w:rsidR="00963F02" w:rsidRPr="00F57392">
              <w:t xml:space="preserve">Vorasidenib cost based on </w:t>
            </w:r>
            <w:r w:rsidR="0044735C" w:rsidRPr="00F57392">
              <w:t xml:space="preserve">the </w:t>
            </w:r>
            <w:r w:rsidR="00963F02" w:rsidRPr="00F57392">
              <w:t>proposed effective DPMQ</w:t>
            </w:r>
            <w:r w:rsidR="007C5D18" w:rsidRPr="00F57392">
              <w:t xml:space="preserve">, </w:t>
            </w:r>
            <w:r w:rsidR="000F13A6" w:rsidRPr="00F57392">
              <w:t xml:space="preserve">with the duration of </w:t>
            </w:r>
            <w:r w:rsidR="00540B5B">
              <w:t>PFS</w:t>
            </w:r>
            <w:r w:rsidR="000F13A6" w:rsidRPr="00F57392">
              <w:t xml:space="preserve"> in the model used as a proxy for treatment duration</w:t>
            </w:r>
            <w:r w:rsidR="00963F02" w:rsidRPr="00F57392">
              <w:t xml:space="preserve">. </w:t>
            </w:r>
            <w:r w:rsidR="006D7409" w:rsidRPr="00F57392">
              <w:t>Active surveillance (placebo) was a</w:t>
            </w:r>
            <w:r w:rsidR="002F4652" w:rsidRPr="00F57392">
              <w:t xml:space="preserve">ssumed </w:t>
            </w:r>
            <w:r w:rsidR="006D7409" w:rsidRPr="00F57392">
              <w:t xml:space="preserve">to have </w:t>
            </w:r>
            <w:r w:rsidR="002F4652" w:rsidRPr="00F57392">
              <w:t>nil cost.</w:t>
            </w:r>
          </w:p>
          <w:p w14:paraId="12F839A0" w14:textId="10233DFB" w:rsidR="000515AE" w:rsidRPr="00F57392" w:rsidRDefault="000515AE" w:rsidP="0044735C">
            <w:pPr>
              <w:pStyle w:val="COMTabletext"/>
              <w:keepNext w:val="0"/>
              <w:spacing w:after="120"/>
            </w:pPr>
            <w:r w:rsidRPr="00F57392">
              <w:t>Adverse event costs</w:t>
            </w:r>
            <w:r w:rsidR="00CE5322" w:rsidRPr="00F57392">
              <w:t xml:space="preserve">: </w:t>
            </w:r>
            <w:r w:rsidR="002F4652" w:rsidRPr="00F57392">
              <w:t>Grade ≥3 adverse events occurring in ≥2% of patients in the INDIGO trial</w:t>
            </w:r>
            <w:r w:rsidR="008015D7" w:rsidRPr="00F57392">
              <w:t xml:space="preserve"> were included</w:t>
            </w:r>
            <w:r w:rsidR="002F4652" w:rsidRPr="00F57392">
              <w:t xml:space="preserve">. </w:t>
            </w:r>
            <w:r w:rsidR="00963F02" w:rsidRPr="00F57392">
              <w:t>Cost</w:t>
            </w:r>
            <w:r w:rsidR="008015D7" w:rsidRPr="00F57392">
              <w:t>s</w:t>
            </w:r>
            <w:r w:rsidR="00963F02" w:rsidRPr="00F57392">
              <w:t xml:space="preserve"> of management of increased liver enzymes (ALT, AST and GGT) </w:t>
            </w:r>
            <w:r w:rsidR="008015D7" w:rsidRPr="00F57392">
              <w:t xml:space="preserve">were </w:t>
            </w:r>
            <w:r w:rsidR="00963F02" w:rsidRPr="00F57392">
              <w:t>based on PBS prednisone DPMQ. Cost</w:t>
            </w:r>
            <w:r w:rsidR="006D7409" w:rsidRPr="00F57392">
              <w:t>s</w:t>
            </w:r>
            <w:r w:rsidR="00963F02" w:rsidRPr="00F57392">
              <w:t xml:space="preserve"> of seizure management </w:t>
            </w:r>
            <w:r w:rsidR="006D7409" w:rsidRPr="00F57392">
              <w:t xml:space="preserve">were </w:t>
            </w:r>
            <w:r w:rsidR="00963F02" w:rsidRPr="00F57392">
              <w:t>based on 2021/22 NHCDC data for AR-DRG B76 (seizures).</w:t>
            </w:r>
          </w:p>
          <w:p w14:paraId="57F2CF8C" w14:textId="6F112946" w:rsidR="000515AE" w:rsidRPr="00F57392" w:rsidRDefault="000515AE" w:rsidP="0044735C">
            <w:pPr>
              <w:pStyle w:val="COMTabletext"/>
              <w:keepNext w:val="0"/>
              <w:spacing w:after="120"/>
            </w:pPr>
            <w:r w:rsidRPr="00F57392">
              <w:t>Disease management costs</w:t>
            </w:r>
            <w:r w:rsidR="00CE5322" w:rsidRPr="00F57392">
              <w:t xml:space="preserve">: </w:t>
            </w:r>
            <w:r w:rsidR="00963F02" w:rsidRPr="00F57392">
              <w:t>Liver function test monitoring cost</w:t>
            </w:r>
            <w:r w:rsidR="006D7409" w:rsidRPr="00F57392">
              <w:t>s were</w:t>
            </w:r>
            <w:r w:rsidR="00963F02" w:rsidRPr="00F57392">
              <w:t xml:space="preserve"> based on MBS 66512 (specified pathology tests), MBS 23 (general practitioner visit) for initial test and MBS 91790 (telehealth visit) for subsequent tests. </w:t>
            </w:r>
            <w:r w:rsidR="007C5D18" w:rsidRPr="00F57392">
              <w:t xml:space="preserve">MRI costs associated with tumour assessment </w:t>
            </w:r>
            <w:r w:rsidR="005B1E2F" w:rsidRPr="00F57392">
              <w:t xml:space="preserve">were </w:t>
            </w:r>
            <w:r w:rsidR="007C5D18" w:rsidRPr="00F57392">
              <w:t>based on MBS 63001 (MRI brain), with an MRI scan assumed every 4.5 months for the first 5 years, and every 6 months thereafter.</w:t>
            </w:r>
            <w:r w:rsidR="00963F02" w:rsidRPr="00F57392">
              <w:t xml:space="preserve"> Additional management costs (rehabilitative and support health care services) </w:t>
            </w:r>
            <w:r w:rsidR="005B1E2F" w:rsidRPr="00F57392">
              <w:t xml:space="preserve">were </w:t>
            </w:r>
            <w:r w:rsidR="00963F02" w:rsidRPr="00F57392">
              <w:t>based on assumption.</w:t>
            </w:r>
          </w:p>
          <w:p w14:paraId="41875F99" w14:textId="48CDE31B" w:rsidR="000515AE" w:rsidRPr="00F57392" w:rsidRDefault="000515AE" w:rsidP="0044735C">
            <w:pPr>
              <w:pStyle w:val="COMTabletext"/>
              <w:keepNext w:val="0"/>
              <w:spacing w:after="120"/>
            </w:pPr>
            <w:r w:rsidRPr="00F57392">
              <w:t>Subsequent treatment costs</w:t>
            </w:r>
            <w:r w:rsidR="00004AF3" w:rsidRPr="00F57392">
              <w:t xml:space="preserve">: </w:t>
            </w:r>
            <w:r w:rsidR="005B1E2F" w:rsidRPr="00F57392">
              <w:t>The d</w:t>
            </w:r>
            <w:r w:rsidR="00963F02" w:rsidRPr="00F57392">
              <w:t xml:space="preserve">istribution of subsequent treatment interventions </w:t>
            </w:r>
            <w:r w:rsidR="005B1E2F" w:rsidRPr="00F57392">
              <w:t xml:space="preserve">was </w:t>
            </w:r>
            <w:r w:rsidR="00963F02" w:rsidRPr="00F57392">
              <w:t xml:space="preserve">based on </w:t>
            </w:r>
            <w:r w:rsidR="005B1E2F" w:rsidRPr="00F57392">
              <w:t xml:space="preserve">Australian </w:t>
            </w:r>
            <w:r w:rsidR="00963F02" w:rsidRPr="00F57392">
              <w:t xml:space="preserve">registry data (BRAIN); assuming 100% of patients experiencing disease progression receive subsequent treatment. Chemotherapy treatment regimen </w:t>
            </w:r>
            <w:r w:rsidR="007A5E2C" w:rsidRPr="00F57392">
              <w:t xml:space="preserve">costs were </w:t>
            </w:r>
            <w:r w:rsidR="00963F02" w:rsidRPr="00F57392">
              <w:t xml:space="preserve">based on </w:t>
            </w:r>
            <w:r w:rsidR="007A5E2C" w:rsidRPr="00F57392">
              <w:t xml:space="preserve">the </w:t>
            </w:r>
            <w:r w:rsidR="00963F02" w:rsidRPr="00F57392">
              <w:t xml:space="preserve">eviQ protocol for temozolomide and </w:t>
            </w:r>
            <w:r w:rsidR="007A5E2C" w:rsidRPr="00F57392">
              <w:t xml:space="preserve">the </w:t>
            </w:r>
            <w:r w:rsidR="00963F02" w:rsidRPr="00F57392">
              <w:t>published PBS temozolomide DPMQ. Radiotherapy treatment regimen</w:t>
            </w:r>
            <w:r w:rsidR="007A5E2C" w:rsidRPr="00F57392">
              <w:t xml:space="preserve"> costs were</w:t>
            </w:r>
            <w:r w:rsidR="00963F02" w:rsidRPr="00F57392">
              <w:t xml:space="preserve"> based on </w:t>
            </w:r>
            <w:r w:rsidR="007A5E2C" w:rsidRPr="00F57392">
              <w:t xml:space="preserve">the </w:t>
            </w:r>
            <w:r w:rsidR="00963F02" w:rsidRPr="00F57392">
              <w:t xml:space="preserve">eviQ protocol with </w:t>
            </w:r>
            <w:r w:rsidR="007A5E2C" w:rsidRPr="00F57392">
              <w:t xml:space="preserve">the </w:t>
            </w:r>
            <w:r w:rsidR="00963F02" w:rsidRPr="00F57392">
              <w:t>cost based on 2021/22 NHCDC data. Brain surgery cost</w:t>
            </w:r>
            <w:r w:rsidR="007A5E2C" w:rsidRPr="00F57392">
              <w:t xml:space="preserve">s were </w:t>
            </w:r>
            <w:r w:rsidR="00963F02" w:rsidRPr="00F57392">
              <w:t>based on 2021/22 NHCDC data for AR-DRG B66 (nervous system neoplastic disorders).</w:t>
            </w:r>
          </w:p>
          <w:p w14:paraId="434C6DBE" w14:textId="579BD231" w:rsidR="00963F02" w:rsidRPr="00F57392" w:rsidRDefault="000515AE" w:rsidP="0044735C">
            <w:pPr>
              <w:pStyle w:val="COMTabletext"/>
              <w:keepNext w:val="0"/>
              <w:spacing w:after="120"/>
            </w:pPr>
            <w:r w:rsidRPr="00F57392">
              <w:t>Seizure management costs</w:t>
            </w:r>
            <w:r w:rsidR="00963F02" w:rsidRPr="00F57392">
              <w:t xml:space="preserve">: </w:t>
            </w:r>
            <w:r w:rsidR="007A5E2C" w:rsidRPr="00F57392">
              <w:t>The f</w:t>
            </w:r>
            <w:r w:rsidR="00963F02" w:rsidRPr="00F57392">
              <w:t xml:space="preserve">requency of generalised seizure events among patients who are progression-free and patients with progressed disease </w:t>
            </w:r>
            <w:r w:rsidR="00395609" w:rsidRPr="00F57392">
              <w:t xml:space="preserve">was </w:t>
            </w:r>
            <w:r w:rsidR="00963F02" w:rsidRPr="00F57392">
              <w:t xml:space="preserve">based on the INDIGO trial. </w:t>
            </w:r>
            <w:r w:rsidR="00395609" w:rsidRPr="00F57392">
              <w:t>The p</w:t>
            </w:r>
            <w:r w:rsidR="00963F02" w:rsidRPr="00F57392">
              <w:t>roportion</w:t>
            </w:r>
            <w:r w:rsidR="00DA437A" w:rsidRPr="00F57392">
              <w:t>s</w:t>
            </w:r>
            <w:r w:rsidR="00963F02" w:rsidRPr="00F57392">
              <w:t xml:space="preserve"> of seizures requiring emergency department visit</w:t>
            </w:r>
            <w:r w:rsidR="00395609" w:rsidRPr="00F57392">
              <w:t>s</w:t>
            </w:r>
            <w:r w:rsidR="00963F02" w:rsidRPr="00F57392">
              <w:t xml:space="preserve"> (100%)</w:t>
            </w:r>
            <w:r w:rsidR="00DA437A" w:rsidRPr="00F57392">
              <w:t xml:space="preserve"> and</w:t>
            </w:r>
            <w:r w:rsidR="00963F02" w:rsidRPr="00F57392">
              <w:t xml:space="preserve"> hospitalisation (90%), and </w:t>
            </w:r>
            <w:r w:rsidR="00DA437A" w:rsidRPr="00F57392">
              <w:t xml:space="preserve">the proportion of patients </w:t>
            </w:r>
            <w:r w:rsidR="00963F02" w:rsidRPr="00F57392">
              <w:t>brought to hospital by ambulance (90%)</w:t>
            </w:r>
            <w:r w:rsidR="00DA437A" w:rsidRPr="00F57392">
              <w:t xml:space="preserve"> were</w:t>
            </w:r>
            <w:r w:rsidR="00963F02" w:rsidRPr="00F57392">
              <w:t xml:space="preserve"> based on assumption. </w:t>
            </w:r>
            <w:r w:rsidR="00DA437A" w:rsidRPr="00F57392">
              <w:t>The c</w:t>
            </w:r>
            <w:r w:rsidR="00963F02" w:rsidRPr="00F57392">
              <w:t xml:space="preserve">ost of </w:t>
            </w:r>
            <w:r w:rsidR="00D248F2" w:rsidRPr="00F57392">
              <w:t xml:space="preserve">a </w:t>
            </w:r>
            <w:r w:rsidR="00DA437A" w:rsidRPr="00F57392">
              <w:t>hospital</w:t>
            </w:r>
            <w:r w:rsidR="00963F02" w:rsidRPr="00F57392">
              <w:t xml:space="preserve"> admission </w:t>
            </w:r>
            <w:r w:rsidR="00DA437A" w:rsidRPr="00F57392">
              <w:t xml:space="preserve">was </w:t>
            </w:r>
            <w:r w:rsidR="00963F02" w:rsidRPr="00F57392">
              <w:t xml:space="preserve">based on 2021/2022 NHCDC data for AR DRG B76 (seizures). </w:t>
            </w:r>
            <w:r w:rsidR="00D248F2" w:rsidRPr="00F57392">
              <w:t>The c</w:t>
            </w:r>
            <w:r w:rsidR="00963F02" w:rsidRPr="00F57392">
              <w:t xml:space="preserve">ost of </w:t>
            </w:r>
            <w:r w:rsidR="00D248F2" w:rsidRPr="00F57392">
              <w:t xml:space="preserve">an </w:t>
            </w:r>
            <w:r w:rsidR="00963F02" w:rsidRPr="00F57392">
              <w:t xml:space="preserve">emergency department visit </w:t>
            </w:r>
            <w:r w:rsidR="00D248F2" w:rsidRPr="00F57392">
              <w:t xml:space="preserve">was </w:t>
            </w:r>
            <w:r w:rsidR="00963F02" w:rsidRPr="00F57392">
              <w:t xml:space="preserve">based on 2021/2022 NHCDC data </w:t>
            </w:r>
            <w:r w:rsidR="00D248F2" w:rsidRPr="00F57392">
              <w:t>(</w:t>
            </w:r>
            <w:r w:rsidR="00963F02" w:rsidRPr="00F57392">
              <w:t>emergency department visit for seizure</w:t>
            </w:r>
            <w:r w:rsidR="00D248F2" w:rsidRPr="00F57392">
              <w:t>)</w:t>
            </w:r>
            <w:r w:rsidR="00963F02" w:rsidRPr="00F57392">
              <w:t xml:space="preserve">. </w:t>
            </w:r>
            <w:r w:rsidR="00D248F2" w:rsidRPr="00F57392">
              <w:t>The c</w:t>
            </w:r>
            <w:r w:rsidR="00963F02" w:rsidRPr="00F57392">
              <w:t xml:space="preserve">ost of </w:t>
            </w:r>
            <w:r w:rsidR="00D248F2" w:rsidRPr="00F57392">
              <w:t xml:space="preserve">an </w:t>
            </w:r>
            <w:r w:rsidR="00963F02" w:rsidRPr="00F57392">
              <w:t xml:space="preserve">ambulance </w:t>
            </w:r>
            <w:r w:rsidR="00D248F2" w:rsidRPr="00F57392">
              <w:t xml:space="preserve">was </w:t>
            </w:r>
            <w:r w:rsidR="00963F02" w:rsidRPr="00F57392">
              <w:t xml:space="preserve">based on ambulance fees published by </w:t>
            </w:r>
            <w:r w:rsidR="00D248F2" w:rsidRPr="00F57392">
              <w:t xml:space="preserve">the </w:t>
            </w:r>
            <w:r w:rsidR="00963F02" w:rsidRPr="00F57392">
              <w:t xml:space="preserve">Victoria health service. </w:t>
            </w:r>
          </w:p>
          <w:p w14:paraId="148F30E4" w14:textId="1CD5CE7B" w:rsidR="00963F02" w:rsidRPr="00F57392" w:rsidRDefault="00963F02" w:rsidP="00963F02">
            <w:pPr>
              <w:pStyle w:val="COMTabletext"/>
              <w:keepNext w:val="0"/>
            </w:pPr>
            <w:r w:rsidRPr="00F57392">
              <w:t xml:space="preserve">End of life costs: Based on </w:t>
            </w:r>
            <w:r w:rsidR="006D616D" w:rsidRPr="00F57392">
              <w:t xml:space="preserve">the </w:t>
            </w:r>
            <w:r w:rsidRPr="00F57392">
              <w:t>end of life cost included in the July 2022 trastuzumab deruxtecan Public Summary Document (derived from Reeve et al., 2018).</w:t>
            </w:r>
          </w:p>
        </w:tc>
      </w:tr>
      <w:tr w:rsidR="000515AE" w:rsidRPr="00F57392" w14:paraId="0DA36BF6" w14:textId="77777777" w:rsidTr="0054202F">
        <w:trPr>
          <w:cantSplit/>
        </w:trPr>
        <w:tc>
          <w:tcPr>
            <w:tcW w:w="995" w:type="pct"/>
            <w:vAlign w:val="center"/>
          </w:tcPr>
          <w:p w14:paraId="3C9EE08F" w14:textId="0913E17D" w:rsidR="000515AE" w:rsidRPr="00F57392" w:rsidRDefault="000515AE" w:rsidP="00963F02">
            <w:pPr>
              <w:pStyle w:val="COMTabletext"/>
              <w:keepNext w:val="0"/>
            </w:pPr>
            <w:r w:rsidRPr="00F57392">
              <w:t>Discount rate</w:t>
            </w:r>
          </w:p>
        </w:tc>
        <w:tc>
          <w:tcPr>
            <w:tcW w:w="4005" w:type="pct"/>
            <w:vAlign w:val="center"/>
          </w:tcPr>
          <w:p w14:paraId="36198F83" w14:textId="434B1FD3" w:rsidR="000515AE" w:rsidRPr="00F57392" w:rsidRDefault="000515AE" w:rsidP="00963F02">
            <w:pPr>
              <w:pStyle w:val="COMTabletext"/>
              <w:keepNext w:val="0"/>
            </w:pPr>
            <w:r w:rsidRPr="00F57392">
              <w:t>5.0% applied to costs and outcomes</w:t>
            </w:r>
          </w:p>
        </w:tc>
      </w:tr>
      <w:tr w:rsidR="000515AE" w:rsidRPr="00F57392" w14:paraId="7DB288F6" w14:textId="77777777" w:rsidTr="0054202F">
        <w:trPr>
          <w:cantSplit/>
        </w:trPr>
        <w:tc>
          <w:tcPr>
            <w:tcW w:w="995" w:type="pct"/>
            <w:vAlign w:val="center"/>
          </w:tcPr>
          <w:p w14:paraId="795165DC" w14:textId="211668D7" w:rsidR="000515AE" w:rsidRPr="00F57392" w:rsidRDefault="000515AE" w:rsidP="00963F02">
            <w:pPr>
              <w:pStyle w:val="COMTabletext"/>
              <w:keepNext w:val="0"/>
            </w:pPr>
            <w:r w:rsidRPr="00F57392">
              <w:t>Software package</w:t>
            </w:r>
          </w:p>
        </w:tc>
        <w:tc>
          <w:tcPr>
            <w:tcW w:w="4005" w:type="pct"/>
            <w:vAlign w:val="center"/>
          </w:tcPr>
          <w:p w14:paraId="42BD92B9" w14:textId="0305AD82" w:rsidR="000515AE" w:rsidRPr="00F57392" w:rsidRDefault="000515AE" w:rsidP="00963F02">
            <w:pPr>
              <w:pStyle w:val="COMTabletext"/>
              <w:keepNext w:val="0"/>
            </w:pPr>
            <w:r w:rsidRPr="00F57392">
              <w:t>TreeAge Pro and Microsoft Excel</w:t>
            </w:r>
          </w:p>
        </w:tc>
      </w:tr>
    </w:tbl>
    <w:p w14:paraId="4679964E" w14:textId="77777777" w:rsidR="004852F0" w:rsidRPr="00F57392" w:rsidRDefault="003270E4" w:rsidP="007E51D5">
      <w:pPr>
        <w:pStyle w:val="COMTablefooter"/>
      </w:pPr>
      <w:r w:rsidRPr="00F57392">
        <w:t xml:space="preserve">Source: </w:t>
      </w:r>
      <w:r w:rsidR="00C02440" w:rsidRPr="00F57392">
        <w:t>Table 3.1, p72 of the submission</w:t>
      </w:r>
      <w:r w:rsidR="004852F0" w:rsidRPr="00F57392">
        <w:t>; Section 3 economic model Excel workbook; Section 3 economic model TreeAge Pro file.</w:t>
      </w:r>
    </w:p>
    <w:p w14:paraId="213DED56" w14:textId="042C8570" w:rsidR="003270E4" w:rsidRPr="00F57392" w:rsidRDefault="004852F0" w:rsidP="007E51D5">
      <w:pPr>
        <w:pStyle w:val="COMTablefooter"/>
      </w:pPr>
      <w:r w:rsidRPr="00F57392">
        <w:t>Abbreviations: BRAIN, Brain tumour Registry Australia INnovation and translatio</w:t>
      </w:r>
      <w:r w:rsidR="000F13A6" w:rsidRPr="00F57392">
        <w:t>n</w:t>
      </w:r>
      <w:r w:rsidRPr="00F57392">
        <w:t xml:space="preserve">; </w:t>
      </w:r>
      <w:r w:rsidR="007B6B7E">
        <w:t>PF</w:t>
      </w:r>
      <w:r w:rsidR="00F40E3D">
        <w:t xml:space="preserve">S, progression free survival; </w:t>
      </w:r>
      <w:r w:rsidRPr="00F57392">
        <w:t>QALY, quality-adjusted life year.</w:t>
      </w:r>
    </w:p>
    <w:p w14:paraId="74DF040A" w14:textId="70C679E8" w:rsidR="00B620CE" w:rsidRPr="009872A8" w:rsidRDefault="00B620CE" w:rsidP="00BB00B3">
      <w:pPr>
        <w:pStyle w:val="COMexecsummnumbered"/>
      </w:pPr>
      <w:r>
        <w:t xml:space="preserve">The economic model was a Markov model with 3 health states (progression-free, progressed disease and dead). The submission claimed that a simple model structure was adopted to avoid introducing additional uncertainty. The assumed model structure may not adequately reflect the natural history of the disease, which is typically associated with slow tumour growth for a number of years prior to a more rapidly progressing phase. </w:t>
      </w:r>
      <w:r w:rsidR="00DC0766">
        <w:t>T</w:t>
      </w:r>
      <w:r>
        <w:t>he model does not explicitly model the impact of subsequent treatments such as surgery and radiotherapy/chemotherapy, which may be associated with periods of disease remission and symptom reduction.</w:t>
      </w:r>
      <w:r w:rsidR="00003DFE">
        <w:t xml:space="preserve"> </w:t>
      </w:r>
      <w:r w:rsidR="000E606A" w:rsidRPr="009872A8">
        <w:t xml:space="preserve">The PSCR </w:t>
      </w:r>
      <w:r w:rsidR="00135C50" w:rsidRPr="009872A8">
        <w:t xml:space="preserve"> acknowledged these limitations but argued that introducing additional health states would </w:t>
      </w:r>
      <w:r w:rsidR="00FA48F0" w:rsidRPr="009872A8">
        <w:t xml:space="preserve">have increased the structural complexity and uncertainty without necessarily improving the precision of the incremental estimates. </w:t>
      </w:r>
      <w:r w:rsidR="004B6B63" w:rsidRPr="009872A8">
        <w:t>The Sub-</w:t>
      </w:r>
      <w:r w:rsidR="5EB31D02" w:rsidRPr="009872A8">
        <w:t>C</w:t>
      </w:r>
      <w:r w:rsidR="004B6B63" w:rsidRPr="009872A8">
        <w:t xml:space="preserve">ommittees considered this resulted in some uncertainty in the modelled </w:t>
      </w:r>
      <w:r w:rsidR="00BA66B3" w:rsidRPr="009872A8">
        <w:t xml:space="preserve">costs and </w:t>
      </w:r>
      <w:r w:rsidR="004B6B63" w:rsidRPr="009872A8">
        <w:t xml:space="preserve">outcomes, but noted that there are no clear sources to inform assumptions regarding the timing of </w:t>
      </w:r>
      <w:r w:rsidR="004B6B63" w:rsidRPr="009872A8">
        <w:lastRenderedPageBreak/>
        <w:t xml:space="preserve">subsequent treatments and their impacts on </w:t>
      </w:r>
      <w:r w:rsidR="0014051B" w:rsidRPr="009872A8">
        <w:t xml:space="preserve">survival </w:t>
      </w:r>
      <w:r w:rsidR="004B6B63" w:rsidRPr="009872A8">
        <w:t xml:space="preserve">outcomes and quality of life. </w:t>
      </w:r>
      <w:r w:rsidR="00003DFE" w:rsidRPr="009872A8">
        <w:t>The Sub-</w:t>
      </w:r>
      <w:r w:rsidR="49F4E265" w:rsidRPr="009872A8">
        <w:t>C</w:t>
      </w:r>
      <w:r w:rsidR="00BE2D47" w:rsidRPr="009872A8">
        <w:t>ommittees</w:t>
      </w:r>
      <w:r w:rsidR="00003DFE" w:rsidRPr="009872A8">
        <w:t xml:space="preserve"> considered that the model structure </w:t>
      </w:r>
      <w:r w:rsidR="003F3780" w:rsidRPr="009872A8">
        <w:t xml:space="preserve">adopted </w:t>
      </w:r>
      <w:r w:rsidR="00003DFE" w:rsidRPr="009872A8">
        <w:t>was reasonable</w:t>
      </w:r>
      <w:r w:rsidR="00C67E75" w:rsidRPr="009872A8">
        <w:t xml:space="preserve">, </w:t>
      </w:r>
      <w:r w:rsidR="002B48CB" w:rsidRPr="009872A8">
        <w:t>but that the model should</w:t>
      </w:r>
      <w:r w:rsidR="00E761B2" w:rsidRPr="009872A8">
        <w:t xml:space="preserve"> account for the costs and utility impacts of subsequent treatments within the existing model structure, without the need for additional health states</w:t>
      </w:r>
      <w:r w:rsidR="008660C7" w:rsidRPr="009872A8">
        <w:t>.</w:t>
      </w:r>
    </w:p>
    <w:p w14:paraId="581E9253" w14:textId="602F6105" w:rsidR="00C40050" w:rsidRPr="0084014B" w:rsidRDefault="00CE4D01" w:rsidP="00903311">
      <w:pPr>
        <w:pStyle w:val="COMexecsummnumbered"/>
      </w:pPr>
      <w:r w:rsidRPr="0084014B">
        <w:t xml:space="preserve">The probability of transitioning from the progression-free to the progressed disease state </w:t>
      </w:r>
      <w:r w:rsidR="001C32BD" w:rsidRPr="0084014B">
        <w:t>was based on e</w:t>
      </w:r>
      <w:r w:rsidRPr="0084014B">
        <w:t xml:space="preserve">xtrapolated results </w:t>
      </w:r>
      <w:r w:rsidR="00B25FD8" w:rsidRPr="0084014B">
        <w:t xml:space="preserve">for the vorasidenib and placebo </w:t>
      </w:r>
      <w:r w:rsidR="003979A6" w:rsidRPr="0084014B">
        <w:t xml:space="preserve">(as a proxy for active surveillance) </w:t>
      </w:r>
      <w:r w:rsidR="00B25FD8" w:rsidRPr="0084014B">
        <w:t>arms of</w:t>
      </w:r>
      <w:r w:rsidRPr="0084014B">
        <w:t xml:space="preserve"> the INDIGO trial</w:t>
      </w:r>
      <w:r w:rsidR="001C32BD" w:rsidRPr="0084014B">
        <w:t xml:space="preserve">. </w:t>
      </w:r>
      <w:r w:rsidR="00BE20AC" w:rsidRPr="0084014B">
        <w:t xml:space="preserve">Parametric functions were fitted to the </w:t>
      </w:r>
      <w:r w:rsidR="00AA2B7E">
        <w:t>PFS</w:t>
      </w:r>
      <w:r w:rsidR="00BE20AC" w:rsidRPr="0084014B">
        <w:t xml:space="preserve"> results reported at the extended follow-up data cut</w:t>
      </w:r>
      <w:r w:rsidR="00BF5734" w:rsidRPr="0084014B">
        <w:t>.</w:t>
      </w:r>
      <w:r w:rsidR="00BE20AC" w:rsidRPr="0084014B">
        <w:t xml:space="preserve"> </w:t>
      </w:r>
      <w:r w:rsidR="00BF5734" w:rsidRPr="0084014B">
        <w:t>The submission stated that l</w:t>
      </w:r>
      <w:r w:rsidR="00BE3EAA" w:rsidRPr="0084014B">
        <w:t xml:space="preserve">ognormal functions were selected to extrapolate the </w:t>
      </w:r>
      <w:r w:rsidR="00147A9C">
        <w:t>PFS</w:t>
      </w:r>
      <w:r w:rsidR="00BE3EAA" w:rsidRPr="0084014B">
        <w:t xml:space="preserve"> data</w:t>
      </w:r>
      <w:r w:rsidR="00BF5734" w:rsidRPr="0084014B">
        <w:t xml:space="preserve"> in the base case</w:t>
      </w:r>
      <w:r w:rsidR="00BE3EAA" w:rsidRPr="0084014B">
        <w:t xml:space="preserve"> on the basis of goodness of fit and visual inspection</w:t>
      </w:r>
      <w:r w:rsidR="00C40050" w:rsidRPr="0084014B">
        <w:t>.</w:t>
      </w:r>
    </w:p>
    <w:p w14:paraId="5BF2DB2E" w14:textId="093A3507" w:rsidR="00816C67" w:rsidRPr="0084014B" w:rsidRDefault="00C40050" w:rsidP="00903311">
      <w:pPr>
        <w:pStyle w:val="COMexecsummnumbered"/>
      </w:pPr>
      <w:r w:rsidRPr="0084014B">
        <w:fldChar w:fldCharType="begin"/>
      </w:r>
      <w:r w:rsidRPr="0084014B">
        <w:instrText xml:space="preserve"> REF _Ref198547873 \h  \* MERGEFORMAT </w:instrText>
      </w:r>
      <w:r w:rsidRPr="0084014B">
        <w:fldChar w:fldCharType="separate"/>
      </w:r>
      <w:r w:rsidR="003C0757" w:rsidRPr="0084014B">
        <w:t xml:space="preserve">Figure </w:t>
      </w:r>
      <w:r w:rsidR="003C0757">
        <w:rPr>
          <w:noProof/>
        </w:rPr>
        <w:t>2</w:t>
      </w:r>
      <w:r w:rsidRPr="0084014B">
        <w:fldChar w:fldCharType="end"/>
      </w:r>
      <w:r w:rsidRPr="0084014B">
        <w:t xml:space="preserve"> presents the parametric extrapolations of </w:t>
      </w:r>
      <w:r w:rsidR="00147A9C">
        <w:t>PFS</w:t>
      </w:r>
      <w:r w:rsidRPr="0084014B">
        <w:t xml:space="preserve"> for the vorasidenib arm.</w:t>
      </w:r>
    </w:p>
    <w:p w14:paraId="62DB3570" w14:textId="08BE7FC0" w:rsidR="00816C67" w:rsidRPr="0084014B" w:rsidRDefault="00816C67" w:rsidP="00816C67">
      <w:pPr>
        <w:pStyle w:val="COMtablefigcaption"/>
      </w:pPr>
      <w:bookmarkStart w:id="35" w:name="_Ref198547873"/>
      <w:r w:rsidRPr="0084014B">
        <w:t xml:space="preserve">Figure </w:t>
      </w:r>
      <w:r w:rsidR="00052B1E">
        <w:fldChar w:fldCharType="begin"/>
      </w:r>
      <w:r w:rsidR="00052B1E">
        <w:instrText xml:space="preserve"> SEQ Figure \* ARABIC </w:instrText>
      </w:r>
      <w:r w:rsidR="00052B1E">
        <w:fldChar w:fldCharType="separate"/>
      </w:r>
      <w:r w:rsidR="003C0757">
        <w:rPr>
          <w:noProof/>
        </w:rPr>
        <w:t>2</w:t>
      </w:r>
      <w:r w:rsidR="00052B1E">
        <w:rPr>
          <w:noProof/>
        </w:rPr>
        <w:fldChar w:fldCharType="end"/>
      </w:r>
      <w:bookmarkEnd w:id="35"/>
      <w:r w:rsidRPr="0084014B">
        <w:t xml:space="preserve">: Parametric extrapolations of </w:t>
      </w:r>
      <w:r w:rsidR="000E6FBD">
        <w:t>PFS</w:t>
      </w:r>
      <w:r w:rsidRPr="0084014B">
        <w:t xml:space="preserve"> for the vorasidenib arm</w:t>
      </w:r>
    </w:p>
    <w:p w14:paraId="0E9DE87A" w14:textId="77777777" w:rsidR="00816C67" w:rsidRPr="0084014B" w:rsidRDefault="00816C67" w:rsidP="00816C67">
      <w:pPr>
        <w:pStyle w:val="COMBody"/>
      </w:pPr>
      <w:r w:rsidRPr="0084014B">
        <w:rPr>
          <w:noProof/>
        </w:rPr>
        <w:drawing>
          <wp:inline distT="0" distB="0" distL="0" distR="0" wp14:anchorId="6FBDFCCF" wp14:editId="79033032">
            <wp:extent cx="5608955" cy="3371215"/>
            <wp:effectExtent l="0" t="0" r="0" b="635"/>
            <wp:docPr id="941374885" name="Picture 8" descr="Figure 2: Parametric extrapolations of PFS for the vorasidenib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4885" name="Picture 8" descr="Figure 2: Parametric extrapolations of PFS for the vorasidenib a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955" cy="3371215"/>
                    </a:xfrm>
                    <a:prstGeom prst="rect">
                      <a:avLst/>
                    </a:prstGeom>
                    <a:noFill/>
                  </pic:spPr>
                </pic:pic>
              </a:graphicData>
            </a:graphic>
          </wp:inline>
        </w:drawing>
      </w:r>
    </w:p>
    <w:p w14:paraId="5AEC3B2E" w14:textId="77777777" w:rsidR="00816C67" w:rsidRPr="0084014B" w:rsidRDefault="00816C67" w:rsidP="00816C67">
      <w:pPr>
        <w:pStyle w:val="COMTablefooter"/>
      </w:pPr>
      <w:r w:rsidRPr="0084014B">
        <w:t>Source: Figure 3.9, p87 of the submission.</w:t>
      </w:r>
    </w:p>
    <w:p w14:paraId="33A729A8" w14:textId="77777777" w:rsidR="00816C67" w:rsidRPr="0084014B" w:rsidRDefault="00816C67" w:rsidP="00816C67">
      <w:pPr>
        <w:pStyle w:val="COMTablefooter"/>
      </w:pPr>
      <w:r w:rsidRPr="0084014B">
        <w:t>Abbreviations: Gen, generalised; PFS, progression-free survival.</w:t>
      </w:r>
    </w:p>
    <w:p w14:paraId="2EF5D29F" w14:textId="77777777" w:rsidR="00816C67" w:rsidRPr="0084014B" w:rsidRDefault="00816C67" w:rsidP="00816C67">
      <w:pPr>
        <w:pStyle w:val="COMTablefooter"/>
      </w:pPr>
      <w:r w:rsidRPr="0084014B">
        <w:t xml:space="preserve">Note: The presented figure is based on a 20-year time frame, compared to the model time horizon of 40 years. </w:t>
      </w:r>
    </w:p>
    <w:p w14:paraId="1A1E2DF0" w14:textId="3F2C1D49" w:rsidR="00AF7418" w:rsidRPr="009872A8" w:rsidRDefault="00C40050" w:rsidP="00903311">
      <w:pPr>
        <w:pStyle w:val="COMexecsummnumbered"/>
      </w:pPr>
      <w:bookmarkStart w:id="36" w:name="_Ref201305609"/>
      <w:r w:rsidRPr="0084014B">
        <w:t xml:space="preserve">All of the tested functions appeared to fit the Kaplan-Meier data for the vorasidenib arm relatively well, but produced large differences in projected </w:t>
      </w:r>
      <w:r w:rsidR="00BD0F1A">
        <w:t>PFS</w:t>
      </w:r>
      <w:r w:rsidRPr="0084014B">
        <w:t xml:space="preserve">. </w:t>
      </w:r>
      <w:r w:rsidR="00AF7418" w:rsidRPr="0084014B">
        <w:t xml:space="preserve">The longer-term </w:t>
      </w:r>
      <w:r w:rsidR="00BD0F1A">
        <w:t>PFS</w:t>
      </w:r>
      <w:r w:rsidR="00AF7418" w:rsidRPr="0084014B">
        <w:t xml:space="preserve"> trajectory among patients treated with vorasidenib is </w:t>
      </w:r>
      <w:r w:rsidR="00BD0F1A" w:rsidRPr="009872A8">
        <w:t>unknown</w:t>
      </w:r>
      <w:r w:rsidR="00AF7418" w:rsidRPr="009872A8">
        <w:t xml:space="preserve">. </w:t>
      </w:r>
      <w:r w:rsidR="00211C22" w:rsidRPr="009872A8">
        <w:t xml:space="preserve">The Commentary considered that </w:t>
      </w:r>
      <w:r w:rsidR="00211C22">
        <w:t>g</w:t>
      </w:r>
      <w:r w:rsidR="00AF7418" w:rsidRPr="0084014B">
        <w:t>iven the impact of the selected extrapolation on the ICER, a more conservative option such as a Gompertz or Weibull function may be more appropriate.</w:t>
      </w:r>
      <w:r w:rsidR="00292AF0">
        <w:t xml:space="preserve"> </w:t>
      </w:r>
      <w:r w:rsidR="00292AF0" w:rsidRPr="009872A8">
        <w:t xml:space="preserve">The </w:t>
      </w:r>
      <w:r w:rsidR="006A2F99" w:rsidRPr="009872A8">
        <w:t>Sub-Committees</w:t>
      </w:r>
      <w:r w:rsidR="00292AF0" w:rsidRPr="009872A8">
        <w:t xml:space="preserve"> noted that the extrapolation of PFS was a major source of uncertainty in the modelled outcomes, and noted that</w:t>
      </w:r>
      <w:r w:rsidR="00E51DAC" w:rsidRPr="009872A8">
        <w:t xml:space="preserve"> the difference in PFS </w:t>
      </w:r>
      <w:r w:rsidR="00DD70B6" w:rsidRPr="009872A8">
        <w:t xml:space="preserve">directly </w:t>
      </w:r>
      <w:r w:rsidR="00E51DAC" w:rsidRPr="009872A8">
        <w:t xml:space="preserve">translated into a </w:t>
      </w:r>
      <w:r w:rsidR="0075436F" w:rsidRPr="009872A8">
        <w:t>difference in</w:t>
      </w:r>
      <w:r w:rsidR="00292AF0" w:rsidRPr="009872A8">
        <w:t xml:space="preserve"> OS</w:t>
      </w:r>
      <w:r w:rsidR="000475CB" w:rsidRPr="009872A8">
        <w:t xml:space="preserve">. </w:t>
      </w:r>
      <w:r w:rsidR="007764CD" w:rsidRPr="009872A8">
        <w:t xml:space="preserve">The PSCR </w:t>
      </w:r>
      <w:r w:rsidR="0078214C">
        <w:t>and pre-PBAC response</w:t>
      </w:r>
      <w:r w:rsidR="001525BD" w:rsidRPr="009872A8">
        <w:t xml:space="preserve"> </w:t>
      </w:r>
      <w:r w:rsidR="007764CD" w:rsidRPr="009872A8">
        <w:t xml:space="preserve">stated that </w:t>
      </w:r>
      <w:r w:rsidR="00BE0751" w:rsidRPr="009872A8">
        <w:t>the lognormal function was chosen based on statisti</w:t>
      </w:r>
      <w:r w:rsidR="0092296A" w:rsidRPr="009872A8">
        <w:t>cal fit (</w:t>
      </w:r>
      <w:r w:rsidR="001525BD" w:rsidRPr="009872A8">
        <w:t>AIC/BIC</w:t>
      </w:r>
      <w:r w:rsidR="0092296A" w:rsidRPr="009872A8">
        <w:t>)</w:t>
      </w:r>
      <w:r w:rsidR="00854D07" w:rsidRPr="009872A8">
        <w:t xml:space="preserve">, clinical plausibility, </w:t>
      </w:r>
      <w:r w:rsidR="00854D07" w:rsidRPr="009872A8">
        <w:lastRenderedPageBreak/>
        <w:t xml:space="preserve">and alignment with </w:t>
      </w:r>
      <w:r w:rsidR="009211DB" w:rsidRPr="009872A8">
        <w:t xml:space="preserve">observed trial data. </w:t>
      </w:r>
      <w:r w:rsidR="00CF081C" w:rsidRPr="009872A8">
        <w:t xml:space="preserve">The </w:t>
      </w:r>
      <w:r w:rsidR="006A2F99" w:rsidRPr="009872A8">
        <w:t>Sub-Committees</w:t>
      </w:r>
      <w:r w:rsidR="00CF081C" w:rsidRPr="009872A8">
        <w:t xml:space="preserve"> considered </w:t>
      </w:r>
      <w:r w:rsidR="005224D6" w:rsidRPr="009872A8">
        <w:t xml:space="preserve">that </w:t>
      </w:r>
      <w:r w:rsidR="00EF05DE" w:rsidRPr="009872A8">
        <w:t>sensitivity analys</w:t>
      </w:r>
      <w:r w:rsidR="00097135" w:rsidRPr="009872A8">
        <w:t>e</w:t>
      </w:r>
      <w:r w:rsidR="00EF05DE" w:rsidRPr="009872A8">
        <w:t xml:space="preserve">s using </w:t>
      </w:r>
      <w:r w:rsidR="005224D6" w:rsidRPr="009872A8">
        <w:t>alternative reasonable functions were informative in</w:t>
      </w:r>
      <w:r w:rsidR="00EF05DE" w:rsidRPr="009872A8">
        <w:t xml:space="preserve"> highlighting the uncertainty</w:t>
      </w:r>
      <w:r w:rsidR="00CD610A" w:rsidRPr="009872A8">
        <w:t xml:space="preserve"> associated with extrapolation of PFS data.</w:t>
      </w:r>
      <w:r w:rsidR="005224D6" w:rsidRPr="009872A8">
        <w:t xml:space="preserve"> </w:t>
      </w:r>
      <w:r w:rsidR="00635AB8" w:rsidRPr="009872A8">
        <w:t xml:space="preserve">In addition, given the lack of OS data </w:t>
      </w:r>
      <w:r w:rsidR="00016B2D" w:rsidRPr="009872A8">
        <w:t xml:space="preserve">available for vorasidenib, the </w:t>
      </w:r>
      <w:r w:rsidR="006A2F99" w:rsidRPr="009872A8">
        <w:t>Sub-Committees</w:t>
      </w:r>
      <w:r w:rsidR="00016B2D" w:rsidRPr="009872A8">
        <w:t xml:space="preserve"> considered </w:t>
      </w:r>
      <w:r w:rsidR="00372DDF" w:rsidRPr="009872A8">
        <w:t>that adoption of a</w:t>
      </w:r>
      <w:r w:rsidR="008022D5" w:rsidRPr="009872A8">
        <w:t xml:space="preserve"> more</w:t>
      </w:r>
      <w:r w:rsidR="00675C20" w:rsidRPr="009872A8">
        <w:t xml:space="preserve"> conservative approach to</w:t>
      </w:r>
      <w:r w:rsidR="00877FF9" w:rsidRPr="009872A8">
        <w:t xml:space="preserve"> extrapolation of PFS may also be justified.</w:t>
      </w:r>
      <w:bookmarkEnd w:id="36"/>
      <w:r w:rsidR="00675C20" w:rsidRPr="009872A8">
        <w:t xml:space="preserve"> </w:t>
      </w:r>
      <w:r w:rsidR="00A0563B">
        <w:t xml:space="preserve">The pre-PBAC response </w:t>
      </w:r>
      <w:r w:rsidR="00AA5F78">
        <w:t>argued that these Gompertz and Weibull functions</w:t>
      </w:r>
      <w:r w:rsidR="00EE1E8B">
        <w:t xml:space="preserve"> provide the most pessimistic projections of PFS outcomes and are not reflective of the most likely clinical trajectory.</w:t>
      </w:r>
    </w:p>
    <w:p w14:paraId="2B5F3719" w14:textId="5396E8D6" w:rsidR="002524D5" w:rsidRPr="009872A8" w:rsidRDefault="001C32BD" w:rsidP="7BC319D9">
      <w:pPr>
        <w:pStyle w:val="COMexecsummnumbered"/>
      </w:pPr>
      <w:r w:rsidRPr="0084014B">
        <w:t xml:space="preserve">Due to </w:t>
      </w:r>
      <w:r w:rsidR="004E2A3A">
        <w:t xml:space="preserve">the </w:t>
      </w:r>
      <w:r w:rsidR="000807CB">
        <w:t>l</w:t>
      </w:r>
      <w:r w:rsidR="004E2A3A">
        <w:t xml:space="preserve">ack of meaningful </w:t>
      </w:r>
      <w:r w:rsidR="001525BD">
        <w:t>OS</w:t>
      </w:r>
      <w:r w:rsidRPr="0084014B">
        <w:t xml:space="preserve"> data in the INDIGO trial, </w:t>
      </w:r>
      <w:r w:rsidR="003979A6" w:rsidRPr="0084014B">
        <w:t>the probability of transitioning from the progressed disease health state to the dead state was derived</w:t>
      </w:r>
      <w:r w:rsidRPr="0084014B">
        <w:t xml:space="preserve"> from an analysis of Australian brain tumour registry data</w:t>
      </w:r>
      <w:r w:rsidR="00DC0766" w:rsidRPr="0084014B">
        <w:t xml:space="preserve">, and </w:t>
      </w:r>
      <w:r w:rsidR="003979A6" w:rsidRPr="0084014B">
        <w:t xml:space="preserve">was assumed to be the same for </w:t>
      </w:r>
      <w:r w:rsidR="009568BD" w:rsidRPr="0084014B">
        <w:t xml:space="preserve">the </w:t>
      </w:r>
      <w:r w:rsidR="003979A6" w:rsidRPr="0084014B">
        <w:t>vorasidenib and active surveillance arms.</w:t>
      </w:r>
      <w:r w:rsidR="009568BD" w:rsidRPr="0084014B">
        <w:t xml:space="preserve"> </w:t>
      </w:r>
      <w:r w:rsidR="00563482" w:rsidRPr="0084014B">
        <w:t>In the model, t</w:t>
      </w:r>
      <w:r w:rsidR="009032D7" w:rsidRPr="0084014B">
        <w:t xml:space="preserve">he </w:t>
      </w:r>
      <w:r w:rsidR="00DC0766" w:rsidRPr="0084014B">
        <w:t xml:space="preserve">longer </w:t>
      </w:r>
      <w:r w:rsidR="009032D7" w:rsidRPr="0084014B">
        <w:t xml:space="preserve">duration of </w:t>
      </w:r>
      <w:r w:rsidR="009568BD" w:rsidRPr="0084014B">
        <w:t xml:space="preserve">radiographic </w:t>
      </w:r>
      <w:r w:rsidR="001525BD">
        <w:t>PFS</w:t>
      </w:r>
      <w:r w:rsidR="009568BD" w:rsidRPr="0084014B">
        <w:t xml:space="preserve"> </w:t>
      </w:r>
      <w:r w:rsidR="00DC0766" w:rsidRPr="0084014B">
        <w:t xml:space="preserve">associated with </w:t>
      </w:r>
      <w:r w:rsidR="009032D7" w:rsidRPr="0084014B">
        <w:t xml:space="preserve">vorasidenib resulted in a substantial </w:t>
      </w:r>
      <w:r w:rsidR="001525BD">
        <w:t>OS</w:t>
      </w:r>
      <w:r w:rsidR="00D56C8A" w:rsidRPr="0084014B">
        <w:t xml:space="preserve"> </w:t>
      </w:r>
      <w:r w:rsidR="009032D7" w:rsidRPr="0084014B">
        <w:t>advantage for the</w:t>
      </w:r>
      <w:r w:rsidR="00D56C8A" w:rsidRPr="0084014B">
        <w:t xml:space="preserve"> </w:t>
      </w:r>
      <w:r w:rsidR="009032D7" w:rsidRPr="0084014B">
        <w:t>vorasidenib arm.</w:t>
      </w:r>
      <w:r w:rsidR="00DC0766" w:rsidRPr="0084014B">
        <w:t xml:space="preserve"> However, </w:t>
      </w:r>
      <w:r w:rsidR="00897719">
        <w:t>it is unclear</w:t>
      </w:r>
      <w:r w:rsidR="00B25FD8" w:rsidRPr="0084014B">
        <w:t xml:space="preserve"> whether the improvement in radiographic </w:t>
      </w:r>
      <w:r w:rsidR="001525BD">
        <w:t xml:space="preserve">PFS </w:t>
      </w:r>
      <w:r w:rsidR="00B25FD8" w:rsidRPr="0084014B">
        <w:t xml:space="preserve">demonstrated in the INDIGO trial will translate into a survival benefit in clinical practice and, if so, the magnitude of the </w:t>
      </w:r>
      <w:r w:rsidR="001525BD">
        <w:t>OS</w:t>
      </w:r>
      <w:r w:rsidR="00B25FD8" w:rsidRPr="0084014B">
        <w:t xml:space="preserve"> benefit. The association between radiographic </w:t>
      </w:r>
      <w:r w:rsidR="001525BD">
        <w:t>PFS</w:t>
      </w:r>
      <w:r w:rsidR="00B25FD8" w:rsidRPr="0084014B">
        <w:t xml:space="preserve"> (as defined in the INDIGO trial) and </w:t>
      </w:r>
      <w:r w:rsidR="001525BD">
        <w:t>OS</w:t>
      </w:r>
      <w:r w:rsidR="00B25FD8" w:rsidRPr="0084014B">
        <w:t xml:space="preserve"> among patients with Grade 2 IDH-mutant astrocytoma and oligodendroglioma was not adequately addressed in the submission.</w:t>
      </w:r>
      <w:r w:rsidR="00635960">
        <w:t xml:space="preserve"> </w:t>
      </w:r>
      <w:r w:rsidR="00635960" w:rsidRPr="009872A8">
        <w:t xml:space="preserve">The PSCR </w:t>
      </w:r>
      <w:r w:rsidR="00897719">
        <w:t>and pre-PBAC response</w:t>
      </w:r>
      <w:r w:rsidR="00635960" w:rsidRPr="009872A8">
        <w:t xml:space="preserve"> argued that the INDIGO trial demonstrated a tumour-static effect for vorasidenib, with a marked reduction in tumour growth rate and prolonged PFS compared to placebo</w:t>
      </w:r>
      <w:r w:rsidR="00BE0137" w:rsidRPr="009872A8">
        <w:t xml:space="preserve">, </w:t>
      </w:r>
      <w:r w:rsidR="00461074" w:rsidRPr="009872A8">
        <w:t>which may translate into improved outcomes beyond progression compared to active surveillance. In addition</w:t>
      </w:r>
      <w:r w:rsidR="00576A7D" w:rsidRPr="009872A8">
        <w:t>,</w:t>
      </w:r>
      <w:r w:rsidR="00BE0137" w:rsidRPr="009872A8">
        <w:t xml:space="preserve"> e</w:t>
      </w:r>
      <w:r w:rsidR="008B35F1" w:rsidRPr="009872A8">
        <w:t>vidence presented in the submission from</w:t>
      </w:r>
      <w:r w:rsidR="00FE3FA7" w:rsidRPr="009872A8">
        <w:t xml:space="preserve"> the</w:t>
      </w:r>
      <w:r w:rsidR="008B35F1" w:rsidRPr="009872A8">
        <w:t xml:space="preserve"> BRAIN </w:t>
      </w:r>
      <w:r w:rsidR="00FE3FA7" w:rsidRPr="009872A8">
        <w:t xml:space="preserve">registry </w:t>
      </w:r>
      <w:r w:rsidR="008B35F1" w:rsidRPr="009872A8">
        <w:t>suggests longer PFS periods tend towards longer post-progression survival times</w:t>
      </w:r>
      <w:r w:rsidR="00FE3FA7" w:rsidRPr="009872A8">
        <w:t xml:space="preserve">. </w:t>
      </w:r>
      <w:r w:rsidR="00ED6B7F" w:rsidRPr="009872A8">
        <w:t>As such</w:t>
      </w:r>
      <w:r w:rsidR="00ED69B0" w:rsidRPr="009872A8">
        <w:t>,</w:t>
      </w:r>
      <w:r w:rsidR="00ED6B7F" w:rsidRPr="009872A8">
        <w:t xml:space="preserve"> the PSCR suggested that </w:t>
      </w:r>
      <w:r w:rsidR="000777E3" w:rsidRPr="009872A8">
        <w:t xml:space="preserve">assuming equal post-progression survival in both arms is a reasonable (if not conservative) approach. </w:t>
      </w:r>
      <w:r w:rsidR="000912B0" w:rsidRPr="009872A8">
        <w:t>The Sub-</w:t>
      </w:r>
      <w:r w:rsidR="051BB77B" w:rsidRPr="009872A8">
        <w:t>C</w:t>
      </w:r>
      <w:r w:rsidR="000912B0" w:rsidRPr="009872A8">
        <w:t xml:space="preserve">ommittees considered that </w:t>
      </w:r>
      <w:r w:rsidR="00E96038" w:rsidRPr="009872A8">
        <w:t xml:space="preserve">it was unclear whether </w:t>
      </w:r>
      <w:r w:rsidR="004C3D41" w:rsidRPr="009872A8">
        <w:t>assuming the same probability of transitioning from the progressed disease</w:t>
      </w:r>
      <w:r w:rsidR="00F50366" w:rsidRPr="009872A8">
        <w:t xml:space="preserve"> state to the dead state </w:t>
      </w:r>
      <w:r w:rsidR="004C3D41" w:rsidRPr="009872A8">
        <w:t xml:space="preserve">for </w:t>
      </w:r>
      <w:r w:rsidR="00F50366" w:rsidRPr="009872A8">
        <w:t>both</w:t>
      </w:r>
      <w:r w:rsidR="004C3D41" w:rsidRPr="009872A8">
        <w:t xml:space="preserve"> arms</w:t>
      </w:r>
      <w:r w:rsidR="00E96038" w:rsidRPr="009872A8">
        <w:t xml:space="preserve"> was reasonable</w:t>
      </w:r>
      <w:r w:rsidR="00842EF7" w:rsidRPr="009872A8">
        <w:t xml:space="preserve"> as no definitive data </w:t>
      </w:r>
      <w:r w:rsidR="000B01ED" w:rsidRPr="009872A8">
        <w:t>are available and additional follow-up</w:t>
      </w:r>
      <w:r w:rsidR="00DA7B88" w:rsidRPr="009872A8">
        <w:t xml:space="preserve"> data</w:t>
      </w:r>
      <w:r w:rsidR="000B01ED" w:rsidRPr="009872A8">
        <w:t xml:space="preserve"> from the INDIGO trial </w:t>
      </w:r>
      <w:r w:rsidR="00DA7B88" w:rsidRPr="009872A8">
        <w:t>are</w:t>
      </w:r>
      <w:r w:rsidR="000B01ED" w:rsidRPr="009872A8">
        <w:t xml:space="preserve"> unlikely to provide further certainty.</w:t>
      </w:r>
      <w:r w:rsidR="00773181" w:rsidRPr="009872A8">
        <w:t xml:space="preserve"> The </w:t>
      </w:r>
      <w:r w:rsidR="006A2F99" w:rsidRPr="009872A8">
        <w:t>Sub-Committees</w:t>
      </w:r>
      <w:r w:rsidR="00773181" w:rsidRPr="009872A8">
        <w:t xml:space="preserve"> noted that this assumption led to </w:t>
      </w:r>
      <w:r w:rsidR="004B4379" w:rsidRPr="009872A8">
        <w:t>a large</w:t>
      </w:r>
      <w:r w:rsidR="00D949C7">
        <w:t xml:space="preserve"> </w:t>
      </w:r>
      <w:r w:rsidR="004B4379" w:rsidRPr="009872A8">
        <w:t xml:space="preserve">modelled survival benefit, which was not supported by the available evidence (see also paragraph </w:t>
      </w:r>
      <w:r w:rsidRPr="009872A8">
        <w:fldChar w:fldCharType="begin"/>
      </w:r>
      <w:r w:rsidRPr="009872A8">
        <w:instrText xml:space="preserve"> REF _Ref200963519 \r \h </w:instrText>
      </w:r>
      <w:r w:rsidR="009872A8">
        <w:instrText xml:space="preserve"> \* MERGEFORMAT </w:instrText>
      </w:r>
      <w:r w:rsidRPr="009872A8">
        <w:fldChar w:fldCharType="separate"/>
      </w:r>
      <w:r w:rsidR="003C0757">
        <w:t>6.48</w:t>
      </w:r>
      <w:r w:rsidRPr="009872A8">
        <w:fldChar w:fldCharType="end"/>
      </w:r>
      <w:r w:rsidR="006A07C8" w:rsidRPr="009872A8">
        <w:t>).</w:t>
      </w:r>
      <w:r w:rsidR="007C7523">
        <w:t xml:space="preserve"> The pre-PBAC response noted that the relatively long survival of patients with IDH-mutant gliomas mea</w:t>
      </w:r>
      <w:r w:rsidR="00D949C7">
        <w:t>n</w:t>
      </w:r>
      <w:r w:rsidR="007C7523">
        <w:t>s that OS data will take many years to mature.</w:t>
      </w:r>
    </w:p>
    <w:p w14:paraId="472AED85" w14:textId="74549B1A" w:rsidR="000A6081" w:rsidRPr="009872A8" w:rsidRDefault="000A6081" w:rsidP="7BC319D9">
      <w:pPr>
        <w:pStyle w:val="COMexecsummnumbered"/>
      </w:pPr>
      <w:bookmarkStart w:id="37" w:name="_Ref201305611"/>
      <w:r>
        <w:t xml:space="preserve">Health utility in the progression-free health state </w:t>
      </w:r>
      <w:r w:rsidR="00B620CE">
        <w:t xml:space="preserve">(0.929) </w:t>
      </w:r>
      <w:r>
        <w:t>was based on the average reported health state utility among patients remaining progression-free in the INDIGO trial</w:t>
      </w:r>
      <w:r w:rsidR="00B620CE">
        <w:t xml:space="preserve">. </w:t>
      </w:r>
      <w:r>
        <w:t xml:space="preserve">The resulting utility appeared to overestimate utility in the population, given that the disease is typically incurable, and given that around 30% of patients in the INDIGO trial experienced seizures while in the progression-free state. Additionally, the </w:t>
      </w:r>
      <w:r w:rsidR="00DC0766">
        <w:t>assumed</w:t>
      </w:r>
      <w:r>
        <w:t xml:space="preserve"> utility value exceeded Australian population </w:t>
      </w:r>
      <w:r w:rsidR="00A26A86">
        <w:t>norms</w:t>
      </w:r>
      <w:r>
        <w:t xml:space="preserve"> for EQ-5D-5L reported by Redwood et al. (2024; 35-44 years: 0.87, 45-54 years: 0.85, 55-64 years: 0.86).</w:t>
      </w:r>
      <w:r w:rsidR="00F84280">
        <w:t xml:space="preserve"> </w:t>
      </w:r>
      <w:r w:rsidR="00AF1631" w:rsidRPr="009872A8">
        <w:t xml:space="preserve">The PSCR noted </w:t>
      </w:r>
      <w:r w:rsidR="00492CA3" w:rsidRPr="009872A8">
        <w:t>Redwoo</w:t>
      </w:r>
      <w:r w:rsidR="00307F8D" w:rsidRPr="009872A8">
        <w:t xml:space="preserve">d et al </w:t>
      </w:r>
      <w:r w:rsidR="00D460E0" w:rsidRPr="009872A8">
        <w:t xml:space="preserve">(2024) </w:t>
      </w:r>
      <w:r w:rsidR="00307F8D" w:rsidRPr="009872A8">
        <w:t>state</w:t>
      </w:r>
      <w:r w:rsidR="00492CA3" w:rsidRPr="009872A8">
        <w:t xml:space="preserve"> that the Australian utility scores they reported are lower than utility scores reported from other countries, as well as those previously </w:t>
      </w:r>
      <w:r w:rsidR="00492CA3" w:rsidRPr="009872A8">
        <w:lastRenderedPageBreak/>
        <w:t>reported from Australia</w:t>
      </w:r>
      <w:r w:rsidR="00307F8D" w:rsidRPr="009872A8">
        <w:t>. In addition,</w:t>
      </w:r>
      <w:r w:rsidR="00AF1631" w:rsidRPr="009872A8">
        <w:t xml:space="preserve"> </w:t>
      </w:r>
      <w:r w:rsidR="00D460E0" w:rsidRPr="009872A8">
        <w:t>the PSCR</w:t>
      </w:r>
      <w:r w:rsidR="00A365A6">
        <w:t xml:space="preserve"> and pre-PBAC response</w:t>
      </w:r>
      <w:r w:rsidR="00D460E0" w:rsidRPr="009872A8">
        <w:t xml:space="preserve"> </w:t>
      </w:r>
      <w:r w:rsidR="00FD06DE">
        <w:t>maintained</w:t>
      </w:r>
      <w:r w:rsidR="00FD06DE" w:rsidRPr="009872A8">
        <w:t xml:space="preserve"> </w:t>
      </w:r>
      <w:r w:rsidR="00D460E0" w:rsidRPr="009872A8">
        <w:t xml:space="preserve">that </w:t>
      </w:r>
      <w:r w:rsidR="00EE2491" w:rsidRPr="009872A8">
        <w:t xml:space="preserve">deriving </w:t>
      </w:r>
      <w:r w:rsidR="00AF1631" w:rsidRPr="009872A8">
        <w:t xml:space="preserve">this value </w:t>
      </w:r>
      <w:r w:rsidR="00EE2491" w:rsidRPr="009872A8">
        <w:t>from the trial data, with Australian weights, is the approach preferred in the PBAC Guidelines</w:t>
      </w:r>
      <w:r w:rsidR="00FD06DE">
        <w:t xml:space="preserve"> and is consistent with </w:t>
      </w:r>
      <w:r w:rsidR="00466858">
        <w:t>precedent</w:t>
      </w:r>
      <w:r w:rsidR="00525440">
        <w:rPr>
          <w:rStyle w:val="FootnoteReference"/>
        </w:rPr>
        <w:footnoteReference w:id="5"/>
      </w:r>
      <w:r w:rsidR="00C02169">
        <w:t xml:space="preserve">, and </w:t>
      </w:r>
      <w:r w:rsidR="00864DBC">
        <w:t xml:space="preserve">the values used in the submission </w:t>
      </w:r>
      <w:r w:rsidR="00C02169">
        <w:t>reflect the actual experience of patients enrolled in the INDIGO trial during the progression free phase of the disease</w:t>
      </w:r>
      <w:r w:rsidR="00EE2491" w:rsidRPr="009872A8">
        <w:t>. The Sub-</w:t>
      </w:r>
      <w:r w:rsidR="419EC750" w:rsidRPr="009872A8">
        <w:t>C</w:t>
      </w:r>
      <w:r w:rsidR="00EE2491" w:rsidRPr="009872A8">
        <w:t xml:space="preserve">ommittees </w:t>
      </w:r>
      <w:r w:rsidR="003804A8" w:rsidRPr="009872A8">
        <w:t>acknowledged</w:t>
      </w:r>
      <w:r w:rsidR="00EE2491" w:rsidRPr="009872A8">
        <w:t xml:space="preserve"> that this was an appropriate approach</w:t>
      </w:r>
      <w:r w:rsidR="003804A8" w:rsidRPr="009872A8">
        <w:t xml:space="preserve">, but noted that </w:t>
      </w:r>
      <w:r w:rsidR="00A15734" w:rsidRPr="009872A8">
        <w:t>alternative approaches may be justified where the utilities appear to lack face value.</w:t>
      </w:r>
      <w:r w:rsidR="007565EB" w:rsidRPr="009872A8">
        <w:t xml:space="preserve"> The Sub-</w:t>
      </w:r>
      <w:r w:rsidR="56200521" w:rsidRPr="009872A8">
        <w:t>C</w:t>
      </w:r>
      <w:r w:rsidR="007565EB" w:rsidRPr="009872A8">
        <w:t xml:space="preserve">ommittees noted that the use of the </w:t>
      </w:r>
      <w:r w:rsidR="00F86C09" w:rsidRPr="009872A8">
        <w:t xml:space="preserve">value derived from the INDIGO trial was favourable to vorasidenib and lower </w:t>
      </w:r>
      <w:r w:rsidR="00CF55F3" w:rsidRPr="009872A8">
        <w:t xml:space="preserve">progression-free utility </w:t>
      </w:r>
      <w:r w:rsidR="00F86C09" w:rsidRPr="009872A8">
        <w:t>values substantially increased the ICER.</w:t>
      </w:r>
      <w:bookmarkEnd w:id="37"/>
      <w:r w:rsidR="00A15734" w:rsidRPr="009872A8">
        <w:t xml:space="preserve"> </w:t>
      </w:r>
      <w:r w:rsidR="003804A8" w:rsidRPr="009872A8">
        <w:t xml:space="preserve"> </w:t>
      </w:r>
    </w:p>
    <w:p w14:paraId="1AB84D4F" w14:textId="0B2108E6" w:rsidR="00B620CE" w:rsidRPr="0018278C" w:rsidRDefault="001654DD" w:rsidP="7BC319D9">
      <w:pPr>
        <w:pStyle w:val="COMexecsummnumbered"/>
        <w:rPr>
          <w:i/>
          <w:iCs/>
        </w:rPr>
      </w:pPr>
      <w:r>
        <w:t xml:space="preserve">Health state utility in </w:t>
      </w:r>
      <w:r w:rsidR="00B620CE">
        <w:t xml:space="preserve">the </w:t>
      </w:r>
      <w:r>
        <w:t xml:space="preserve">progressed disease health state was assumed to decrease </w:t>
      </w:r>
      <w:r w:rsidR="00371090">
        <w:t xml:space="preserve">linearly </w:t>
      </w:r>
      <w:r>
        <w:t xml:space="preserve">over time from </w:t>
      </w:r>
      <w:r w:rsidR="00B620CE">
        <w:t>0.93</w:t>
      </w:r>
      <w:r>
        <w:t xml:space="preserve"> at the time of disease progression to </w:t>
      </w:r>
      <w:r w:rsidR="00B620CE">
        <w:t>zero at the time of death. Based on the average duration of post-progression survival of 8.43 years</w:t>
      </w:r>
      <w:r>
        <w:t xml:space="preserve"> derived from the extrapolated post-progression survival curve</w:t>
      </w:r>
      <w:r w:rsidR="00B620CE">
        <w:t>, this equated to a utility reduction of 0.00919 per cycle. The assumed progressed disease utilities may not adequately reflect the natural history of the disease, given that disease progression was defined based on radiographic findings (which may not be associated with clinical changes or changes in quality of life), and given that the model does not explicitly model the impact of subsequent treatments such as surgery and radiotherapy/chemotherapy (which may be associated with periods of disease remission and symptom reduction).</w:t>
      </w:r>
      <w:r w:rsidR="00023DD4">
        <w:t xml:space="preserve"> </w:t>
      </w:r>
      <w:r w:rsidR="00023DD4" w:rsidRPr="009872A8">
        <w:t>The Sub-</w:t>
      </w:r>
      <w:r w:rsidR="7B211999" w:rsidRPr="009872A8">
        <w:t>C</w:t>
      </w:r>
      <w:r w:rsidR="00023DD4" w:rsidRPr="009872A8">
        <w:t xml:space="preserve">ommittees considered that the </w:t>
      </w:r>
      <w:r w:rsidR="00053724" w:rsidRPr="009872A8">
        <w:t xml:space="preserve">assumption of a </w:t>
      </w:r>
      <w:r w:rsidR="00023DD4" w:rsidRPr="009872A8">
        <w:t xml:space="preserve">linear </w:t>
      </w:r>
      <w:r w:rsidR="00053724" w:rsidRPr="009872A8">
        <w:t xml:space="preserve">decrease in utility </w:t>
      </w:r>
      <w:r w:rsidR="001D63BC" w:rsidRPr="009872A8">
        <w:t>is</w:t>
      </w:r>
      <w:r w:rsidR="00053724" w:rsidRPr="009872A8">
        <w:t xml:space="preserve"> </w:t>
      </w:r>
      <w:r w:rsidR="0056305C" w:rsidRPr="009872A8">
        <w:t xml:space="preserve">simplistic and does not adequately account for </w:t>
      </w:r>
      <w:r w:rsidR="00E00274" w:rsidRPr="009872A8">
        <w:t xml:space="preserve">the disease course </w:t>
      </w:r>
      <w:r w:rsidR="00632176" w:rsidRPr="009872A8">
        <w:t xml:space="preserve">and </w:t>
      </w:r>
      <w:r w:rsidR="0056305C" w:rsidRPr="009872A8">
        <w:t>subsequent treatments</w:t>
      </w:r>
      <w:r w:rsidR="00D63685" w:rsidRPr="009872A8">
        <w:t>.</w:t>
      </w:r>
      <w:r w:rsidR="00D63685" w:rsidRPr="7BC319D9">
        <w:rPr>
          <w:i/>
          <w:iCs/>
        </w:rPr>
        <w:t xml:space="preserve"> </w:t>
      </w:r>
      <w:r w:rsidR="0076434D">
        <w:t xml:space="preserve">The pre-PBAC response maintained that the </w:t>
      </w:r>
      <w:r w:rsidR="00E46979">
        <w:t>assumption of a linear decline in utility is more appropriate than assuming a constant utility value throughout the progression period</w:t>
      </w:r>
      <w:r w:rsidR="00464A57">
        <w:t xml:space="preserve">, arguing that </w:t>
      </w:r>
      <w:r w:rsidR="0021114D">
        <w:t>utility is unlikely to remain stable from the point of radiographic progression until death</w:t>
      </w:r>
      <w:r w:rsidR="009808CF">
        <w:t xml:space="preserve">, </w:t>
      </w:r>
      <w:r w:rsidR="00464A57">
        <w:t xml:space="preserve">therefore </w:t>
      </w:r>
      <w:r w:rsidR="009808CF">
        <w:t>a linear decline offers a transparent approximation of gradual deterioration experienced by patients</w:t>
      </w:r>
      <w:r w:rsidR="0021114D">
        <w:t>.</w:t>
      </w:r>
      <w:r w:rsidR="00B02051">
        <w:t xml:space="preserve"> The PBAC noted that the </w:t>
      </w:r>
      <w:r w:rsidR="00662B78">
        <w:t xml:space="preserve">submission’s </w:t>
      </w:r>
      <w:r w:rsidR="00B02051">
        <w:t>app</w:t>
      </w:r>
      <w:r w:rsidR="00662B78">
        <w:t xml:space="preserve">roach to estimation of utility values in the progressed health state favoured </w:t>
      </w:r>
      <w:r w:rsidR="00257C3C">
        <w:t xml:space="preserve">vorasidenib and </w:t>
      </w:r>
      <w:r w:rsidR="00A65BEB">
        <w:t xml:space="preserve">that </w:t>
      </w:r>
      <w:r w:rsidR="00257C3C">
        <w:t>alternative approaches increased the ICER</w:t>
      </w:r>
      <w:r w:rsidR="007C13C0">
        <w:t xml:space="preserve"> by up to </w:t>
      </w:r>
      <w:r w:rsidR="00556852" w:rsidRPr="003C0757">
        <w:rPr>
          <w:color w:val="000000"/>
          <w:w w:val="15"/>
          <w:shd w:val="solid" w:color="000000" w:fill="000000"/>
          <w:fitText w:val="-20" w:id="-629514490"/>
          <w14:textFill>
            <w14:solidFill>
              <w14:srgbClr w14:val="000000">
                <w14:alpha w14:val="100000"/>
              </w14:srgbClr>
            </w14:solidFill>
          </w14:textFill>
        </w:rPr>
        <w:t xml:space="preserve">|  </w:t>
      </w:r>
      <w:r w:rsidR="00556852" w:rsidRPr="003C0757">
        <w:rPr>
          <w:color w:val="000000"/>
          <w:spacing w:val="-69"/>
          <w:w w:val="15"/>
          <w:shd w:val="solid" w:color="000000" w:fill="000000"/>
          <w:fitText w:val="-20" w:id="-629514490"/>
          <w14:textFill>
            <w14:solidFill>
              <w14:srgbClr w14:val="000000">
                <w14:alpha w14:val="100000"/>
              </w14:srgbClr>
            </w14:solidFill>
          </w14:textFill>
        </w:rPr>
        <w:t>|</w:t>
      </w:r>
      <w:r w:rsidR="007C13C0">
        <w:t>%.</w:t>
      </w:r>
    </w:p>
    <w:p w14:paraId="76A8D005" w14:textId="6F0BC1B6" w:rsidR="0038378B" w:rsidRPr="009872A8" w:rsidRDefault="0038378B" w:rsidP="00903311">
      <w:pPr>
        <w:pStyle w:val="COMexecsummnumbered"/>
      </w:pPr>
      <w:r>
        <w:t xml:space="preserve">The model assumed that patients in the progression-free </w:t>
      </w:r>
      <w:r w:rsidR="00201421">
        <w:t>health state</w:t>
      </w:r>
      <w:r>
        <w:t xml:space="preserve"> would receive an MRI scan every 4.5 months for the first 5 years; whereas MRI scans in the INDIGO trial were performed every 12 weeks during the initial 3 years of the trial. </w:t>
      </w:r>
      <w:r w:rsidR="007D6C40">
        <w:t xml:space="preserve">However, </w:t>
      </w:r>
      <w:r w:rsidR="00AF7418">
        <w:t xml:space="preserve">a lower frequency of MRI scanning in clinical practice is likely to delay the identification of disease progression, resulting in a longer duration of vorasidenib treatment. </w:t>
      </w:r>
      <w:r w:rsidR="00187457" w:rsidRPr="009872A8">
        <w:t xml:space="preserve">The PSCR </w:t>
      </w:r>
      <w:r w:rsidR="00724DA2" w:rsidRPr="009872A8">
        <w:t xml:space="preserve">clarified that </w:t>
      </w:r>
      <w:r w:rsidR="002B6E3E" w:rsidRPr="009872A8">
        <w:t>as per the INDIGO trial protocol, MRI scans occurred in the trial every 3 months for the first 3 years, every 6 months for the next 2 years, and then annually thereafter</w:t>
      </w:r>
      <w:r w:rsidR="00373413" w:rsidRPr="009872A8">
        <w:t xml:space="preserve"> and the </w:t>
      </w:r>
      <w:r w:rsidR="00D22BD5" w:rsidRPr="009872A8">
        <w:t xml:space="preserve">value applied in the model represented the midpoint. </w:t>
      </w:r>
      <w:r w:rsidR="00A65A2F" w:rsidRPr="009872A8">
        <w:t xml:space="preserve">The </w:t>
      </w:r>
      <w:r w:rsidR="00A65A2F" w:rsidRPr="009872A8">
        <w:lastRenderedPageBreak/>
        <w:t>PS</w:t>
      </w:r>
      <w:r w:rsidR="00B81E84" w:rsidRPr="009872A8">
        <w:t>CR</w:t>
      </w:r>
      <w:r w:rsidR="00A65A2F" w:rsidRPr="009872A8">
        <w:t xml:space="preserve"> also noted that </w:t>
      </w:r>
      <w:r w:rsidR="009F1F6C" w:rsidRPr="009872A8">
        <w:t xml:space="preserve">no adjustment to account for potential differences in the </w:t>
      </w:r>
      <w:r w:rsidR="00035035" w:rsidRPr="009872A8">
        <w:t xml:space="preserve">identification of disease progression were made as </w:t>
      </w:r>
      <w:r w:rsidR="00A65A2F" w:rsidRPr="009872A8">
        <w:t>it is not possible to reliably estimate how alternative scan frequencies would affect the precise timing of radiographic progression</w:t>
      </w:r>
      <w:r w:rsidR="00035035" w:rsidRPr="009872A8">
        <w:t>.</w:t>
      </w:r>
      <w:r w:rsidR="00B905D6" w:rsidRPr="009872A8">
        <w:t xml:space="preserve"> The Sub-</w:t>
      </w:r>
      <w:r w:rsidR="32B92CA1" w:rsidRPr="009872A8">
        <w:t>C</w:t>
      </w:r>
      <w:r w:rsidR="00B905D6" w:rsidRPr="009872A8">
        <w:t xml:space="preserve">ommittees considered it would be appropriate for the </w:t>
      </w:r>
      <w:r w:rsidR="00DA6CFD" w:rsidRPr="009872A8">
        <w:t xml:space="preserve">costs for MRI scans to reflect their use in the INDIGO trial, given that adjustment to outcomes </w:t>
      </w:r>
      <w:r w:rsidR="0009539A" w:rsidRPr="009872A8">
        <w:t xml:space="preserve">to account for the difference </w:t>
      </w:r>
      <w:r w:rsidR="00DA6CFD" w:rsidRPr="009872A8">
        <w:t>is not feasible</w:t>
      </w:r>
      <w:r w:rsidR="00DF6CED" w:rsidRPr="009872A8">
        <w:t>.</w:t>
      </w:r>
      <w:r w:rsidR="00E92CF9" w:rsidRPr="009872A8">
        <w:t xml:space="preserve"> The Sub-Committees noted that </w:t>
      </w:r>
      <w:r w:rsidR="005A6FA5" w:rsidRPr="009872A8">
        <w:t>this adjustment had negligible impact on the ICER.</w:t>
      </w:r>
    </w:p>
    <w:p w14:paraId="3F9F86FB" w14:textId="0DBD619A" w:rsidR="00830ED7" w:rsidRPr="009872A8" w:rsidRDefault="00F73A5B" w:rsidP="00903311">
      <w:pPr>
        <w:pStyle w:val="COMexecsummnumbered"/>
      </w:pPr>
      <w:r w:rsidRPr="0084014B">
        <w:t xml:space="preserve">The cost per cycle for vorasidenib </w:t>
      </w:r>
      <w:r w:rsidR="00A6734E" w:rsidRPr="0084014B">
        <w:t xml:space="preserve">in the model </w:t>
      </w:r>
      <w:r w:rsidRPr="0084014B">
        <w:t xml:space="preserve">was </w:t>
      </w:r>
      <w:r w:rsidR="00A6734E" w:rsidRPr="0084014B">
        <w:t xml:space="preserve">derived </w:t>
      </w:r>
      <w:r w:rsidRPr="0084014B">
        <w:t xml:space="preserve">based on 30.0 days per month. The </w:t>
      </w:r>
      <w:r w:rsidR="00A6734E" w:rsidRPr="0084014B">
        <w:t>assumption of</w:t>
      </w:r>
      <w:r w:rsidRPr="0084014B">
        <w:t xml:space="preserve"> </w:t>
      </w:r>
      <w:r w:rsidR="00830ED7" w:rsidRPr="0084014B">
        <w:t xml:space="preserve">30.0 days per month rather than 30.44 days (i.e., 365.25 </w:t>
      </w:r>
      <w:r w:rsidR="00830ED7" w:rsidRPr="0084014B">
        <w:rPr>
          <w:rFonts w:cs="Calibri"/>
        </w:rPr>
        <w:t>÷</w:t>
      </w:r>
      <w:r w:rsidR="00830ED7" w:rsidRPr="0084014B">
        <w:t xml:space="preserve"> 12)</w:t>
      </w:r>
      <w:r w:rsidRPr="0084014B">
        <w:t xml:space="preserve"> was not appropriate.</w:t>
      </w:r>
      <w:r w:rsidR="00F55835">
        <w:t xml:space="preserve"> </w:t>
      </w:r>
      <w:r w:rsidR="00F55835" w:rsidRPr="009872A8">
        <w:t xml:space="preserve">Correction of this error increased the ICER by </w:t>
      </w:r>
      <w:r w:rsidR="00556852" w:rsidRPr="003C0757">
        <w:rPr>
          <w:color w:val="000000"/>
          <w:w w:val="15"/>
          <w:shd w:val="solid" w:color="000000" w:fill="000000"/>
          <w:fitText w:val="-20" w:id="-629514489"/>
          <w14:textFill>
            <w14:solidFill>
              <w14:srgbClr w14:val="000000">
                <w14:alpha w14:val="100000"/>
              </w14:srgbClr>
            </w14:solidFill>
          </w14:textFill>
        </w:rPr>
        <w:t xml:space="preserve">|  </w:t>
      </w:r>
      <w:r w:rsidR="00556852" w:rsidRPr="003C0757">
        <w:rPr>
          <w:color w:val="000000"/>
          <w:spacing w:val="-69"/>
          <w:w w:val="15"/>
          <w:shd w:val="solid" w:color="000000" w:fill="000000"/>
          <w:fitText w:val="-20" w:id="-629514489"/>
          <w14:textFill>
            <w14:solidFill>
              <w14:srgbClr w14:val="000000">
                <w14:alpha w14:val="100000"/>
              </w14:srgbClr>
            </w14:solidFill>
          </w14:textFill>
        </w:rPr>
        <w:t>|</w:t>
      </w:r>
      <w:r w:rsidR="00F55835" w:rsidRPr="009872A8">
        <w:t>%.</w:t>
      </w:r>
    </w:p>
    <w:p w14:paraId="37B4237B" w14:textId="17C582DC" w:rsidR="00275C5A" w:rsidRPr="0084014B" w:rsidRDefault="00E16AD8" w:rsidP="00BB00B3">
      <w:pPr>
        <w:pStyle w:val="COMexecsummnumbered"/>
      </w:pPr>
      <w:r w:rsidRPr="0084014B">
        <w:fldChar w:fldCharType="begin"/>
      </w:r>
      <w:r w:rsidRPr="0084014B">
        <w:instrText xml:space="preserve"> REF _Ref104805122 \h  \* MERGEFORMAT </w:instrText>
      </w:r>
      <w:r w:rsidRPr="0084014B">
        <w:fldChar w:fldCharType="separate"/>
      </w:r>
      <w:r w:rsidR="003C0757" w:rsidRPr="0084014B">
        <w:t xml:space="preserve">Table </w:t>
      </w:r>
      <w:r w:rsidR="003C0757">
        <w:t>10</w:t>
      </w:r>
      <w:r w:rsidRPr="0084014B">
        <w:fldChar w:fldCharType="end"/>
      </w:r>
      <w:r w:rsidR="008A7AE4" w:rsidRPr="0084014B">
        <w:t xml:space="preserve"> summarises the key drivers of the economic model</w:t>
      </w:r>
      <w:r w:rsidR="00D110BD" w:rsidRPr="0084014B">
        <w:t>.</w:t>
      </w:r>
    </w:p>
    <w:p w14:paraId="774D46B7" w14:textId="65BD41EA" w:rsidR="00D110BD" w:rsidRPr="0084014B" w:rsidRDefault="00E16AD8" w:rsidP="00FF3ECD">
      <w:pPr>
        <w:pStyle w:val="COMtablefigcaption"/>
      </w:pPr>
      <w:bookmarkStart w:id="38" w:name="_Ref104805122"/>
      <w:r w:rsidRPr="0084014B">
        <w:t xml:space="preserve">Table </w:t>
      </w:r>
      <w:r w:rsidR="00052B1E">
        <w:fldChar w:fldCharType="begin"/>
      </w:r>
      <w:r w:rsidR="00052B1E">
        <w:instrText xml:space="preserve"> SEQ Table \* ARABIC </w:instrText>
      </w:r>
      <w:r w:rsidR="00052B1E">
        <w:fldChar w:fldCharType="separate"/>
      </w:r>
      <w:r w:rsidR="003C0757">
        <w:rPr>
          <w:noProof/>
        </w:rPr>
        <w:t>10</w:t>
      </w:r>
      <w:r w:rsidR="00052B1E">
        <w:rPr>
          <w:noProof/>
        </w:rPr>
        <w:fldChar w:fldCharType="end"/>
      </w:r>
      <w:bookmarkEnd w:id="38"/>
      <w:r w:rsidRPr="0084014B">
        <w:t>:</w:t>
      </w:r>
      <w:r w:rsidR="00D110BD" w:rsidRPr="0084014B">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129"/>
        <w:gridCol w:w="6786"/>
        <w:gridCol w:w="1102"/>
      </w:tblGrid>
      <w:tr w:rsidR="006618CC" w:rsidRPr="0084014B" w14:paraId="4DD8026E" w14:textId="77777777" w:rsidTr="003E45A7">
        <w:trPr>
          <w:tblHeader/>
        </w:trPr>
        <w:tc>
          <w:tcPr>
            <w:tcW w:w="626" w:type="pct"/>
            <w:vAlign w:val="center"/>
          </w:tcPr>
          <w:p w14:paraId="6A9EC2DA" w14:textId="77777777" w:rsidR="00D110BD" w:rsidRPr="0084014B" w:rsidRDefault="00D110BD" w:rsidP="00942559">
            <w:pPr>
              <w:pStyle w:val="COMTableheadingrow"/>
              <w:rPr>
                <w:lang w:val="en-AU"/>
              </w:rPr>
            </w:pPr>
            <w:r w:rsidRPr="0084014B">
              <w:rPr>
                <w:lang w:val="en-AU"/>
              </w:rPr>
              <w:t>Description</w:t>
            </w:r>
          </w:p>
        </w:tc>
        <w:tc>
          <w:tcPr>
            <w:tcW w:w="3763" w:type="pct"/>
            <w:vAlign w:val="center"/>
          </w:tcPr>
          <w:p w14:paraId="67A62672" w14:textId="77777777" w:rsidR="00D110BD" w:rsidRPr="0084014B" w:rsidRDefault="00D110BD" w:rsidP="009F702B">
            <w:pPr>
              <w:pStyle w:val="COMTableheadingrow"/>
              <w:jc w:val="center"/>
              <w:rPr>
                <w:lang w:val="en-AU"/>
              </w:rPr>
            </w:pPr>
            <w:r w:rsidRPr="0084014B">
              <w:rPr>
                <w:lang w:val="en-AU"/>
              </w:rPr>
              <w:t>Method/Value</w:t>
            </w:r>
          </w:p>
        </w:tc>
        <w:tc>
          <w:tcPr>
            <w:tcW w:w="611" w:type="pct"/>
            <w:vAlign w:val="center"/>
          </w:tcPr>
          <w:p w14:paraId="6C1DC9EA" w14:textId="543923DA" w:rsidR="00490B17" w:rsidRPr="0084014B" w:rsidRDefault="00D110BD" w:rsidP="009F702B">
            <w:pPr>
              <w:pStyle w:val="COMTableheadingrow"/>
              <w:jc w:val="center"/>
              <w:rPr>
                <w:lang w:val="en-AU"/>
              </w:rPr>
            </w:pPr>
            <w:r w:rsidRPr="0084014B">
              <w:rPr>
                <w:lang w:val="en-AU"/>
              </w:rPr>
              <w:t>Impact</w:t>
            </w:r>
          </w:p>
        </w:tc>
      </w:tr>
      <w:tr w:rsidR="00DF0B0E" w:rsidRPr="0084014B" w14:paraId="3DE22150" w14:textId="77777777" w:rsidTr="003E45A7">
        <w:tc>
          <w:tcPr>
            <w:tcW w:w="626" w:type="pct"/>
            <w:vAlign w:val="center"/>
          </w:tcPr>
          <w:p w14:paraId="72E20981" w14:textId="6C7E74BD" w:rsidR="00DF0B0E" w:rsidRPr="0084014B" w:rsidRDefault="00DF0B0E" w:rsidP="00DF0B0E">
            <w:pPr>
              <w:pStyle w:val="COMTabletext"/>
            </w:pPr>
            <w:r w:rsidRPr="0084014B">
              <w:t>Extrapolation</w:t>
            </w:r>
          </w:p>
        </w:tc>
        <w:tc>
          <w:tcPr>
            <w:tcW w:w="3763" w:type="pct"/>
          </w:tcPr>
          <w:p w14:paraId="64938802" w14:textId="42BF6EDD" w:rsidR="00DF0B0E" w:rsidRPr="0084014B" w:rsidRDefault="00F55835" w:rsidP="00DF0B0E">
            <w:pPr>
              <w:pStyle w:val="COMTabletext"/>
            </w:pPr>
            <w:r>
              <w:t>PFS</w:t>
            </w:r>
            <w:r w:rsidR="00DF0B0E" w:rsidRPr="0084014B">
              <w:t xml:space="preserve"> data for the vorasidenib arm w</w:t>
            </w:r>
            <w:r w:rsidR="00C35BE8" w:rsidRPr="0084014B">
              <w:t>ere</w:t>
            </w:r>
            <w:r w:rsidR="00DF0B0E" w:rsidRPr="0084014B">
              <w:t xml:space="preserve"> extrapolated using a lognormal function. The longer-term </w:t>
            </w:r>
            <w:r w:rsidR="008B5564">
              <w:t>PFS</w:t>
            </w:r>
            <w:r w:rsidR="00DF0B0E" w:rsidRPr="0084014B">
              <w:t xml:space="preserve"> trajectory among patients treated with vorasidenib is unclear</w:t>
            </w:r>
            <w:r w:rsidR="008B5564">
              <w:t xml:space="preserve"> and a</w:t>
            </w:r>
            <w:r w:rsidR="00DF0B0E" w:rsidRPr="0084014B">
              <w:t xml:space="preserve"> more conservative option such as </w:t>
            </w:r>
            <w:r w:rsidR="006E236F" w:rsidRPr="0084014B">
              <w:t>a</w:t>
            </w:r>
            <w:r w:rsidR="00DF0B0E" w:rsidRPr="0084014B">
              <w:t xml:space="preserve"> Gompertz or Weibull </w:t>
            </w:r>
            <w:r w:rsidR="00B87777" w:rsidRPr="0084014B">
              <w:t xml:space="preserve">function </w:t>
            </w:r>
            <w:r w:rsidR="00DF0B0E" w:rsidRPr="0084014B">
              <w:t>may be more appropriate.</w:t>
            </w:r>
          </w:p>
        </w:tc>
        <w:tc>
          <w:tcPr>
            <w:tcW w:w="611" w:type="pct"/>
            <w:vAlign w:val="center"/>
          </w:tcPr>
          <w:p w14:paraId="0AD58F2B" w14:textId="6071074B" w:rsidR="00DF0B0E" w:rsidRPr="0084014B" w:rsidRDefault="00DF0B0E" w:rsidP="00DF0B0E">
            <w:pPr>
              <w:pStyle w:val="COMTabletext"/>
              <w:jc w:val="center"/>
            </w:pPr>
            <w:r w:rsidRPr="0084014B">
              <w:t>High, favours vorasidenib</w:t>
            </w:r>
          </w:p>
        </w:tc>
      </w:tr>
      <w:tr w:rsidR="00546E36" w:rsidRPr="0084014B" w14:paraId="0DF4F13A" w14:textId="77777777" w:rsidTr="003E45A7">
        <w:tc>
          <w:tcPr>
            <w:tcW w:w="626" w:type="pct"/>
            <w:vAlign w:val="center"/>
          </w:tcPr>
          <w:p w14:paraId="42CA3366" w14:textId="1AE2AEE7" w:rsidR="00546E36" w:rsidRPr="0084014B" w:rsidRDefault="00546E36" w:rsidP="00546E36">
            <w:pPr>
              <w:pStyle w:val="COMTabletext"/>
            </w:pPr>
            <w:r w:rsidRPr="0084014B">
              <w:t>Overall survival</w:t>
            </w:r>
          </w:p>
        </w:tc>
        <w:tc>
          <w:tcPr>
            <w:tcW w:w="3763" w:type="pct"/>
          </w:tcPr>
          <w:p w14:paraId="6222A984" w14:textId="632245DF" w:rsidR="00546E36" w:rsidRPr="0084014B" w:rsidRDefault="00D67D20" w:rsidP="00546E36">
            <w:pPr>
              <w:pStyle w:val="COMTabletext"/>
            </w:pPr>
            <w:r>
              <w:t>The rate of p</w:t>
            </w:r>
            <w:r w:rsidR="00546E36" w:rsidRPr="0084014B">
              <w:t xml:space="preserve">ost-progression survival was assumed to be the same in both treatment arms. Differences in </w:t>
            </w:r>
            <w:r w:rsidR="00443581">
              <w:t>PFS</w:t>
            </w:r>
            <w:r w:rsidR="00546E36" w:rsidRPr="0084014B">
              <w:t xml:space="preserve"> resulted in a substantial </w:t>
            </w:r>
            <w:r w:rsidR="00443581">
              <w:t>OS</w:t>
            </w:r>
            <w:r w:rsidR="00546E36" w:rsidRPr="0084014B">
              <w:t xml:space="preserve"> benefit for the vorasidenib arm. However, it is unclear whether the improvement in radiographic </w:t>
            </w:r>
            <w:r w:rsidR="00443581">
              <w:t>PFS</w:t>
            </w:r>
            <w:r w:rsidR="00546E36" w:rsidRPr="0084014B">
              <w:t xml:space="preserve"> demonstrated in the INDIGO trial will translate into a survival benefit in clinical practice and, if so, the magnitude of the </w:t>
            </w:r>
            <w:r w:rsidR="00BF5734" w:rsidRPr="0084014B">
              <w:t xml:space="preserve">overall </w:t>
            </w:r>
            <w:r w:rsidR="00546E36" w:rsidRPr="0084014B">
              <w:t>survival benefit.</w:t>
            </w:r>
          </w:p>
        </w:tc>
        <w:tc>
          <w:tcPr>
            <w:tcW w:w="611" w:type="pct"/>
            <w:vAlign w:val="center"/>
          </w:tcPr>
          <w:p w14:paraId="66CE2882" w14:textId="4FFDBFD0" w:rsidR="00546E36" w:rsidRPr="0084014B" w:rsidRDefault="00546E36" w:rsidP="00546E36">
            <w:pPr>
              <w:pStyle w:val="COMTabletext"/>
              <w:jc w:val="center"/>
            </w:pPr>
            <w:r w:rsidRPr="0084014B">
              <w:t>High, favours vorasidenib</w:t>
            </w:r>
          </w:p>
        </w:tc>
      </w:tr>
      <w:tr w:rsidR="00546E36" w:rsidRPr="0084014B" w14:paraId="3483847F" w14:textId="77777777" w:rsidTr="003E45A7">
        <w:tc>
          <w:tcPr>
            <w:tcW w:w="626" w:type="pct"/>
            <w:vAlign w:val="center"/>
          </w:tcPr>
          <w:p w14:paraId="2724D8D9" w14:textId="36BCC01B" w:rsidR="00546E36" w:rsidRPr="0084014B" w:rsidRDefault="00546E36" w:rsidP="00546E36">
            <w:pPr>
              <w:pStyle w:val="COMTabletext"/>
            </w:pPr>
            <w:r w:rsidRPr="0084014B">
              <w:t>Utilities</w:t>
            </w:r>
          </w:p>
        </w:tc>
        <w:tc>
          <w:tcPr>
            <w:tcW w:w="3763" w:type="pct"/>
          </w:tcPr>
          <w:p w14:paraId="094E1551" w14:textId="3E6F8DD7" w:rsidR="00546E36" w:rsidRPr="0084014B" w:rsidRDefault="00546E36" w:rsidP="00546E36">
            <w:pPr>
              <w:pStyle w:val="COMTabletext"/>
            </w:pPr>
            <w:r w:rsidRPr="0084014B">
              <w:t>Health utility in the progression-free health state (0.929) was based on the average reported health state utility among patients remaining progression-free in the INDIGO trial. The resulting utility appeared to be an overestimate of utility for patients with Grade</w:t>
            </w:r>
            <w:r w:rsidR="006E236F" w:rsidRPr="0084014B">
              <w:t> </w:t>
            </w:r>
            <w:r w:rsidRPr="0084014B">
              <w:t>2 IDH-mutant astrocytoma or oligodendroglioma.</w:t>
            </w:r>
          </w:p>
          <w:p w14:paraId="13946D6A" w14:textId="77777777" w:rsidR="00546E36" w:rsidRPr="0084014B" w:rsidRDefault="00546E36" w:rsidP="00546E36">
            <w:pPr>
              <w:pStyle w:val="COMTabletext"/>
            </w:pPr>
          </w:p>
          <w:p w14:paraId="4B9FCE0E" w14:textId="731A7A72" w:rsidR="00546E36" w:rsidRPr="0084014B" w:rsidRDefault="00546E36" w:rsidP="00546E36">
            <w:pPr>
              <w:pStyle w:val="COMTabletext"/>
            </w:pPr>
            <w:r w:rsidRPr="0084014B">
              <w:t xml:space="preserve">Health state utility in the progressed disease health state was assumed to decrease linearly </w:t>
            </w:r>
            <w:r w:rsidR="006E236F" w:rsidRPr="0084014B">
              <w:t xml:space="preserve">by 0.00919 per cycle </w:t>
            </w:r>
            <w:r w:rsidRPr="0084014B">
              <w:t>from 0.93 at the time of disease progression</w:t>
            </w:r>
            <w:r w:rsidR="006E236F" w:rsidRPr="0084014B">
              <w:t xml:space="preserve">. </w:t>
            </w:r>
            <w:r w:rsidRPr="0084014B">
              <w:t>The assumed progressed disease utilities may not adequately reflect the natural history of the disease.</w:t>
            </w:r>
          </w:p>
        </w:tc>
        <w:tc>
          <w:tcPr>
            <w:tcW w:w="611" w:type="pct"/>
            <w:vAlign w:val="center"/>
          </w:tcPr>
          <w:p w14:paraId="4CB0C507" w14:textId="3A989379" w:rsidR="00546E36" w:rsidRPr="0084014B" w:rsidRDefault="00546E36" w:rsidP="00546E36">
            <w:pPr>
              <w:pStyle w:val="COMTabletext"/>
              <w:jc w:val="center"/>
            </w:pPr>
            <w:r w:rsidRPr="0084014B">
              <w:t>High, favours vorasidenib</w:t>
            </w:r>
          </w:p>
        </w:tc>
      </w:tr>
      <w:tr w:rsidR="00560978" w:rsidRPr="0084014B" w14:paraId="39E46D5B" w14:textId="77777777" w:rsidTr="003E45A7">
        <w:tc>
          <w:tcPr>
            <w:tcW w:w="626" w:type="pct"/>
            <w:vAlign w:val="center"/>
          </w:tcPr>
          <w:p w14:paraId="347EC5A4" w14:textId="30F2B4C4" w:rsidR="00560978" w:rsidRPr="0084014B" w:rsidRDefault="00560978" w:rsidP="00560978">
            <w:pPr>
              <w:pStyle w:val="COMTabletext"/>
            </w:pPr>
            <w:r w:rsidRPr="0084014B">
              <w:t>Treatment duration</w:t>
            </w:r>
          </w:p>
        </w:tc>
        <w:tc>
          <w:tcPr>
            <w:tcW w:w="3763" w:type="pct"/>
          </w:tcPr>
          <w:p w14:paraId="7E7105AF" w14:textId="34DF5D0B" w:rsidR="00560978" w:rsidRPr="0084014B" w:rsidRDefault="00800EB9" w:rsidP="00442978">
            <w:pPr>
              <w:pStyle w:val="TableText"/>
              <w:rPr>
                <w:b w:val="0"/>
                <w:bCs/>
              </w:rPr>
            </w:pPr>
            <w:r>
              <w:rPr>
                <w:b w:val="0"/>
                <w:bCs/>
              </w:rPr>
              <w:t>PFS</w:t>
            </w:r>
            <w:r w:rsidR="00560978" w:rsidRPr="0084014B">
              <w:rPr>
                <w:b w:val="0"/>
                <w:bCs/>
              </w:rPr>
              <w:t xml:space="preserve"> was used as a proxy for the time to treatment discontinuation. Patients may not receive MRI scanning as frequently as in the INIDIGO trial which may delay the identification of disease progression (resulting in a longer duration of vorasidenib treatment</w:t>
            </w:r>
            <w:r w:rsidR="006E3E4E" w:rsidRPr="0084014B">
              <w:rPr>
                <w:b w:val="0"/>
                <w:bCs/>
              </w:rPr>
              <w:t>)</w:t>
            </w:r>
            <w:r w:rsidR="00560978" w:rsidRPr="0084014B">
              <w:rPr>
                <w:b w:val="0"/>
                <w:bCs/>
              </w:rPr>
              <w:t>. Additionally, some patients with radiographic disease progression may continue vorasidenib if there is a possible/perceived benefit associated with ongoing IDH inhibitor therapy.</w:t>
            </w:r>
          </w:p>
        </w:tc>
        <w:tc>
          <w:tcPr>
            <w:tcW w:w="611" w:type="pct"/>
            <w:vAlign w:val="center"/>
          </w:tcPr>
          <w:p w14:paraId="50F3F3FF" w14:textId="27937D91" w:rsidR="00560978" w:rsidRPr="0084014B" w:rsidRDefault="00560978" w:rsidP="006E236F">
            <w:pPr>
              <w:pStyle w:val="TableText"/>
              <w:jc w:val="center"/>
              <w:rPr>
                <w:b w:val="0"/>
                <w:bCs/>
              </w:rPr>
            </w:pPr>
            <w:r w:rsidRPr="0084014B">
              <w:rPr>
                <w:b w:val="0"/>
                <w:bCs/>
              </w:rPr>
              <w:t>Moderate, favours vorasidenib</w:t>
            </w:r>
          </w:p>
        </w:tc>
      </w:tr>
      <w:tr w:rsidR="00560978" w:rsidRPr="0084014B" w14:paraId="2AC59D6B" w14:textId="77777777" w:rsidTr="003E45A7">
        <w:tc>
          <w:tcPr>
            <w:tcW w:w="626" w:type="pct"/>
            <w:vAlign w:val="center"/>
          </w:tcPr>
          <w:p w14:paraId="6342D4D3" w14:textId="30312F6C" w:rsidR="00560978" w:rsidRPr="0084014B" w:rsidRDefault="00560978" w:rsidP="00560978">
            <w:pPr>
              <w:pStyle w:val="COMTabletext"/>
            </w:pPr>
            <w:r w:rsidRPr="0084014B">
              <w:t>Model structure</w:t>
            </w:r>
          </w:p>
        </w:tc>
        <w:tc>
          <w:tcPr>
            <w:tcW w:w="3763" w:type="pct"/>
          </w:tcPr>
          <w:p w14:paraId="15EB839D" w14:textId="39EBDCCA" w:rsidR="00560978" w:rsidRPr="0084014B" w:rsidRDefault="00560978" w:rsidP="00442978">
            <w:pPr>
              <w:pStyle w:val="TableText"/>
              <w:rPr>
                <w:b w:val="0"/>
                <w:bCs/>
              </w:rPr>
            </w:pPr>
            <w:r w:rsidRPr="0084014B">
              <w:rPr>
                <w:b w:val="0"/>
                <w:bCs/>
              </w:rPr>
              <w:t>The assumed model structure may not adequately reflect the natural history of the disease, which is typically associated with slow tumour growth for a number of years prior to a more rapidly progressing phase.</w:t>
            </w:r>
            <w:r w:rsidR="00F23CBC" w:rsidRPr="0084014B">
              <w:rPr>
                <w:b w:val="0"/>
                <w:bCs/>
              </w:rPr>
              <w:t xml:space="preserve"> The model does not explicitly model the impact of subsequent treatments such as surgery and radiotherapy/chemotherapy, which may be associated with periods of disease remission and symptom reduction.</w:t>
            </w:r>
          </w:p>
        </w:tc>
        <w:tc>
          <w:tcPr>
            <w:tcW w:w="611" w:type="pct"/>
            <w:vAlign w:val="center"/>
          </w:tcPr>
          <w:p w14:paraId="0724D32A" w14:textId="7A710003" w:rsidR="00560978" w:rsidRPr="0084014B" w:rsidRDefault="00560978" w:rsidP="006E236F">
            <w:pPr>
              <w:pStyle w:val="TableText"/>
              <w:jc w:val="center"/>
              <w:rPr>
                <w:b w:val="0"/>
                <w:bCs/>
              </w:rPr>
            </w:pPr>
            <w:r w:rsidRPr="0084014B">
              <w:rPr>
                <w:b w:val="0"/>
                <w:bCs/>
              </w:rPr>
              <w:t>Unclear impact</w:t>
            </w:r>
          </w:p>
        </w:tc>
      </w:tr>
    </w:tbl>
    <w:p w14:paraId="071CC13D" w14:textId="77777777" w:rsidR="00560978" w:rsidRPr="0084014B" w:rsidRDefault="009D792E" w:rsidP="007E51D5">
      <w:pPr>
        <w:pStyle w:val="COMTablefooter"/>
      </w:pPr>
      <w:r w:rsidRPr="0084014B">
        <w:t xml:space="preserve">Source: </w:t>
      </w:r>
      <w:r w:rsidR="00560978" w:rsidRPr="0084014B">
        <w:t>Constructed during the evaluation with reference to Section 3, pp72-108 of the submission.</w:t>
      </w:r>
    </w:p>
    <w:p w14:paraId="30E97087" w14:textId="610D44E1" w:rsidR="00D110BD" w:rsidRPr="0084014B" w:rsidRDefault="00560978" w:rsidP="007E51D5">
      <w:pPr>
        <w:pStyle w:val="COMTablefooter"/>
      </w:pPr>
      <w:r w:rsidRPr="0084014B">
        <w:t xml:space="preserve">Abbreviations: ICER, </w:t>
      </w:r>
      <w:r w:rsidR="00E651D0" w:rsidRPr="0084014B">
        <w:t>incremental cost-effectiveness ratio; IDH, isocitrate dehydrogenase; MRI, magnetic resonance imaging.</w:t>
      </w:r>
    </w:p>
    <w:p w14:paraId="64401910" w14:textId="38E53135" w:rsidR="003E5A57" w:rsidRPr="0084014B" w:rsidRDefault="00C26AAB" w:rsidP="003E5A57">
      <w:pPr>
        <w:pStyle w:val="COMexecsummnumbered"/>
      </w:pPr>
      <w:r w:rsidRPr="0084014B">
        <w:fldChar w:fldCharType="begin"/>
      </w:r>
      <w:r w:rsidRPr="0084014B">
        <w:instrText xml:space="preserve"> REF _Ref187747374 \h </w:instrText>
      </w:r>
      <w:r w:rsidR="0084014B" w:rsidRPr="0084014B">
        <w:instrText xml:space="preserve"> \* MERGEFORMAT </w:instrText>
      </w:r>
      <w:r w:rsidRPr="0084014B">
        <w:fldChar w:fldCharType="separate"/>
      </w:r>
      <w:r w:rsidR="003C0757" w:rsidRPr="0084014B">
        <w:t xml:space="preserve">Figure </w:t>
      </w:r>
      <w:r w:rsidR="003C0757">
        <w:rPr>
          <w:noProof/>
        </w:rPr>
        <w:t>3</w:t>
      </w:r>
      <w:r w:rsidRPr="0084014B">
        <w:fldChar w:fldCharType="end"/>
      </w:r>
      <w:r w:rsidR="003E5A57" w:rsidRPr="0084014B">
        <w:t xml:space="preserve"> presents model traces for the vorasidenib and active surveillance arms.</w:t>
      </w:r>
    </w:p>
    <w:p w14:paraId="2E9988CE" w14:textId="4C522F91" w:rsidR="003E5A57" w:rsidRPr="0084014B" w:rsidRDefault="003E5A57" w:rsidP="003E5A57">
      <w:pPr>
        <w:pStyle w:val="COMtablefigcaption"/>
      </w:pPr>
      <w:bookmarkStart w:id="39" w:name="_Ref187747374"/>
      <w:r w:rsidRPr="0084014B">
        <w:lastRenderedPageBreak/>
        <w:t xml:space="preserve">Figure </w:t>
      </w:r>
      <w:r w:rsidR="00052B1E">
        <w:fldChar w:fldCharType="begin"/>
      </w:r>
      <w:r w:rsidR="00052B1E">
        <w:instrText xml:space="preserve"> SEQ Figure \* ARABIC </w:instrText>
      </w:r>
      <w:r w:rsidR="00052B1E">
        <w:fldChar w:fldCharType="separate"/>
      </w:r>
      <w:r w:rsidR="003C0757">
        <w:rPr>
          <w:noProof/>
        </w:rPr>
        <w:t>3</w:t>
      </w:r>
      <w:r w:rsidR="00052B1E">
        <w:rPr>
          <w:noProof/>
        </w:rPr>
        <w:fldChar w:fldCharType="end"/>
      </w:r>
      <w:bookmarkEnd w:id="39"/>
      <w:r w:rsidRPr="0084014B">
        <w:t>: Model traces for vorasidenib and active surveillance arms of the model</w:t>
      </w:r>
    </w:p>
    <w:p w14:paraId="7F9519AD" w14:textId="77777777" w:rsidR="003E5A57" w:rsidRPr="0084014B" w:rsidRDefault="003E5A57" w:rsidP="003E5A57">
      <w:r w:rsidRPr="0084014B">
        <w:rPr>
          <w:noProof/>
        </w:rPr>
        <w:drawing>
          <wp:inline distT="0" distB="0" distL="0" distR="0" wp14:anchorId="262B7B5E" wp14:editId="4EA3EDFE">
            <wp:extent cx="5714206" cy="3472476"/>
            <wp:effectExtent l="0" t="0" r="1270" b="0"/>
            <wp:docPr id="1821046785" name="Picture 13" descr="Figure 3: Model traces for vorasidenib and active surveillance arms of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46785" name="Picture 13" descr="Figure 3: Model traces for vorasidenib and active surveillance arms of the mod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816" cy="3478924"/>
                    </a:xfrm>
                    <a:prstGeom prst="rect">
                      <a:avLst/>
                    </a:prstGeom>
                    <a:noFill/>
                  </pic:spPr>
                </pic:pic>
              </a:graphicData>
            </a:graphic>
          </wp:inline>
        </w:drawing>
      </w:r>
    </w:p>
    <w:p w14:paraId="160703DA" w14:textId="77777777" w:rsidR="003E5A57" w:rsidRPr="0084014B" w:rsidRDefault="003E5A57" w:rsidP="003E5A57">
      <w:pPr>
        <w:pStyle w:val="COMTablefooter"/>
      </w:pPr>
      <w:r w:rsidRPr="0084014B">
        <w:t>Source: Constructed using the Section 3 economic model Excel spreadsheet and the Section 3 economic model TreeAge Pro file.</w:t>
      </w:r>
    </w:p>
    <w:p w14:paraId="464F4A8C" w14:textId="587DCC3E" w:rsidR="00497B26" w:rsidRPr="0084014B" w:rsidRDefault="00110558" w:rsidP="00903311">
      <w:pPr>
        <w:pStyle w:val="COMexecsummnumbered"/>
      </w:pPr>
      <w:r w:rsidRPr="0084014B">
        <w:t>The proportion of patients remaining alive in the vorasidenib arm at 20 and 40 years were 14.5% and 1.7%, respectively, compared to 0.7% and 0.0%, respectively, in the active surveillance arm.</w:t>
      </w:r>
      <w:r w:rsidR="00A17664">
        <w:t xml:space="preserve"> </w:t>
      </w:r>
      <w:bookmarkStart w:id="40" w:name="_Ref200963519"/>
      <w:r w:rsidR="00497B26">
        <w:t xml:space="preserve">The model traces show a modelled survival benefit for vorasidenib compared to active surveillance that persists over the 40-year model duration. The modelled survival benefit for vorasidenib was inconsistent with the results of the INDIGO trial that did not demonstrate a difference in overall survival between vorasidenib and placebo. </w:t>
      </w:r>
      <w:r w:rsidR="000D06CB" w:rsidRPr="009872A8">
        <w:t>The Sub-</w:t>
      </w:r>
      <w:r w:rsidR="7EFE66B9" w:rsidRPr="009872A8">
        <w:t>C</w:t>
      </w:r>
      <w:r w:rsidR="000D06CB" w:rsidRPr="009872A8">
        <w:t xml:space="preserve">ommittees noted that </w:t>
      </w:r>
      <w:r w:rsidR="00914806" w:rsidRPr="009872A8">
        <w:t xml:space="preserve">the modelled difference in PFS translated to a large OS benefit that was </w:t>
      </w:r>
      <w:r w:rsidR="00DE3E64" w:rsidRPr="009872A8">
        <w:t xml:space="preserve">highly uncertain and </w:t>
      </w:r>
      <w:r w:rsidR="00914806" w:rsidRPr="009872A8">
        <w:t>not supported by the evidence presented</w:t>
      </w:r>
      <w:r w:rsidR="00D02E25" w:rsidRPr="009872A8">
        <w:t>,</w:t>
      </w:r>
      <w:r w:rsidR="00914806" w:rsidRPr="009872A8">
        <w:t xml:space="preserve"> as OS data from </w:t>
      </w:r>
      <w:r w:rsidR="00D02E25" w:rsidRPr="009872A8">
        <w:t xml:space="preserve">the </w:t>
      </w:r>
      <w:r w:rsidR="00914806" w:rsidRPr="009872A8">
        <w:t xml:space="preserve">INDIGO </w:t>
      </w:r>
      <w:r w:rsidR="00D02E25" w:rsidRPr="009872A8">
        <w:t xml:space="preserve">trial </w:t>
      </w:r>
      <w:r w:rsidR="00914806" w:rsidRPr="009872A8">
        <w:t xml:space="preserve">were immature and </w:t>
      </w:r>
      <w:r w:rsidR="003F2AF3" w:rsidRPr="009872A8">
        <w:t>will be impacted by cross-over to the vorasidenib arm for any further data cuts</w:t>
      </w:r>
      <w:r w:rsidR="00914806" w:rsidRPr="009872A8">
        <w:t>.</w:t>
      </w:r>
      <w:bookmarkEnd w:id="40"/>
      <w:r w:rsidR="00914806">
        <w:t xml:space="preserve"> </w:t>
      </w:r>
    </w:p>
    <w:p w14:paraId="787C6685" w14:textId="75E609A7" w:rsidR="00497B26" w:rsidRPr="0084014B" w:rsidRDefault="00497B26" w:rsidP="00497B26">
      <w:pPr>
        <w:pStyle w:val="COMexecsummnumbered"/>
      </w:pPr>
      <w:r w:rsidRPr="0084014B">
        <w:t xml:space="preserve">The traces also show a larger proportion of patients remaining progression free in the vorasidenib arm compared to the active surveillance arm, which persists over the modelled time horizon. A smaller proportion of patients were in the progressed disease state in the vorasidenib arm compared to the active surveillance arm until approximately 10 years, when a higher proportion of vorasidenib patients have progressed disease </w:t>
      </w:r>
      <w:r w:rsidR="00110558" w:rsidRPr="0084014B">
        <w:t>(</w:t>
      </w:r>
      <w:r w:rsidRPr="0084014B">
        <w:t>due to longer survival</w:t>
      </w:r>
      <w:r w:rsidR="00110558" w:rsidRPr="0084014B">
        <w:t>)</w:t>
      </w:r>
      <w:r w:rsidRPr="0084014B">
        <w:t>.</w:t>
      </w:r>
    </w:p>
    <w:p w14:paraId="2B4AF938" w14:textId="3208DE59" w:rsidR="008C5739" w:rsidRPr="0084014B" w:rsidRDefault="00E16AD8" w:rsidP="004330BB">
      <w:pPr>
        <w:pStyle w:val="COMexecsummnumbered"/>
      </w:pPr>
      <w:r w:rsidRPr="0084014B">
        <w:fldChar w:fldCharType="begin"/>
      </w:r>
      <w:r w:rsidRPr="0084014B">
        <w:instrText xml:space="preserve"> REF _Ref104805160 \h  \* MERGEFORMAT </w:instrText>
      </w:r>
      <w:r w:rsidRPr="0084014B">
        <w:fldChar w:fldCharType="separate"/>
      </w:r>
      <w:r w:rsidR="003C0757" w:rsidRPr="0084014B">
        <w:t xml:space="preserve">Table </w:t>
      </w:r>
      <w:r w:rsidR="003C0757">
        <w:t>11</w:t>
      </w:r>
      <w:r w:rsidRPr="0084014B">
        <w:fldChar w:fldCharType="end"/>
      </w:r>
      <w:r w:rsidR="004330BB" w:rsidRPr="0084014B">
        <w:t xml:space="preserve"> presents the results of the stepped economic evaluation.</w:t>
      </w:r>
    </w:p>
    <w:p w14:paraId="63D487B8" w14:textId="4F8C07E9" w:rsidR="00D110BD" w:rsidRPr="0084014B" w:rsidRDefault="00E16AD8" w:rsidP="00FF3ECD">
      <w:pPr>
        <w:pStyle w:val="COMtablefigcaption"/>
      </w:pPr>
      <w:bookmarkStart w:id="41" w:name="_Ref104805160"/>
      <w:r w:rsidRPr="0084014B">
        <w:lastRenderedPageBreak/>
        <w:t xml:space="preserve">Table </w:t>
      </w:r>
      <w:r w:rsidR="00052B1E">
        <w:fldChar w:fldCharType="begin"/>
      </w:r>
      <w:r w:rsidR="00052B1E">
        <w:instrText xml:space="preserve"> SEQ Table \* ARABIC </w:instrText>
      </w:r>
      <w:r w:rsidR="00052B1E">
        <w:fldChar w:fldCharType="separate"/>
      </w:r>
      <w:r w:rsidR="003C0757">
        <w:rPr>
          <w:noProof/>
        </w:rPr>
        <w:t>11</w:t>
      </w:r>
      <w:r w:rsidR="00052B1E">
        <w:rPr>
          <w:noProof/>
        </w:rPr>
        <w:fldChar w:fldCharType="end"/>
      </w:r>
      <w:bookmarkEnd w:id="41"/>
      <w:r w:rsidRPr="0084014B">
        <w:t>:</w:t>
      </w:r>
      <w:r w:rsidR="005A373D" w:rsidRPr="0084014B">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w:tblPr>
      <w:tblGrid>
        <w:gridCol w:w="2757"/>
        <w:gridCol w:w="2451"/>
        <w:gridCol w:w="2298"/>
        <w:gridCol w:w="1511"/>
      </w:tblGrid>
      <w:tr w:rsidR="004330BB" w:rsidRPr="0084014B" w14:paraId="1201E8ED" w14:textId="77777777" w:rsidTr="00903311">
        <w:trPr>
          <w:tblHeader/>
        </w:trPr>
        <w:tc>
          <w:tcPr>
            <w:tcW w:w="1529" w:type="pct"/>
            <w:vAlign w:val="center"/>
          </w:tcPr>
          <w:p w14:paraId="43EB6E9B" w14:textId="77777777" w:rsidR="004330BB" w:rsidRPr="0084014B" w:rsidRDefault="004330BB" w:rsidP="00903311">
            <w:pPr>
              <w:pStyle w:val="COMTableheadingrow"/>
              <w:rPr>
                <w:lang w:val="en-AU"/>
              </w:rPr>
            </w:pPr>
            <w:r w:rsidRPr="0084014B">
              <w:rPr>
                <w:lang w:val="en-AU"/>
              </w:rPr>
              <w:t>Step and component</w:t>
            </w:r>
          </w:p>
        </w:tc>
        <w:tc>
          <w:tcPr>
            <w:tcW w:w="1359" w:type="pct"/>
            <w:vAlign w:val="center"/>
          </w:tcPr>
          <w:p w14:paraId="39FF19E2" w14:textId="77777777" w:rsidR="004330BB" w:rsidRPr="0084014B" w:rsidRDefault="004330BB" w:rsidP="00903311">
            <w:pPr>
              <w:pStyle w:val="COMTableheadingrow"/>
              <w:jc w:val="center"/>
              <w:rPr>
                <w:lang w:val="en-AU"/>
              </w:rPr>
            </w:pPr>
            <w:r w:rsidRPr="0084014B">
              <w:rPr>
                <w:lang w:val="en-AU"/>
              </w:rPr>
              <w:t>Vorasidenib</w:t>
            </w:r>
          </w:p>
        </w:tc>
        <w:tc>
          <w:tcPr>
            <w:tcW w:w="1274" w:type="pct"/>
            <w:vAlign w:val="center"/>
          </w:tcPr>
          <w:p w14:paraId="0A90CA52" w14:textId="77777777" w:rsidR="004330BB" w:rsidRPr="0084014B" w:rsidRDefault="004330BB" w:rsidP="00903311">
            <w:pPr>
              <w:pStyle w:val="COMTableheadingrow"/>
              <w:jc w:val="center"/>
              <w:rPr>
                <w:lang w:val="en-AU"/>
              </w:rPr>
            </w:pPr>
            <w:r w:rsidRPr="0084014B">
              <w:rPr>
                <w:lang w:val="en-AU"/>
              </w:rPr>
              <w:t>Active surveillance</w:t>
            </w:r>
          </w:p>
        </w:tc>
        <w:tc>
          <w:tcPr>
            <w:tcW w:w="838" w:type="pct"/>
            <w:vAlign w:val="center"/>
          </w:tcPr>
          <w:p w14:paraId="6FAE6FBF" w14:textId="77777777" w:rsidR="004330BB" w:rsidRPr="0084014B" w:rsidRDefault="004330BB" w:rsidP="00903311">
            <w:pPr>
              <w:pStyle w:val="COMTableheadingrow"/>
              <w:jc w:val="center"/>
              <w:rPr>
                <w:lang w:val="en-AU"/>
              </w:rPr>
            </w:pPr>
            <w:r w:rsidRPr="0084014B">
              <w:rPr>
                <w:lang w:val="en-AU"/>
              </w:rPr>
              <w:t>Increment</w:t>
            </w:r>
          </w:p>
        </w:tc>
      </w:tr>
      <w:tr w:rsidR="004330BB" w:rsidRPr="0084014B" w14:paraId="49A8E447" w14:textId="77777777" w:rsidTr="00903311">
        <w:tc>
          <w:tcPr>
            <w:tcW w:w="5000" w:type="pct"/>
            <w:gridSpan w:val="4"/>
            <w:vAlign w:val="center"/>
          </w:tcPr>
          <w:p w14:paraId="6E518D5C" w14:textId="77777777" w:rsidR="004330BB" w:rsidRPr="0084014B" w:rsidRDefault="004330BB" w:rsidP="00903311">
            <w:pPr>
              <w:pStyle w:val="COMTabletext"/>
              <w:rPr>
                <w:b/>
                <w:bCs w:val="0"/>
              </w:rPr>
            </w:pPr>
            <w:r w:rsidRPr="0084014B">
              <w:rPr>
                <w:b/>
                <w:bCs w:val="0"/>
              </w:rPr>
              <w:t>Step 1: Modelled analysis over 30 months based on the results of the INDIGO trial, including initial treatment costs, adverse event costs, disease management costs and seizure management costs.</w:t>
            </w:r>
          </w:p>
        </w:tc>
      </w:tr>
      <w:tr w:rsidR="004330BB" w:rsidRPr="0084014B" w14:paraId="75878C8A" w14:textId="77777777" w:rsidTr="00903311">
        <w:tc>
          <w:tcPr>
            <w:tcW w:w="1529" w:type="pct"/>
            <w:vAlign w:val="center"/>
          </w:tcPr>
          <w:p w14:paraId="6F4A5A52" w14:textId="77777777" w:rsidR="004330BB" w:rsidRPr="0084014B" w:rsidRDefault="004330BB" w:rsidP="00903311">
            <w:pPr>
              <w:pStyle w:val="COMTabletext"/>
              <w:rPr>
                <w:rFonts w:ascii="Times" w:hAnsi="Times"/>
              </w:rPr>
            </w:pPr>
            <w:r w:rsidRPr="0084014B">
              <w:t>Costs</w:t>
            </w:r>
          </w:p>
        </w:tc>
        <w:tc>
          <w:tcPr>
            <w:tcW w:w="1359" w:type="pct"/>
            <w:vAlign w:val="center"/>
          </w:tcPr>
          <w:p w14:paraId="1277F686" w14:textId="3D14A30D" w:rsidR="004330BB" w:rsidRPr="0084014B" w:rsidRDefault="004330BB" w:rsidP="00903311">
            <w:pPr>
              <w:pStyle w:val="COMTabletext"/>
              <w:jc w:val="center"/>
              <w:rPr>
                <w:rFonts w:ascii="Times" w:hAnsi="Times"/>
              </w:rPr>
            </w:pPr>
            <w:r w:rsidRPr="0084014B">
              <w:t>$</w:t>
            </w:r>
            <w:r w:rsidR="00556852" w:rsidRPr="00556852">
              <w:rPr>
                <w:color w:val="000000"/>
                <w:shd w:val="solid" w:color="000000" w:fill="000000"/>
                <w14:textFill>
                  <w14:solidFill>
                    <w14:srgbClr w14:val="000000">
                      <w14:alpha w14:val="100000"/>
                    </w14:srgbClr>
                  </w14:solidFill>
                </w14:textFill>
              </w:rPr>
              <w:t>|</w:t>
            </w:r>
          </w:p>
        </w:tc>
        <w:tc>
          <w:tcPr>
            <w:tcW w:w="1274" w:type="pct"/>
            <w:vAlign w:val="center"/>
          </w:tcPr>
          <w:p w14:paraId="1F393A8A" w14:textId="77777777" w:rsidR="004330BB" w:rsidRPr="0084014B" w:rsidRDefault="004330BB" w:rsidP="00903311">
            <w:pPr>
              <w:pStyle w:val="COMTabletext"/>
              <w:jc w:val="center"/>
              <w:rPr>
                <w:rFonts w:ascii="Times" w:hAnsi="Times"/>
              </w:rPr>
            </w:pPr>
            <w:r w:rsidRPr="0084014B">
              <w:t>$29,366</w:t>
            </w:r>
          </w:p>
        </w:tc>
        <w:tc>
          <w:tcPr>
            <w:tcW w:w="838" w:type="pct"/>
            <w:vAlign w:val="center"/>
          </w:tcPr>
          <w:p w14:paraId="71877B06" w14:textId="76E7D6FB" w:rsidR="004330BB" w:rsidRPr="0084014B" w:rsidRDefault="004330BB" w:rsidP="00903311">
            <w:pPr>
              <w:pStyle w:val="COMTabletext"/>
              <w:jc w:val="center"/>
              <w:rPr>
                <w:rFonts w:ascii="Times" w:hAnsi="Times"/>
              </w:rPr>
            </w:pPr>
            <w:r w:rsidRPr="0084014B">
              <w:t>$</w:t>
            </w:r>
            <w:r w:rsidR="00556852" w:rsidRPr="00556852">
              <w:rPr>
                <w:color w:val="000000"/>
                <w:shd w:val="solid" w:color="000000" w:fill="000000"/>
                <w14:textFill>
                  <w14:solidFill>
                    <w14:srgbClr w14:val="000000">
                      <w14:alpha w14:val="100000"/>
                    </w14:srgbClr>
                  </w14:solidFill>
                </w14:textFill>
              </w:rPr>
              <w:t>|</w:t>
            </w:r>
          </w:p>
        </w:tc>
      </w:tr>
      <w:tr w:rsidR="004330BB" w:rsidRPr="0084014B" w14:paraId="4141F33C" w14:textId="77777777" w:rsidTr="00903311">
        <w:tc>
          <w:tcPr>
            <w:tcW w:w="1529" w:type="pct"/>
            <w:vAlign w:val="center"/>
          </w:tcPr>
          <w:p w14:paraId="6C27719B" w14:textId="77777777" w:rsidR="004330BB" w:rsidRPr="0084014B" w:rsidRDefault="004330BB" w:rsidP="00903311">
            <w:pPr>
              <w:pStyle w:val="COMTabletext"/>
              <w:rPr>
                <w:rFonts w:ascii="Times" w:hAnsi="Times"/>
              </w:rPr>
            </w:pPr>
            <w:r w:rsidRPr="0084014B">
              <w:t>Progression-free life years</w:t>
            </w:r>
          </w:p>
        </w:tc>
        <w:tc>
          <w:tcPr>
            <w:tcW w:w="1359" w:type="pct"/>
          </w:tcPr>
          <w:p w14:paraId="403E41AB" w14:textId="77777777" w:rsidR="004330BB" w:rsidRPr="0084014B" w:rsidRDefault="004330BB" w:rsidP="00903311">
            <w:pPr>
              <w:pStyle w:val="COMTabletext"/>
              <w:jc w:val="center"/>
            </w:pPr>
            <w:r w:rsidRPr="0084014B">
              <w:t>1.903</w:t>
            </w:r>
          </w:p>
        </w:tc>
        <w:tc>
          <w:tcPr>
            <w:tcW w:w="1274" w:type="pct"/>
          </w:tcPr>
          <w:p w14:paraId="2F6A086D" w14:textId="77777777" w:rsidR="004330BB" w:rsidRPr="0084014B" w:rsidRDefault="004330BB" w:rsidP="00903311">
            <w:pPr>
              <w:pStyle w:val="COMTabletext"/>
              <w:jc w:val="center"/>
            </w:pPr>
            <w:r w:rsidRPr="0084014B">
              <w:t>1.327</w:t>
            </w:r>
          </w:p>
        </w:tc>
        <w:tc>
          <w:tcPr>
            <w:tcW w:w="838" w:type="pct"/>
            <w:vAlign w:val="center"/>
          </w:tcPr>
          <w:p w14:paraId="11D20622" w14:textId="77777777" w:rsidR="004330BB" w:rsidRPr="0084014B" w:rsidRDefault="004330BB" w:rsidP="00903311">
            <w:pPr>
              <w:pStyle w:val="COMTabletext"/>
              <w:jc w:val="center"/>
            </w:pPr>
            <w:r w:rsidRPr="0084014B">
              <w:t>0.577</w:t>
            </w:r>
          </w:p>
        </w:tc>
      </w:tr>
      <w:tr w:rsidR="004330BB" w:rsidRPr="0084014B" w14:paraId="5F252AE5" w14:textId="77777777" w:rsidTr="00903311">
        <w:tc>
          <w:tcPr>
            <w:tcW w:w="4162" w:type="pct"/>
            <w:gridSpan w:val="3"/>
            <w:vAlign w:val="center"/>
          </w:tcPr>
          <w:p w14:paraId="1A1D1712" w14:textId="77777777" w:rsidR="004330BB" w:rsidRPr="0084014B" w:rsidRDefault="004330BB" w:rsidP="00903311">
            <w:pPr>
              <w:pStyle w:val="COMTabletext"/>
              <w:rPr>
                <w:rFonts w:ascii="Times" w:hAnsi="Times"/>
              </w:rPr>
            </w:pPr>
            <w:r w:rsidRPr="0084014B">
              <w:t>Incremental cost/progression-free life year gained</w:t>
            </w:r>
          </w:p>
        </w:tc>
        <w:tc>
          <w:tcPr>
            <w:tcW w:w="838" w:type="pct"/>
            <w:vAlign w:val="center"/>
          </w:tcPr>
          <w:p w14:paraId="690AD1F2" w14:textId="15CB7BE0" w:rsidR="004330BB" w:rsidRPr="00DD22B5" w:rsidRDefault="004330BB" w:rsidP="00903311">
            <w:pPr>
              <w:pStyle w:val="COMTabletext"/>
              <w:jc w:val="center"/>
              <w:rPr>
                <w:rFonts w:ascii="Times" w:hAnsi="Times"/>
                <w:vertAlign w:val="superscript"/>
              </w:rPr>
            </w:pPr>
            <w:r w:rsidRPr="0084014B">
              <w:t>$</w:t>
            </w:r>
            <w:r w:rsidR="00556852" w:rsidRPr="00556852">
              <w:rPr>
                <w:color w:val="000000"/>
                <w:shd w:val="solid" w:color="000000" w:fill="000000"/>
                <w14:textFill>
                  <w14:solidFill>
                    <w14:srgbClr w14:val="000000">
                      <w14:alpha w14:val="100000"/>
                    </w14:srgbClr>
                  </w14:solidFill>
                </w14:textFill>
              </w:rPr>
              <w:t>|</w:t>
            </w:r>
            <w:r w:rsidR="00DD22B5">
              <w:rPr>
                <w:vertAlign w:val="superscript"/>
              </w:rPr>
              <w:t>1</w:t>
            </w:r>
          </w:p>
        </w:tc>
      </w:tr>
      <w:tr w:rsidR="004330BB" w:rsidRPr="0084014B" w14:paraId="79D8EE80" w14:textId="77777777" w:rsidTr="00903311">
        <w:tc>
          <w:tcPr>
            <w:tcW w:w="5000" w:type="pct"/>
            <w:gridSpan w:val="4"/>
            <w:vAlign w:val="center"/>
          </w:tcPr>
          <w:p w14:paraId="2FEB884E" w14:textId="77777777" w:rsidR="004330BB" w:rsidRPr="0084014B" w:rsidRDefault="004330BB" w:rsidP="00903311">
            <w:pPr>
              <w:pStyle w:val="COMTableheadingrow"/>
              <w:rPr>
                <w:lang w:val="en-AU"/>
              </w:rPr>
            </w:pPr>
            <w:r w:rsidRPr="0084014B">
              <w:rPr>
                <w:lang w:val="en-AU"/>
              </w:rPr>
              <w:t>Step 2: Time horizon increased to 40 years, with incorporation of post-progression survival data derived from an Australian brain tumour registry, extrapolated using a parametric function.</w:t>
            </w:r>
          </w:p>
        </w:tc>
      </w:tr>
      <w:tr w:rsidR="004330BB" w:rsidRPr="0084014B" w14:paraId="2C5CB674" w14:textId="77777777" w:rsidTr="00903311">
        <w:tc>
          <w:tcPr>
            <w:tcW w:w="1529" w:type="pct"/>
            <w:vAlign w:val="center"/>
          </w:tcPr>
          <w:p w14:paraId="1242A05C" w14:textId="77777777" w:rsidR="004330BB" w:rsidRPr="0084014B" w:rsidRDefault="004330BB" w:rsidP="00903311">
            <w:pPr>
              <w:pStyle w:val="COMTabletext"/>
              <w:rPr>
                <w:rFonts w:ascii="Times" w:hAnsi="Times"/>
              </w:rPr>
            </w:pPr>
            <w:r w:rsidRPr="0084014B">
              <w:t>Costs</w:t>
            </w:r>
          </w:p>
        </w:tc>
        <w:tc>
          <w:tcPr>
            <w:tcW w:w="1359" w:type="pct"/>
            <w:vAlign w:val="center"/>
          </w:tcPr>
          <w:p w14:paraId="210EA6A4" w14:textId="73AA3AB2" w:rsidR="004330BB" w:rsidRPr="0084014B" w:rsidRDefault="004330BB" w:rsidP="00903311">
            <w:pPr>
              <w:pStyle w:val="COMTabletext"/>
              <w:jc w:val="center"/>
              <w:rPr>
                <w:rFonts w:ascii="Times" w:hAnsi="Times"/>
              </w:rPr>
            </w:pPr>
            <w:r w:rsidRPr="0084014B">
              <w:t>$</w:t>
            </w:r>
            <w:r w:rsidR="00556852" w:rsidRPr="00556852">
              <w:rPr>
                <w:color w:val="000000"/>
                <w:shd w:val="solid" w:color="000000" w:fill="000000"/>
                <w14:textFill>
                  <w14:solidFill>
                    <w14:srgbClr w14:val="000000">
                      <w14:alpha w14:val="100000"/>
                    </w14:srgbClr>
                  </w14:solidFill>
                </w14:textFill>
              </w:rPr>
              <w:t>|</w:t>
            </w:r>
          </w:p>
        </w:tc>
        <w:tc>
          <w:tcPr>
            <w:tcW w:w="1274" w:type="pct"/>
            <w:vAlign w:val="center"/>
          </w:tcPr>
          <w:p w14:paraId="4A1BA46A" w14:textId="77777777" w:rsidR="004330BB" w:rsidRPr="0084014B" w:rsidRDefault="004330BB" w:rsidP="00903311">
            <w:pPr>
              <w:pStyle w:val="COMTabletext"/>
              <w:jc w:val="center"/>
              <w:rPr>
                <w:rFonts w:ascii="Times" w:hAnsi="Times"/>
              </w:rPr>
            </w:pPr>
            <w:r w:rsidRPr="0084014B">
              <w:t>$185,933</w:t>
            </w:r>
          </w:p>
        </w:tc>
        <w:tc>
          <w:tcPr>
            <w:tcW w:w="838" w:type="pct"/>
            <w:vAlign w:val="center"/>
          </w:tcPr>
          <w:p w14:paraId="217F5140" w14:textId="447DC5B5" w:rsidR="004330BB" w:rsidRPr="0084014B" w:rsidRDefault="004330BB" w:rsidP="00903311">
            <w:pPr>
              <w:pStyle w:val="COMTabletext"/>
              <w:jc w:val="center"/>
              <w:rPr>
                <w:rFonts w:ascii="Times" w:hAnsi="Times"/>
              </w:rPr>
            </w:pPr>
            <w:r w:rsidRPr="0084014B">
              <w:t>$</w:t>
            </w:r>
            <w:r w:rsidR="00556852" w:rsidRPr="00556852">
              <w:rPr>
                <w:color w:val="000000"/>
                <w:shd w:val="solid" w:color="000000" w:fill="000000"/>
                <w14:textFill>
                  <w14:solidFill>
                    <w14:srgbClr w14:val="000000">
                      <w14:alpha w14:val="100000"/>
                    </w14:srgbClr>
                  </w14:solidFill>
                </w14:textFill>
              </w:rPr>
              <w:t>|</w:t>
            </w:r>
          </w:p>
        </w:tc>
      </w:tr>
      <w:tr w:rsidR="004330BB" w:rsidRPr="0084014B" w14:paraId="51C03E4B" w14:textId="77777777" w:rsidTr="00903311">
        <w:tc>
          <w:tcPr>
            <w:tcW w:w="1529" w:type="pct"/>
            <w:vAlign w:val="center"/>
          </w:tcPr>
          <w:p w14:paraId="7BD04E70" w14:textId="77777777" w:rsidR="004330BB" w:rsidRPr="0084014B" w:rsidRDefault="004330BB" w:rsidP="00903311">
            <w:pPr>
              <w:pStyle w:val="COMTabletext"/>
              <w:rPr>
                <w:rFonts w:ascii="Times" w:hAnsi="Times"/>
              </w:rPr>
            </w:pPr>
            <w:r w:rsidRPr="0084014B">
              <w:t>Life years</w:t>
            </w:r>
          </w:p>
        </w:tc>
        <w:tc>
          <w:tcPr>
            <w:tcW w:w="1359" w:type="pct"/>
            <w:vAlign w:val="center"/>
          </w:tcPr>
          <w:p w14:paraId="015E17C7" w14:textId="77777777" w:rsidR="004330BB" w:rsidRPr="0084014B" w:rsidRDefault="004330BB" w:rsidP="00903311">
            <w:pPr>
              <w:pStyle w:val="COMTabletext"/>
              <w:jc w:val="center"/>
              <w:rPr>
                <w:rFonts w:ascii="Times" w:hAnsi="Times"/>
              </w:rPr>
            </w:pPr>
            <w:r w:rsidRPr="0084014B">
              <w:t>13.586</w:t>
            </w:r>
          </w:p>
        </w:tc>
        <w:tc>
          <w:tcPr>
            <w:tcW w:w="1274" w:type="pct"/>
            <w:vAlign w:val="center"/>
          </w:tcPr>
          <w:p w14:paraId="11C2CECA" w14:textId="77777777" w:rsidR="004330BB" w:rsidRPr="0084014B" w:rsidRDefault="004330BB" w:rsidP="00903311">
            <w:pPr>
              <w:pStyle w:val="COMTabletext"/>
              <w:jc w:val="center"/>
              <w:rPr>
                <w:rFonts w:ascii="Times" w:hAnsi="Times"/>
              </w:rPr>
            </w:pPr>
            <w:r w:rsidRPr="0084014B">
              <w:t>9.961</w:t>
            </w:r>
          </w:p>
        </w:tc>
        <w:tc>
          <w:tcPr>
            <w:tcW w:w="838" w:type="pct"/>
            <w:vAlign w:val="center"/>
          </w:tcPr>
          <w:p w14:paraId="7983D646" w14:textId="77777777" w:rsidR="004330BB" w:rsidRPr="0084014B" w:rsidRDefault="004330BB" w:rsidP="00903311">
            <w:pPr>
              <w:pStyle w:val="COMTabletext"/>
              <w:jc w:val="center"/>
            </w:pPr>
            <w:r w:rsidRPr="0084014B">
              <w:t>3.624</w:t>
            </w:r>
          </w:p>
        </w:tc>
      </w:tr>
      <w:tr w:rsidR="004330BB" w:rsidRPr="0084014B" w14:paraId="3689B3CD" w14:textId="77777777" w:rsidTr="00903311">
        <w:tc>
          <w:tcPr>
            <w:tcW w:w="4162" w:type="pct"/>
            <w:gridSpan w:val="3"/>
            <w:vAlign w:val="center"/>
          </w:tcPr>
          <w:p w14:paraId="5722930B" w14:textId="77777777" w:rsidR="004330BB" w:rsidRPr="0084014B" w:rsidRDefault="004330BB" w:rsidP="00903311">
            <w:pPr>
              <w:pStyle w:val="COMTabletext"/>
              <w:rPr>
                <w:rFonts w:ascii="Times" w:hAnsi="Times"/>
              </w:rPr>
            </w:pPr>
            <w:r w:rsidRPr="0084014B">
              <w:t>Incremental cost per life year gained</w:t>
            </w:r>
          </w:p>
        </w:tc>
        <w:tc>
          <w:tcPr>
            <w:tcW w:w="838" w:type="pct"/>
            <w:vAlign w:val="center"/>
          </w:tcPr>
          <w:p w14:paraId="646FF7FE" w14:textId="6530DC23" w:rsidR="004330BB" w:rsidRPr="00DD22B5" w:rsidRDefault="004330BB" w:rsidP="00903311">
            <w:pPr>
              <w:pStyle w:val="COMTabletext"/>
              <w:jc w:val="center"/>
              <w:rPr>
                <w:rFonts w:ascii="Times" w:hAnsi="Times"/>
                <w:vertAlign w:val="superscript"/>
              </w:rPr>
            </w:pPr>
            <w:r w:rsidRPr="0084014B">
              <w:t>$</w:t>
            </w:r>
            <w:r w:rsidR="00556852" w:rsidRPr="00556852">
              <w:rPr>
                <w:color w:val="000000"/>
                <w:shd w:val="solid" w:color="000000" w:fill="000000"/>
                <w14:textFill>
                  <w14:solidFill>
                    <w14:srgbClr w14:val="000000">
                      <w14:alpha w14:val="100000"/>
                    </w14:srgbClr>
                  </w14:solidFill>
                </w14:textFill>
              </w:rPr>
              <w:t>|</w:t>
            </w:r>
            <w:r w:rsidR="00DD22B5">
              <w:rPr>
                <w:vertAlign w:val="superscript"/>
              </w:rPr>
              <w:t>2</w:t>
            </w:r>
          </w:p>
        </w:tc>
      </w:tr>
      <w:tr w:rsidR="004330BB" w:rsidRPr="0084014B" w14:paraId="7659AC36" w14:textId="77777777" w:rsidTr="00903311">
        <w:tc>
          <w:tcPr>
            <w:tcW w:w="5000" w:type="pct"/>
            <w:gridSpan w:val="4"/>
            <w:vAlign w:val="center"/>
          </w:tcPr>
          <w:p w14:paraId="5BC381DC" w14:textId="77777777" w:rsidR="004330BB" w:rsidRPr="0084014B" w:rsidRDefault="004330BB" w:rsidP="00903311">
            <w:pPr>
              <w:pStyle w:val="COMTableheadingrow"/>
              <w:rPr>
                <w:lang w:val="en-AU"/>
              </w:rPr>
            </w:pPr>
            <w:r w:rsidRPr="0084014B">
              <w:rPr>
                <w:lang w:val="en-AU"/>
              </w:rPr>
              <w:t>Step 3: Inclusion of subsequent therapy and end-of-life costs; discounting applied to costs and outcomes.</w:t>
            </w:r>
          </w:p>
        </w:tc>
      </w:tr>
      <w:tr w:rsidR="004330BB" w:rsidRPr="0084014B" w14:paraId="78AF10C9" w14:textId="77777777" w:rsidTr="00903311">
        <w:tc>
          <w:tcPr>
            <w:tcW w:w="1529" w:type="pct"/>
            <w:vAlign w:val="center"/>
          </w:tcPr>
          <w:p w14:paraId="693084E8" w14:textId="77777777" w:rsidR="004330BB" w:rsidRPr="0084014B" w:rsidRDefault="004330BB" w:rsidP="00903311">
            <w:pPr>
              <w:pStyle w:val="COMTabletext"/>
              <w:rPr>
                <w:rFonts w:ascii="Times" w:hAnsi="Times"/>
              </w:rPr>
            </w:pPr>
            <w:r w:rsidRPr="0084014B">
              <w:t>Costs</w:t>
            </w:r>
          </w:p>
        </w:tc>
        <w:tc>
          <w:tcPr>
            <w:tcW w:w="1359" w:type="pct"/>
            <w:vAlign w:val="center"/>
          </w:tcPr>
          <w:p w14:paraId="0567AAB3" w14:textId="09C41FC0" w:rsidR="004330BB" w:rsidRPr="0084014B" w:rsidRDefault="004330BB" w:rsidP="00903311">
            <w:pPr>
              <w:pStyle w:val="COMTabletext"/>
              <w:jc w:val="center"/>
              <w:rPr>
                <w:rFonts w:ascii="Times" w:hAnsi="Times"/>
              </w:rPr>
            </w:pPr>
            <w:r w:rsidRPr="0084014B">
              <w:t>$</w:t>
            </w:r>
            <w:r w:rsidR="00556852" w:rsidRPr="00556852">
              <w:rPr>
                <w:color w:val="000000"/>
                <w:shd w:val="solid" w:color="000000" w:fill="000000"/>
                <w14:textFill>
                  <w14:solidFill>
                    <w14:srgbClr w14:val="000000">
                      <w14:alpha w14:val="100000"/>
                    </w14:srgbClr>
                  </w14:solidFill>
                </w14:textFill>
              </w:rPr>
              <w:t>|</w:t>
            </w:r>
          </w:p>
        </w:tc>
        <w:tc>
          <w:tcPr>
            <w:tcW w:w="1274" w:type="pct"/>
            <w:vAlign w:val="center"/>
          </w:tcPr>
          <w:p w14:paraId="750C5683" w14:textId="77777777" w:rsidR="004330BB" w:rsidRPr="0084014B" w:rsidRDefault="004330BB" w:rsidP="00903311">
            <w:pPr>
              <w:pStyle w:val="COMTabletext"/>
              <w:jc w:val="center"/>
              <w:rPr>
                <w:rFonts w:ascii="Times" w:hAnsi="Times"/>
              </w:rPr>
            </w:pPr>
            <w:r w:rsidRPr="0084014B">
              <w:t>$167,634</w:t>
            </w:r>
          </w:p>
        </w:tc>
        <w:tc>
          <w:tcPr>
            <w:tcW w:w="838" w:type="pct"/>
            <w:vAlign w:val="center"/>
          </w:tcPr>
          <w:p w14:paraId="755FD659" w14:textId="1661B2E3" w:rsidR="004330BB" w:rsidRPr="0084014B" w:rsidRDefault="004330BB" w:rsidP="00903311">
            <w:pPr>
              <w:pStyle w:val="COMTabletext"/>
              <w:jc w:val="center"/>
              <w:rPr>
                <w:rFonts w:ascii="Times" w:hAnsi="Times"/>
              </w:rPr>
            </w:pPr>
            <w:r w:rsidRPr="0084014B">
              <w:t>$</w:t>
            </w:r>
            <w:r w:rsidR="00556852" w:rsidRPr="00556852">
              <w:rPr>
                <w:color w:val="000000"/>
                <w:shd w:val="solid" w:color="000000" w:fill="000000"/>
                <w14:textFill>
                  <w14:solidFill>
                    <w14:srgbClr w14:val="000000">
                      <w14:alpha w14:val="100000"/>
                    </w14:srgbClr>
                  </w14:solidFill>
                </w14:textFill>
              </w:rPr>
              <w:t>|</w:t>
            </w:r>
          </w:p>
        </w:tc>
      </w:tr>
      <w:tr w:rsidR="004330BB" w:rsidRPr="0084014B" w14:paraId="3CDF13FA" w14:textId="77777777" w:rsidTr="00903311">
        <w:tc>
          <w:tcPr>
            <w:tcW w:w="1529" w:type="pct"/>
            <w:vAlign w:val="center"/>
          </w:tcPr>
          <w:p w14:paraId="6F23E3FB" w14:textId="77777777" w:rsidR="004330BB" w:rsidRPr="0084014B" w:rsidRDefault="004330BB" w:rsidP="00903311">
            <w:pPr>
              <w:pStyle w:val="COMTabletext"/>
              <w:rPr>
                <w:rFonts w:ascii="Times" w:hAnsi="Times"/>
              </w:rPr>
            </w:pPr>
            <w:r w:rsidRPr="0084014B">
              <w:t>Life years</w:t>
            </w:r>
          </w:p>
        </w:tc>
        <w:tc>
          <w:tcPr>
            <w:tcW w:w="1359" w:type="pct"/>
            <w:vAlign w:val="center"/>
          </w:tcPr>
          <w:p w14:paraId="4EEE02DA" w14:textId="77777777" w:rsidR="004330BB" w:rsidRPr="0084014B" w:rsidRDefault="004330BB" w:rsidP="00903311">
            <w:pPr>
              <w:pStyle w:val="COMTabletext"/>
              <w:jc w:val="center"/>
              <w:rPr>
                <w:rFonts w:ascii="Times" w:hAnsi="Times"/>
              </w:rPr>
            </w:pPr>
            <w:r w:rsidRPr="0084014B">
              <w:t>9.311</w:t>
            </w:r>
          </w:p>
        </w:tc>
        <w:tc>
          <w:tcPr>
            <w:tcW w:w="1274" w:type="pct"/>
            <w:vAlign w:val="center"/>
          </w:tcPr>
          <w:p w14:paraId="1BF049FA" w14:textId="77777777" w:rsidR="004330BB" w:rsidRPr="0084014B" w:rsidRDefault="004330BB" w:rsidP="00903311">
            <w:pPr>
              <w:pStyle w:val="COMTabletext"/>
              <w:jc w:val="center"/>
              <w:rPr>
                <w:rFonts w:ascii="Times" w:hAnsi="Times"/>
              </w:rPr>
            </w:pPr>
            <w:r w:rsidRPr="0084014B">
              <w:t>7.611</w:t>
            </w:r>
          </w:p>
        </w:tc>
        <w:tc>
          <w:tcPr>
            <w:tcW w:w="838" w:type="pct"/>
            <w:vAlign w:val="center"/>
          </w:tcPr>
          <w:p w14:paraId="6C52BB0F" w14:textId="77777777" w:rsidR="004330BB" w:rsidRPr="0084014B" w:rsidRDefault="004330BB" w:rsidP="00903311">
            <w:pPr>
              <w:pStyle w:val="COMTabletext"/>
              <w:jc w:val="center"/>
            </w:pPr>
            <w:r w:rsidRPr="0084014B">
              <w:t>1.699</w:t>
            </w:r>
          </w:p>
        </w:tc>
      </w:tr>
      <w:tr w:rsidR="004330BB" w:rsidRPr="0084014B" w14:paraId="02C77E92" w14:textId="77777777" w:rsidTr="00903311">
        <w:tc>
          <w:tcPr>
            <w:tcW w:w="4162" w:type="pct"/>
            <w:gridSpan w:val="3"/>
            <w:vAlign w:val="center"/>
          </w:tcPr>
          <w:p w14:paraId="550E3C74" w14:textId="77777777" w:rsidR="004330BB" w:rsidRPr="0084014B" w:rsidRDefault="004330BB" w:rsidP="00903311">
            <w:pPr>
              <w:pStyle w:val="COMTabletext"/>
              <w:rPr>
                <w:rFonts w:ascii="Times" w:hAnsi="Times"/>
              </w:rPr>
            </w:pPr>
            <w:r w:rsidRPr="0084014B">
              <w:t>Incremental cost per life year gained</w:t>
            </w:r>
          </w:p>
        </w:tc>
        <w:tc>
          <w:tcPr>
            <w:tcW w:w="838" w:type="pct"/>
            <w:vAlign w:val="center"/>
          </w:tcPr>
          <w:p w14:paraId="1E3217CB" w14:textId="6A4BD965" w:rsidR="004330BB" w:rsidRPr="00DD22B5" w:rsidRDefault="004330BB" w:rsidP="00903311">
            <w:pPr>
              <w:pStyle w:val="COMTabletext"/>
              <w:jc w:val="center"/>
              <w:rPr>
                <w:rFonts w:ascii="Times" w:hAnsi="Times"/>
                <w:vertAlign w:val="superscript"/>
              </w:rPr>
            </w:pPr>
            <w:r w:rsidRPr="0084014B">
              <w:t>$</w:t>
            </w:r>
            <w:r w:rsidR="00556852" w:rsidRPr="00556852">
              <w:rPr>
                <w:color w:val="000000"/>
                <w:shd w:val="solid" w:color="000000" w:fill="000000"/>
                <w14:textFill>
                  <w14:solidFill>
                    <w14:srgbClr w14:val="000000">
                      <w14:alpha w14:val="100000"/>
                    </w14:srgbClr>
                  </w14:solidFill>
                </w14:textFill>
              </w:rPr>
              <w:t>|</w:t>
            </w:r>
            <w:r w:rsidR="00DD22B5">
              <w:rPr>
                <w:vertAlign w:val="superscript"/>
              </w:rPr>
              <w:t>1</w:t>
            </w:r>
          </w:p>
        </w:tc>
      </w:tr>
      <w:tr w:rsidR="004330BB" w:rsidRPr="0084014B" w14:paraId="132A964B" w14:textId="77777777" w:rsidTr="00903311">
        <w:tc>
          <w:tcPr>
            <w:tcW w:w="5000" w:type="pct"/>
            <w:gridSpan w:val="4"/>
            <w:vAlign w:val="center"/>
          </w:tcPr>
          <w:p w14:paraId="3A4F66E1" w14:textId="77777777" w:rsidR="004330BB" w:rsidRPr="0084014B" w:rsidRDefault="004330BB" w:rsidP="00903311">
            <w:pPr>
              <w:pStyle w:val="COMTableheadingrow"/>
              <w:rPr>
                <w:lang w:val="en-AU"/>
              </w:rPr>
            </w:pPr>
            <w:r w:rsidRPr="0084014B">
              <w:rPr>
                <w:lang w:val="en-AU"/>
              </w:rPr>
              <w:t>Step 4: Incorporation of health state utilities.</w:t>
            </w:r>
          </w:p>
        </w:tc>
      </w:tr>
      <w:tr w:rsidR="004330BB" w:rsidRPr="0084014B" w14:paraId="54F43EE7" w14:textId="77777777" w:rsidTr="00903311">
        <w:tc>
          <w:tcPr>
            <w:tcW w:w="1529" w:type="pct"/>
            <w:vAlign w:val="center"/>
          </w:tcPr>
          <w:p w14:paraId="63D4697A" w14:textId="77777777" w:rsidR="004330BB" w:rsidRPr="0084014B" w:rsidRDefault="004330BB" w:rsidP="00903311">
            <w:pPr>
              <w:pStyle w:val="COMTabletext"/>
              <w:rPr>
                <w:rFonts w:ascii="Times" w:hAnsi="Times"/>
              </w:rPr>
            </w:pPr>
            <w:r w:rsidRPr="0084014B">
              <w:t>Costs</w:t>
            </w:r>
          </w:p>
        </w:tc>
        <w:tc>
          <w:tcPr>
            <w:tcW w:w="1359" w:type="pct"/>
            <w:vAlign w:val="center"/>
          </w:tcPr>
          <w:p w14:paraId="66DF49EE" w14:textId="0C00CCAE" w:rsidR="004330BB" w:rsidRPr="0084014B" w:rsidRDefault="004330BB" w:rsidP="00903311">
            <w:pPr>
              <w:pStyle w:val="COMTabletext"/>
              <w:jc w:val="center"/>
              <w:rPr>
                <w:rFonts w:ascii="Times" w:hAnsi="Times"/>
              </w:rPr>
            </w:pPr>
            <w:r w:rsidRPr="0084014B">
              <w:t>$</w:t>
            </w:r>
            <w:r w:rsidR="00556852" w:rsidRPr="00556852">
              <w:rPr>
                <w:color w:val="000000"/>
                <w:shd w:val="solid" w:color="000000" w:fill="000000"/>
                <w14:textFill>
                  <w14:solidFill>
                    <w14:srgbClr w14:val="000000">
                      <w14:alpha w14:val="100000"/>
                    </w14:srgbClr>
                  </w14:solidFill>
                </w14:textFill>
              </w:rPr>
              <w:t>|</w:t>
            </w:r>
          </w:p>
        </w:tc>
        <w:tc>
          <w:tcPr>
            <w:tcW w:w="1274" w:type="pct"/>
            <w:vAlign w:val="center"/>
          </w:tcPr>
          <w:p w14:paraId="1F241CC9" w14:textId="77777777" w:rsidR="004330BB" w:rsidRPr="0084014B" w:rsidRDefault="004330BB" w:rsidP="00903311">
            <w:pPr>
              <w:pStyle w:val="COMTabletext"/>
              <w:jc w:val="center"/>
              <w:rPr>
                <w:rFonts w:ascii="Times" w:hAnsi="Times"/>
              </w:rPr>
            </w:pPr>
            <w:r w:rsidRPr="0084014B">
              <w:t>$167,634</w:t>
            </w:r>
          </w:p>
        </w:tc>
        <w:tc>
          <w:tcPr>
            <w:tcW w:w="838" w:type="pct"/>
            <w:vAlign w:val="center"/>
          </w:tcPr>
          <w:p w14:paraId="4770FF05" w14:textId="7DC59850" w:rsidR="004330BB" w:rsidRPr="0084014B" w:rsidRDefault="004330BB" w:rsidP="00903311">
            <w:pPr>
              <w:pStyle w:val="COMTabletext"/>
              <w:jc w:val="center"/>
              <w:rPr>
                <w:rFonts w:ascii="Times" w:hAnsi="Times"/>
              </w:rPr>
            </w:pPr>
            <w:r w:rsidRPr="0084014B">
              <w:t>$</w:t>
            </w:r>
            <w:r w:rsidR="00556852" w:rsidRPr="00556852">
              <w:rPr>
                <w:color w:val="000000"/>
                <w:shd w:val="solid" w:color="000000" w:fill="000000"/>
                <w14:textFill>
                  <w14:solidFill>
                    <w14:srgbClr w14:val="000000">
                      <w14:alpha w14:val="100000"/>
                    </w14:srgbClr>
                  </w14:solidFill>
                </w14:textFill>
              </w:rPr>
              <w:t>|</w:t>
            </w:r>
          </w:p>
        </w:tc>
      </w:tr>
      <w:tr w:rsidR="004330BB" w:rsidRPr="0084014B" w14:paraId="3E2F53BB" w14:textId="77777777" w:rsidTr="00903311">
        <w:tc>
          <w:tcPr>
            <w:tcW w:w="1529" w:type="pct"/>
            <w:vAlign w:val="center"/>
          </w:tcPr>
          <w:p w14:paraId="391E06D3" w14:textId="77777777" w:rsidR="004330BB" w:rsidRPr="0084014B" w:rsidRDefault="004330BB" w:rsidP="00903311">
            <w:pPr>
              <w:pStyle w:val="COMTabletext"/>
              <w:rPr>
                <w:rFonts w:ascii="Times" w:hAnsi="Times"/>
              </w:rPr>
            </w:pPr>
            <w:r w:rsidRPr="0084014B">
              <w:t>QALYs</w:t>
            </w:r>
          </w:p>
        </w:tc>
        <w:tc>
          <w:tcPr>
            <w:tcW w:w="1359" w:type="pct"/>
            <w:vAlign w:val="center"/>
          </w:tcPr>
          <w:p w14:paraId="4FF89D80" w14:textId="77777777" w:rsidR="004330BB" w:rsidRPr="0084014B" w:rsidRDefault="004330BB" w:rsidP="00903311">
            <w:pPr>
              <w:pStyle w:val="COMTabletext"/>
              <w:jc w:val="center"/>
              <w:rPr>
                <w:rFonts w:ascii="Times" w:hAnsi="Times"/>
              </w:rPr>
            </w:pPr>
            <w:r w:rsidRPr="0084014B">
              <w:t>6.206</w:t>
            </w:r>
          </w:p>
        </w:tc>
        <w:tc>
          <w:tcPr>
            <w:tcW w:w="1274" w:type="pct"/>
            <w:vAlign w:val="center"/>
          </w:tcPr>
          <w:p w14:paraId="0FBF10F8" w14:textId="77777777" w:rsidR="004330BB" w:rsidRPr="0084014B" w:rsidRDefault="004330BB" w:rsidP="00903311">
            <w:pPr>
              <w:pStyle w:val="COMTabletext"/>
              <w:jc w:val="center"/>
              <w:rPr>
                <w:rFonts w:ascii="Times" w:hAnsi="Times"/>
              </w:rPr>
            </w:pPr>
            <w:r w:rsidRPr="0084014B">
              <w:t>4.203</w:t>
            </w:r>
          </w:p>
        </w:tc>
        <w:tc>
          <w:tcPr>
            <w:tcW w:w="838" w:type="pct"/>
            <w:vAlign w:val="center"/>
          </w:tcPr>
          <w:p w14:paraId="2FFAA8ED" w14:textId="77777777" w:rsidR="004330BB" w:rsidRPr="0084014B" w:rsidRDefault="004330BB" w:rsidP="00903311">
            <w:pPr>
              <w:pStyle w:val="COMTabletext"/>
              <w:jc w:val="center"/>
            </w:pPr>
            <w:r w:rsidRPr="0084014B">
              <w:t>2.003</w:t>
            </w:r>
          </w:p>
        </w:tc>
      </w:tr>
      <w:tr w:rsidR="004330BB" w:rsidRPr="0084014B" w14:paraId="381D9804" w14:textId="77777777" w:rsidTr="00903311">
        <w:tc>
          <w:tcPr>
            <w:tcW w:w="4162" w:type="pct"/>
            <w:gridSpan w:val="3"/>
            <w:vAlign w:val="center"/>
          </w:tcPr>
          <w:p w14:paraId="38ABF949" w14:textId="77777777" w:rsidR="004330BB" w:rsidRPr="0084014B" w:rsidRDefault="004330BB" w:rsidP="00903311">
            <w:pPr>
              <w:pStyle w:val="COMTabletext"/>
              <w:rPr>
                <w:rFonts w:ascii="Times" w:hAnsi="Times"/>
                <w:b/>
                <w:bCs w:val="0"/>
              </w:rPr>
            </w:pPr>
            <w:r w:rsidRPr="0084014B">
              <w:rPr>
                <w:b/>
                <w:bCs w:val="0"/>
              </w:rPr>
              <w:t>Incremental cost per QALY gained</w:t>
            </w:r>
          </w:p>
        </w:tc>
        <w:tc>
          <w:tcPr>
            <w:tcW w:w="838" w:type="pct"/>
            <w:vAlign w:val="center"/>
          </w:tcPr>
          <w:p w14:paraId="388742E2" w14:textId="13A91B90" w:rsidR="004330BB" w:rsidRPr="00DD22B5" w:rsidRDefault="004330BB" w:rsidP="00903311">
            <w:pPr>
              <w:pStyle w:val="COMTabletext"/>
              <w:jc w:val="center"/>
              <w:rPr>
                <w:rFonts w:ascii="Times" w:hAnsi="Times"/>
                <w:b/>
                <w:bCs w:val="0"/>
                <w:vertAlign w:val="superscript"/>
              </w:rPr>
            </w:pPr>
            <w:r w:rsidRPr="0084014B">
              <w:rPr>
                <w:b/>
                <w:bCs w:val="0"/>
              </w:rPr>
              <w:t>$</w:t>
            </w:r>
            <w:r w:rsidR="00556852" w:rsidRPr="00556852">
              <w:rPr>
                <w:b/>
                <w:bCs w:val="0"/>
                <w:color w:val="000000"/>
                <w:shd w:val="solid" w:color="000000" w:fill="000000"/>
                <w14:textFill>
                  <w14:solidFill>
                    <w14:srgbClr w14:val="000000">
                      <w14:alpha w14:val="100000"/>
                    </w14:srgbClr>
                  </w14:solidFill>
                </w14:textFill>
              </w:rPr>
              <w:t>|</w:t>
            </w:r>
            <w:r w:rsidR="00DD22B5">
              <w:rPr>
                <w:b/>
                <w:bCs w:val="0"/>
                <w:vertAlign w:val="superscript"/>
              </w:rPr>
              <w:t>1</w:t>
            </w:r>
          </w:p>
        </w:tc>
      </w:tr>
    </w:tbl>
    <w:p w14:paraId="625DA8F8" w14:textId="77777777" w:rsidR="004330BB" w:rsidRPr="0084014B" w:rsidRDefault="004330BB" w:rsidP="004330BB">
      <w:pPr>
        <w:pStyle w:val="COMTablefooter"/>
      </w:pPr>
      <w:r w:rsidRPr="0084014B">
        <w:t>Source: Table 3.12, p106 of the submission.</w:t>
      </w:r>
    </w:p>
    <w:p w14:paraId="3E2811ED" w14:textId="77777777" w:rsidR="004330BB" w:rsidRDefault="004330BB" w:rsidP="0027383B">
      <w:pPr>
        <w:pStyle w:val="COMTablefooter"/>
        <w:spacing w:after="0"/>
      </w:pPr>
      <w:r w:rsidRPr="0084014B">
        <w:t>Abbreviations: QALY, quality-adjusted life year.</w:t>
      </w:r>
    </w:p>
    <w:p w14:paraId="1BF3D644" w14:textId="77777777" w:rsidR="0027383B" w:rsidRPr="0027383B" w:rsidRDefault="0027383B" w:rsidP="0027383B">
      <w:pPr>
        <w:jc w:val="left"/>
        <w:rPr>
          <w:rFonts w:ascii="Arial Narrow" w:hAnsi="Arial Narrow"/>
          <w:i/>
          <w:sz w:val="18"/>
          <w:szCs w:val="18"/>
        </w:rPr>
      </w:pPr>
      <w:r w:rsidRPr="0027383B">
        <w:rPr>
          <w:rFonts w:ascii="Arial Narrow" w:hAnsi="Arial Narrow"/>
          <w:i/>
          <w:sz w:val="18"/>
          <w:szCs w:val="18"/>
        </w:rPr>
        <w:t xml:space="preserve">The redacted values correspond to the following ranges: </w:t>
      </w:r>
    </w:p>
    <w:p w14:paraId="746FA912" w14:textId="4FE20C65" w:rsidR="0027383B" w:rsidRPr="0027383B" w:rsidRDefault="0027383B" w:rsidP="0027383B">
      <w:pPr>
        <w:jc w:val="left"/>
        <w:rPr>
          <w:rFonts w:ascii="Arial Narrow" w:hAnsi="Arial Narrow"/>
          <w:i/>
          <w:sz w:val="18"/>
          <w:szCs w:val="18"/>
        </w:rPr>
      </w:pPr>
      <w:r w:rsidRPr="0027383B">
        <w:rPr>
          <w:rFonts w:ascii="Arial Narrow" w:hAnsi="Arial Narrow"/>
          <w:i/>
          <w:sz w:val="18"/>
          <w:szCs w:val="18"/>
          <w:vertAlign w:val="superscript"/>
        </w:rPr>
        <w:t>1</w:t>
      </w:r>
      <w:r w:rsidRPr="0027383B">
        <w:rPr>
          <w:rFonts w:ascii="Arial Narrow" w:hAnsi="Arial Narrow"/>
          <w:i/>
          <w:sz w:val="18"/>
          <w:szCs w:val="18"/>
        </w:rPr>
        <w:t xml:space="preserve"> </w:t>
      </w:r>
      <w:r w:rsidR="00DD22B5" w:rsidRPr="00DD22B5">
        <w:rPr>
          <w:rFonts w:ascii="Arial Narrow" w:hAnsi="Arial Narrow"/>
          <w:i/>
          <w:sz w:val="18"/>
          <w:szCs w:val="18"/>
        </w:rPr>
        <w:t>$155,000 to &lt; $255,000</w:t>
      </w:r>
    </w:p>
    <w:p w14:paraId="505145DD" w14:textId="4EF04183" w:rsidR="0027383B" w:rsidRPr="0027383B" w:rsidRDefault="0027383B" w:rsidP="006E3ECA">
      <w:pPr>
        <w:jc w:val="left"/>
      </w:pPr>
      <w:r w:rsidRPr="0027383B">
        <w:rPr>
          <w:rFonts w:ascii="Arial Narrow" w:hAnsi="Arial Narrow"/>
          <w:i/>
          <w:sz w:val="18"/>
          <w:szCs w:val="18"/>
          <w:vertAlign w:val="superscript"/>
        </w:rPr>
        <w:t>2</w:t>
      </w:r>
      <w:r w:rsidRPr="0027383B">
        <w:rPr>
          <w:rFonts w:ascii="Arial Narrow" w:hAnsi="Arial Narrow"/>
          <w:i/>
          <w:sz w:val="18"/>
          <w:szCs w:val="18"/>
        </w:rPr>
        <w:t xml:space="preserve"> </w:t>
      </w:r>
      <w:r w:rsidR="00733663" w:rsidRPr="00733663">
        <w:rPr>
          <w:rFonts w:ascii="Arial Narrow" w:hAnsi="Arial Narrow"/>
          <w:i/>
          <w:sz w:val="18"/>
          <w:szCs w:val="18"/>
        </w:rPr>
        <w:t>$115,000 to &lt; $135,000</w:t>
      </w:r>
    </w:p>
    <w:p w14:paraId="3124C97E" w14:textId="31135FE0" w:rsidR="004330BB" w:rsidRPr="0084014B" w:rsidRDefault="004330BB" w:rsidP="004330BB">
      <w:pPr>
        <w:pStyle w:val="COMexecsummnumbered"/>
      </w:pPr>
      <w:r w:rsidRPr="0084014B">
        <w:t xml:space="preserve">Based on the economic model, treatment with vorasidenib was associated with an incremental cost per quality-adjusted life year of </w:t>
      </w:r>
      <w:r w:rsidR="00C52454" w:rsidRPr="00C52454">
        <w:t>$155,000 to &lt; $255,000</w:t>
      </w:r>
      <w:r w:rsidRPr="0084014B">
        <w:t xml:space="preserve"> compared to placebo, as a proxy for active surveillance.</w:t>
      </w:r>
    </w:p>
    <w:p w14:paraId="109E75FD" w14:textId="275AA5AE" w:rsidR="004330BB" w:rsidRPr="0084014B" w:rsidRDefault="004330BB" w:rsidP="004330BB">
      <w:pPr>
        <w:pStyle w:val="COMexecsummnumbered"/>
      </w:pPr>
      <w:r w:rsidRPr="0084014B">
        <w:t>In the model, 92% of the incremental QALYs</w:t>
      </w:r>
      <w:r w:rsidR="00E31623" w:rsidRPr="0084014B">
        <w:t xml:space="preserve"> and 59% of the incremental costs</w:t>
      </w:r>
      <w:r w:rsidRPr="0084014B">
        <w:t xml:space="preserve"> were accrued in the extrapolated period beyond 30 months.</w:t>
      </w:r>
    </w:p>
    <w:p w14:paraId="5A589786" w14:textId="2D577E8B" w:rsidR="004330BB" w:rsidRPr="0084014B" w:rsidRDefault="004330BB" w:rsidP="004330BB">
      <w:pPr>
        <w:pStyle w:val="COMexecsummnumbered"/>
      </w:pPr>
      <w:r w:rsidRPr="0084014B">
        <w:t>For every patient treated with vorasidenib versus active surveillance and followed up for 40 years, the economic evaluation (without discounting) estimated that there would be:</w:t>
      </w:r>
    </w:p>
    <w:p w14:paraId="6020D64A" w14:textId="77777777" w:rsidR="004330BB" w:rsidRPr="0084014B" w:rsidRDefault="004330BB" w:rsidP="004330BB">
      <w:pPr>
        <w:pStyle w:val="COMexecsummbulletlist"/>
        <w:spacing w:after="0"/>
        <w:ind w:hanging="357"/>
      </w:pPr>
      <w:r w:rsidRPr="0084014B">
        <w:t>An additional 3.6 years of life lived.</w:t>
      </w:r>
    </w:p>
    <w:p w14:paraId="10D8A11C" w14:textId="77777777" w:rsidR="004330BB" w:rsidRPr="0084014B" w:rsidRDefault="004330BB" w:rsidP="004330BB">
      <w:pPr>
        <w:pStyle w:val="COMexecsummbulletlist"/>
        <w:spacing w:after="0"/>
        <w:ind w:hanging="357"/>
      </w:pPr>
      <w:bookmarkStart w:id="42" w:name="_Hlk198562101"/>
      <w:r w:rsidRPr="0084014B">
        <w:t>An additional 3.5 years of quality-adjusted life lived.</w:t>
      </w:r>
    </w:p>
    <w:bookmarkEnd w:id="42"/>
    <w:p w14:paraId="47BA5450" w14:textId="216CDD96" w:rsidR="004330BB" w:rsidRPr="0084014B" w:rsidRDefault="004330BB" w:rsidP="004330BB">
      <w:pPr>
        <w:pStyle w:val="COMexecsummbulletlist"/>
      </w:pPr>
      <w:r w:rsidRPr="0084014B">
        <w:t>Additional initial therapy costs of $</w:t>
      </w:r>
      <w:r w:rsidR="00556852" w:rsidRPr="003C0757">
        <w:rPr>
          <w:color w:val="000000"/>
          <w:w w:val="15"/>
          <w:shd w:val="solid" w:color="000000" w:fill="000000"/>
          <w:fitText w:val="-20" w:id="-629514488"/>
          <w14:textFill>
            <w14:solidFill>
              <w14:srgbClr w14:val="000000">
                <w14:alpha w14:val="100000"/>
              </w14:srgbClr>
            </w14:solidFill>
          </w14:textFill>
        </w:rPr>
        <w:t xml:space="preserve">|  </w:t>
      </w:r>
      <w:r w:rsidR="00556852" w:rsidRPr="003C0757">
        <w:rPr>
          <w:color w:val="000000"/>
          <w:spacing w:val="-69"/>
          <w:w w:val="15"/>
          <w:shd w:val="solid" w:color="000000" w:fill="000000"/>
          <w:fitText w:val="-20" w:id="-629514488"/>
          <w14:textFill>
            <w14:solidFill>
              <w14:srgbClr w14:val="000000">
                <w14:alpha w14:val="100000"/>
              </w14:srgbClr>
            </w14:solidFill>
          </w14:textFill>
        </w:rPr>
        <w:t>|</w:t>
      </w:r>
      <w:r w:rsidRPr="0084014B">
        <w:t xml:space="preserve">, additional disease management costs (including seizure management) and adverse event costs of $15,022, a reduction in subsequent </w:t>
      </w:r>
      <w:r w:rsidR="00E31623" w:rsidRPr="0084014B">
        <w:t>anticancer therapy</w:t>
      </w:r>
      <w:r w:rsidRPr="0084014B">
        <w:t xml:space="preserve"> costs of $319 and a reduction in end-of-life costs of $788.</w:t>
      </w:r>
    </w:p>
    <w:p w14:paraId="7FEAD9BA" w14:textId="72E10042" w:rsidR="00121F6F" w:rsidRPr="0084014B" w:rsidRDefault="00121F6F" w:rsidP="00121F6F">
      <w:pPr>
        <w:pStyle w:val="COMexecsummnumbered"/>
      </w:pPr>
      <w:r w:rsidRPr="0084014B">
        <w:t>The results of key sensitivity analyses presented in the resubmission and conducted during the evaluation</w:t>
      </w:r>
      <w:r w:rsidR="007F78CC">
        <w:t xml:space="preserve">, and </w:t>
      </w:r>
      <w:r w:rsidR="00BC3CBA">
        <w:t>conducted for the ESC</w:t>
      </w:r>
      <w:r w:rsidRPr="0084014B">
        <w:t xml:space="preserve"> are summarised in </w:t>
      </w:r>
      <w:r w:rsidRPr="0084014B">
        <w:fldChar w:fldCharType="begin"/>
      </w:r>
      <w:r w:rsidRPr="0084014B">
        <w:instrText xml:space="preserve"> REF _Ref104804865 \h </w:instrText>
      </w:r>
      <w:r w:rsidR="0084014B" w:rsidRPr="0084014B">
        <w:instrText xml:space="preserve"> \* MERGEFORMAT </w:instrText>
      </w:r>
      <w:r w:rsidRPr="0084014B">
        <w:fldChar w:fldCharType="separate"/>
      </w:r>
      <w:r w:rsidR="003C0757" w:rsidRPr="0084014B">
        <w:t xml:space="preserve">Table </w:t>
      </w:r>
      <w:r w:rsidR="003C0757">
        <w:rPr>
          <w:noProof/>
        </w:rPr>
        <w:t>12</w:t>
      </w:r>
      <w:r w:rsidRPr="0084014B">
        <w:fldChar w:fldCharType="end"/>
      </w:r>
      <w:r w:rsidRPr="0084014B">
        <w:t>.</w:t>
      </w:r>
    </w:p>
    <w:p w14:paraId="3A64F4E7" w14:textId="281883BD" w:rsidR="00D23D11" w:rsidRPr="0084014B" w:rsidRDefault="00E16AD8" w:rsidP="00E0654B">
      <w:pPr>
        <w:pStyle w:val="COMtablefigcaption"/>
        <w:keepLines/>
      </w:pPr>
      <w:bookmarkStart w:id="43" w:name="_Ref104804865"/>
      <w:r w:rsidRPr="0084014B">
        <w:lastRenderedPageBreak/>
        <w:t xml:space="preserve">Table </w:t>
      </w:r>
      <w:r w:rsidR="00052B1E">
        <w:fldChar w:fldCharType="begin"/>
      </w:r>
      <w:r w:rsidR="00052B1E">
        <w:instrText xml:space="preserve"> SEQ Table \* ARABIC </w:instrText>
      </w:r>
      <w:r w:rsidR="00052B1E">
        <w:fldChar w:fldCharType="separate"/>
      </w:r>
      <w:r w:rsidR="003C0757">
        <w:rPr>
          <w:noProof/>
        </w:rPr>
        <w:t>12</w:t>
      </w:r>
      <w:r w:rsidR="00052B1E">
        <w:rPr>
          <w:noProof/>
        </w:rPr>
        <w:fldChar w:fldCharType="end"/>
      </w:r>
      <w:bookmarkEnd w:id="43"/>
      <w:r w:rsidRPr="0084014B">
        <w:t>:</w:t>
      </w:r>
      <w:r w:rsidR="00354F64" w:rsidRPr="0084014B">
        <w:t xml:space="preserve"> </w:t>
      </w:r>
      <w:r w:rsidR="00D15314" w:rsidRPr="0084014B">
        <w:t>Sensitivity analyse</w:t>
      </w:r>
      <w:r w:rsidR="00C473AF" w:rsidRPr="00F57392">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Sensitivity analyses"/>
      </w:tblPr>
      <w:tblGrid>
        <w:gridCol w:w="4086"/>
        <w:gridCol w:w="1333"/>
        <w:gridCol w:w="335"/>
        <w:gridCol w:w="240"/>
        <w:gridCol w:w="121"/>
        <w:gridCol w:w="240"/>
        <w:gridCol w:w="514"/>
        <w:gridCol w:w="1075"/>
        <w:gridCol w:w="1073"/>
      </w:tblGrid>
      <w:tr w:rsidR="00121F6F" w:rsidRPr="0084014B" w14:paraId="00B32718" w14:textId="77777777" w:rsidTr="00713B97">
        <w:trPr>
          <w:tblHeader/>
        </w:trPr>
        <w:tc>
          <w:tcPr>
            <w:tcW w:w="2266" w:type="pct"/>
            <w:vAlign w:val="center"/>
          </w:tcPr>
          <w:p w14:paraId="707F354E" w14:textId="77777777" w:rsidR="00121F6F" w:rsidRPr="0084014B" w:rsidRDefault="00121F6F" w:rsidP="00E0654B">
            <w:pPr>
              <w:pStyle w:val="COMTableheadingrow"/>
              <w:keepLines/>
              <w:rPr>
                <w:lang w:val="en-AU"/>
              </w:rPr>
            </w:pPr>
            <w:r w:rsidRPr="0084014B">
              <w:rPr>
                <w:lang w:val="en-AU"/>
              </w:rPr>
              <w:t>Analyses</w:t>
            </w:r>
          </w:p>
        </w:tc>
        <w:tc>
          <w:tcPr>
            <w:tcW w:w="739" w:type="pct"/>
            <w:vAlign w:val="center"/>
          </w:tcPr>
          <w:p w14:paraId="5B2CF44F" w14:textId="77777777" w:rsidR="00121F6F" w:rsidRPr="0084014B" w:rsidRDefault="00121F6F" w:rsidP="00E0654B">
            <w:pPr>
              <w:pStyle w:val="COMTableheadingrow"/>
              <w:keepLines/>
              <w:jc w:val="center"/>
              <w:rPr>
                <w:lang w:val="en-AU"/>
              </w:rPr>
            </w:pPr>
            <w:r w:rsidRPr="0084014B">
              <w:rPr>
                <w:lang w:val="en-AU"/>
              </w:rPr>
              <w:t>Incremental cost</w:t>
            </w:r>
          </w:p>
        </w:tc>
        <w:tc>
          <w:tcPr>
            <w:tcW w:w="804" w:type="pct"/>
            <w:gridSpan w:val="5"/>
            <w:vAlign w:val="center"/>
          </w:tcPr>
          <w:p w14:paraId="66A56804" w14:textId="77777777" w:rsidR="00121F6F" w:rsidRPr="0084014B" w:rsidRDefault="00121F6F" w:rsidP="00E0654B">
            <w:pPr>
              <w:pStyle w:val="COMTableheadingrow"/>
              <w:keepLines/>
              <w:jc w:val="center"/>
              <w:rPr>
                <w:lang w:val="en-AU"/>
              </w:rPr>
            </w:pPr>
            <w:r w:rsidRPr="0084014B">
              <w:rPr>
                <w:lang w:val="en-AU"/>
              </w:rPr>
              <w:t>Incremental QALY</w:t>
            </w:r>
          </w:p>
        </w:tc>
        <w:tc>
          <w:tcPr>
            <w:tcW w:w="596" w:type="pct"/>
            <w:vAlign w:val="center"/>
          </w:tcPr>
          <w:p w14:paraId="7294622D" w14:textId="77777777" w:rsidR="00121F6F" w:rsidRPr="0084014B" w:rsidRDefault="00121F6F" w:rsidP="00E0654B">
            <w:pPr>
              <w:pStyle w:val="COMTableheadingrow"/>
              <w:keepLines/>
              <w:jc w:val="center"/>
              <w:rPr>
                <w:lang w:val="en-AU"/>
              </w:rPr>
            </w:pPr>
            <w:r w:rsidRPr="0084014B">
              <w:rPr>
                <w:lang w:val="en-AU"/>
              </w:rPr>
              <w:t>ICER</w:t>
            </w:r>
          </w:p>
        </w:tc>
        <w:tc>
          <w:tcPr>
            <w:tcW w:w="595" w:type="pct"/>
            <w:vAlign w:val="center"/>
          </w:tcPr>
          <w:p w14:paraId="41875ACC" w14:textId="77777777" w:rsidR="00121F6F" w:rsidRPr="0084014B" w:rsidRDefault="00121F6F" w:rsidP="00E0654B">
            <w:pPr>
              <w:pStyle w:val="COMTableheadingrow"/>
              <w:keepLines/>
              <w:jc w:val="center"/>
              <w:rPr>
                <w:lang w:val="en-AU"/>
              </w:rPr>
            </w:pPr>
            <w:r w:rsidRPr="0084014B">
              <w:rPr>
                <w:lang w:val="en-AU"/>
              </w:rPr>
              <w:t>% change</w:t>
            </w:r>
          </w:p>
        </w:tc>
      </w:tr>
      <w:tr w:rsidR="00121F6F" w:rsidRPr="0084014B" w14:paraId="1FFD8753" w14:textId="77777777" w:rsidTr="00713B97">
        <w:tc>
          <w:tcPr>
            <w:tcW w:w="2266" w:type="pct"/>
          </w:tcPr>
          <w:p w14:paraId="73EF752B" w14:textId="77777777" w:rsidR="00121F6F" w:rsidRPr="0084014B" w:rsidRDefault="00121F6F" w:rsidP="00E0654B">
            <w:pPr>
              <w:pStyle w:val="COMTabletext"/>
              <w:keepLines/>
              <w:rPr>
                <w:b/>
                <w:bCs w:val="0"/>
              </w:rPr>
            </w:pPr>
            <w:r w:rsidRPr="0084014B">
              <w:rPr>
                <w:b/>
                <w:bCs w:val="0"/>
              </w:rPr>
              <w:t>Base case</w:t>
            </w:r>
          </w:p>
        </w:tc>
        <w:tc>
          <w:tcPr>
            <w:tcW w:w="739" w:type="pct"/>
          </w:tcPr>
          <w:p w14:paraId="446EEE54" w14:textId="01AB37A5" w:rsidR="00121F6F" w:rsidRPr="0084014B" w:rsidRDefault="00121F6F" w:rsidP="00E0654B">
            <w:pPr>
              <w:pStyle w:val="COMTabletext"/>
              <w:keepLines/>
              <w:jc w:val="center"/>
              <w:rPr>
                <w:b/>
                <w:bCs w:val="0"/>
              </w:rPr>
            </w:pPr>
            <w:r w:rsidRPr="0084014B">
              <w:rPr>
                <w:b/>
                <w:bCs w:val="0"/>
              </w:rPr>
              <w:t>$</w:t>
            </w:r>
            <w:r w:rsidR="00556852" w:rsidRPr="00556852">
              <w:rPr>
                <w:b/>
                <w:bCs w:val="0"/>
                <w:color w:val="000000"/>
                <w:shd w:val="solid" w:color="000000" w:fill="000000"/>
                <w14:textFill>
                  <w14:solidFill>
                    <w14:srgbClr w14:val="000000">
                      <w14:alpha w14:val="100000"/>
                    </w14:srgbClr>
                  </w14:solidFill>
                </w14:textFill>
              </w:rPr>
              <w:t>|</w:t>
            </w:r>
          </w:p>
        </w:tc>
        <w:tc>
          <w:tcPr>
            <w:tcW w:w="804" w:type="pct"/>
            <w:gridSpan w:val="5"/>
          </w:tcPr>
          <w:p w14:paraId="6EB9EDB2" w14:textId="77777777" w:rsidR="00121F6F" w:rsidRPr="0084014B" w:rsidRDefault="00121F6F" w:rsidP="00E0654B">
            <w:pPr>
              <w:pStyle w:val="COMTabletext"/>
              <w:keepLines/>
              <w:jc w:val="center"/>
              <w:rPr>
                <w:b/>
                <w:bCs w:val="0"/>
              </w:rPr>
            </w:pPr>
            <w:r w:rsidRPr="0084014B">
              <w:rPr>
                <w:b/>
                <w:bCs w:val="0"/>
              </w:rPr>
              <w:t>2.003</w:t>
            </w:r>
          </w:p>
        </w:tc>
        <w:tc>
          <w:tcPr>
            <w:tcW w:w="596" w:type="pct"/>
          </w:tcPr>
          <w:p w14:paraId="6DE0B60E" w14:textId="083D19B7" w:rsidR="00121F6F" w:rsidRPr="00CF724F" w:rsidRDefault="00121F6F" w:rsidP="00E0654B">
            <w:pPr>
              <w:pStyle w:val="COMTabletext"/>
              <w:keepLines/>
              <w:jc w:val="center"/>
              <w:rPr>
                <w:b/>
                <w:bCs w:val="0"/>
                <w:vertAlign w:val="superscript"/>
              </w:rPr>
            </w:pPr>
            <w:r w:rsidRPr="0084014B">
              <w:rPr>
                <w:b/>
                <w:bCs w:val="0"/>
              </w:rPr>
              <w:t>$</w:t>
            </w:r>
            <w:r w:rsidR="00556852" w:rsidRPr="00556852">
              <w:rPr>
                <w:b/>
                <w:bCs w:val="0"/>
                <w:color w:val="000000"/>
                <w:spacing w:val="76"/>
                <w:shd w:val="solid" w:color="000000" w:fill="000000"/>
                <w:fitText w:val="168" w:id="-629514487"/>
                <w14:textFill>
                  <w14:solidFill>
                    <w14:srgbClr w14:val="000000">
                      <w14:alpha w14:val="100000"/>
                    </w14:srgbClr>
                  </w14:solidFill>
                </w14:textFill>
              </w:rPr>
              <w:t>|</w:t>
            </w:r>
            <w:r w:rsidR="00556852" w:rsidRPr="00556852">
              <w:rPr>
                <w:b/>
                <w:bCs w:val="0"/>
                <w:color w:val="000000"/>
                <w:spacing w:val="1"/>
                <w:shd w:val="solid" w:color="000000" w:fill="000000"/>
                <w:fitText w:val="168" w:id="-629514487"/>
                <w14:textFill>
                  <w14:solidFill>
                    <w14:srgbClr w14:val="000000">
                      <w14:alpha w14:val="100000"/>
                    </w14:srgbClr>
                  </w14:solidFill>
                </w14:textFill>
              </w:rPr>
              <w:t>|</w:t>
            </w:r>
            <w:r w:rsidR="00CF724F">
              <w:rPr>
                <w:b/>
                <w:bCs w:val="0"/>
                <w:vertAlign w:val="superscript"/>
              </w:rPr>
              <w:t>1</w:t>
            </w:r>
          </w:p>
        </w:tc>
        <w:tc>
          <w:tcPr>
            <w:tcW w:w="595" w:type="pct"/>
          </w:tcPr>
          <w:p w14:paraId="60B5229B" w14:textId="77777777" w:rsidR="00121F6F" w:rsidRPr="0084014B" w:rsidRDefault="00121F6F" w:rsidP="00E0654B">
            <w:pPr>
              <w:pStyle w:val="COMTabletext"/>
              <w:keepLines/>
              <w:jc w:val="center"/>
              <w:rPr>
                <w:b/>
                <w:bCs w:val="0"/>
              </w:rPr>
            </w:pPr>
            <w:r w:rsidRPr="0084014B">
              <w:rPr>
                <w:b/>
                <w:bCs w:val="0"/>
              </w:rPr>
              <w:t>-</w:t>
            </w:r>
          </w:p>
        </w:tc>
      </w:tr>
      <w:tr w:rsidR="00121F6F" w:rsidRPr="0084014B" w14:paraId="36E711F9" w14:textId="77777777" w:rsidTr="00903311">
        <w:tc>
          <w:tcPr>
            <w:tcW w:w="5000" w:type="pct"/>
            <w:gridSpan w:val="9"/>
          </w:tcPr>
          <w:p w14:paraId="5C3D4E06" w14:textId="77777777" w:rsidR="00121F6F" w:rsidRPr="0084014B" w:rsidRDefault="00121F6F" w:rsidP="00E0654B">
            <w:pPr>
              <w:pStyle w:val="COMTabletext"/>
              <w:keepLines/>
            </w:pPr>
            <w:r w:rsidRPr="0084014B">
              <w:rPr>
                <w:b/>
                <w:bCs w:val="0"/>
              </w:rPr>
              <w:t>Time horizon (base case: 40 years)</w:t>
            </w:r>
          </w:p>
        </w:tc>
      </w:tr>
      <w:tr w:rsidR="00121F6F" w:rsidRPr="0084014B" w14:paraId="4080B665" w14:textId="77777777" w:rsidTr="00713B97">
        <w:tc>
          <w:tcPr>
            <w:tcW w:w="2266" w:type="pct"/>
          </w:tcPr>
          <w:p w14:paraId="59A95678" w14:textId="77777777" w:rsidR="00121F6F" w:rsidRPr="0084014B" w:rsidRDefault="00121F6F" w:rsidP="00E0654B">
            <w:pPr>
              <w:pStyle w:val="COMTabletext"/>
              <w:keepLines/>
            </w:pPr>
            <w:r w:rsidRPr="0084014B">
              <w:t>10 years</w:t>
            </w:r>
          </w:p>
        </w:tc>
        <w:tc>
          <w:tcPr>
            <w:tcW w:w="739" w:type="pct"/>
          </w:tcPr>
          <w:p w14:paraId="506731B4" w14:textId="7AA839AA" w:rsidR="00121F6F" w:rsidRPr="0084014B" w:rsidRDefault="00121F6F" w:rsidP="00E0654B">
            <w:pPr>
              <w:pStyle w:val="COMTabletext"/>
              <w:keepLines/>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21EAA6C0" w14:textId="77777777" w:rsidR="00121F6F" w:rsidRPr="0084014B" w:rsidRDefault="00121F6F" w:rsidP="00E0654B">
            <w:pPr>
              <w:pStyle w:val="COMTabletext"/>
              <w:keepLines/>
              <w:jc w:val="center"/>
            </w:pPr>
            <w:r w:rsidRPr="0084014B">
              <w:t>1.243</w:t>
            </w:r>
          </w:p>
        </w:tc>
        <w:tc>
          <w:tcPr>
            <w:tcW w:w="596" w:type="pct"/>
          </w:tcPr>
          <w:p w14:paraId="420BDDDB" w14:textId="415AD56F" w:rsidR="00121F6F" w:rsidRPr="00997AF3" w:rsidRDefault="00121F6F" w:rsidP="00E0654B">
            <w:pPr>
              <w:pStyle w:val="COMTabletext"/>
              <w:keepLines/>
              <w:jc w:val="center"/>
              <w:rPr>
                <w:vertAlign w:val="superscript"/>
              </w:rPr>
            </w:pPr>
            <w:r w:rsidRPr="0084014B">
              <w:t>$</w:t>
            </w:r>
            <w:r w:rsidR="00556852" w:rsidRPr="00556852">
              <w:rPr>
                <w:rFonts w:hint="eastAsia"/>
                <w:color w:val="000000"/>
                <w:w w:val="24"/>
                <w:shd w:val="solid" w:color="000000" w:fill="000000"/>
                <w:fitText w:val="108" w:id="-629514486"/>
                <w14:textFill>
                  <w14:solidFill>
                    <w14:srgbClr w14:val="000000">
                      <w14:alpha w14:val="100000"/>
                    </w14:srgbClr>
                  </w14:solidFill>
                </w14:textFill>
              </w:rPr>
              <w:t xml:space="preserve">　</w:t>
            </w:r>
            <w:r w:rsidR="00556852" w:rsidRPr="00556852">
              <w:rPr>
                <w:color w:val="000000"/>
                <w:w w:val="24"/>
                <w:shd w:val="solid" w:color="000000" w:fill="000000"/>
                <w:fitText w:val="108" w:id="-629514486"/>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6"/>
                <w14:textFill>
                  <w14:solidFill>
                    <w14:srgbClr w14:val="000000">
                      <w14:alpha w14:val="100000"/>
                    </w14:srgbClr>
                  </w14:solidFill>
                </w14:textFill>
              </w:rPr>
              <w:t xml:space="preserve">　</w:t>
            </w:r>
            <w:r w:rsidR="00997AF3">
              <w:rPr>
                <w:vertAlign w:val="superscript"/>
              </w:rPr>
              <w:t>1</w:t>
            </w:r>
          </w:p>
        </w:tc>
        <w:tc>
          <w:tcPr>
            <w:tcW w:w="595" w:type="pct"/>
          </w:tcPr>
          <w:p w14:paraId="5C4AE6AF" w14:textId="44451600" w:rsidR="00121F6F" w:rsidRPr="0084014B" w:rsidRDefault="00556852" w:rsidP="00E0654B">
            <w:pPr>
              <w:pStyle w:val="COMTabletext"/>
              <w:keepLines/>
              <w:jc w:val="center"/>
            </w:pPr>
            <w:r w:rsidRPr="00556852">
              <w:rPr>
                <w:rFonts w:hint="eastAsia"/>
                <w:color w:val="000000"/>
                <w:w w:val="27"/>
                <w:shd w:val="solid" w:color="000000" w:fill="000000"/>
                <w:fitText w:val="120" w:id="-629514485"/>
                <w14:textFill>
                  <w14:solidFill>
                    <w14:srgbClr w14:val="000000">
                      <w14:alpha w14:val="100000"/>
                    </w14:srgbClr>
                  </w14:solidFill>
                </w14:textFill>
              </w:rPr>
              <w:t xml:space="preserve">　</w:t>
            </w:r>
            <w:r w:rsidRPr="00556852">
              <w:rPr>
                <w:color w:val="000000"/>
                <w:w w:val="27"/>
                <w:shd w:val="solid" w:color="000000" w:fill="000000"/>
                <w:fitText w:val="120" w:id="-629514485"/>
                <w14:textFill>
                  <w14:solidFill>
                    <w14:srgbClr w14:val="000000">
                      <w14:alpha w14:val="100000"/>
                    </w14:srgbClr>
                  </w14:solidFill>
                </w14:textFill>
              </w:rPr>
              <w:t>|</w:t>
            </w:r>
            <w:r w:rsidRPr="00556852">
              <w:rPr>
                <w:rFonts w:hint="eastAsia"/>
                <w:color w:val="000000"/>
                <w:spacing w:val="2"/>
                <w:w w:val="27"/>
                <w:shd w:val="solid" w:color="000000" w:fill="000000"/>
                <w:fitText w:val="120" w:id="-629514485"/>
                <w14:textFill>
                  <w14:solidFill>
                    <w14:srgbClr w14:val="000000">
                      <w14:alpha w14:val="100000"/>
                    </w14:srgbClr>
                  </w14:solidFill>
                </w14:textFill>
              </w:rPr>
              <w:t xml:space="preserve">　</w:t>
            </w:r>
            <w:r w:rsidR="00121F6F" w:rsidRPr="0084014B">
              <w:t>%</w:t>
            </w:r>
          </w:p>
        </w:tc>
      </w:tr>
      <w:tr w:rsidR="00121F6F" w:rsidRPr="0084014B" w14:paraId="6E4D16D8" w14:textId="77777777" w:rsidTr="00713B97">
        <w:tc>
          <w:tcPr>
            <w:tcW w:w="2266" w:type="pct"/>
          </w:tcPr>
          <w:p w14:paraId="24E20CF8" w14:textId="77777777" w:rsidR="00121F6F" w:rsidRPr="0084014B" w:rsidRDefault="00121F6F" w:rsidP="00E0654B">
            <w:pPr>
              <w:pStyle w:val="COMTabletext"/>
              <w:keepLines/>
            </w:pPr>
            <w:r w:rsidRPr="0084014B">
              <w:t>20 years</w:t>
            </w:r>
          </w:p>
        </w:tc>
        <w:tc>
          <w:tcPr>
            <w:tcW w:w="739" w:type="pct"/>
          </w:tcPr>
          <w:p w14:paraId="0F185C7D" w14:textId="66E64E82" w:rsidR="00121F6F" w:rsidRPr="0084014B" w:rsidRDefault="00121F6F" w:rsidP="00E0654B">
            <w:pPr>
              <w:pStyle w:val="COMTabletext"/>
              <w:keepLines/>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34A0EB72" w14:textId="77777777" w:rsidR="00121F6F" w:rsidRPr="0084014B" w:rsidRDefault="00121F6F" w:rsidP="00E0654B">
            <w:pPr>
              <w:pStyle w:val="COMTabletext"/>
              <w:keepLines/>
              <w:jc w:val="center"/>
            </w:pPr>
            <w:r w:rsidRPr="0084014B">
              <w:t>1.835</w:t>
            </w:r>
          </w:p>
        </w:tc>
        <w:tc>
          <w:tcPr>
            <w:tcW w:w="596" w:type="pct"/>
          </w:tcPr>
          <w:p w14:paraId="1C754B8F" w14:textId="10D9E9BB" w:rsidR="00121F6F" w:rsidRPr="00997AF3" w:rsidRDefault="00121F6F" w:rsidP="00E0654B">
            <w:pPr>
              <w:pStyle w:val="COMTabletext"/>
              <w:keepLines/>
              <w:jc w:val="center"/>
              <w:rPr>
                <w:vertAlign w:val="superscript"/>
              </w:rPr>
            </w:pPr>
            <w:r w:rsidRPr="0084014B">
              <w:t>$</w:t>
            </w:r>
            <w:r w:rsidR="00556852" w:rsidRPr="00556852">
              <w:rPr>
                <w:rFonts w:hint="eastAsia"/>
                <w:color w:val="000000"/>
                <w:w w:val="24"/>
                <w:shd w:val="solid" w:color="000000" w:fill="000000"/>
                <w:fitText w:val="108" w:id="-629514484"/>
                <w14:textFill>
                  <w14:solidFill>
                    <w14:srgbClr w14:val="000000">
                      <w14:alpha w14:val="100000"/>
                    </w14:srgbClr>
                  </w14:solidFill>
                </w14:textFill>
              </w:rPr>
              <w:t xml:space="preserve">　</w:t>
            </w:r>
            <w:r w:rsidR="00556852" w:rsidRPr="00556852">
              <w:rPr>
                <w:color w:val="000000"/>
                <w:w w:val="24"/>
                <w:shd w:val="solid" w:color="000000" w:fill="000000"/>
                <w:fitText w:val="108" w:id="-629514484"/>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4"/>
                <w14:textFill>
                  <w14:solidFill>
                    <w14:srgbClr w14:val="000000">
                      <w14:alpha w14:val="100000"/>
                    </w14:srgbClr>
                  </w14:solidFill>
                </w14:textFill>
              </w:rPr>
              <w:t xml:space="preserve">　</w:t>
            </w:r>
            <w:r w:rsidR="00997AF3">
              <w:rPr>
                <w:vertAlign w:val="superscript"/>
              </w:rPr>
              <w:t>1</w:t>
            </w:r>
          </w:p>
        </w:tc>
        <w:tc>
          <w:tcPr>
            <w:tcW w:w="595" w:type="pct"/>
          </w:tcPr>
          <w:p w14:paraId="5AE069F1" w14:textId="0E88BADC" w:rsidR="00121F6F" w:rsidRPr="0084014B" w:rsidRDefault="00556852" w:rsidP="00E0654B">
            <w:pPr>
              <w:pStyle w:val="COMTabletext"/>
              <w:keepLines/>
              <w:jc w:val="center"/>
            </w:pPr>
            <w:r w:rsidRPr="00556852">
              <w:rPr>
                <w:rFonts w:hint="eastAsia"/>
                <w:color w:val="000000"/>
                <w:w w:val="27"/>
                <w:shd w:val="solid" w:color="000000" w:fill="000000"/>
                <w:fitText w:val="120" w:id="-629514483"/>
                <w14:textFill>
                  <w14:solidFill>
                    <w14:srgbClr w14:val="000000">
                      <w14:alpha w14:val="100000"/>
                    </w14:srgbClr>
                  </w14:solidFill>
                </w14:textFill>
              </w:rPr>
              <w:t xml:space="preserve">　</w:t>
            </w:r>
            <w:r w:rsidRPr="00556852">
              <w:rPr>
                <w:color w:val="000000"/>
                <w:w w:val="27"/>
                <w:shd w:val="solid" w:color="000000" w:fill="000000"/>
                <w:fitText w:val="120" w:id="-629514483"/>
                <w14:textFill>
                  <w14:solidFill>
                    <w14:srgbClr w14:val="000000">
                      <w14:alpha w14:val="100000"/>
                    </w14:srgbClr>
                  </w14:solidFill>
                </w14:textFill>
              </w:rPr>
              <w:t>|</w:t>
            </w:r>
            <w:r w:rsidRPr="00556852">
              <w:rPr>
                <w:rFonts w:hint="eastAsia"/>
                <w:color w:val="000000"/>
                <w:spacing w:val="2"/>
                <w:w w:val="27"/>
                <w:shd w:val="solid" w:color="000000" w:fill="000000"/>
                <w:fitText w:val="120" w:id="-629514483"/>
                <w14:textFill>
                  <w14:solidFill>
                    <w14:srgbClr w14:val="000000">
                      <w14:alpha w14:val="100000"/>
                    </w14:srgbClr>
                  </w14:solidFill>
                </w14:textFill>
              </w:rPr>
              <w:t xml:space="preserve">　</w:t>
            </w:r>
            <w:r w:rsidR="00121F6F" w:rsidRPr="0084014B">
              <w:t>%</w:t>
            </w:r>
          </w:p>
        </w:tc>
      </w:tr>
      <w:tr w:rsidR="00121F6F" w:rsidRPr="0084014B" w14:paraId="74608294" w14:textId="77777777" w:rsidTr="00713B97">
        <w:tc>
          <w:tcPr>
            <w:tcW w:w="2266" w:type="pct"/>
          </w:tcPr>
          <w:p w14:paraId="1E724393" w14:textId="77777777" w:rsidR="00121F6F" w:rsidRPr="0084014B" w:rsidRDefault="00121F6F" w:rsidP="00E0654B">
            <w:pPr>
              <w:pStyle w:val="COMTabletext"/>
              <w:keepLines/>
            </w:pPr>
            <w:r w:rsidRPr="0084014B">
              <w:t>30 years</w:t>
            </w:r>
          </w:p>
        </w:tc>
        <w:tc>
          <w:tcPr>
            <w:tcW w:w="739" w:type="pct"/>
          </w:tcPr>
          <w:p w14:paraId="20970F7C" w14:textId="0F001CAE" w:rsidR="00121F6F" w:rsidRPr="0084014B" w:rsidRDefault="00121F6F" w:rsidP="00E0654B">
            <w:pPr>
              <w:pStyle w:val="COMTabletext"/>
              <w:keepLines/>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5E39BA8C" w14:textId="77777777" w:rsidR="00121F6F" w:rsidRPr="0084014B" w:rsidRDefault="00121F6F" w:rsidP="00E0654B">
            <w:pPr>
              <w:pStyle w:val="COMTabletext"/>
              <w:keepLines/>
              <w:jc w:val="center"/>
            </w:pPr>
            <w:r w:rsidRPr="0084014B">
              <w:t>1.969</w:t>
            </w:r>
          </w:p>
        </w:tc>
        <w:tc>
          <w:tcPr>
            <w:tcW w:w="596" w:type="pct"/>
          </w:tcPr>
          <w:p w14:paraId="67B67708" w14:textId="558BC432" w:rsidR="00121F6F" w:rsidRPr="00997AF3" w:rsidRDefault="00121F6F" w:rsidP="00E0654B">
            <w:pPr>
              <w:pStyle w:val="COMTabletext"/>
              <w:keepLines/>
              <w:jc w:val="center"/>
              <w:rPr>
                <w:vertAlign w:val="superscript"/>
              </w:rPr>
            </w:pPr>
            <w:r w:rsidRPr="0084014B">
              <w:t>$</w:t>
            </w:r>
            <w:r w:rsidR="00556852" w:rsidRPr="00556852">
              <w:rPr>
                <w:rFonts w:hint="eastAsia"/>
                <w:color w:val="000000"/>
                <w:w w:val="24"/>
                <w:shd w:val="solid" w:color="000000" w:fill="000000"/>
                <w:fitText w:val="108" w:id="-629514482"/>
                <w14:textFill>
                  <w14:solidFill>
                    <w14:srgbClr w14:val="000000">
                      <w14:alpha w14:val="100000"/>
                    </w14:srgbClr>
                  </w14:solidFill>
                </w14:textFill>
              </w:rPr>
              <w:t xml:space="preserve">　</w:t>
            </w:r>
            <w:r w:rsidR="00556852" w:rsidRPr="00556852">
              <w:rPr>
                <w:color w:val="000000"/>
                <w:w w:val="24"/>
                <w:shd w:val="solid" w:color="000000" w:fill="000000"/>
                <w:fitText w:val="108" w:id="-629514482"/>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2"/>
                <w14:textFill>
                  <w14:solidFill>
                    <w14:srgbClr w14:val="000000">
                      <w14:alpha w14:val="100000"/>
                    </w14:srgbClr>
                  </w14:solidFill>
                </w14:textFill>
              </w:rPr>
              <w:t xml:space="preserve">　</w:t>
            </w:r>
            <w:r w:rsidR="00997AF3">
              <w:rPr>
                <w:vertAlign w:val="superscript"/>
              </w:rPr>
              <w:t>1</w:t>
            </w:r>
          </w:p>
        </w:tc>
        <w:tc>
          <w:tcPr>
            <w:tcW w:w="595" w:type="pct"/>
          </w:tcPr>
          <w:p w14:paraId="5E015681" w14:textId="58CA0793" w:rsidR="00121F6F" w:rsidRPr="0084014B" w:rsidRDefault="00556852" w:rsidP="00E0654B">
            <w:pPr>
              <w:pStyle w:val="COMTabletext"/>
              <w:keepLines/>
              <w:jc w:val="center"/>
            </w:pPr>
            <w:r w:rsidRPr="00556852">
              <w:rPr>
                <w:rFonts w:hint="eastAsia"/>
                <w:color w:val="000000"/>
                <w:w w:val="27"/>
                <w:shd w:val="solid" w:color="000000" w:fill="000000"/>
                <w:fitText w:val="120" w:id="-629514481"/>
                <w14:textFill>
                  <w14:solidFill>
                    <w14:srgbClr w14:val="000000">
                      <w14:alpha w14:val="100000"/>
                    </w14:srgbClr>
                  </w14:solidFill>
                </w14:textFill>
              </w:rPr>
              <w:t xml:space="preserve">　</w:t>
            </w:r>
            <w:r w:rsidRPr="00556852">
              <w:rPr>
                <w:color w:val="000000"/>
                <w:w w:val="27"/>
                <w:shd w:val="solid" w:color="000000" w:fill="000000"/>
                <w:fitText w:val="120" w:id="-629514481"/>
                <w14:textFill>
                  <w14:solidFill>
                    <w14:srgbClr w14:val="000000">
                      <w14:alpha w14:val="100000"/>
                    </w14:srgbClr>
                  </w14:solidFill>
                </w14:textFill>
              </w:rPr>
              <w:t>|</w:t>
            </w:r>
            <w:r w:rsidRPr="00556852">
              <w:rPr>
                <w:rFonts w:hint="eastAsia"/>
                <w:color w:val="000000"/>
                <w:spacing w:val="2"/>
                <w:w w:val="27"/>
                <w:shd w:val="solid" w:color="000000" w:fill="000000"/>
                <w:fitText w:val="120" w:id="-629514481"/>
                <w14:textFill>
                  <w14:solidFill>
                    <w14:srgbClr w14:val="000000">
                      <w14:alpha w14:val="100000"/>
                    </w14:srgbClr>
                  </w14:solidFill>
                </w14:textFill>
              </w:rPr>
              <w:t xml:space="preserve">　</w:t>
            </w:r>
            <w:r w:rsidR="00121F6F" w:rsidRPr="0084014B">
              <w:t>%</w:t>
            </w:r>
          </w:p>
        </w:tc>
      </w:tr>
      <w:tr w:rsidR="00121F6F" w:rsidRPr="0084014B" w14:paraId="511A9EE7" w14:textId="77777777" w:rsidTr="00903311">
        <w:tc>
          <w:tcPr>
            <w:tcW w:w="5000" w:type="pct"/>
            <w:gridSpan w:val="9"/>
          </w:tcPr>
          <w:p w14:paraId="04126789" w14:textId="77777777" w:rsidR="00121F6F" w:rsidRPr="0084014B" w:rsidRDefault="00121F6F" w:rsidP="00E0654B">
            <w:pPr>
              <w:pStyle w:val="COMTabletext"/>
              <w:keepLines/>
              <w:rPr>
                <w:b/>
                <w:bCs w:val="0"/>
              </w:rPr>
            </w:pPr>
            <w:r w:rsidRPr="0084014B">
              <w:rPr>
                <w:b/>
                <w:bCs w:val="0"/>
              </w:rPr>
              <w:t>Discount rate (base case: 5% for costs and outcomes)</w:t>
            </w:r>
          </w:p>
        </w:tc>
      </w:tr>
      <w:tr w:rsidR="00121F6F" w:rsidRPr="0084014B" w14:paraId="334CC522" w14:textId="77777777" w:rsidTr="00713B97">
        <w:tc>
          <w:tcPr>
            <w:tcW w:w="2266" w:type="pct"/>
          </w:tcPr>
          <w:p w14:paraId="054EDD3D" w14:textId="77777777" w:rsidR="00121F6F" w:rsidRPr="0084014B" w:rsidRDefault="00121F6F" w:rsidP="00E0654B">
            <w:pPr>
              <w:pStyle w:val="COMTabletext"/>
              <w:keepLines/>
            </w:pPr>
            <w:r w:rsidRPr="0084014B">
              <w:t>0%</w:t>
            </w:r>
          </w:p>
        </w:tc>
        <w:tc>
          <w:tcPr>
            <w:tcW w:w="739" w:type="pct"/>
          </w:tcPr>
          <w:p w14:paraId="3D8A0E0E" w14:textId="42918684" w:rsidR="00121F6F" w:rsidRPr="0084014B" w:rsidRDefault="00121F6F" w:rsidP="00E0654B">
            <w:pPr>
              <w:pStyle w:val="COMTabletext"/>
              <w:keepLines/>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7449FEF5" w14:textId="77777777" w:rsidR="00121F6F" w:rsidRPr="0084014B" w:rsidRDefault="00121F6F" w:rsidP="00E0654B">
            <w:pPr>
              <w:pStyle w:val="COMTabletext"/>
              <w:keepLines/>
              <w:jc w:val="center"/>
            </w:pPr>
            <w:r w:rsidRPr="0084014B">
              <w:t>3.515</w:t>
            </w:r>
          </w:p>
        </w:tc>
        <w:tc>
          <w:tcPr>
            <w:tcW w:w="596" w:type="pct"/>
          </w:tcPr>
          <w:p w14:paraId="55C6EEF8" w14:textId="294F94CC" w:rsidR="00121F6F" w:rsidRPr="00736A48" w:rsidRDefault="00121F6F" w:rsidP="00E0654B">
            <w:pPr>
              <w:pStyle w:val="COMTabletext"/>
              <w:keepLines/>
              <w:jc w:val="center"/>
              <w:rPr>
                <w:vertAlign w:val="superscript"/>
              </w:rPr>
            </w:pPr>
            <w:r w:rsidRPr="0084014B">
              <w:t>$</w:t>
            </w:r>
            <w:r w:rsidR="00556852" w:rsidRPr="00556852">
              <w:rPr>
                <w:rFonts w:hint="eastAsia"/>
                <w:color w:val="000000"/>
                <w:w w:val="24"/>
                <w:shd w:val="solid" w:color="000000" w:fill="000000"/>
                <w:fitText w:val="108" w:id="-629514480"/>
                <w14:textFill>
                  <w14:solidFill>
                    <w14:srgbClr w14:val="000000">
                      <w14:alpha w14:val="100000"/>
                    </w14:srgbClr>
                  </w14:solidFill>
                </w14:textFill>
              </w:rPr>
              <w:t xml:space="preserve">　</w:t>
            </w:r>
            <w:r w:rsidR="00556852" w:rsidRPr="00556852">
              <w:rPr>
                <w:color w:val="000000"/>
                <w:w w:val="24"/>
                <w:shd w:val="solid" w:color="000000" w:fill="000000"/>
                <w:fitText w:val="108" w:id="-629514480"/>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0"/>
                <w14:textFill>
                  <w14:solidFill>
                    <w14:srgbClr w14:val="000000">
                      <w14:alpha w14:val="100000"/>
                    </w14:srgbClr>
                  </w14:solidFill>
                </w14:textFill>
              </w:rPr>
              <w:t xml:space="preserve">　</w:t>
            </w:r>
            <w:r w:rsidR="00736A48">
              <w:rPr>
                <w:vertAlign w:val="superscript"/>
              </w:rPr>
              <w:t>2</w:t>
            </w:r>
          </w:p>
        </w:tc>
        <w:tc>
          <w:tcPr>
            <w:tcW w:w="595" w:type="pct"/>
          </w:tcPr>
          <w:p w14:paraId="4BCA8492" w14:textId="441B44F2" w:rsidR="00121F6F" w:rsidRPr="0084014B" w:rsidRDefault="00121F6F" w:rsidP="00E0654B">
            <w:pPr>
              <w:pStyle w:val="COMTabletext"/>
              <w:keepLines/>
              <w:jc w:val="center"/>
            </w:pPr>
            <w:r w:rsidRPr="0084014B">
              <w:t>-</w:t>
            </w:r>
            <w:r w:rsidR="00556852" w:rsidRPr="00556852">
              <w:rPr>
                <w:rFonts w:hint="eastAsia"/>
                <w:color w:val="000000"/>
                <w:w w:val="32"/>
                <w:shd w:val="solid" w:color="000000" w:fill="000000"/>
                <w:fitText w:val="144" w:id="-629514496"/>
                <w14:textFill>
                  <w14:solidFill>
                    <w14:srgbClr w14:val="000000">
                      <w14:alpha w14:val="100000"/>
                    </w14:srgbClr>
                  </w14:solidFill>
                </w14:textFill>
              </w:rPr>
              <w:t xml:space="preserve">　</w:t>
            </w:r>
            <w:r w:rsidR="00556852" w:rsidRPr="00556852">
              <w:rPr>
                <w:color w:val="000000"/>
                <w:w w:val="32"/>
                <w:shd w:val="solid" w:color="000000" w:fill="000000"/>
                <w:fitText w:val="144" w:id="-629514496"/>
                <w14:textFill>
                  <w14:solidFill>
                    <w14:srgbClr w14:val="000000">
                      <w14:alpha w14:val="100000"/>
                    </w14:srgbClr>
                  </w14:solidFill>
                </w14:textFill>
              </w:rPr>
              <w:t>|</w:t>
            </w:r>
            <w:r w:rsidR="00556852" w:rsidRPr="00556852">
              <w:rPr>
                <w:rFonts w:hint="eastAsia"/>
                <w:color w:val="000000"/>
                <w:w w:val="32"/>
                <w:shd w:val="solid" w:color="000000" w:fill="000000"/>
                <w:fitText w:val="144" w:id="-629514496"/>
                <w14:textFill>
                  <w14:solidFill>
                    <w14:srgbClr w14:val="000000">
                      <w14:alpha w14:val="100000"/>
                    </w14:srgbClr>
                  </w14:solidFill>
                </w14:textFill>
              </w:rPr>
              <w:t xml:space="preserve">　</w:t>
            </w:r>
            <w:r w:rsidRPr="0084014B">
              <w:t>%</w:t>
            </w:r>
          </w:p>
        </w:tc>
      </w:tr>
      <w:tr w:rsidR="00121F6F" w:rsidRPr="0084014B" w14:paraId="6E5EDA2A" w14:textId="77777777" w:rsidTr="00713B97">
        <w:tc>
          <w:tcPr>
            <w:tcW w:w="2266" w:type="pct"/>
          </w:tcPr>
          <w:p w14:paraId="23337901" w14:textId="77777777" w:rsidR="00121F6F" w:rsidRPr="0084014B" w:rsidRDefault="00121F6F" w:rsidP="00E0654B">
            <w:pPr>
              <w:pStyle w:val="COMTabletext"/>
              <w:keepLines/>
            </w:pPr>
            <w:r w:rsidRPr="0084014B">
              <w:t>3.5%</w:t>
            </w:r>
          </w:p>
        </w:tc>
        <w:tc>
          <w:tcPr>
            <w:tcW w:w="739" w:type="pct"/>
          </w:tcPr>
          <w:p w14:paraId="08B5D211" w14:textId="2DBB7AAA" w:rsidR="00121F6F" w:rsidRPr="0084014B" w:rsidRDefault="00121F6F" w:rsidP="00E0654B">
            <w:pPr>
              <w:pStyle w:val="COMTabletext"/>
              <w:keepLines/>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42487A37" w14:textId="77777777" w:rsidR="00121F6F" w:rsidRPr="0084014B" w:rsidRDefault="00121F6F" w:rsidP="00E0654B">
            <w:pPr>
              <w:pStyle w:val="COMTabletext"/>
              <w:keepLines/>
              <w:jc w:val="center"/>
            </w:pPr>
            <w:r w:rsidRPr="0084014B">
              <w:t>2.335</w:t>
            </w:r>
          </w:p>
        </w:tc>
        <w:tc>
          <w:tcPr>
            <w:tcW w:w="596" w:type="pct"/>
          </w:tcPr>
          <w:p w14:paraId="718577FA" w14:textId="07E5E3D3" w:rsidR="00121F6F" w:rsidRPr="009978F5" w:rsidRDefault="00121F6F" w:rsidP="00E0654B">
            <w:pPr>
              <w:pStyle w:val="COMTabletext"/>
              <w:keepLines/>
              <w:jc w:val="center"/>
              <w:rPr>
                <w:vertAlign w:val="superscript"/>
              </w:rPr>
            </w:pPr>
            <w:r w:rsidRPr="0084014B">
              <w:t>$</w:t>
            </w:r>
            <w:r w:rsidR="00556852" w:rsidRPr="00556852">
              <w:rPr>
                <w:rFonts w:hint="eastAsia"/>
                <w:color w:val="000000"/>
                <w:w w:val="24"/>
                <w:shd w:val="solid" w:color="000000" w:fill="000000"/>
                <w:fitText w:val="108" w:id="-629514495"/>
                <w14:textFill>
                  <w14:solidFill>
                    <w14:srgbClr w14:val="000000">
                      <w14:alpha w14:val="100000"/>
                    </w14:srgbClr>
                  </w14:solidFill>
                </w14:textFill>
              </w:rPr>
              <w:t xml:space="preserve">　</w:t>
            </w:r>
            <w:r w:rsidR="00556852" w:rsidRPr="00556852">
              <w:rPr>
                <w:color w:val="000000"/>
                <w:w w:val="24"/>
                <w:shd w:val="solid" w:color="000000" w:fill="000000"/>
                <w:fitText w:val="108" w:id="-629514495"/>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5"/>
                <w14:textFill>
                  <w14:solidFill>
                    <w14:srgbClr w14:val="000000">
                      <w14:alpha w14:val="100000"/>
                    </w14:srgbClr>
                  </w14:solidFill>
                </w14:textFill>
              </w:rPr>
              <w:t xml:space="preserve">　</w:t>
            </w:r>
            <w:r w:rsidR="009978F5">
              <w:rPr>
                <w:vertAlign w:val="superscript"/>
              </w:rPr>
              <w:t>3</w:t>
            </w:r>
          </w:p>
        </w:tc>
        <w:tc>
          <w:tcPr>
            <w:tcW w:w="595" w:type="pct"/>
          </w:tcPr>
          <w:p w14:paraId="2858B685" w14:textId="7018BCB8" w:rsidR="00121F6F" w:rsidRPr="0084014B" w:rsidRDefault="00121F6F" w:rsidP="00E0654B">
            <w:pPr>
              <w:pStyle w:val="COMTabletext"/>
              <w:keepLines/>
              <w:jc w:val="center"/>
            </w:pPr>
            <w:r w:rsidRPr="0084014B">
              <w:t>-</w:t>
            </w:r>
            <w:r w:rsidR="00556852" w:rsidRPr="00556852">
              <w:rPr>
                <w:rFonts w:hint="eastAsia"/>
                <w:color w:val="000000"/>
                <w:w w:val="32"/>
                <w:shd w:val="solid" w:color="000000" w:fill="000000"/>
                <w:fitText w:val="144" w:id="-629514494"/>
                <w14:textFill>
                  <w14:solidFill>
                    <w14:srgbClr w14:val="000000">
                      <w14:alpha w14:val="100000"/>
                    </w14:srgbClr>
                  </w14:solidFill>
                </w14:textFill>
              </w:rPr>
              <w:t xml:space="preserve">　</w:t>
            </w:r>
            <w:r w:rsidR="00556852" w:rsidRPr="00556852">
              <w:rPr>
                <w:color w:val="000000"/>
                <w:w w:val="32"/>
                <w:shd w:val="solid" w:color="000000" w:fill="000000"/>
                <w:fitText w:val="144" w:id="-629514494"/>
                <w14:textFill>
                  <w14:solidFill>
                    <w14:srgbClr w14:val="000000">
                      <w14:alpha w14:val="100000"/>
                    </w14:srgbClr>
                  </w14:solidFill>
                </w14:textFill>
              </w:rPr>
              <w:t>|</w:t>
            </w:r>
            <w:r w:rsidR="00556852" w:rsidRPr="00556852">
              <w:rPr>
                <w:rFonts w:hint="eastAsia"/>
                <w:color w:val="000000"/>
                <w:w w:val="32"/>
                <w:shd w:val="solid" w:color="000000" w:fill="000000"/>
                <w:fitText w:val="144" w:id="-629514494"/>
                <w14:textFill>
                  <w14:solidFill>
                    <w14:srgbClr w14:val="000000">
                      <w14:alpha w14:val="100000"/>
                    </w14:srgbClr>
                  </w14:solidFill>
                </w14:textFill>
              </w:rPr>
              <w:t xml:space="preserve">　</w:t>
            </w:r>
            <w:r w:rsidRPr="0084014B">
              <w:t>%</w:t>
            </w:r>
          </w:p>
        </w:tc>
      </w:tr>
      <w:tr w:rsidR="00121F6F" w:rsidRPr="0084014B" w14:paraId="22189BED" w14:textId="77777777" w:rsidTr="00903311">
        <w:tc>
          <w:tcPr>
            <w:tcW w:w="5000" w:type="pct"/>
            <w:gridSpan w:val="9"/>
          </w:tcPr>
          <w:p w14:paraId="47E472E5" w14:textId="77777777" w:rsidR="00121F6F" w:rsidRPr="0084014B" w:rsidRDefault="00121F6F" w:rsidP="00903311">
            <w:pPr>
              <w:pStyle w:val="COMTabletext"/>
              <w:keepNext w:val="0"/>
            </w:pPr>
            <w:r w:rsidRPr="0084014B">
              <w:rPr>
                <w:b/>
                <w:bCs w:val="0"/>
              </w:rPr>
              <w:t>PFS parametric function in vorasidenib arm (base case: lognormal)</w:t>
            </w:r>
          </w:p>
        </w:tc>
      </w:tr>
      <w:tr w:rsidR="00121F6F" w:rsidRPr="0084014B" w14:paraId="01ED243E" w14:textId="77777777" w:rsidTr="00713B97">
        <w:tc>
          <w:tcPr>
            <w:tcW w:w="2266" w:type="pct"/>
          </w:tcPr>
          <w:p w14:paraId="252299AF" w14:textId="77777777" w:rsidR="00121F6F" w:rsidRPr="0084014B" w:rsidRDefault="00121F6F" w:rsidP="00903311">
            <w:pPr>
              <w:pStyle w:val="COMTabletext"/>
              <w:keepNext w:val="0"/>
            </w:pPr>
            <w:r w:rsidRPr="0084014B">
              <w:t>Exponential</w:t>
            </w:r>
          </w:p>
        </w:tc>
        <w:tc>
          <w:tcPr>
            <w:tcW w:w="739" w:type="pct"/>
          </w:tcPr>
          <w:p w14:paraId="3B6E8619" w14:textId="3871B9F5"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1A1B376A" w14:textId="77777777" w:rsidR="00121F6F" w:rsidRPr="0084014B" w:rsidRDefault="00121F6F" w:rsidP="00903311">
            <w:pPr>
              <w:pStyle w:val="COMTabletext"/>
              <w:keepNext w:val="0"/>
              <w:jc w:val="center"/>
            </w:pPr>
            <w:r w:rsidRPr="0084014B">
              <w:t>1.563</w:t>
            </w:r>
          </w:p>
        </w:tc>
        <w:tc>
          <w:tcPr>
            <w:tcW w:w="596" w:type="pct"/>
          </w:tcPr>
          <w:p w14:paraId="2129982E" w14:textId="7DB23226"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93"/>
                <w14:textFill>
                  <w14:solidFill>
                    <w14:srgbClr w14:val="000000">
                      <w14:alpha w14:val="100000"/>
                    </w14:srgbClr>
                  </w14:solidFill>
                </w14:textFill>
              </w:rPr>
              <w:t xml:space="preserve">　</w:t>
            </w:r>
            <w:r w:rsidR="00556852" w:rsidRPr="00556852">
              <w:rPr>
                <w:color w:val="000000"/>
                <w:w w:val="24"/>
                <w:shd w:val="solid" w:color="000000" w:fill="000000"/>
                <w:fitText w:val="108" w:id="-629514493"/>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3"/>
                <w14:textFill>
                  <w14:solidFill>
                    <w14:srgbClr w14:val="000000">
                      <w14:alpha w14:val="100000"/>
                    </w14:srgbClr>
                  </w14:solidFill>
                </w14:textFill>
              </w:rPr>
              <w:t xml:space="preserve">　</w:t>
            </w:r>
            <w:r w:rsidR="00997AF3">
              <w:rPr>
                <w:vertAlign w:val="superscript"/>
              </w:rPr>
              <w:t>1</w:t>
            </w:r>
          </w:p>
        </w:tc>
        <w:tc>
          <w:tcPr>
            <w:tcW w:w="595" w:type="pct"/>
          </w:tcPr>
          <w:p w14:paraId="53BFD8CD" w14:textId="50C7C7B8" w:rsidR="00121F6F" w:rsidRPr="0084014B" w:rsidRDefault="00556852" w:rsidP="00903311">
            <w:pPr>
              <w:pStyle w:val="COMTabletext"/>
              <w:keepNext w:val="0"/>
              <w:jc w:val="center"/>
            </w:pPr>
            <w:r w:rsidRPr="00556852">
              <w:rPr>
                <w:rFonts w:hint="eastAsia"/>
                <w:color w:val="000000"/>
                <w:w w:val="27"/>
                <w:shd w:val="solid" w:color="000000" w:fill="000000"/>
                <w:fitText w:val="120" w:id="-629514492"/>
                <w14:textFill>
                  <w14:solidFill>
                    <w14:srgbClr w14:val="000000">
                      <w14:alpha w14:val="100000"/>
                    </w14:srgbClr>
                  </w14:solidFill>
                </w14:textFill>
              </w:rPr>
              <w:t xml:space="preserve">　</w:t>
            </w:r>
            <w:r w:rsidRPr="00556852">
              <w:rPr>
                <w:color w:val="000000"/>
                <w:w w:val="27"/>
                <w:shd w:val="solid" w:color="000000" w:fill="000000"/>
                <w:fitText w:val="120" w:id="-629514492"/>
                <w14:textFill>
                  <w14:solidFill>
                    <w14:srgbClr w14:val="000000">
                      <w14:alpha w14:val="100000"/>
                    </w14:srgbClr>
                  </w14:solidFill>
                </w14:textFill>
              </w:rPr>
              <w:t>|</w:t>
            </w:r>
            <w:r w:rsidRPr="00556852">
              <w:rPr>
                <w:rFonts w:hint="eastAsia"/>
                <w:color w:val="000000"/>
                <w:spacing w:val="2"/>
                <w:w w:val="27"/>
                <w:shd w:val="solid" w:color="000000" w:fill="000000"/>
                <w:fitText w:val="120" w:id="-629514492"/>
                <w14:textFill>
                  <w14:solidFill>
                    <w14:srgbClr w14:val="000000">
                      <w14:alpha w14:val="100000"/>
                    </w14:srgbClr>
                  </w14:solidFill>
                </w14:textFill>
              </w:rPr>
              <w:t xml:space="preserve">　</w:t>
            </w:r>
            <w:r w:rsidR="00121F6F" w:rsidRPr="0084014B">
              <w:t>%</w:t>
            </w:r>
          </w:p>
        </w:tc>
      </w:tr>
      <w:tr w:rsidR="00121F6F" w:rsidRPr="0084014B" w14:paraId="4260E6C0" w14:textId="77777777" w:rsidTr="00713B97">
        <w:tc>
          <w:tcPr>
            <w:tcW w:w="2266" w:type="pct"/>
          </w:tcPr>
          <w:p w14:paraId="019403FE" w14:textId="77777777" w:rsidR="00121F6F" w:rsidRPr="0084014B" w:rsidRDefault="00121F6F" w:rsidP="00903311">
            <w:pPr>
              <w:pStyle w:val="COMTabletext"/>
              <w:keepNext w:val="0"/>
            </w:pPr>
            <w:r w:rsidRPr="0084014B">
              <w:t>Weibull</w:t>
            </w:r>
          </w:p>
        </w:tc>
        <w:tc>
          <w:tcPr>
            <w:tcW w:w="739" w:type="pct"/>
          </w:tcPr>
          <w:p w14:paraId="2669D3DC" w14:textId="20C97C8B"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44F16C51" w14:textId="77777777" w:rsidR="00121F6F" w:rsidRPr="0084014B" w:rsidRDefault="00121F6F" w:rsidP="00903311">
            <w:pPr>
              <w:pStyle w:val="COMTabletext"/>
              <w:keepNext w:val="0"/>
              <w:jc w:val="center"/>
            </w:pPr>
            <w:r w:rsidRPr="0084014B">
              <w:t>1.031</w:t>
            </w:r>
          </w:p>
        </w:tc>
        <w:tc>
          <w:tcPr>
            <w:tcW w:w="596" w:type="pct"/>
          </w:tcPr>
          <w:p w14:paraId="7CD53E78" w14:textId="223D590D"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91"/>
                <w14:textFill>
                  <w14:solidFill>
                    <w14:srgbClr w14:val="000000">
                      <w14:alpha w14:val="100000"/>
                    </w14:srgbClr>
                  </w14:solidFill>
                </w14:textFill>
              </w:rPr>
              <w:t xml:space="preserve">　</w:t>
            </w:r>
            <w:r w:rsidR="00556852" w:rsidRPr="00556852">
              <w:rPr>
                <w:color w:val="000000"/>
                <w:w w:val="24"/>
                <w:shd w:val="solid" w:color="000000" w:fill="000000"/>
                <w:fitText w:val="108" w:id="-629514491"/>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1"/>
                <w14:textFill>
                  <w14:solidFill>
                    <w14:srgbClr w14:val="000000">
                      <w14:alpha w14:val="100000"/>
                    </w14:srgbClr>
                  </w14:solidFill>
                </w14:textFill>
              </w:rPr>
              <w:t xml:space="preserve">　</w:t>
            </w:r>
            <w:r w:rsidR="00997AF3">
              <w:rPr>
                <w:vertAlign w:val="superscript"/>
              </w:rPr>
              <w:t>1</w:t>
            </w:r>
          </w:p>
        </w:tc>
        <w:tc>
          <w:tcPr>
            <w:tcW w:w="595" w:type="pct"/>
          </w:tcPr>
          <w:p w14:paraId="1BCA7E6D" w14:textId="401D1E34" w:rsidR="00121F6F" w:rsidRPr="0084014B" w:rsidRDefault="00556852" w:rsidP="00903311">
            <w:pPr>
              <w:pStyle w:val="COMTabletext"/>
              <w:keepNext w:val="0"/>
              <w:jc w:val="center"/>
            </w:pPr>
            <w:r w:rsidRPr="00556852">
              <w:rPr>
                <w:rFonts w:hint="eastAsia"/>
                <w:color w:val="000000"/>
                <w:w w:val="27"/>
                <w:shd w:val="solid" w:color="000000" w:fill="000000"/>
                <w:fitText w:val="120" w:id="-629514490"/>
                <w14:textFill>
                  <w14:solidFill>
                    <w14:srgbClr w14:val="000000">
                      <w14:alpha w14:val="100000"/>
                    </w14:srgbClr>
                  </w14:solidFill>
                </w14:textFill>
              </w:rPr>
              <w:t xml:space="preserve">　</w:t>
            </w:r>
            <w:r w:rsidRPr="00556852">
              <w:rPr>
                <w:color w:val="000000"/>
                <w:w w:val="27"/>
                <w:shd w:val="solid" w:color="000000" w:fill="000000"/>
                <w:fitText w:val="120" w:id="-629514490"/>
                <w14:textFill>
                  <w14:solidFill>
                    <w14:srgbClr w14:val="000000">
                      <w14:alpha w14:val="100000"/>
                    </w14:srgbClr>
                  </w14:solidFill>
                </w14:textFill>
              </w:rPr>
              <w:t>|</w:t>
            </w:r>
            <w:r w:rsidRPr="00556852">
              <w:rPr>
                <w:rFonts w:hint="eastAsia"/>
                <w:color w:val="000000"/>
                <w:spacing w:val="2"/>
                <w:w w:val="27"/>
                <w:shd w:val="solid" w:color="000000" w:fill="000000"/>
                <w:fitText w:val="120" w:id="-629514490"/>
                <w14:textFill>
                  <w14:solidFill>
                    <w14:srgbClr w14:val="000000">
                      <w14:alpha w14:val="100000"/>
                    </w14:srgbClr>
                  </w14:solidFill>
                </w14:textFill>
              </w:rPr>
              <w:t xml:space="preserve">　</w:t>
            </w:r>
            <w:r w:rsidR="00121F6F" w:rsidRPr="0084014B">
              <w:t>%</w:t>
            </w:r>
          </w:p>
        </w:tc>
      </w:tr>
      <w:tr w:rsidR="00121F6F" w:rsidRPr="0084014B" w14:paraId="7602E1E8" w14:textId="77777777" w:rsidTr="00713B97">
        <w:tc>
          <w:tcPr>
            <w:tcW w:w="2266" w:type="pct"/>
          </w:tcPr>
          <w:p w14:paraId="1A8134B6" w14:textId="77777777" w:rsidR="00121F6F" w:rsidRPr="0084014B" w:rsidRDefault="00121F6F" w:rsidP="00903311">
            <w:pPr>
              <w:pStyle w:val="COMTabletext"/>
              <w:keepNext w:val="0"/>
            </w:pPr>
            <w:r w:rsidRPr="0084014B">
              <w:t>Gompertz</w:t>
            </w:r>
          </w:p>
        </w:tc>
        <w:tc>
          <w:tcPr>
            <w:tcW w:w="739" w:type="pct"/>
          </w:tcPr>
          <w:p w14:paraId="69CFDF3D" w14:textId="5875E629"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66B41F0B" w14:textId="77777777" w:rsidR="00121F6F" w:rsidRPr="0084014B" w:rsidRDefault="00121F6F" w:rsidP="00903311">
            <w:pPr>
              <w:pStyle w:val="COMTabletext"/>
              <w:keepNext w:val="0"/>
              <w:jc w:val="center"/>
            </w:pPr>
            <w:r w:rsidRPr="0084014B">
              <w:t>0.840</w:t>
            </w:r>
          </w:p>
        </w:tc>
        <w:tc>
          <w:tcPr>
            <w:tcW w:w="596" w:type="pct"/>
          </w:tcPr>
          <w:p w14:paraId="2717DAD0" w14:textId="5D6C8D3D"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9"/>
                <w14:textFill>
                  <w14:solidFill>
                    <w14:srgbClr w14:val="000000">
                      <w14:alpha w14:val="100000"/>
                    </w14:srgbClr>
                  </w14:solidFill>
                </w14:textFill>
              </w:rPr>
              <w:t xml:space="preserve">　</w:t>
            </w:r>
            <w:r w:rsidR="00556852" w:rsidRPr="00556852">
              <w:rPr>
                <w:color w:val="000000"/>
                <w:w w:val="24"/>
                <w:shd w:val="solid" w:color="000000" w:fill="000000"/>
                <w:fitText w:val="108" w:id="-629514489"/>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9"/>
                <w14:textFill>
                  <w14:solidFill>
                    <w14:srgbClr w14:val="000000">
                      <w14:alpha w14:val="100000"/>
                    </w14:srgbClr>
                  </w14:solidFill>
                </w14:textFill>
              </w:rPr>
              <w:t xml:space="preserve">　</w:t>
            </w:r>
            <w:r w:rsidR="00997AF3">
              <w:rPr>
                <w:vertAlign w:val="superscript"/>
              </w:rPr>
              <w:t>1</w:t>
            </w:r>
          </w:p>
        </w:tc>
        <w:tc>
          <w:tcPr>
            <w:tcW w:w="595" w:type="pct"/>
          </w:tcPr>
          <w:p w14:paraId="59323407" w14:textId="65723F2F" w:rsidR="00121F6F" w:rsidRPr="0084014B" w:rsidRDefault="00556852" w:rsidP="00903311">
            <w:pPr>
              <w:pStyle w:val="COMTabletext"/>
              <w:keepNext w:val="0"/>
              <w:jc w:val="center"/>
            </w:pPr>
            <w:r w:rsidRPr="00556852">
              <w:rPr>
                <w:rFonts w:hint="eastAsia"/>
                <w:color w:val="000000"/>
                <w:w w:val="27"/>
                <w:shd w:val="solid" w:color="000000" w:fill="000000"/>
                <w:fitText w:val="120" w:id="-629514488"/>
                <w14:textFill>
                  <w14:solidFill>
                    <w14:srgbClr w14:val="000000">
                      <w14:alpha w14:val="100000"/>
                    </w14:srgbClr>
                  </w14:solidFill>
                </w14:textFill>
              </w:rPr>
              <w:t xml:space="preserve">　</w:t>
            </w:r>
            <w:r w:rsidRPr="00556852">
              <w:rPr>
                <w:color w:val="000000"/>
                <w:w w:val="27"/>
                <w:shd w:val="solid" w:color="000000" w:fill="000000"/>
                <w:fitText w:val="120" w:id="-629514488"/>
                <w14:textFill>
                  <w14:solidFill>
                    <w14:srgbClr w14:val="000000">
                      <w14:alpha w14:val="100000"/>
                    </w14:srgbClr>
                  </w14:solidFill>
                </w14:textFill>
              </w:rPr>
              <w:t>|</w:t>
            </w:r>
            <w:r w:rsidRPr="00556852">
              <w:rPr>
                <w:rFonts w:hint="eastAsia"/>
                <w:color w:val="000000"/>
                <w:spacing w:val="2"/>
                <w:w w:val="27"/>
                <w:shd w:val="solid" w:color="000000" w:fill="000000"/>
                <w:fitText w:val="120" w:id="-629514488"/>
                <w14:textFill>
                  <w14:solidFill>
                    <w14:srgbClr w14:val="000000">
                      <w14:alpha w14:val="100000"/>
                    </w14:srgbClr>
                  </w14:solidFill>
                </w14:textFill>
              </w:rPr>
              <w:t xml:space="preserve">　</w:t>
            </w:r>
            <w:r w:rsidR="00121F6F" w:rsidRPr="0084014B">
              <w:t>%</w:t>
            </w:r>
          </w:p>
        </w:tc>
      </w:tr>
      <w:tr w:rsidR="00121F6F" w:rsidRPr="0084014B" w14:paraId="2AE61C51" w14:textId="77777777" w:rsidTr="00713B97">
        <w:tc>
          <w:tcPr>
            <w:tcW w:w="2266" w:type="pct"/>
          </w:tcPr>
          <w:p w14:paraId="67A17AAA" w14:textId="77777777" w:rsidR="00121F6F" w:rsidRPr="0084014B" w:rsidRDefault="00121F6F" w:rsidP="00903311">
            <w:pPr>
              <w:pStyle w:val="COMTabletext"/>
              <w:keepNext w:val="0"/>
            </w:pPr>
            <w:r w:rsidRPr="0084014B">
              <w:t>Generalised gamma</w:t>
            </w:r>
          </w:p>
        </w:tc>
        <w:tc>
          <w:tcPr>
            <w:tcW w:w="739" w:type="pct"/>
          </w:tcPr>
          <w:p w14:paraId="38EBAF7D" w14:textId="021816CE"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44B81F2F" w14:textId="77777777" w:rsidR="00121F6F" w:rsidRPr="0084014B" w:rsidRDefault="00121F6F" w:rsidP="00903311">
            <w:pPr>
              <w:pStyle w:val="COMTabletext"/>
              <w:keepNext w:val="0"/>
              <w:jc w:val="center"/>
            </w:pPr>
            <w:r w:rsidRPr="0084014B">
              <w:t>3.034</w:t>
            </w:r>
          </w:p>
        </w:tc>
        <w:tc>
          <w:tcPr>
            <w:tcW w:w="596" w:type="pct"/>
          </w:tcPr>
          <w:p w14:paraId="66912091" w14:textId="25E092E4" w:rsidR="00121F6F" w:rsidRPr="009978F5"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7"/>
                <w14:textFill>
                  <w14:solidFill>
                    <w14:srgbClr w14:val="000000">
                      <w14:alpha w14:val="100000"/>
                    </w14:srgbClr>
                  </w14:solidFill>
                </w14:textFill>
              </w:rPr>
              <w:t xml:space="preserve">　</w:t>
            </w:r>
            <w:r w:rsidR="00556852" w:rsidRPr="00556852">
              <w:rPr>
                <w:color w:val="000000"/>
                <w:w w:val="24"/>
                <w:shd w:val="solid" w:color="000000" w:fill="000000"/>
                <w:fitText w:val="108" w:id="-629514487"/>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7"/>
                <w14:textFill>
                  <w14:solidFill>
                    <w14:srgbClr w14:val="000000">
                      <w14:alpha w14:val="100000"/>
                    </w14:srgbClr>
                  </w14:solidFill>
                </w14:textFill>
              </w:rPr>
              <w:t xml:space="preserve">　</w:t>
            </w:r>
            <w:r w:rsidR="009978F5">
              <w:rPr>
                <w:vertAlign w:val="superscript"/>
              </w:rPr>
              <w:t>3</w:t>
            </w:r>
          </w:p>
        </w:tc>
        <w:tc>
          <w:tcPr>
            <w:tcW w:w="595" w:type="pct"/>
          </w:tcPr>
          <w:p w14:paraId="689B5A5A" w14:textId="6121752E" w:rsidR="00121F6F" w:rsidRPr="0084014B" w:rsidRDefault="00121F6F" w:rsidP="00903311">
            <w:pPr>
              <w:pStyle w:val="COMTabletext"/>
              <w:keepNext w:val="0"/>
              <w:jc w:val="center"/>
            </w:pPr>
            <w:r w:rsidRPr="0084014B">
              <w:t>-</w:t>
            </w:r>
            <w:r w:rsidR="00556852" w:rsidRPr="00556852">
              <w:rPr>
                <w:rFonts w:hint="eastAsia"/>
                <w:color w:val="000000"/>
                <w:w w:val="32"/>
                <w:shd w:val="solid" w:color="000000" w:fill="000000"/>
                <w:fitText w:val="144" w:id="-629514486"/>
                <w14:textFill>
                  <w14:solidFill>
                    <w14:srgbClr w14:val="000000">
                      <w14:alpha w14:val="100000"/>
                    </w14:srgbClr>
                  </w14:solidFill>
                </w14:textFill>
              </w:rPr>
              <w:t xml:space="preserve">　</w:t>
            </w:r>
            <w:r w:rsidR="00556852" w:rsidRPr="00556852">
              <w:rPr>
                <w:color w:val="000000"/>
                <w:w w:val="32"/>
                <w:shd w:val="solid" w:color="000000" w:fill="000000"/>
                <w:fitText w:val="144" w:id="-629514486"/>
                <w14:textFill>
                  <w14:solidFill>
                    <w14:srgbClr w14:val="000000">
                      <w14:alpha w14:val="100000"/>
                    </w14:srgbClr>
                  </w14:solidFill>
                </w14:textFill>
              </w:rPr>
              <w:t>|</w:t>
            </w:r>
            <w:r w:rsidR="00556852" w:rsidRPr="00556852">
              <w:rPr>
                <w:rFonts w:hint="eastAsia"/>
                <w:color w:val="000000"/>
                <w:w w:val="32"/>
                <w:shd w:val="solid" w:color="000000" w:fill="000000"/>
                <w:fitText w:val="144" w:id="-629514486"/>
                <w14:textFill>
                  <w14:solidFill>
                    <w14:srgbClr w14:val="000000">
                      <w14:alpha w14:val="100000"/>
                    </w14:srgbClr>
                  </w14:solidFill>
                </w14:textFill>
              </w:rPr>
              <w:t xml:space="preserve">　</w:t>
            </w:r>
            <w:r w:rsidRPr="0084014B">
              <w:t>%</w:t>
            </w:r>
          </w:p>
        </w:tc>
      </w:tr>
      <w:tr w:rsidR="00121F6F" w:rsidRPr="0084014B" w14:paraId="4BCC5667" w14:textId="77777777" w:rsidTr="00713B97">
        <w:tc>
          <w:tcPr>
            <w:tcW w:w="2266" w:type="pct"/>
          </w:tcPr>
          <w:p w14:paraId="58D91F4C" w14:textId="77777777" w:rsidR="00121F6F" w:rsidRPr="0084014B" w:rsidRDefault="00121F6F" w:rsidP="00903311">
            <w:pPr>
              <w:pStyle w:val="COMTabletext"/>
              <w:keepNext w:val="0"/>
            </w:pPr>
            <w:r w:rsidRPr="0084014B">
              <w:t>Loglogistic</w:t>
            </w:r>
          </w:p>
        </w:tc>
        <w:tc>
          <w:tcPr>
            <w:tcW w:w="739" w:type="pct"/>
          </w:tcPr>
          <w:p w14:paraId="1C929894" w14:textId="76C30FD9"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3EF423CF" w14:textId="77777777" w:rsidR="00121F6F" w:rsidRPr="0084014B" w:rsidRDefault="00121F6F" w:rsidP="00903311">
            <w:pPr>
              <w:pStyle w:val="COMTabletext"/>
              <w:keepNext w:val="0"/>
              <w:jc w:val="center"/>
            </w:pPr>
            <w:r w:rsidRPr="0084014B">
              <w:t>1.842</w:t>
            </w:r>
          </w:p>
        </w:tc>
        <w:tc>
          <w:tcPr>
            <w:tcW w:w="596" w:type="pct"/>
          </w:tcPr>
          <w:p w14:paraId="370E7EF6" w14:textId="0C014D74"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5"/>
                <w14:textFill>
                  <w14:solidFill>
                    <w14:srgbClr w14:val="000000">
                      <w14:alpha w14:val="100000"/>
                    </w14:srgbClr>
                  </w14:solidFill>
                </w14:textFill>
              </w:rPr>
              <w:t xml:space="preserve">　</w:t>
            </w:r>
            <w:r w:rsidR="00556852" w:rsidRPr="00556852">
              <w:rPr>
                <w:color w:val="000000"/>
                <w:w w:val="24"/>
                <w:shd w:val="solid" w:color="000000" w:fill="000000"/>
                <w:fitText w:val="108" w:id="-629514485"/>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5"/>
                <w14:textFill>
                  <w14:solidFill>
                    <w14:srgbClr w14:val="000000">
                      <w14:alpha w14:val="100000"/>
                    </w14:srgbClr>
                  </w14:solidFill>
                </w14:textFill>
              </w:rPr>
              <w:t xml:space="preserve">　</w:t>
            </w:r>
            <w:r w:rsidR="00997AF3">
              <w:rPr>
                <w:vertAlign w:val="superscript"/>
              </w:rPr>
              <w:t>1</w:t>
            </w:r>
          </w:p>
        </w:tc>
        <w:tc>
          <w:tcPr>
            <w:tcW w:w="595" w:type="pct"/>
          </w:tcPr>
          <w:p w14:paraId="42297723" w14:textId="287A61C3" w:rsidR="00121F6F" w:rsidRPr="0084014B" w:rsidRDefault="00556852" w:rsidP="00903311">
            <w:pPr>
              <w:pStyle w:val="COMTabletext"/>
              <w:keepNext w:val="0"/>
              <w:jc w:val="center"/>
            </w:pPr>
            <w:r w:rsidRPr="00556852">
              <w:rPr>
                <w:rFonts w:hint="eastAsia"/>
                <w:color w:val="000000"/>
                <w:w w:val="27"/>
                <w:shd w:val="solid" w:color="000000" w:fill="000000"/>
                <w:fitText w:val="120" w:id="-629514484"/>
                <w14:textFill>
                  <w14:solidFill>
                    <w14:srgbClr w14:val="000000">
                      <w14:alpha w14:val="100000"/>
                    </w14:srgbClr>
                  </w14:solidFill>
                </w14:textFill>
              </w:rPr>
              <w:t xml:space="preserve">　</w:t>
            </w:r>
            <w:r w:rsidRPr="00556852">
              <w:rPr>
                <w:color w:val="000000"/>
                <w:w w:val="27"/>
                <w:shd w:val="solid" w:color="000000" w:fill="000000"/>
                <w:fitText w:val="120" w:id="-629514484"/>
                <w14:textFill>
                  <w14:solidFill>
                    <w14:srgbClr w14:val="000000">
                      <w14:alpha w14:val="100000"/>
                    </w14:srgbClr>
                  </w14:solidFill>
                </w14:textFill>
              </w:rPr>
              <w:t>|</w:t>
            </w:r>
            <w:r w:rsidRPr="00556852">
              <w:rPr>
                <w:rFonts w:hint="eastAsia"/>
                <w:color w:val="000000"/>
                <w:spacing w:val="2"/>
                <w:w w:val="27"/>
                <w:shd w:val="solid" w:color="000000" w:fill="000000"/>
                <w:fitText w:val="120" w:id="-629514484"/>
                <w14:textFill>
                  <w14:solidFill>
                    <w14:srgbClr w14:val="000000">
                      <w14:alpha w14:val="100000"/>
                    </w14:srgbClr>
                  </w14:solidFill>
                </w14:textFill>
              </w:rPr>
              <w:t xml:space="preserve">　</w:t>
            </w:r>
            <w:r w:rsidR="00121F6F" w:rsidRPr="0084014B">
              <w:t>%</w:t>
            </w:r>
          </w:p>
        </w:tc>
      </w:tr>
      <w:tr w:rsidR="00121F6F" w:rsidRPr="0084014B" w14:paraId="2E57B536" w14:textId="77777777" w:rsidTr="00903311">
        <w:tc>
          <w:tcPr>
            <w:tcW w:w="5000" w:type="pct"/>
            <w:gridSpan w:val="9"/>
          </w:tcPr>
          <w:p w14:paraId="791B7B57" w14:textId="77777777" w:rsidR="00121F6F" w:rsidRPr="0084014B" w:rsidRDefault="00121F6F" w:rsidP="00903311">
            <w:pPr>
              <w:pStyle w:val="COMTabletext"/>
              <w:keepNext w:val="0"/>
            </w:pPr>
            <w:r w:rsidRPr="0084014B">
              <w:rPr>
                <w:b/>
                <w:bCs w:val="0"/>
              </w:rPr>
              <w:t>PFS parametric function in active surveillance arm (base case: lognormal)</w:t>
            </w:r>
          </w:p>
        </w:tc>
      </w:tr>
      <w:tr w:rsidR="00121F6F" w:rsidRPr="0084014B" w14:paraId="2B32206F" w14:textId="77777777" w:rsidTr="00713B97">
        <w:tc>
          <w:tcPr>
            <w:tcW w:w="2266" w:type="pct"/>
          </w:tcPr>
          <w:p w14:paraId="75CFB527" w14:textId="77777777" w:rsidR="00121F6F" w:rsidRPr="0084014B" w:rsidRDefault="00121F6F" w:rsidP="00903311">
            <w:pPr>
              <w:pStyle w:val="COMTabletext"/>
              <w:keepNext w:val="0"/>
            </w:pPr>
            <w:r w:rsidRPr="0084014B">
              <w:t>Exponential</w:t>
            </w:r>
          </w:p>
        </w:tc>
        <w:tc>
          <w:tcPr>
            <w:tcW w:w="739" w:type="pct"/>
          </w:tcPr>
          <w:p w14:paraId="3C657F85" w14:textId="4F69328C"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1CD9EFF4" w14:textId="77777777" w:rsidR="00121F6F" w:rsidRPr="0084014B" w:rsidRDefault="00121F6F" w:rsidP="00903311">
            <w:pPr>
              <w:pStyle w:val="COMTabletext"/>
              <w:keepNext w:val="0"/>
              <w:jc w:val="center"/>
            </w:pPr>
            <w:r w:rsidRPr="0084014B">
              <w:t>1.962</w:t>
            </w:r>
          </w:p>
        </w:tc>
        <w:tc>
          <w:tcPr>
            <w:tcW w:w="596" w:type="pct"/>
          </w:tcPr>
          <w:p w14:paraId="6FD726EC" w14:textId="0812F552"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3"/>
                <w14:textFill>
                  <w14:solidFill>
                    <w14:srgbClr w14:val="000000">
                      <w14:alpha w14:val="100000"/>
                    </w14:srgbClr>
                  </w14:solidFill>
                </w14:textFill>
              </w:rPr>
              <w:t xml:space="preserve">　</w:t>
            </w:r>
            <w:r w:rsidR="00556852" w:rsidRPr="00556852">
              <w:rPr>
                <w:color w:val="000000"/>
                <w:w w:val="24"/>
                <w:shd w:val="solid" w:color="000000" w:fill="000000"/>
                <w:fitText w:val="108" w:id="-629514483"/>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3"/>
                <w14:textFill>
                  <w14:solidFill>
                    <w14:srgbClr w14:val="000000">
                      <w14:alpha w14:val="100000"/>
                    </w14:srgbClr>
                  </w14:solidFill>
                </w14:textFill>
              </w:rPr>
              <w:t xml:space="preserve">　</w:t>
            </w:r>
            <w:r w:rsidR="00997AF3">
              <w:rPr>
                <w:vertAlign w:val="superscript"/>
              </w:rPr>
              <w:t>1</w:t>
            </w:r>
          </w:p>
        </w:tc>
        <w:tc>
          <w:tcPr>
            <w:tcW w:w="595" w:type="pct"/>
          </w:tcPr>
          <w:p w14:paraId="2BFD3049" w14:textId="68BF0773" w:rsidR="00121F6F" w:rsidRPr="0084014B" w:rsidRDefault="00556852" w:rsidP="00903311">
            <w:pPr>
              <w:pStyle w:val="COMTabletext"/>
              <w:keepNext w:val="0"/>
              <w:jc w:val="center"/>
            </w:pPr>
            <w:r w:rsidRPr="00556852">
              <w:rPr>
                <w:rFonts w:hint="eastAsia"/>
                <w:color w:val="000000"/>
                <w:w w:val="27"/>
                <w:shd w:val="solid" w:color="000000" w:fill="000000"/>
                <w:fitText w:val="120" w:id="-629514482"/>
                <w14:textFill>
                  <w14:solidFill>
                    <w14:srgbClr w14:val="000000">
                      <w14:alpha w14:val="100000"/>
                    </w14:srgbClr>
                  </w14:solidFill>
                </w14:textFill>
              </w:rPr>
              <w:t xml:space="preserve">　</w:t>
            </w:r>
            <w:r w:rsidRPr="00556852">
              <w:rPr>
                <w:color w:val="000000"/>
                <w:w w:val="27"/>
                <w:shd w:val="solid" w:color="000000" w:fill="000000"/>
                <w:fitText w:val="120" w:id="-629514482"/>
                <w14:textFill>
                  <w14:solidFill>
                    <w14:srgbClr w14:val="000000">
                      <w14:alpha w14:val="100000"/>
                    </w14:srgbClr>
                  </w14:solidFill>
                </w14:textFill>
              </w:rPr>
              <w:t>|</w:t>
            </w:r>
            <w:r w:rsidRPr="00556852">
              <w:rPr>
                <w:rFonts w:hint="eastAsia"/>
                <w:color w:val="000000"/>
                <w:spacing w:val="2"/>
                <w:w w:val="27"/>
                <w:shd w:val="solid" w:color="000000" w:fill="000000"/>
                <w:fitText w:val="120" w:id="-629514482"/>
                <w14:textFill>
                  <w14:solidFill>
                    <w14:srgbClr w14:val="000000">
                      <w14:alpha w14:val="100000"/>
                    </w14:srgbClr>
                  </w14:solidFill>
                </w14:textFill>
              </w:rPr>
              <w:t xml:space="preserve">　</w:t>
            </w:r>
            <w:r w:rsidR="00121F6F" w:rsidRPr="0084014B">
              <w:t>%</w:t>
            </w:r>
          </w:p>
        </w:tc>
      </w:tr>
      <w:tr w:rsidR="00121F6F" w:rsidRPr="0084014B" w14:paraId="7AE5C5C9" w14:textId="77777777" w:rsidTr="00713B97">
        <w:tc>
          <w:tcPr>
            <w:tcW w:w="2266" w:type="pct"/>
          </w:tcPr>
          <w:p w14:paraId="3D1319D7" w14:textId="77777777" w:rsidR="00121F6F" w:rsidRPr="0084014B" w:rsidRDefault="00121F6F" w:rsidP="00903311">
            <w:pPr>
              <w:pStyle w:val="COMTabletext"/>
              <w:keepNext w:val="0"/>
            </w:pPr>
            <w:r w:rsidRPr="0084014B">
              <w:t>Weibull</w:t>
            </w:r>
          </w:p>
        </w:tc>
        <w:tc>
          <w:tcPr>
            <w:tcW w:w="739" w:type="pct"/>
          </w:tcPr>
          <w:p w14:paraId="20D32CF1" w14:textId="38EE811A"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606FD93D" w14:textId="77777777" w:rsidR="00121F6F" w:rsidRPr="0084014B" w:rsidRDefault="00121F6F" w:rsidP="00903311">
            <w:pPr>
              <w:pStyle w:val="COMTabletext"/>
              <w:keepNext w:val="0"/>
              <w:jc w:val="center"/>
            </w:pPr>
            <w:r w:rsidRPr="0084014B">
              <w:t>2.122</w:t>
            </w:r>
          </w:p>
        </w:tc>
        <w:tc>
          <w:tcPr>
            <w:tcW w:w="596" w:type="pct"/>
          </w:tcPr>
          <w:p w14:paraId="3DEDE223" w14:textId="08695412" w:rsidR="00121F6F" w:rsidRPr="009978F5"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1"/>
                <w14:textFill>
                  <w14:solidFill>
                    <w14:srgbClr w14:val="000000">
                      <w14:alpha w14:val="100000"/>
                    </w14:srgbClr>
                  </w14:solidFill>
                </w14:textFill>
              </w:rPr>
              <w:t xml:space="preserve">　</w:t>
            </w:r>
            <w:r w:rsidR="00556852" w:rsidRPr="00556852">
              <w:rPr>
                <w:color w:val="000000"/>
                <w:w w:val="24"/>
                <w:shd w:val="solid" w:color="000000" w:fill="000000"/>
                <w:fitText w:val="108" w:id="-629514481"/>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1"/>
                <w14:textFill>
                  <w14:solidFill>
                    <w14:srgbClr w14:val="000000">
                      <w14:alpha w14:val="100000"/>
                    </w14:srgbClr>
                  </w14:solidFill>
                </w14:textFill>
              </w:rPr>
              <w:t xml:space="preserve">　</w:t>
            </w:r>
            <w:r w:rsidR="009978F5">
              <w:rPr>
                <w:vertAlign w:val="superscript"/>
              </w:rPr>
              <w:t>3</w:t>
            </w:r>
          </w:p>
        </w:tc>
        <w:tc>
          <w:tcPr>
            <w:tcW w:w="595" w:type="pct"/>
          </w:tcPr>
          <w:p w14:paraId="6A091E8C" w14:textId="60781868" w:rsidR="00121F6F" w:rsidRPr="0084014B" w:rsidRDefault="00121F6F" w:rsidP="00903311">
            <w:pPr>
              <w:pStyle w:val="COMTabletext"/>
              <w:keepNext w:val="0"/>
              <w:jc w:val="center"/>
            </w:pPr>
            <w:r w:rsidRPr="0084014B">
              <w:t>-</w:t>
            </w:r>
            <w:r w:rsidR="00556852" w:rsidRPr="00556852">
              <w:rPr>
                <w:rFonts w:hint="eastAsia"/>
                <w:color w:val="000000"/>
                <w:w w:val="32"/>
                <w:shd w:val="solid" w:color="000000" w:fill="000000"/>
                <w:fitText w:val="144" w:id="-629514480"/>
                <w14:textFill>
                  <w14:solidFill>
                    <w14:srgbClr w14:val="000000">
                      <w14:alpha w14:val="100000"/>
                    </w14:srgbClr>
                  </w14:solidFill>
                </w14:textFill>
              </w:rPr>
              <w:t xml:space="preserve">　</w:t>
            </w:r>
            <w:r w:rsidR="00556852" w:rsidRPr="00556852">
              <w:rPr>
                <w:color w:val="000000"/>
                <w:w w:val="32"/>
                <w:shd w:val="solid" w:color="000000" w:fill="000000"/>
                <w:fitText w:val="144" w:id="-629514480"/>
                <w14:textFill>
                  <w14:solidFill>
                    <w14:srgbClr w14:val="000000">
                      <w14:alpha w14:val="100000"/>
                    </w14:srgbClr>
                  </w14:solidFill>
                </w14:textFill>
              </w:rPr>
              <w:t>|</w:t>
            </w:r>
            <w:r w:rsidR="00556852" w:rsidRPr="00556852">
              <w:rPr>
                <w:rFonts w:hint="eastAsia"/>
                <w:color w:val="000000"/>
                <w:w w:val="32"/>
                <w:shd w:val="solid" w:color="000000" w:fill="000000"/>
                <w:fitText w:val="144" w:id="-629514480"/>
                <w14:textFill>
                  <w14:solidFill>
                    <w14:srgbClr w14:val="000000">
                      <w14:alpha w14:val="100000"/>
                    </w14:srgbClr>
                  </w14:solidFill>
                </w14:textFill>
              </w:rPr>
              <w:t xml:space="preserve">　</w:t>
            </w:r>
            <w:r w:rsidRPr="0084014B">
              <w:t>%</w:t>
            </w:r>
          </w:p>
        </w:tc>
      </w:tr>
      <w:tr w:rsidR="00121F6F" w:rsidRPr="0084014B" w14:paraId="08C04D1C" w14:textId="77777777" w:rsidTr="00713B97">
        <w:tc>
          <w:tcPr>
            <w:tcW w:w="2266" w:type="pct"/>
          </w:tcPr>
          <w:p w14:paraId="5BE1A38F" w14:textId="77777777" w:rsidR="00121F6F" w:rsidRPr="0084014B" w:rsidRDefault="00121F6F" w:rsidP="00903311">
            <w:pPr>
              <w:pStyle w:val="COMTabletext"/>
              <w:keepNext w:val="0"/>
            </w:pPr>
            <w:r w:rsidRPr="0084014B">
              <w:t>Gompertz</w:t>
            </w:r>
          </w:p>
        </w:tc>
        <w:tc>
          <w:tcPr>
            <w:tcW w:w="739" w:type="pct"/>
          </w:tcPr>
          <w:p w14:paraId="7A4C8262" w14:textId="7C6EDDEC"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6432D6D8" w14:textId="77777777" w:rsidR="00121F6F" w:rsidRPr="0084014B" w:rsidRDefault="00121F6F" w:rsidP="00903311">
            <w:pPr>
              <w:pStyle w:val="COMTabletext"/>
              <w:keepNext w:val="0"/>
              <w:jc w:val="center"/>
            </w:pPr>
            <w:r w:rsidRPr="0084014B">
              <w:t>2.147</w:t>
            </w:r>
          </w:p>
        </w:tc>
        <w:tc>
          <w:tcPr>
            <w:tcW w:w="596" w:type="pct"/>
          </w:tcPr>
          <w:p w14:paraId="0D691661" w14:textId="6F2A2C51" w:rsidR="00121F6F" w:rsidRPr="009978F5"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96"/>
                <w14:textFill>
                  <w14:solidFill>
                    <w14:srgbClr w14:val="000000">
                      <w14:alpha w14:val="100000"/>
                    </w14:srgbClr>
                  </w14:solidFill>
                </w14:textFill>
              </w:rPr>
              <w:t xml:space="preserve">　</w:t>
            </w:r>
            <w:r w:rsidR="00556852" w:rsidRPr="00556852">
              <w:rPr>
                <w:color w:val="000000"/>
                <w:w w:val="24"/>
                <w:shd w:val="solid" w:color="000000" w:fill="000000"/>
                <w:fitText w:val="108" w:id="-629514496"/>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6"/>
                <w14:textFill>
                  <w14:solidFill>
                    <w14:srgbClr w14:val="000000">
                      <w14:alpha w14:val="100000"/>
                    </w14:srgbClr>
                  </w14:solidFill>
                </w14:textFill>
              </w:rPr>
              <w:t xml:space="preserve">　</w:t>
            </w:r>
            <w:r w:rsidR="009978F5">
              <w:rPr>
                <w:vertAlign w:val="superscript"/>
              </w:rPr>
              <w:t>3</w:t>
            </w:r>
          </w:p>
        </w:tc>
        <w:tc>
          <w:tcPr>
            <w:tcW w:w="595" w:type="pct"/>
          </w:tcPr>
          <w:p w14:paraId="138C4F06" w14:textId="472CBA1F" w:rsidR="00121F6F" w:rsidRPr="0084014B" w:rsidRDefault="00121F6F" w:rsidP="00903311">
            <w:pPr>
              <w:pStyle w:val="COMTabletext"/>
              <w:keepNext w:val="0"/>
              <w:jc w:val="center"/>
            </w:pPr>
            <w:r w:rsidRPr="0084014B">
              <w:t>-</w:t>
            </w:r>
            <w:r w:rsidR="00556852" w:rsidRPr="00556852">
              <w:rPr>
                <w:rFonts w:hint="eastAsia"/>
                <w:color w:val="000000"/>
                <w:w w:val="32"/>
                <w:shd w:val="solid" w:color="000000" w:fill="000000"/>
                <w:fitText w:val="144" w:id="-629514495"/>
                <w14:textFill>
                  <w14:solidFill>
                    <w14:srgbClr w14:val="000000">
                      <w14:alpha w14:val="100000"/>
                    </w14:srgbClr>
                  </w14:solidFill>
                </w14:textFill>
              </w:rPr>
              <w:t xml:space="preserve">　</w:t>
            </w:r>
            <w:r w:rsidR="00556852" w:rsidRPr="00556852">
              <w:rPr>
                <w:color w:val="000000"/>
                <w:w w:val="32"/>
                <w:shd w:val="solid" w:color="000000" w:fill="000000"/>
                <w:fitText w:val="144" w:id="-629514495"/>
                <w14:textFill>
                  <w14:solidFill>
                    <w14:srgbClr w14:val="000000">
                      <w14:alpha w14:val="100000"/>
                    </w14:srgbClr>
                  </w14:solidFill>
                </w14:textFill>
              </w:rPr>
              <w:t>|</w:t>
            </w:r>
            <w:r w:rsidR="00556852" w:rsidRPr="00556852">
              <w:rPr>
                <w:rFonts w:hint="eastAsia"/>
                <w:color w:val="000000"/>
                <w:w w:val="32"/>
                <w:shd w:val="solid" w:color="000000" w:fill="000000"/>
                <w:fitText w:val="144" w:id="-629514495"/>
                <w14:textFill>
                  <w14:solidFill>
                    <w14:srgbClr w14:val="000000">
                      <w14:alpha w14:val="100000"/>
                    </w14:srgbClr>
                  </w14:solidFill>
                </w14:textFill>
              </w:rPr>
              <w:t xml:space="preserve">　</w:t>
            </w:r>
            <w:r w:rsidRPr="0084014B">
              <w:t>%</w:t>
            </w:r>
          </w:p>
        </w:tc>
      </w:tr>
      <w:tr w:rsidR="00121F6F" w:rsidRPr="0084014B" w14:paraId="5AA78594" w14:textId="77777777" w:rsidTr="00713B97">
        <w:tc>
          <w:tcPr>
            <w:tcW w:w="2266" w:type="pct"/>
          </w:tcPr>
          <w:p w14:paraId="545AD9ED" w14:textId="77777777" w:rsidR="00121F6F" w:rsidRPr="0084014B" w:rsidRDefault="00121F6F" w:rsidP="00903311">
            <w:pPr>
              <w:pStyle w:val="COMTabletext"/>
              <w:keepNext w:val="0"/>
            </w:pPr>
            <w:r w:rsidRPr="0084014B">
              <w:t>Generalised gamma</w:t>
            </w:r>
          </w:p>
        </w:tc>
        <w:tc>
          <w:tcPr>
            <w:tcW w:w="739" w:type="pct"/>
          </w:tcPr>
          <w:p w14:paraId="3C674020" w14:textId="5AE14250"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6013DC19" w14:textId="77777777" w:rsidR="00121F6F" w:rsidRPr="0084014B" w:rsidRDefault="00121F6F" w:rsidP="00903311">
            <w:pPr>
              <w:pStyle w:val="COMTabletext"/>
              <w:keepNext w:val="0"/>
              <w:jc w:val="center"/>
            </w:pPr>
            <w:r w:rsidRPr="0084014B">
              <w:t>2.003</w:t>
            </w:r>
          </w:p>
        </w:tc>
        <w:tc>
          <w:tcPr>
            <w:tcW w:w="596" w:type="pct"/>
          </w:tcPr>
          <w:p w14:paraId="74EF8811" w14:textId="772FFBD0"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94"/>
                <w14:textFill>
                  <w14:solidFill>
                    <w14:srgbClr w14:val="000000">
                      <w14:alpha w14:val="100000"/>
                    </w14:srgbClr>
                  </w14:solidFill>
                </w14:textFill>
              </w:rPr>
              <w:t xml:space="preserve">　</w:t>
            </w:r>
            <w:r w:rsidR="00556852" w:rsidRPr="00556852">
              <w:rPr>
                <w:color w:val="000000"/>
                <w:w w:val="24"/>
                <w:shd w:val="solid" w:color="000000" w:fill="000000"/>
                <w:fitText w:val="108" w:id="-629514494"/>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4"/>
                <w14:textFill>
                  <w14:solidFill>
                    <w14:srgbClr w14:val="000000">
                      <w14:alpha w14:val="100000"/>
                    </w14:srgbClr>
                  </w14:solidFill>
                </w14:textFill>
              </w:rPr>
              <w:t xml:space="preserve">　</w:t>
            </w:r>
            <w:r w:rsidR="00997AF3">
              <w:rPr>
                <w:vertAlign w:val="superscript"/>
              </w:rPr>
              <w:t>1</w:t>
            </w:r>
          </w:p>
        </w:tc>
        <w:tc>
          <w:tcPr>
            <w:tcW w:w="595" w:type="pct"/>
          </w:tcPr>
          <w:p w14:paraId="2443DDFA" w14:textId="5DB76A67" w:rsidR="00121F6F" w:rsidRPr="0084014B" w:rsidRDefault="00556852" w:rsidP="00903311">
            <w:pPr>
              <w:pStyle w:val="COMTabletext"/>
              <w:keepNext w:val="0"/>
              <w:jc w:val="center"/>
            </w:pPr>
            <w:r w:rsidRPr="00556852">
              <w:rPr>
                <w:rFonts w:hint="eastAsia"/>
                <w:color w:val="000000"/>
                <w:w w:val="27"/>
                <w:shd w:val="solid" w:color="000000" w:fill="000000"/>
                <w:fitText w:val="120" w:id="-629514493"/>
                <w14:textFill>
                  <w14:solidFill>
                    <w14:srgbClr w14:val="000000">
                      <w14:alpha w14:val="100000"/>
                    </w14:srgbClr>
                  </w14:solidFill>
                </w14:textFill>
              </w:rPr>
              <w:t xml:space="preserve">　</w:t>
            </w:r>
            <w:r w:rsidRPr="00556852">
              <w:rPr>
                <w:color w:val="000000"/>
                <w:w w:val="27"/>
                <w:shd w:val="solid" w:color="000000" w:fill="000000"/>
                <w:fitText w:val="120" w:id="-629514493"/>
                <w14:textFill>
                  <w14:solidFill>
                    <w14:srgbClr w14:val="000000">
                      <w14:alpha w14:val="100000"/>
                    </w14:srgbClr>
                  </w14:solidFill>
                </w14:textFill>
              </w:rPr>
              <w:t>|</w:t>
            </w:r>
            <w:r w:rsidRPr="00556852">
              <w:rPr>
                <w:rFonts w:hint="eastAsia"/>
                <w:color w:val="000000"/>
                <w:spacing w:val="2"/>
                <w:w w:val="27"/>
                <w:shd w:val="solid" w:color="000000" w:fill="000000"/>
                <w:fitText w:val="120" w:id="-629514493"/>
                <w14:textFill>
                  <w14:solidFill>
                    <w14:srgbClr w14:val="000000">
                      <w14:alpha w14:val="100000"/>
                    </w14:srgbClr>
                  </w14:solidFill>
                </w14:textFill>
              </w:rPr>
              <w:t xml:space="preserve">　</w:t>
            </w:r>
            <w:r w:rsidR="00121F6F" w:rsidRPr="0084014B">
              <w:t>%</w:t>
            </w:r>
          </w:p>
        </w:tc>
      </w:tr>
      <w:tr w:rsidR="00121F6F" w:rsidRPr="0084014B" w14:paraId="5A1E305B" w14:textId="77777777" w:rsidTr="00713B97">
        <w:tc>
          <w:tcPr>
            <w:tcW w:w="2266" w:type="pct"/>
          </w:tcPr>
          <w:p w14:paraId="67BC5CB9" w14:textId="77777777" w:rsidR="00121F6F" w:rsidRPr="0084014B" w:rsidRDefault="00121F6F" w:rsidP="00903311">
            <w:pPr>
              <w:pStyle w:val="COMTabletext"/>
              <w:keepNext w:val="0"/>
            </w:pPr>
            <w:r w:rsidRPr="0084014B">
              <w:t>Loglogistic</w:t>
            </w:r>
          </w:p>
        </w:tc>
        <w:tc>
          <w:tcPr>
            <w:tcW w:w="739" w:type="pct"/>
          </w:tcPr>
          <w:p w14:paraId="403E1CDE" w14:textId="0BA15AB7"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29E64D90" w14:textId="77777777" w:rsidR="00121F6F" w:rsidRPr="0084014B" w:rsidRDefault="00121F6F" w:rsidP="00903311">
            <w:pPr>
              <w:pStyle w:val="COMTabletext"/>
              <w:keepNext w:val="0"/>
              <w:jc w:val="center"/>
            </w:pPr>
            <w:r w:rsidRPr="0084014B">
              <w:t>1.957</w:t>
            </w:r>
          </w:p>
        </w:tc>
        <w:tc>
          <w:tcPr>
            <w:tcW w:w="596" w:type="pct"/>
          </w:tcPr>
          <w:p w14:paraId="033A49C9" w14:textId="6DC01747"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92"/>
                <w14:textFill>
                  <w14:solidFill>
                    <w14:srgbClr w14:val="000000">
                      <w14:alpha w14:val="100000"/>
                    </w14:srgbClr>
                  </w14:solidFill>
                </w14:textFill>
              </w:rPr>
              <w:t xml:space="preserve">　</w:t>
            </w:r>
            <w:r w:rsidR="00556852" w:rsidRPr="00556852">
              <w:rPr>
                <w:color w:val="000000"/>
                <w:w w:val="24"/>
                <w:shd w:val="solid" w:color="000000" w:fill="000000"/>
                <w:fitText w:val="108" w:id="-629514492"/>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2"/>
                <w14:textFill>
                  <w14:solidFill>
                    <w14:srgbClr w14:val="000000">
                      <w14:alpha w14:val="100000"/>
                    </w14:srgbClr>
                  </w14:solidFill>
                </w14:textFill>
              </w:rPr>
              <w:t xml:space="preserve">　</w:t>
            </w:r>
            <w:r w:rsidR="00997AF3">
              <w:rPr>
                <w:vertAlign w:val="superscript"/>
              </w:rPr>
              <w:t>1</w:t>
            </w:r>
          </w:p>
        </w:tc>
        <w:tc>
          <w:tcPr>
            <w:tcW w:w="595" w:type="pct"/>
          </w:tcPr>
          <w:p w14:paraId="6E2D4788" w14:textId="0D937162" w:rsidR="00121F6F" w:rsidRPr="0084014B" w:rsidRDefault="00556852" w:rsidP="00903311">
            <w:pPr>
              <w:pStyle w:val="COMTabletext"/>
              <w:keepNext w:val="0"/>
              <w:jc w:val="center"/>
            </w:pPr>
            <w:r w:rsidRPr="00556852">
              <w:rPr>
                <w:rFonts w:hint="eastAsia"/>
                <w:color w:val="000000"/>
                <w:w w:val="27"/>
                <w:shd w:val="solid" w:color="000000" w:fill="000000"/>
                <w:fitText w:val="120" w:id="-629514491"/>
                <w14:textFill>
                  <w14:solidFill>
                    <w14:srgbClr w14:val="000000">
                      <w14:alpha w14:val="100000"/>
                    </w14:srgbClr>
                  </w14:solidFill>
                </w14:textFill>
              </w:rPr>
              <w:t xml:space="preserve">　</w:t>
            </w:r>
            <w:r w:rsidRPr="00556852">
              <w:rPr>
                <w:color w:val="000000"/>
                <w:w w:val="27"/>
                <w:shd w:val="solid" w:color="000000" w:fill="000000"/>
                <w:fitText w:val="120" w:id="-629514491"/>
                <w14:textFill>
                  <w14:solidFill>
                    <w14:srgbClr w14:val="000000">
                      <w14:alpha w14:val="100000"/>
                    </w14:srgbClr>
                  </w14:solidFill>
                </w14:textFill>
              </w:rPr>
              <w:t>|</w:t>
            </w:r>
            <w:r w:rsidRPr="00556852">
              <w:rPr>
                <w:rFonts w:hint="eastAsia"/>
                <w:color w:val="000000"/>
                <w:spacing w:val="2"/>
                <w:w w:val="27"/>
                <w:shd w:val="solid" w:color="000000" w:fill="000000"/>
                <w:fitText w:val="120" w:id="-629514491"/>
                <w14:textFill>
                  <w14:solidFill>
                    <w14:srgbClr w14:val="000000">
                      <w14:alpha w14:val="100000"/>
                    </w14:srgbClr>
                  </w14:solidFill>
                </w14:textFill>
              </w:rPr>
              <w:t xml:space="preserve">　</w:t>
            </w:r>
            <w:r w:rsidR="00121F6F" w:rsidRPr="0084014B">
              <w:t>%</w:t>
            </w:r>
          </w:p>
        </w:tc>
      </w:tr>
      <w:tr w:rsidR="00121F6F" w:rsidRPr="0084014B" w14:paraId="037AB64A" w14:textId="77777777" w:rsidTr="00903311">
        <w:tc>
          <w:tcPr>
            <w:tcW w:w="5000" w:type="pct"/>
            <w:gridSpan w:val="9"/>
          </w:tcPr>
          <w:p w14:paraId="3AEF2567" w14:textId="77777777" w:rsidR="00121F6F" w:rsidRPr="0084014B" w:rsidRDefault="00121F6F" w:rsidP="00903311">
            <w:pPr>
              <w:pStyle w:val="COMTabletext"/>
              <w:keepNext w:val="0"/>
            </w:pPr>
            <w:r w:rsidRPr="0084014B">
              <w:rPr>
                <w:b/>
                <w:bCs w:val="0"/>
              </w:rPr>
              <w:t>Post-progression survival parametric function (base case: Gompertz)</w:t>
            </w:r>
          </w:p>
        </w:tc>
      </w:tr>
      <w:tr w:rsidR="00121F6F" w:rsidRPr="0084014B" w14:paraId="1B231082" w14:textId="77777777" w:rsidTr="00713B97">
        <w:tc>
          <w:tcPr>
            <w:tcW w:w="2266" w:type="pct"/>
          </w:tcPr>
          <w:p w14:paraId="15AFEE81" w14:textId="77777777" w:rsidR="00121F6F" w:rsidRPr="0084014B" w:rsidRDefault="00121F6F" w:rsidP="00903311">
            <w:pPr>
              <w:pStyle w:val="COMTabletext"/>
              <w:keepNext w:val="0"/>
            </w:pPr>
            <w:r w:rsidRPr="0084014B">
              <w:t>Exponential</w:t>
            </w:r>
          </w:p>
        </w:tc>
        <w:tc>
          <w:tcPr>
            <w:tcW w:w="739" w:type="pct"/>
          </w:tcPr>
          <w:p w14:paraId="195D987E" w14:textId="33868BD6"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36AFD425" w14:textId="77777777" w:rsidR="00121F6F" w:rsidRPr="0084014B" w:rsidRDefault="00121F6F" w:rsidP="00903311">
            <w:pPr>
              <w:pStyle w:val="COMTabletext"/>
              <w:keepNext w:val="0"/>
              <w:jc w:val="center"/>
            </w:pPr>
            <w:r w:rsidRPr="0084014B">
              <w:t>1.840</w:t>
            </w:r>
          </w:p>
        </w:tc>
        <w:tc>
          <w:tcPr>
            <w:tcW w:w="596" w:type="pct"/>
          </w:tcPr>
          <w:p w14:paraId="126A5607" w14:textId="6244BABD"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90"/>
                <w14:textFill>
                  <w14:solidFill>
                    <w14:srgbClr w14:val="000000">
                      <w14:alpha w14:val="100000"/>
                    </w14:srgbClr>
                  </w14:solidFill>
                </w14:textFill>
              </w:rPr>
              <w:t xml:space="preserve">　</w:t>
            </w:r>
            <w:r w:rsidR="00556852" w:rsidRPr="00556852">
              <w:rPr>
                <w:color w:val="000000"/>
                <w:w w:val="24"/>
                <w:shd w:val="solid" w:color="000000" w:fill="000000"/>
                <w:fitText w:val="108" w:id="-629514490"/>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0"/>
                <w14:textFill>
                  <w14:solidFill>
                    <w14:srgbClr w14:val="000000">
                      <w14:alpha w14:val="100000"/>
                    </w14:srgbClr>
                  </w14:solidFill>
                </w14:textFill>
              </w:rPr>
              <w:t xml:space="preserve">　</w:t>
            </w:r>
            <w:r w:rsidR="00997AF3">
              <w:rPr>
                <w:vertAlign w:val="superscript"/>
              </w:rPr>
              <w:t>1</w:t>
            </w:r>
          </w:p>
        </w:tc>
        <w:tc>
          <w:tcPr>
            <w:tcW w:w="595" w:type="pct"/>
          </w:tcPr>
          <w:p w14:paraId="14730211" w14:textId="022CD759" w:rsidR="00121F6F" w:rsidRPr="0084014B" w:rsidRDefault="00556852" w:rsidP="00903311">
            <w:pPr>
              <w:pStyle w:val="COMTabletext"/>
              <w:keepNext w:val="0"/>
              <w:jc w:val="center"/>
            </w:pPr>
            <w:r w:rsidRPr="00556852">
              <w:rPr>
                <w:rFonts w:hint="eastAsia"/>
                <w:color w:val="000000"/>
                <w:w w:val="27"/>
                <w:shd w:val="solid" w:color="000000" w:fill="000000"/>
                <w:fitText w:val="120" w:id="-629514489"/>
                <w14:textFill>
                  <w14:solidFill>
                    <w14:srgbClr w14:val="000000">
                      <w14:alpha w14:val="100000"/>
                    </w14:srgbClr>
                  </w14:solidFill>
                </w14:textFill>
              </w:rPr>
              <w:t xml:space="preserve">　</w:t>
            </w:r>
            <w:r w:rsidRPr="00556852">
              <w:rPr>
                <w:color w:val="000000"/>
                <w:w w:val="27"/>
                <w:shd w:val="solid" w:color="000000" w:fill="000000"/>
                <w:fitText w:val="120" w:id="-629514489"/>
                <w14:textFill>
                  <w14:solidFill>
                    <w14:srgbClr w14:val="000000">
                      <w14:alpha w14:val="100000"/>
                    </w14:srgbClr>
                  </w14:solidFill>
                </w14:textFill>
              </w:rPr>
              <w:t>|</w:t>
            </w:r>
            <w:r w:rsidRPr="00556852">
              <w:rPr>
                <w:rFonts w:hint="eastAsia"/>
                <w:color w:val="000000"/>
                <w:spacing w:val="2"/>
                <w:w w:val="27"/>
                <w:shd w:val="solid" w:color="000000" w:fill="000000"/>
                <w:fitText w:val="120" w:id="-629514489"/>
                <w14:textFill>
                  <w14:solidFill>
                    <w14:srgbClr w14:val="000000">
                      <w14:alpha w14:val="100000"/>
                    </w14:srgbClr>
                  </w14:solidFill>
                </w14:textFill>
              </w:rPr>
              <w:t xml:space="preserve">　</w:t>
            </w:r>
            <w:r w:rsidR="00121F6F" w:rsidRPr="0084014B">
              <w:t>%</w:t>
            </w:r>
          </w:p>
        </w:tc>
      </w:tr>
      <w:tr w:rsidR="00121F6F" w:rsidRPr="0084014B" w14:paraId="289108BE" w14:textId="77777777" w:rsidTr="00713B97">
        <w:tc>
          <w:tcPr>
            <w:tcW w:w="2266" w:type="pct"/>
          </w:tcPr>
          <w:p w14:paraId="2B3D05E6" w14:textId="77777777" w:rsidR="00121F6F" w:rsidRPr="0084014B" w:rsidRDefault="00121F6F" w:rsidP="00903311">
            <w:pPr>
              <w:pStyle w:val="COMTabletext"/>
              <w:keepNext w:val="0"/>
            </w:pPr>
            <w:r w:rsidRPr="0084014B">
              <w:t>Weibull</w:t>
            </w:r>
          </w:p>
        </w:tc>
        <w:tc>
          <w:tcPr>
            <w:tcW w:w="739" w:type="pct"/>
          </w:tcPr>
          <w:p w14:paraId="5F1804A5" w14:textId="251BDB44"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377721B5" w14:textId="77777777" w:rsidR="00121F6F" w:rsidRPr="0084014B" w:rsidRDefault="00121F6F" w:rsidP="00903311">
            <w:pPr>
              <w:pStyle w:val="COMTabletext"/>
              <w:keepNext w:val="0"/>
              <w:jc w:val="center"/>
            </w:pPr>
            <w:r w:rsidRPr="0084014B">
              <w:t>1.937</w:t>
            </w:r>
          </w:p>
        </w:tc>
        <w:tc>
          <w:tcPr>
            <w:tcW w:w="596" w:type="pct"/>
          </w:tcPr>
          <w:p w14:paraId="7054E894" w14:textId="4C6CB1CA"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8"/>
                <w14:textFill>
                  <w14:solidFill>
                    <w14:srgbClr w14:val="000000">
                      <w14:alpha w14:val="100000"/>
                    </w14:srgbClr>
                  </w14:solidFill>
                </w14:textFill>
              </w:rPr>
              <w:t xml:space="preserve">　</w:t>
            </w:r>
            <w:r w:rsidR="00556852" w:rsidRPr="00556852">
              <w:rPr>
                <w:color w:val="000000"/>
                <w:w w:val="24"/>
                <w:shd w:val="solid" w:color="000000" w:fill="000000"/>
                <w:fitText w:val="108" w:id="-629514488"/>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8"/>
                <w14:textFill>
                  <w14:solidFill>
                    <w14:srgbClr w14:val="000000">
                      <w14:alpha w14:val="100000"/>
                    </w14:srgbClr>
                  </w14:solidFill>
                </w14:textFill>
              </w:rPr>
              <w:t xml:space="preserve">　</w:t>
            </w:r>
            <w:r w:rsidR="00997AF3">
              <w:rPr>
                <w:vertAlign w:val="superscript"/>
              </w:rPr>
              <w:t>1</w:t>
            </w:r>
          </w:p>
        </w:tc>
        <w:tc>
          <w:tcPr>
            <w:tcW w:w="595" w:type="pct"/>
          </w:tcPr>
          <w:p w14:paraId="046B6F14" w14:textId="667953E5" w:rsidR="00121F6F" w:rsidRPr="0084014B" w:rsidRDefault="00556852" w:rsidP="00903311">
            <w:pPr>
              <w:pStyle w:val="COMTabletext"/>
              <w:keepNext w:val="0"/>
              <w:jc w:val="center"/>
            </w:pPr>
            <w:r w:rsidRPr="00556852">
              <w:rPr>
                <w:rFonts w:hint="eastAsia"/>
                <w:color w:val="000000"/>
                <w:w w:val="27"/>
                <w:shd w:val="solid" w:color="000000" w:fill="000000"/>
                <w:fitText w:val="120" w:id="-629514487"/>
                <w14:textFill>
                  <w14:solidFill>
                    <w14:srgbClr w14:val="000000">
                      <w14:alpha w14:val="100000"/>
                    </w14:srgbClr>
                  </w14:solidFill>
                </w14:textFill>
              </w:rPr>
              <w:t xml:space="preserve">　</w:t>
            </w:r>
            <w:r w:rsidRPr="00556852">
              <w:rPr>
                <w:color w:val="000000"/>
                <w:w w:val="27"/>
                <w:shd w:val="solid" w:color="000000" w:fill="000000"/>
                <w:fitText w:val="120" w:id="-629514487"/>
                <w14:textFill>
                  <w14:solidFill>
                    <w14:srgbClr w14:val="000000">
                      <w14:alpha w14:val="100000"/>
                    </w14:srgbClr>
                  </w14:solidFill>
                </w14:textFill>
              </w:rPr>
              <w:t>|</w:t>
            </w:r>
            <w:r w:rsidRPr="00556852">
              <w:rPr>
                <w:rFonts w:hint="eastAsia"/>
                <w:color w:val="000000"/>
                <w:spacing w:val="2"/>
                <w:w w:val="27"/>
                <w:shd w:val="solid" w:color="000000" w:fill="000000"/>
                <w:fitText w:val="120" w:id="-629514487"/>
                <w14:textFill>
                  <w14:solidFill>
                    <w14:srgbClr w14:val="000000">
                      <w14:alpha w14:val="100000"/>
                    </w14:srgbClr>
                  </w14:solidFill>
                </w14:textFill>
              </w:rPr>
              <w:t xml:space="preserve">　</w:t>
            </w:r>
            <w:r w:rsidR="00121F6F" w:rsidRPr="0084014B">
              <w:t>%</w:t>
            </w:r>
          </w:p>
        </w:tc>
      </w:tr>
      <w:tr w:rsidR="00121F6F" w:rsidRPr="0084014B" w14:paraId="159AFDFB" w14:textId="77777777" w:rsidTr="00713B97">
        <w:tc>
          <w:tcPr>
            <w:tcW w:w="2266" w:type="pct"/>
          </w:tcPr>
          <w:p w14:paraId="5F091685" w14:textId="77777777" w:rsidR="00121F6F" w:rsidRPr="0084014B" w:rsidRDefault="00121F6F" w:rsidP="00903311">
            <w:pPr>
              <w:pStyle w:val="COMTabletext"/>
              <w:keepNext w:val="0"/>
            </w:pPr>
            <w:r w:rsidRPr="0084014B">
              <w:t>Generalised gamma</w:t>
            </w:r>
          </w:p>
        </w:tc>
        <w:tc>
          <w:tcPr>
            <w:tcW w:w="739" w:type="pct"/>
          </w:tcPr>
          <w:p w14:paraId="7AB1E0AD" w14:textId="2A4480FC"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1505506D" w14:textId="77777777" w:rsidR="00121F6F" w:rsidRPr="0084014B" w:rsidRDefault="00121F6F" w:rsidP="00903311">
            <w:pPr>
              <w:pStyle w:val="COMTabletext"/>
              <w:keepNext w:val="0"/>
              <w:jc w:val="center"/>
            </w:pPr>
            <w:r w:rsidRPr="0084014B">
              <w:t>2.019</w:t>
            </w:r>
          </w:p>
        </w:tc>
        <w:tc>
          <w:tcPr>
            <w:tcW w:w="596" w:type="pct"/>
          </w:tcPr>
          <w:p w14:paraId="07EB1794" w14:textId="3D085FA3" w:rsidR="00121F6F" w:rsidRPr="009978F5"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6"/>
                <w14:textFill>
                  <w14:solidFill>
                    <w14:srgbClr w14:val="000000">
                      <w14:alpha w14:val="100000"/>
                    </w14:srgbClr>
                  </w14:solidFill>
                </w14:textFill>
              </w:rPr>
              <w:t xml:space="preserve">　</w:t>
            </w:r>
            <w:r w:rsidR="00556852" w:rsidRPr="00556852">
              <w:rPr>
                <w:color w:val="000000"/>
                <w:w w:val="24"/>
                <w:shd w:val="solid" w:color="000000" w:fill="000000"/>
                <w:fitText w:val="108" w:id="-629514486"/>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6"/>
                <w14:textFill>
                  <w14:solidFill>
                    <w14:srgbClr w14:val="000000">
                      <w14:alpha w14:val="100000"/>
                    </w14:srgbClr>
                  </w14:solidFill>
                </w14:textFill>
              </w:rPr>
              <w:t xml:space="preserve">　</w:t>
            </w:r>
            <w:r w:rsidR="009978F5">
              <w:rPr>
                <w:vertAlign w:val="superscript"/>
              </w:rPr>
              <w:t>3</w:t>
            </w:r>
          </w:p>
        </w:tc>
        <w:tc>
          <w:tcPr>
            <w:tcW w:w="595" w:type="pct"/>
          </w:tcPr>
          <w:p w14:paraId="60F44229" w14:textId="05254DD9" w:rsidR="00121F6F" w:rsidRPr="0084014B" w:rsidRDefault="00121F6F" w:rsidP="00903311">
            <w:pPr>
              <w:pStyle w:val="COMTabletext"/>
              <w:keepNext w:val="0"/>
              <w:jc w:val="center"/>
            </w:pPr>
            <w:r w:rsidRPr="0084014B">
              <w:t>-</w:t>
            </w:r>
            <w:r w:rsidR="00556852" w:rsidRPr="00556852">
              <w:rPr>
                <w:rFonts w:hint="eastAsia"/>
                <w:color w:val="000000"/>
                <w:w w:val="32"/>
                <w:shd w:val="solid" w:color="000000" w:fill="000000"/>
                <w:fitText w:val="144" w:id="-629514485"/>
                <w14:textFill>
                  <w14:solidFill>
                    <w14:srgbClr w14:val="000000">
                      <w14:alpha w14:val="100000"/>
                    </w14:srgbClr>
                  </w14:solidFill>
                </w14:textFill>
              </w:rPr>
              <w:t xml:space="preserve">　</w:t>
            </w:r>
            <w:r w:rsidR="00556852" w:rsidRPr="00556852">
              <w:rPr>
                <w:color w:val="000000"/>
                <w:w w:val="32"/>
                <w:shd w:val="solid" w:color="000000" w:fill="000000"/>
                <w:fitText w:val="144" w:id="-629514485"/>
                <w14:textFill>
                  <w14:solidFill>
                    <w14:srgbClr w14:val="000000">
                      <w14:alpha w14:val="100000"/>
                    </w14:srgbClr>
                  </w14:solidFill>
                </w14:textFill>
              </w:rPr>
              <w:t>|</w:t>
            </w:r>
            <w:r w:rsidR="00556852" w:rsidRPr="00556852">
              <w:rPr>
                <w:rFonts w:hint="eastAsia"/>
                <w:color w:val="000000"/>
                <w:w w:val="32"/>
                <w:shd w:val="solid" w:color="000000" w:fill="000000"/>
                <w:fitText w:val="144" w:id="-629514485"/>
                <w14:textFill>
                  <w14:solidFill>
                    <w14:srgbClr w14:val="000000">
                      <w14:alpha w14:val="100000"/>
                    </w14:srgbClr>
                  </w14:solidFill>
                </w14:textFill>
              </w:rPr>
              <w:t xml:space="preserve">　</w:t>
            </w:r>
            <w:r w:rsidRPr="0084014B">
              <w:t>%</w:t>
            </w:r>
          </w:p>
        </w:tc>
      </w:tr>
      <w:tr w:rsidR="00121F6F" w:rsidRPr="0084014B" w14:paraId="66B2ED9E" w14:textId="77777777" w:rsidTr="00713B97">
        <w:tc>
          <w:tcPr>
            <w:tcW w:w="2266" w:type="pct"/>
          </w:tcPr>
          <w:p w14:paraId="760E4CEA" w14:textId="77777777" w:rsidR="00121F6F" w:rsidRPr="0084014B" w:rsidRDefault="00121F6F" w:rsidP="00903311">
            <w:pPr>
              <w:pStyle w:val="COMTabletext"/>
              <w:keepNext w:val="0"/>
            </w:pPr>
            <w:r w:rsidRPr="0084014B">
              <w:t>Lognormal</w:t>
            </w:r>
          </w:p>
        </w:tc>
        <w:tc>
          <w:tcPr>
            <w:tcW w:w="739" w:type="pct"/>
          </w:tcPr>
          <w:p w14:paraId="1DA998D5" w14:textId="7F3D7574"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0E58E58B" w14:textId="77777777" w:rsidR="00121F6F" w:rsidRPr="0084014B" w:rsidRDefault="00121F6F" w:rsidP="00903311">
            <w:pPr>
              <w:pStyle w:val="COMTabletext"/>
              <w:keepNext w:val="0"/>
              <w:jc w:val="center"/>
            </w:pPr>
            <w:r w:rsidRPr="0084014B">
              <w:t>1.815</w:t>
            </w:r>
          </w:p>
        </w:tc>
        <w:tc>
          <w:tcPr>
            <w:tcW w:w="596" w:type="pct"/>
          </w:tcPr>
          <w:p w14:paraId="036AC7E3" w14:textId="407C8813"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4"/>
                <w14:textFill>
                  <w14:solidFill>
                    <w14:srgbClr w14:val="000000">
                      <w14:alpha w14:val="100000"/>
                    </w14:srgbClr>
                  </w14:solidFill>
                </w14:textFill>
              </w:rPr>
              <w:t xml:space="preserve">　</w:t>
            </w:r>
            <w:r w:rsidR="00556852" w:rsidRPr="00556852">
              <w:rPr>
                <w:color w:val="000000"/>
                <w:w w:val="24"/>
                <w:shd w:val="solid" w:color="000000" w:fill="000000"/>
                <w:fitText w:val="108" w:id="-629514484"/>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4"/>
                <w14:textFill>
                  <w14:solidFill>
                    <w14:srgbClr w14:val="000000">
                      <w14:alpha w14:val="100000"/>
                    </w14:srgbClr>
                  </w14:solidFill>
                </w14:textFill>
              </w:rPr>
              <w:t xml:space="preserve">　</w:t>
            </w:r>
            <w:r w:rsidR="00997AF3">
              <w:rPr>
                <w:vertAlign w:val="superscript"/>
              </w:rPr>
              <w:t>1</w:t>
            </w:r>
          </w:p>
        </w:tc>
        <w:tc>
          <w:tcPr>
            <w:tcW w:w="595" w:type="pct"/>
          </w:tcPr>
          <w:p w14:paraId="32830065" w14:textId="2D1B24AF" w:rsidR="00121F6F" w:rsidRPr="0084014B" w:rsidRDefault="00556852" w:rsidP="00903311">
            <w:pPr>
              <w:pStyle w:val="COMTabletext"/>
              <w:keepNext w:val="0"/>
              <w:jc w:val="center"/>
            </w:pPr>
            <w:r w:rsidRPr="00556852">
              <w:rPr>
                <w:rFonts w:hint="eastAsia"/>
                <w:color w:val="000000"/>
                <w:w w:val="27"/>
                <w:shd w:val="solid" w:color="000000" w:fill="000000"/>
                <w:fitText w:val="120" w:id="-629514483"/>
                <w14:textFill>
                  <w14:solidFill>
                    <w14:srgbClr w14:val="000000">
                      <w14:alpha w14:val="100000"/>
                    </w14:srgbClr>
                  </w14:solidFill>
                </w14:textFill>
              </w:rPr>
              <w:t xml:space="preserve">　</w:t>
            </w:r>
            <w:r w:rsidRPr="00556852">
              <w:rPr>
                <w:color w:val="000000"/>
                <w:w w:val="27"/>
                <w:shd w:val="solid" w:color="000000" w:fill="000000"/>
                <w:fitText w:val="120" w:id="-629514483"/>
                <w14:textFill>
                  <w14:solidFill>
                    <w14:srgbClr w14:val="000000">
                      <w14:alpha w14:val="100000"/>
                    </w14:srgbClr>
                  </w14:solidFill>
                </w14:textFill>
              </w:rPr>
              <w:t>|</w:t>
            </w:r>
            <w:r w:rsidRPr="00556852">
              <w:rPr>
                <w:rFonts w:hint="eastAsia"/>
                <w:color w:val="000000"/>
                <w:spacing w:val="2"/>
                <w:w w:val="27"/>
                <w:shd w:val="solid" w:color="000000" w:fill="000000"/>
                <w:fitText w:val="120" w:id="-629514483"/>
                <w14:textFill>
                  <w14:solidFill>
                    <w14:srgbClr w14:val="000000">
                      <w14:alpha w14:val="100000"/>
                    </w14:srgbClr>
                  </w14:solidFill>
                </w14:textFill>
              </w:rPr>
              <w:t xml:space="preserve">　</w:t>
            </w:r>
            <w:r w:rsidR="00121F6F" w:rsidRPr="0084014B">
              <w:t>%</w:t>
            </w:r>
          </w:p>
        </w:tc>
      </w:tr>
      <w:tr w:rsidR="00121F6F" w:rsidRPr="0084014B" w14:paraId="7AE1DD15" w14:textId="77777777" w:rsidTr="00713B97">
        <w:tc>
          <w:tcPr>
            <w:tcW w:w="2266" w:type="pct"/>
          </w:tcPr>
          <w:p w14:paraId="7952B8D0" w14:textId="77777777" w:rsidR="00121F6F" w:rsidRPr="0084014B" w:rsidRDefault="00121F6F" w:rsidP="00903311">
            <w:pPr>
              <w:pStyle w:val="COMTabletext"/>
              <w:keepNext w:val="0"/>
            </w:pPr>
            <w:r w:rsidRPr="0084014B">
              <w:t>Loglogistic</w:t>
            </w:r>
          </w:p>
        </w:tc>
        <w:tc>
          <w:tcPr>
            <w:tcW w:w="739" w:type="pct"/>
          </w:tcPr>
          <w:p w14:paraId="7588EB69" w14:textId="12F22757"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Pr>
          <w:p w14:paraId="20BC120F" w14:textId="77777777" w:rsidR="00121F6F" w:rsidRPr="0084014B" w:rsidRDefault="00121F6F" w:rsidP="00903311">
            <w:pPr>
              <w:pStyle w:val="COMTabletext"/>
              <w:keepNext w:val="0"/>
              <w:jc w:val="center"/>
            </w:pPr>
            <w:r w:rsidRPr="0084014B">
              <w:t>1.849</w:t>
            </w:r>
          </w:p>
        </w:tc>
        <w:tc>
          <w:tcPr>
            <w:tcW w:w="596" w:type="pct"/>
          </w:tcPr>
          <w:p w14:paraId="6A0D871D" w14:textId="7009908D"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2"/>
                <w14:textFill>
                  <w14:solidFill>
                    <w14:srgbClr w14:val="000000">
                      <w14:alpha w14:val="100000"/>
                    </w14:srgbClr>
                  </w14:solidFill>
                </w14:textFill>
              </w:rPr>
              <w:t xml:space="preserve">　</w:t>
            </w:r>
            <w:r w:rsidR="00556852" w:rsidRPr="00556852">
              <w:rPr>
                <w:color w:val="000000"/>
                <w:w w:val="24"/>
                <w:shd w:val="solid" w:color="000000" w:fill="000000"/>
                <w:fitText w:val="108" w:id="-629514482"/>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2"/>
                <w14:textFill>
                  <w14:solidFill>
                    <w14:srgbClr w14:val="000000">
                      <w14:alpha w14:val="100000"/>
                    </w14:srgbClr>
                  </w14:solidFill>
                </w14:textFill>
              </w:rPr>
              <w:t xml:space="preserve">　</w:t>
            </w:r>
            <w:r w:rsidR="00997AF3">
              <w:rPr>
                <w:vertAlign w:val="superscript"/>
              </w:rPr>
              <w:t>1</w:t>
            </w:r>
          </w:p>
        </w:tc>
        <w:tc>
          <w:tcPr>
            <w:tcW w:w="595" w:type="pct"/>
          </w:tcPr>
          <w:p w14:paraId="2405502F" w14:textId="443879C7" w:rsidR="00121F6F" w:rsidRPr="0084014B" w:rsidRDefault="00556852" w:rsidP="00903311">
            <w:pPr>
              <w:pStyle w:val="COMTabletext"/>
              <w:keepNext w:val="0"/>
              <w:jc w:val="center"/>
            </w:pPr>
            <w:r w:rsidRPr="00556852">
              <w:rPr>
                <w:rFonts w:hint="eastAsia"/>
                <w:color w:val="000000"/>
                <w:w w:val="27"/>
                <w:shd w:val="solid" w:color="000000" w:fill="000000"/>
                <w:fitText w:val="120" w:id="-629514481"/>
                <w14:textFill>
                  <w14:solidFill>
                    <w14:srgbClr w14:val="000000">
                      <w14:alpha w14:val="100000"/>
                    </w14:srgbClr>
                  </w14:solidFill>
                </w14:textFill>
              </w:rPr>
              <w:t xml:space="preserve">　</w:t>
            </w:r>
            <w:r w:rsidRPr="00556852">
              <w:rPr>
                <w:color w:val="000000"/>
                <w:w w:val="27"/>
                <w:shd w:val="solid" w:color="000000" w:fill="000000"/>
                <w:fitText w:val="120" w:id="-629514481"/>
                <w14:textFill>
                  <w14:solidFill>
                    <w14:srgbClr w14:val="000000">
                      <w14:alpha w14:val="100000"/>
                    </w14:srgbClr>
                  </w14:solidFill>
                </w14:textFill>
              </w:rPr>
              <w:t>|</w:t>
            </w:r>
            <w:r w:rsidRPr="00556852">
              <w:rPr>
                <w:rFonts w:hint="eastAsia"/>
                <w:color w:val="000000"/>
                <w:spacing w:val="2"/>
                <w:w w:val="27"/>
                <w:shd w:val="solid" w:color="000000" w:fill="000000"/>
                <w:fitText w:val="120" w:id="-629514481"/>
                <w14:textFill>
                  <w14:solidFill>
                    <w14:srgbClr w14:val="000000">
                      <w14:alpha w14:val="100000"/>
                    </w14:srgbClr>
                  </w14:solidFill>
                </w14:textFill>
              </w:rPr>
              <w:t xml:space="preserve">　</w:t>
            </w:r>
            <w:r w:rsidR="00121F6F" w:rsidRPr="0084014B">
              <w:t>%</w:t>
            </w:r>
          </w:p>
        </w:tc>
      </w:tr>
      <w:tr w:rsidR="00121F6F" w:rsidRPr="0084014B" w14:paraId="2F53D250" w14:textId="77777777" w:rsidTr="00903311">
        <w:tc>
          <w:tcPr>
            <w:tcW w:w="5000" w:type="pct"/>
            <w:gridSpan w:val="9"/>
          </w:tcPr>
          <w:p w14:paraId="7E05607F" w14:textId="54257641" w:rsidR="00121F6F" w:rsidRPr="0084014B" w:rsidRDefault="00121F6F" w:rsidP="00903311">
            <w:pPr>
              <w:pStyle w:val="COMTabletext"/>
              <w:keepNext w:val="0"/>
              <w:rPr>
                <w:b/>
                <w:bCs w:val="0"/>
              </w:rPr>
            </w:pPr>
            <w:r w:rsidRPr="0084014B">
              <w:rPr>
                <w:b/>
                <w:bCs w:val="0"/>
              </w:rPr>
              <w:t>Vorasidenib drug cost (base case: $</w:t>
            </w:r>
            <w:r w:rsidR="00556852" w:rsidRPr="00556852">
              <w:rPr>
                <w:b/>
                <w:bCs w:val="0"/>
                <w:color w:val="000000"/>
                <w:spacing w:val="54"/>
                <w:shd w:val="solid" w:color="000000" w:fill="000000"/>
                <w:fitText w:val="348" w:id="-629514480"/>
                <w14:textFill>
                  <w14:solidFill>
                    <w14:srgbClr w14:val="000000">
                      <w14:alpha w14:val="100000"/>
                    </w14:srgbClr>
                  </w14:solidFill>
                </w14:textFill>
              </w:rPr>
              <w:t>|||</w:t>
            </w:r>
            <w:r w:rsidR="00556852" w:rsidRPr="00556852">
              <w:rPr>
                <w:b/>
                <w:bCs w:val="0"/>
                <w:color w:val="000000"/>
                <w:spacing w:val="3"/>
                <w:shd w:val="solid" w:color="000000" w:fill="000000"/>
                <w:fitText w:val="348" w:id="-629514480"/>
                <w14:textFill>
                  <w14:solidFill>
                    <w14:srgbClr w14:val="000000">
                      <w14:alpha w14:val="100000"/>
                    </w14:srgbClr>
                  </w14:solidFill>
                </w14:textFill>
              </w:rPr>
              <w:t>|</w:t>
            </w:r>
            <w:r w:rsidRPr="0084014B">
              <w:rPr>
                <w:b/>
                <w:bCs w:val="0"/>
              </w:rPr>
              <w:t>, based on 30.0 days of treatment per month)</w:t>
            </w:r>
          </w:p>
        </w:tc>
      </w:tr>
      <w:tr w:rsidR="00121F6F" w:rsidRPr="0084014B" w14:paraId="3C422C46" w14:textId="77777777" w:rsidTr="00713B97">
        <w:tc>
          <w:tcPr>
            <w:tcW w:w="2266" w:type="pct"/>
          </w:tcPr>
          <w:p w14:paraId="3DB817C3" w14:textId="1BA9A157" w:rsidR="00121F6F" w:rsidRPr="0084014B" w:rsidRDefault="00121F6F" w:rsidP="00903311">
            <w:pPr>
              <w:pStyle w:val="COMTabletext"/>
              <w:keepNext w:val="0"/>
            </w:pPr>
            <w:r w:rsidRPr="0084014B">
              <w:t>Based on 30.4375 days of treatment per month ($</w:t>
            </w:r>
            <w:r w:rsidR="00556852" w:rsidRPr="00556852">
              <w:rPr>
                <w:color w:val="000000"/>
                <w:spacing w:val="55"/>
                <w:shd w:val="solid" w:color="000000" w:fill="000000"/>
                <w:fitText w:val="336" w:id="-629514496"/>
                <w14:textFill>
                  <w14:solidFill>
                    <w14:srgbClr w14:val="000000">
                      <w14:alpha w14:val="100000"/>
                    </w14:srgbClr>
                  </w14:solidFill>
                </w14:textFill>
              </w:rPr>
              <w:t>|||</w:t>
            </w:r>
            <w:r w:rsidR="00556852" w:rsidRPr="00556852">
              <w:rPr>
                <w:color w:val="000000"/>
                <w:spacing w:val="1"/>
                <w:shd w:val="solid" w:color="000000" w:fill="000000"/>
                <w:fitText w:val="336" w:id="-629514496"/>
                <w14:textFill>
                  <w14:solidFill>
                    <w14:srgbClr w14:val="000000">
                      <w14:alpha w14:val="100000"/>
                    </w14:srgbClr>
                  </w14:solidFill>
                </w14:textFill>
              </w:rPr>
              <w:t>|</w:t>
            </w:r>
            <w:r w:rsidRPr="0084014B">
              <w:t>)</w:t>
            </w:r>
          </w:p>
        </w:tc>
        <w:tc>
          <w:tcPr>
            <w:tcW w:w="739" w:type="pct"/>
            <w:vAlign w:val="center"/>
          </w:tcPr>
          <w:p w14:paraId="5A745F5E" w14:textId="346CA62C"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3D7B7696" w14:textId="77777777" w:rsidR="00121F6F" w:rsidRPr="0084014B" w:rsidRDefault="00121F6F" w:rsidP="00903311">
            <w:pPr>
              <w:pStyle w:val="COMTabletext"/>
              <w:keepNext w:val="0"/>
              <w:jc w:val="center"/>
            </w:pPr>
            <w:r w:rsidRPr="0084014B">
              <w:t>2.003</w:t>
            </w:r>
          </w:p>
        </w:tc>
        <w:tc>
          <w:tcPr>
            <w:tcW w:w="596" w:type="pct"/>
            <w:vAlign w:val="center"/>
          </w:tcPr>
          <w:p w14:paraId="44811F60" w14:textId="33E8D161"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95"/>
                <w14:textFill>
                  <w14:solidFill>
                    <w14:srgbClr w14:val="000000">
                      <w14:alpha w14:val="100000"/>
                    </w14:srgbClr>
                  </w14:solidFill>
                </w14:textFill>
              </w:rPr>
              <w:t xml:space="preserve">　</w:t>
            </w:r>
            <w:r w:rsidR="00556852" w:rsidRPr="00556852">
              <w:rPr>
                <w:color w:val="000000"/>
                <w:w w:val="24"/>
                <w:shd w:val="solid" w:color="000000" w:fill="000000"/>
                <w:fitText w:val="108" w:id="-629514495"/>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5"/>
                <w14:textFill>
                  <w14:solidFill>
                    <w14:srgbClr w14:val="000000">
                      <w14:alpha w14:val="100000"/>
                    </w14:srgbClr>
                  </w14:solidFill>
                </w14:textFill>
              </w:rPr>
              <w:t xml:space="preserve">　</w:t>
            </w:r>
            <w:r w:rsidR="00997AF3">
              <w:rPr>
                <w:vertAlign w:val="superscript"/>
              </w:rPr>
              <w:t>1</w:t>
            </w:r>
          </w:p>
        </w:tc>
        <w:tc>
          <w:tcPr>
            <w:tcW w:w="595" w:type="pct"/>
            <w:vAlign w:val="center"/>
          </w:tcPr>
          <w:p w14:paraId="289D7946" w14:textId="757ABECD" w:rsidR="00121F6F" w:rsidRPr="0084014B" w:rsidRDefault="00556852" w:rsidP="00903311">
            <w:pPr>
              <w:pStyle w:val="COMTabletext"/>
              <w:keepNext w:val="0"/>
              <w:jc w:val="center"/>
            </w:pPr>
            <w:r w:rsidRPr="00556852">
              <w:rPr>
                <w:rFonts w:hint="eastAsia"/>
                <w:color w:val="000000"/>
                <w:w w:val="27"/>
                <w:shd w:val="solid" w:color="000000" w:fill="000000"/>
                <w:fitText w:val="120" w:id="-629514494"/>
                <w14:textFill>
                  <w14:solidFill>
                    <w14:srgbClr w14:val="000000">
                      <w14:alpha w14:val="100000"/>
                    </w14:srgbClr>
                  </w14:solidFill>
                </w14:textFill>
              </w:rPr>
              <w:t xml:space="preserve">　</w:t>
            </w:r>
            <w:r w:rsidRPr="00556852">
              <w:rPr>
                <w:color w:val="000000"/>
                <w:w w:val="27"/>
                <w:shd w:val="solid" w:color="000000" w:fill="000000"/>
                <w:fitText w:val="120" w:id="-629514494"/>
                <w14:textFill>
                  <w14:solidFill>
                    <w14:srgbClr w14:val="000000">
                      <w14:alpha w14:val="100000"/>
                    </w14:srgbClr>
                  </w14:solidFill>
                </w14:textFill>
              </w:rPr>
              <w:t>|</w:t>
            </w:r>
            <w:r w:rsidRPr="00556852">
              <w:rPr>
                <w:rFonts w:hint="eastAsia"/>
                <w:color w:val="000000"/>
                <w:spacing w:val="2"/>
                <w:w w:val="27"/>
                <w:shd w:val="solid" w:color="000000" w:fill="000000"/>
                <w:fitText w:val="120" w:id="-629514494"/>
                <w14:textFill>
                  <w14:solidFill>
                    <w14:srgbClr w14:val="000000">
                      <w14:alpha w14:val="100000"/>
                    </w14:srgbClr>
                  </w14:solidFill>
                </w14:textFill>
              </w:rPr>
              <w:t xml:space="preserve">　</w:t>
            </w:r>
            <w:r w:rsidR="00121F6F" w:rsidRPr="0084014B">
              <w:t>%</w:t>
            </w:r>
          </w:p>
        </w:tc>
      </w:tr>
      <w:tr w:rsidR="00A25943" w:rsidRPr="00516D2C" w14:paraId="2C3EBD45" w14:textId="77777777" w:rsidTr="00A25943">
        <w:tc>
          <w:tcPr>
            <w:tcW w:w="5000" w:type="pct"/>
            <w:gridSpan w:val="9"/>
          </w:tcPr>
          <w:p w14:paraId="32DB9062" w14:textId="02433948" w:rsidR="00A25943" w:rsidRPr="00516D2C" w:rsidRDefault="00A25943" w:rsidP="00A25943">
            <w:pPr>
              <w:pStyle w:val="COMTabletext"/>
              <w:keepNext w:val="0"/>
            </w:pPr>
            <w:r w:rsidRPr="00516D2C">
              <w:rPr>
                <w:b/>
              </w:rPr>
              <w:t>MRI scan frequency in progression-free state (base case: every 4.5 months for initial 60 months; every 6 months beyond 60 months)</w:t>
            </w:r>
          </w:p>
        </w:tc>
      </w:tr>
      <w:tr w:rsidR="00A25943" w:rsidRPr="00516D2C" w14:paraId="4A58DA76" w14:textId="77777777" w:rsidTr="00713B97">
        <w:tc>
          <w:tcPr>
            <w:tcW w:w="2266" w:type="pct"/>
          </w:tcPr>
          <w:p w14:paraId="08C0FC3D" w14:textId="30C98369" w:rsidR="00A25943" w:rsidRPr="00516D2C" w:rsidRDefault="00A25943" w:rsidP="00A25943">
            <w:pPr>
              <w:pStyle w:val="COMTabletext"/>
              <w:keepNext w:val="0"/>
            </w:pPr>
            <w:r w:rsidRPr="00516D2C">
              <w:t xml:space="preserve">Every 12 weeks for </w:t>
            </w:r>
            <w:r w:rsidR="004C022C">
              <w:t>3 years</w:t>
            </w:r>
            <w:r w:rsidRPr="00516D2C">
              <w:t xml:space="preserve">; every 6 months </w:t>
            </w:r>
            <w:r w:rsidR="004C022C">
              <w:t>for the next 2 years and annually thereafter (as per pre-PBAC response)</w:t>
            </w:r>
            <w:r w:rsidRPr="00516D2C">
              <w:t xml:space="preserve"> </w:t>
            </w:r>
            <w:r w:rsidRPr="00516D2C">
              <w:rPr>
                <w:vertAlign w:val="superscript"/>
              </w:rPr>
              <w:t>a</w:t>
            </w:r>
          </w:p>
        </w:tc>
        <w:tc>
          <w:tcPr>
            <w:tcW w:w="739" w:type="pct"/>
            <w:vAlign w:val="center"/>
          </w:tcPr>
          <w:p w14:paraId="6E995E8A" w14:textId="259E1171" w:rsidR="00A25943" w:rsidRPr="00516D2C" w:rsidRDefault="00A25943" w:rsidP="00A25943">
            <w:pPr>
              <w:pStyle w:val="COMTabletext"/>
              <w:keepNext w:val="0"/>
              <w:jc w:val="center"/>
            </w:pPr>
            <w:r w:rsidRPr="00516D2C">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0CCCBEAF" w14:textId="16FF6CD1" w:rsidR="00A25943" w:rsidRPr="00516D2C" w:rsidRDefault="00A25943" w:rsidP="00A25943">
            <w:pPr>
              <w:pStyle w:val="COMTabletext"/>
              <w:keepNext w:val="0"/>
              <w:jc w:val="center"/>
            </w:pPr>
            <w:r w:rsidRPr="00516D2C">
              <w:t>2.003</w:t>
            </w:r>
          </w:p>
        </w:tc>
        <w:tc>
          <w:tcPr>
            <w:tcW w:w="596" w:type="pct"/>
            <w:vAlign w:val="center"/>
          </w:tcPr>
          <w:p w14:paraId="25BBFE71" w14:textId="4E5BC038" w:rsidR="00A25943" w:rsidRPr="00997AF3" w:rsidRDefault="00A25943" w:rsidP="00A25943">
            <w:pPr>
              <w:pStyle w:val="COMTabletext"/>
              <w:keepNext w:val="0"/>
              <w:jc w:val="center"/>
              <w:rPr>
                <w:vertAlign w:val="superscript"/>
              </w:rPr>
            </w:pPr>
            <w:r w:rsidRPr="00516D2C">
              <w:t>$</w:t>
            </w:r>
            <w:r w:rsidR="00556852" w:rsidRPr="00556852">
              <w:rPr>
                <w:rFonts w:hint="eastAsia"/>
                <w:color w:val="000000"/>
                <w:w w:val="24"/>
                <w:shd w:val="solid" w:color="000000" w:fill="000000"/>
                <w:fitText w:val="108" w:id="-629514493"/>
                <w14:textFill>
                  <w14:solidFill>
                    <w14:srgbClr w14:val="000000">
                      <w14:alpha w14:val="100000"/>
                    </w14:srgbClr>
                  </w14:solidFill>
                </w14:textFill>
              </w:rPr>
              <w:t xml:space="preserve">　</w:t>
            </w:r>
            <w:r w:rsidR="00556852" w:rsidRPr="00556852">
              <w:rPr>
                <w:color w:val="000000"/>
                <w:w w:val="24"/>
                <w:shd w:val="solid" w:color="000000" w:fill="000000"/>
                <w:fitText w:val="108" w:id="-629514493"/>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3"/>
                <w14:textFill>
                  <w14:solidFill>
                    <w14:srgbClr w14:val="000000">
                      <w14:alpha w14:val="100000"/>
                    </w14:srgbClr>
                  </w14:solidFill>
                </w14:textFill>
              </w:rPr>
              <w:t xml:space="preserve">　</w:t>
            </w:r>
            <w:r w:rsidR="00997AF3">
              <w:rPr>
                <w:vertAlign w:val="superscript"/>
              </w:rPr>
              <w:t>1</w:t>
            </w:r>
          </w:p>
        </w:tc>
        <w:tc>
          <w:tcPr>
            <w:tcW w:w="595" w:type="pct"/>
            <w:vAlign w:val="center"/>
          </w:tcPr>
          <w:p w14:paraId="381CF7BD" w14:textId="4E5653F4" w:rsidR="00A25943" w:rsidRPr="00516D2C" w:rsidRDefault="00556852" w:rsidP="00A25943">
            <w:pPr>
              <w:pStyle w:val="COMTabletext"/>
              <w:keepNext w:val="0"/>
              <w:jc w:val="center"/>
            </w:pPr>
            <w:r w:rsidRPr="00556852">
              <w:rPr>
                <w:rFonts w:hint="eastAsia"/>
                <w:color w:val="000000"/>
                <w:w w:val="27"/>
                <w:shd w:val="solid" w:color="000000" w:fill="000000"/>
                <w:fitText w:val="120" w:id="-629514492"/>
                <w14:textFill>
                  <w14:solidFill>
                    <w14:srgbClr w14:val="000000">
                      <w14:alpha w14:val="100000"/>
                    </w14:srgbClr>
                  </w14:solidFill>
                </w14:textFill>
              </w:rPr>
              <w:t xml:space="preserve">　</w:t>
            </w:r>
            <w:r w:rsidRPr="00556852">
              <w:rPr>
                <w:color w:val="000000"/>
                <w:w w:val="27"/>
                <w:shd w:val="solid" w:color="000000" w:fill="000000"/>
                <w:fitText w:val="120" w:id="-629514492"/>
                <w14:textFill>
                  <w14:solidFill>
                    <w14:srgbClr w14:val="000000">
                      <w14:alpha w14:val="100000"/>
                    </w14:srgbClr>
                  </w14:solidFill>
                </w14:textFill>
              </w:rPr>
              <w:t>|</w:t>
            </w:r>
            <w:r w:rsidRPr="00556852">
              <w:rPr>
                <w:rFonts w:hint="eastAsia"/>
                <w:color w:val="000000"/>
                <w:spacing w:val="2"/>
                <w:w w:val="27"/>
                <w:shd w:val="solid" w:color="000000" w:fill="000000"/>
                <w:fitText w:val="120" w:id="-629514492"/>
                <w14:textFill>
                  <w14:solidFill>
                    <w14:srgbClr w14:val="000000">
                      <w14:alpha w14:val="100000"/>
                    </w14:srgbClr>
                  </w14:solidFill>
                </w14:textFill>
              </w:rPr>
              <w:t xml:space="preserve">　</w:t>
            </w:r>
            <w:r w:rsidR="00A25943" w:rsidRPr="00516D2C">
              <w:t>%</w:t>
            </w:r>
          </w:p>
        </w:tc>
      </w:tr>
      <w:tr w:rsidR="00121F6F" w:rsidRPr="0084014B" w14:paraId="63A806E7" w14:textId="77777777" w:rsidTr="00903311">
        <w:tc>
          <w:tcPr>
            <w:tcW w:w="5000" w:type="pct"/>
            <w:gridSpan w:val="9"/>
          </w:tcPr>
          <w:p w14:paraId="4F8CB27B" w14:textId="3E1E12CF" w:rsidR="00121F6F" w:rsidRPr="0084014B" w:rsidRDefault="00121F6F" w:rsidP="00903311">
            <w:pPr>
              <w:pStyle w:val="COMTabletext"/>
              <w:keepNext w:val="0"/>
              <w:rPr>
                <w:b/>
                <w:bCs w:val="0"/>
              </w:rPr>
            </w:pPr>
            <w:r w:rsidRPr="0084014B">
              <w:rPr>
                <w:b/>
                <w:bCs w:val="0"/>
              </w:rPr>
              <w:t>Health state utilities (base case: progression-free 0.93; progressed disease time-varying from 0.93 to 0 over 8.43 years</w:t>
            </w:r>
            <w:r w:rsidR="005A3DB3" w:rsidRPr="00470232">
              <w:rPr>
                <w:b/>
                <w:bCs w:val="0"/>
              </w:rPr>
              <w:t>)</w:t>
            </w:r>
          </w:p>
        </w:tc>
      </w:tr>
      <w:tr w:rsidR="00121F6F" w:rsidRPr="0084014B" w14:paraId="69F0C157" w14:textId="77777777" w:rsidTr="00713B97">
        <w:tc>
          <w:tcPr>
            <w:tcW w:w="2266" w:type="pct"/>
          </w:tcPr>
          <w:p w14:paraId="401DAD2D" w14:textId="77777777" w:rsidR="00121F6F" w:rsidRPr="0084014B" w:rsidRDefault="00121F6F" w:rsidP="00903311">
            <w:pPr>
              <w:pStyle w:val="COMTabletext"/>
              <w:keepNext w:val="0"/>
            </w:pPr>
            <w:r w:rsidRPr="0084014B">
              <w:t>Progression-free: 0.93; progressed disease: based on Qian et al. (2007) approach, with a reduction of 0.02 per month from progression-free utility for 30 months.</w:t>
            </w:r>
          </w:p>
        </w:tc>
        <w:tc>
          <w:tcPr>
            <w:tcW w:w="739" w:type="pct"/>
            <w:vAlign w:val="center"/>
          </w:tcPr>
          <w:p w14:paraId="4D896858" w14:textId="344106D1"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2B74DF5F" w14:textId="77777777" w:rsidR="00121F6F" w:rsidRPr="0084014B" w:rsidRDefault="00121F6F" w:rsidP="00903311">
            <w:pPr>
              <w:pStyle w:val="COMTabletext"/>
              <w:keepNext w:val="0"/>
              <w:jc w:val="center"/>
            </w:pPr>
            <w:r w:rsidRPr="0084014B">
              <w:t>2.021</w:t>
            </w:r>
          </w:p>
        </w:tc>
        <w:tc>
          <w:tcPr>
            <w:tcW w:w="596" w:type="pct"/>
            <w:vAlign w:val="center"/>
          </w:tcPr>
          <w:p w14:paraId="3DAA0C77" w14:textId="0425471A" w:rsidR="00121F6F" w:rsidRPr="009978F5"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91"/>
                <w14:textFill>
                  <w14:solidFill>
                    <w14:srgbClr w14:val="000000">
                      <w14:alpha w14:val="100000"/>
                    </w14:srgbClr>
                  </w14:solidFill>
                </w14:textFill>
              </w:rPr>
              <w:t xml:space="preserve">　</w:t>
            </w:r>
            <w:r w:rsidR="00556852" w:rsidRPr="00556852">
              <w:rPr>
                <w:color w:val="000000"/>
                <w:w w:val="24"/>
                <w:shd w:val="solid" w:color="000000" w:fill="000000"/>
                <w:fitText w:val="108" w:id="-629514491"/>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1"/>
                <w14:textFill>
                  <w14:solidFill>
                    <w14:srgbClr w14:val="000000">
                      <w14:alpha w14:val="100000"/>
                    </w14:srgbClr>
                  </w14:solidFill>
                </w14:textFill>
              </w:rPr>
              <w:t xml:space="preserve">　</w:t>
            </w:r>
            <w:r w:rsidR="009978F5">
              <w:rPr>
                <w:vertAlign w:val="superscript"/>
              </w:rPr>
              <w:t>3</w:t>
            </w:r>
          </w:p>
        </w:tc>
        <w:tc>
          <w:tcPr>
            <w:tcW w:w="595" w:type="pct"/>
            <w:vAlign w:val="center"/>
          </w:tcPr>
          <w:p w14:paraId="3FACF99D" w14:textId="6854B461" w:rsidR="00121F6F" w:rsidRPr="0084014B" w:rsidRDefault="00121F6F" w:rsidP="00903311">
            <w:pPr>
              <w:pStyle w:val="COMTabletext"/>
              <w:keepNext w:val="0"/>
              <w:jc w:val="center"/>
            </w:pPr>
            <w:r w:rsidRPr="0084014B">
              <w:t>-</w:t>
            </w:r>
            <w:r w:rsidR="00556852" w:rsidRPr="00556852">
              <w:rPr>
                <w:rFonts w:hint="eastAsia"/>
                <w:color w:val="000000"/>
                <w:w w:val="32"/>
                <w:shd w:val="solid" w:color="000000" w:fill="000000"/>
                <w:fitText w:val="144" w:id="-629514490"/>
                <w14:textFill>
                  <w14:solidFill>
                    <w14:srgbClr w14:val="000000">
                      <w14:alpha w14:val="100000"/>
                    </w14:srgbClr>
                  </w14:solidFill>
                </w14:textFill>
              </w:rPr>
              <w:t xml:space="preserve">　</w:t>
            </w:r>
            <w:r w:rsidR="00556852" w:rsidRPr="00556852">
              <w:rPr>
                <w:color w:val="000000"/>
                <w:w w:val="32"/>
                <w:shd w:val="solid" w:color="000000" w:fill="000000"/>
                <w:fitText w:val="144" w:id="-629514490"/>
                <w14:textFill>
                  <w14:solidFill>
                    <w14:srgbClr w14:val="000000">
                      <w14:alpha w14:val="100000"/>
                    </w14:srgbClr>
                  </w14:solidFill>
                </w14:textFill>
              </w:rPr>
              <w:t>|</w:t>
            </w:r>
            <w:r w:rsidR="00556852" w:rsidRPr="00556852">
              <w:rPr>
                <w:rFonts w:hint="eastAsia"/>
                <w:color w:val="000000"/>
                <w:w w:val="32"/>
                <w:shd w:val="solid" w:color="000000" w:fill="000000"/>
                <w:fitText w:val="144" w:id="-629514490"/>
                <w14:textFill>
                  <w14:solidFill>
                    <w14:srgbClr w14:val="000000">
                      <w14:alpha w14:val="100000"/>
                    </w14:srgbClr>
                  </w14:solidFill>
                </w14:textFill>
              </w:rPr>
              <w:t xml:space="preserve">　</w:t>
            </w:r>
            <w:r w:rsidRPr="0084014B">
              <w:t>%</w:t>
            </w:r>
          </w:p>
        </w:tc>
      </w:tr>
      <w:tr w:rsidR="00121F6F" w:rsidRPr="0084014B" w14:paraId="134840CD" w14:textId="77777777" w:rsidTr="00713B97">
        <w:tc>
          <w:tcPr>
            <w:tcW w:w="2266" w:type="pct"/>
          </w:tcPr>
          <w:p w14:paraId="5436277B" w14:textId="77777777" w:rsidR="00121F6F" w:rsidRPr="0084014B" w:rsidRDefault="00121F6F" w:rsidP="00903311">
            <w:pPr>
              <w:pStyle w:val="COMTabletext"/>
              <w:keepNext w:val="0"/>
            </w:pPr>
            <w:r w:rsidRPr="0084014B">
              <w:t>Based on March 2024 dabrafenib submission (progression-free: 0.89; progressed disease: 0.73)</w:t>
            </w:r>
          </w:p>
        </w:tc>
        <w:tc>
          <w:tcPr>
            <w:tcW w:w="739" w:type="pct"/>
            <w:vAlign w:val="center"/>
          </w:tcPr>
          <w:p w14:paraId="3C9583B5" w14:textId="7329EE81"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4EEA916B" w14:textId="77777777" w:rsidR="00121F6F" w:rsidRPr="0084014B" w:rsidRDefault="00121F6F" w:rsidP="00903311">
            <w:pPr>
              <w:pStyle w:val="COMTabletext"/>
              <w:keepNext w:val="0"/>
              <w:jc w:val="center"/>
            </w:pPr>
            <w:r w:rsidRPr="0084014B">
              <w:t>1.656</w:t>
            </w:r>
          </w:p>
        </w:tc>
        <w:tc>
          <w:tcPr>
            <w:tcW w:w="596" w:type="pct"/>
            <w:vAlign w:val="center"/>
          </w:tcPr>
          <w:p w14:paraId="17D98779" w14:textId="182FC1CE"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9"/>
                <w14:textFill>
                  <w14:solidFill>
                    <w14:srgbClr w14:val="000000">
                      <w14:alpha w14:val="100000"/>
                    </w14:srgbClr>
                  </w14:solidFill>
                </w14:textFill>
              </w:rPr>
              <w:t xml:space="preserve">　</w:t>
            </w:r>
            <w:r w:rsidR="00556852" w:rsidRPr="00556852">
              <w:rPr>
                <w:color w:val="000000"/>
                <w:w w:val="24"/>
                <w:shd w:val="solid" w:color="000000" w:fill="000000"/>
                <w:fitText w:val="108" w:id="-629514489"/>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9"/>
                <w14:textFill>
                  <w14:solidFill>
                    <w14:srgbClr w14:val="000000">
                      <w14:alpha w14:val="100000"/>
                    </w14:srgbClr>
                  </w14:solidFill>
                </w14:textFill>
              </w:rPr>
              <w:t xml:space="preserve">　</w:t>
            </w:r>
            <w:r w:rsidR="00997AF3">
              <w:rPr>
                <w:vertAlign w:val="superscript"/>
              </w:rPr>
              <w:t>1</w:t>
            </w:r>
          </w:p>
        </w:tc>
        <w:tc>
          <w:tcPr>
            <w:tcW w:w="595" w:type="pct"/>
            <w:vAlign w:val="center"/>
          </w:tcPr>
          <w:p w14:paraId="0F2ED905" w14:textId="4C1D4252" w:rsidR="00121F6F" w:rsidRPr="0084014B" w:rsidRDefault="00556852" w:rsidP="00903311">
            <w:pPr>
              <w:pStyle w:val="COMTabletext"/>
              <w:keepNext w:val="0"/>
              <w:jc w:val="center"/>
            </w:pPr>
            <w:r w:rsidRPr="00556852">
              <w:rPr>
                <w:rFonts w:hint="eastAsia"/>
                <w:color w:val="000000"/>
                <w:w w:val="27"/>
                <w:shd w:val="solid" w:color="000000" w:fill="000000"/>
                <w:fitText w:val="120" w:id="-629514488"/>
                <w14:textFill>
                  <w14:solidFill>
                    <w14:srgbClr w14:val="000000">
                      <w14:alpha w14:val="100000"/>
                    </w14:srgbClr>
                  </w14:solidFill>
                </w14:textFill>
              </w:rPr>
              <w:t xml:space="preserve">　</w:t>
            </w:r>
            <w:r w:rsidRPr="00556852">
              <w:rPr>
                <w:color w:val="000000"/>
                <w:w w:val="27"/>
                <w:shd w:val="solid" w:color="000000" w:fill="000000"/>
                <w:fitText w:val="120" w:id="-629514488"/>
                <w14:textFill>
                  <w14:solidFill>
                    <w14:srgbClr w14:val="000000">
                      <w14:alpha w14:val="100000"/>
                    </w14:srgbClr>
                  </w14:solidFill>
                </w14:textFill>
              </w:rPr>
              <w:t>|</w:t>
            </w:r>
            <w:r w:rsidRPr="00556852">
              <w:rPr>
                <w:rFonts w:hint="eastAsia"/>
                <w:color w:val="000000"/>
                <w:spacing w:val="2"/>
                <w:w w:val="27"/>
                <w:shd w:val="solid" w:color="000000" w:fill="000000"/>
                <w:fitText w:val="120" w:id="-629514488"/>
                <w14:textFill>
                  <w14:solidFill>
                    <w14:srgbClr w14:val="000000">
                      <w14:alpha w14:val="100000"/>
                    </w14:srgbClr>
                  </w14:solidFill>
                </w14:textFill>
              </w:rPr>
              <w:t xml:space="preserve">　</w:t>
            </w:r>
            <w:r w:rsidR="00121F6F" w:rsidRPr="0084014B">
              <w:t>%</w:t>
            </w:r>
          </w:p>
        </w:tc>
      </w:tr>
      <w:tr w:rsidR="00121F6F" w:rsidRPr="0084014B" w14:paraId="077DD800" w14:textId="77777777" w:rsidTr="00713B97">
        <w:tc>
          <w:tcPr>
            <w:tcW w:w="2266" w:type="pct"/>
          </w:tcPr>
          <w:p w14:paraId="55EAC3D9" w14:textId="4F6D2A80" w:rsidR="00121F6F" w:rsidRPr="0084014B" w:rsidRDefault="00121F6F" w:rsidP="00903311">
            <w:pPr>
              <w:pStyle w:val="COMTabletext"/>
              <w:keepNext w:val="0"/>
            </w:pPr>
            <w:r w:rsidRPr="0084014B">
              <w:t>Based on Garside et al. (2007; progression-free: 0.86; progressed disease: 0.73)</w:t>
            </w:r>
            <w:r w:rsidR="00BF5734" w:rsidRPr="0084014B">
              <w:t xml:space="preserve"> </w:t>
            </w:r>
            <w:r w:rsidR="00A04214">
              <w:rPr>
                <w:vertAlign w:val="superscript"/>
              </w:rPr>
              <w:t>b</w:t>
            </w:r>
            <w:r w:rsidRPr="0084014B">
              <w:t xml:space="preserve"> </w:t>
            </w:r>
          </w:p>
        </w:tc>
        <w:tc>
          <w:tcPr>
            <w:tcW w:w="739" w:type="pct"/>
            <w:vAlign w:val="center"/>
          </w:tcPr>
          <w:p w14:paraId="2A6851B2" w14:textId="73315F76"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7F12E8C9" w14:textId="77777777" w:rsidR="00121F6F" w:rsidRPr="0084014B" w:rsidRDefault="00121F6F" w:rsidP="00903311">
            <w:pPr>
              <w:pStyle w:val="COMTabletext"/>
              <w:keepNext w:val="0"/>
              <w:jc w:val="center"/>
            </w:pPr>
            <w:r w:rsidRPr="0084014B">
              <w:t>1.578</w:t>
            </w:r>
          </w:p>
        </w:tc>
        <w:tc>
          <w:tcPr>
            <w:tcW w:w="596" w:type="pct"/>
            <w:vAlign w:val="center"/>
          </w:tcPr>
          <w:p w14:paraId="13796008" w14:textId="243C6844"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7"/>
                <w14:textFill>
                  <w14:solidFill>
                    <w14:srgbClr w14:val="000000">
                      <w14:alpha w14:val="100000"/>
                    </w14:srgbClr>
                  </w14:solidFill>
                </w14:textFill>
              </w:rPr>
              <w:t xml:space="preserve">　</w:t>
            </w:r>
            <w:r w:rsidR="00556852" w:rsidRPr="00556852">
              <w:rPr>
                <w:color w:val="000000"/>
                <w:w w:val="24"/>
                <w:shd w:val="solid" w:color="000000" w:fill="000000"/>
                <w:fitText w:val="108" w:id="-629514487"/>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7"/>
                <w14:textFill>
                  <w14:solidFill>
                    <w14:srgbClr w14:val="000000">
                      <w14:alpha w14:val="100000"/>
                    </w14:srgbClr>
                  </w14:solidFill>
                </w14:textFill>
              </w:rPr>
              <w:t xml:space="preserve">　</w:t>
            </w:r>
            <w:r w:rsidR="00997AF3">
              <w:rPr>
                <w:vertAlign w:val="superscript"/>
              </w:rPr>
              <w:t>1</w:t>
            </w:r>
          </w:p>
        </w:tc>
        <w:tc>
          <w:tcPr>
            <w:tcW w:w="595" w:type="pct"/>
            <w:vAlign w:val="center"/>
          </w:tcPr>
          <w:p w14:paraId="3265D3DF" w14:textId="3381B9BE" w:rsidR="00121F6F" w:rsidRPr="0084014B" w:rsidRDefault="00556852" w:rsidP="00903311">
            <w:pPr>
              <w:pStyle w:val="COMTabletext"/>
              <w:keepNext w:val="0"/>
              <w:jc w:val="center"/>
            </w:pPr>
            <w:r w:rsidRPr="00556852">
              <w:rPr>
                <w:rFonts w:hint="eastAsia"/>
                <w:color w:val="000000"/>
                <w:w w:val="27"/>
                <w:shd w:val="solid" w:color="000000" w:fill="000000"/>
                <w:fitText w:val="120" w:id="-629514486"/>
                <w14:textFill>
                  <w14:solidFill>
                    <w14:srgbClr w14:val="000000">
                      <w14:alpha w14:val="100000"/>
                    </w14:srgbClr>
                  </w14:solidFill>
                </w14:textFill>
              </w:rPr>
              <w:t xml:space="preserve">　</w:t>
            </w:r>
            <w:r w:rsidRPr="00556852">
              <w:rPr>
                <w:color w:val="000000"/>
                <w:w w:val="27"/>
                <w:shd w:val="solid" w:color="000000" w:fill="000000"/>
                <w:fitText w:val="120" w:id="-629514486"/>
                <w14:textFill>
                  <w14:solidFill>
                    <w14:srgbClr w14:val="000000">
                      <w14:alpha w14:val="100000"/>
                    </w14:srgbClr>
                  </w14:solidFill>
                </w14:textFill>
              </w:rPr>
              <w:t>|</w:t>
            </w:r>
            <w:r w:rsidRPr="00556852">
              <w:rPr>
                <w:rFonts w:hint="eastAsia"/>
                <w:color w:val="000000"/>
                <w:spacing w:val="2"/>
                <w:w w:val="27"/>
                <w:shd w:val="solid" w:color="000000" w:fill="000000"/>
                <w:fitText w:val="120" w:id="-629514486"/>
                <w14:textFill>
                  <w14:solidFill>
                    <w14:srgbClr w14:val="000000">
                      <w14:alpha w14:val="100000"/>
                    </w14:srgbClr>
                  </w14:solidFill>
                </w14:textFill>
              </w:rPr>
              <w:t xml:space="preserve">　</w:t>
            </w:r>
            <w:r w:rsidR="00121F6F" w:rsidRPr="0084014B">
              <w:t>%</w:t>
            </w:r>
          </w:p>
        </w:tc>
      </w:tr>
      <w:tr w:rsidR="00121F6F" w:rsidRPr="0084014B" w14:paraId="4CF84409" w14:textId="77777777" w:rsidTr="00713B97">
        <w:tc>
          <w:tcPr>
            <w:tcW w:w="2266" w:type="pct"/>
            <w:tcBorders>
              <w:bottom w:val="single" w:sz="4" w:space="0" w:color="auto"/>
            </w:tcBorders>
          </w:tcPr>
          <w:p w14:paraId="01D41E25" w14:textId="051CF552" w:rsidR="00121F6F" w:rsidRPr="0084014B" w:rsidRDefault="00121F6F" w:rsidP="00903311">
            <w:pPr>
              <w:pStyle w:val="COMTabletext"/>
              <w:keepNext w:val="0"/>
            </w:pPr>
            <w:r w:rsidRPr="0084014B">
              <w:t>Based on Vera et al. (2018; progression-free: 0.81; progressed disease: 0.70)</w:t>
            </w:r>
            <w:r w:rsidR="00CE61B4" w:rsidRPr="0084014B">
              <w:t xml:space="preserve"> </w:t>
            </w:r>
            <w:r w:rsidR="00A04214">
              <w:rPr>
                <w:vertAlign w:val="superscript"/>
              </w:rPr>
              <w:t>c</w:t>
            </w:r>
          </w:p>
        </w:tc>
        <w:tc>
          <w:tcPr>
            <w:tcW w:w="739" w:type="pct"/>
            <w:tcBorders>
              <w:bottom w:val="single" w:sz="4" w:space="0" w:color="auto"/>
            </w:tcBorders>
            <w:vAlign w:val="center"/>
          </w:tcPr>
          <w:p w14:paraId="41951003" w14:textId="79CE77DC" w:rsidR="00121F6F" w:rsidRPr="0084014B" w:rsidRDefault="00121F6F" w:rsidP="00903311">
            <w:pPr>
              <w:pStyle w:val="COMTabletext"/>
              <w:keepNext w:val="0"/>
              <w:jc w:val="center"/>
            </w:pPr>
            <w:r w:rsidRPr="0084014B">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Borders>
              <w:bottom w:val="single" w:sz="4" w:space="0" w:color="auto"/>
            </w:tcBorders>
            <w:vAlign w:val="center"/>
          </w:tcPr>
          <w:p w14:paraId="0E942121" w14:textId="77777777" w:rsidR="00121F6F" w:rsidRPr="0084014B" w:rsidRDefault="00121F6F" w:rsidP="00903311">
            <w:pPr>
              <w:pStyle w:val="COMTabletext"/>
              <w:keepNext w:val="0"/>
              <w:jc w:val="center"/>
            </w:pPr>
            <w:r w:rsidRPr="0084014B">
              <w:t>1.475</w:t>
            </w:r>
          </w:p>
        </w:tc>
        <w:tc>
          <w:tcPr>
            <w:tcW w:w="596" w:type="pct"/>
            <w:tcBorders>
              <w:bottom w:val="single" w:sz="4" w:space="0" w:color="auto"/>
            </w:tcBorders>
            <w:vAlign w:val="center"/>
          </w:tcPr>
          <w:p w14:paraId="63C7B7E4" w14:textId="170E2254" w:rsidR="00121F6F" w:rsidRPr="00997AF3" w:rsidRDefault="00121F6F" w:rsidP="00903311">
            <w:pPr>
              <w:pStyle w:val="COMTabletext"/>
              <w:keepNext w:val="0"/>
              <w:jc w:val="center"/>
              <w:rPr>
                <w:vertAlign w:val="superscript"/>
              </w:rPr>
            </w:pPr>
            <w:r w:rsidRPr="0084014B">
              <w:t>$</w:t>
            </w:r>
            <w:r w:rsidR="00556852" w:rsidRPr="00556852">
              <w:rPr>
                <w:rFonts w:hint="eastAsia"/>
                <w:color w:val="000000"/>
                <w:w w:val="24"/>
                <w:shd w:val="solid" w:color="000000" w:fill="000000"/>
                <w:fitText w:val="108" w:id="-629514485"/>
                <w14:textFill>
                  <w14:solidFill>
                    <w14:srgbClr w14:val="000000">
                      <w14:alpha w14:val="100000"/>
                    </w14:srgbClr>
                  </w14:solidFill>
                </w14:textFill>
              </w:rPr>
              <w:t xml:space="preserve">　</w:t>
            </w:r>
            <w:r w:rsidR="00556852" w:rsidRPr="00556852">
              <w:rPr>
                <w:color w:val="000000"/>
                <w:w w:val="24"/>
                <w:shd w:val="solid" w:color="000000" w:fill="000000"/>
                <w:fitText w:val="108" w:id="-629514485"/>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5"/>
                <w14:textFill>
                  <w14:solidFill>
                    <w14:srgbClr w14:val="000000">
                      <w14:alpha w14:val="100000"/>
                    </w14:srgbClr>
                  </w14:solidFill>
                </w14:textFill>
              </w:rPr>
              <w:t xml:space="preserve">　</w:t>
            </w:r>
            <w:r w:rsidR="00997AF3">
              <w:rPr>
                <w:vertAlign w:val="superscript"/>
              </w:rPr>
              <w:t>1</w:t>
            </w:r>
          </w:p>
        </w:tc>
        <w:tc>
          <w:tcPr>
            <w:tcW w:w="595" w:type="pct"/>
            <w:tcBorders>
              <w:bottom w:val="single" w:sz="4" w:space="0" w:color="auto"/>
            </w:tcBorders>
            <w:vAlign w:val="center"/>
          </w:tcPr>
          <w:p w14:paraId="7FE69BE9" w14:textId="4EAB3518" w:rsidR="00121F6F" w:rsidRPr="0084014B" w:rsidRDefault="00556852" w:rsidP="00903311">
            <w:pPr>
              <w:pStyle w:val="COMTabletext"/>
              <w:keepNext w:val="0"/>
              <w:jc w:val="center"/>
            </w:pPr>
            <w:r w:rsidRPr="00556852">
              <w:rPr>
                <w:rFonts w:hint="eastAsia"/>
                <w:color w:val="000000"/>
                <w:w w:val="27"/>
                <w:shd w:val="solid" w:color="000000" w:fill="000000"/>
                <w:fitText w:val="120" w:id="-629514484"/>
                <w14:textFill>
                  <w14:solidFill>
                    <w14:srgbClr w14:val="000000">
                      <w14:alpha w14:val="100000"/>
                    </w14:srgbClr>
                  </w14:solidFill>
                </w14:textFill>
              </w:rPr>
              <w:t xml:space="preserve">　</w:t>
            </w:r>
            <w:r w:rsidRPr="00556852">
              <w:rPr>
                <w:color w:val="000000"/>
                <w:w w:val="27"/>
                <w:shd w:val="solid" w:color="000000" w:fill="000000"/>
                <w:fitText w:val="120" w:id="-629514484"/>
                <w14:textFill>
                  <w14:solidFill>
                    <w14:srgbClr w14:val="000000">
                      <w14:alpha w14:val="100000"/>
                    </w14:srgbClr>
                  </w14:solidFill>
                </w14:textFill>
              </w:rPr>
              <w:t>|</w:t>
            </w:r>
            <w:r w:rsidRPr="00556852">
              <w:rPr>
                <w:rFonts w:hint="eastAsia"/>
                <w:color w:val="000000"/>
                <w:spacing w:val="2"/>
                <w:w w:val="27"/>
                <w:shd w:val="solid" w:color="000000" w:fill="000000"/>
                <w:fitText w:val="120" w:id="-629514484"/>
                <w14:textFill>
                  <w14:solidFill>
                    <w14:srgbClr w14:val="000000">
                      <w14:alpha w14:val="100000"/>
                    </w14:srgbClr>
                  </w14:solidFill>
                </w14:textFill>
              </w:rPr>
              <w:t xml:space="preserve">　</w:t>
            </w:r>
            <w:r w:rsidR="00121F6F" w:rsidRPr="0084014B">
              <w:t>%</w:t>
            </w:r>
          </w:p>
        </w:tc>
      </w:tr>
      <w:tr w:rsidR="001E1DB6" w:rsidRPr="009243D5" w14:paraId="4F0ADA9C" w14:textId="77777777" w:rsidTr="00713B97">
        <w:tc>
          <w:tcPr>
            <w:tcW w:w="3324" w:type="pct"/>
            <w:gridSpan w:val="4"/>
            <w:tcBorders>
              <w:right w:val="nil"/>
            </w:tcBorders>
          </w:tcPr>
          <w:p w14:paraId="7220B78F" w14:textId="2C7F0B66" w:rsidR="001E1DB6" w:rsidRPr="009243D5" w:rsidRDefault="001E1DB6" w:rsidP="00903311">
            <w:pPr>
              <w:pStyle w:val="COMTabletext"/>
              <w:keepNext w:val="0"/>
              <w:rPr>
                <w:b/>
                <w:bCs w:val="0"/>
              </w:rPr>
            </w:pPr>
            <w:r w:rsidRPr="009243D5">
              <w:rPr>
                <w:b/>
                <w:bCs w:val="0"/>
              </w:rPr>
              <w:t>Ad</w:t>
            </w:r>
            <w:r w:rsidR="009243D5" w:rsidRPr="009243D5">
              <w:rPr>
                <w:b/>
                <w:bCs w:val="0"/>
              </w:rPr>
              <w:t xml:space="preserve">ditional health state utility analyses requested by the </w:t>
            </w:r>
            <w:r w:rsidR="006A2F99">
              <w:rPr>
                <w:b/>
                <w:bCs w:val="0"/>
              </w:rPr>
              <w:t>Sub-Committees</w:t>
            </w:r>
            <w:r w:rsidR="00713B97">
              <w:rPr>
                <w:b/>
                <w:bCs w:val="0"/>
              </w:rPr>
              <w:t xml:space="preserve"> </w:t>
            </w:r>
            <w:r w:rsidR="00713B97" w:rsidRPr="00713B97">
              <w:rPr>
                <w:b/>
                <w:bCs w:val="0"/>
                <w:vertAlign w:val="superscript"/>
              </w:rPr>
              <w:t>d</w:t>
            </w:r>
          </w:p>
        </w:tc>
        <w:tc>
          <w:tcPr>
            <w:tcW w:w="67" w:type="pct"/>
            <w:tcBorders>
              <w:left w:val="nil"/>
              <w:right w:val="nil"/>
            </w:tcBorders>
            <w:vAlign w:val="center"/>
          </w:tcPr>
          <w:p w14:paraId="6C2EE554" w14:textId="77777777" w:rsidR="001E1DB6" w:rsidRPr="009243D5" w:rsidRDefault="001E1DB6" w:rsidP="009243D5">
            <w:pPr>
              <w:pStyle w:val="COMTabletext"/>
              <w:keepNext w:val="0"/>
              <w:rPr>
                <w:b/>
                <w:bCs w:val="0"/>
              </w:rPr>
            </w:pPr>
          </w:p>
        </w:tc>
        <w:tc>
          <w:tcPr>
            <w:tcW w:w="418" w:type="pct"/>
            <w:gridSpan w:val="2"/>
            <w:tcBorders>
              <w:left w:val="nil"/>
              <w:right w:val="nil"/>
            </w:tcBorders>
            <w:vAlign w:val="center"/>
          </w:tcPr>
          <w:p w14:paraId="5E20B56F" w14:textId="77777777" w:rsidR="001E1DB6" w:rsidRPr="009243D5" w:rsidRDefault="001E1DB6" w:rsidP="009243D5">
            <w:pPr>
              <w:pStyle w:val="COMTabletext"/>
              <w:keepNext w:val="0"/>
              <w:rPr>
                <w:b/>
                <w:bCs w:val="0"/>
              </w:rPr>
            </w:pPr>
          </w:p>
        </w:tc>
        <w:tc>
          <w:tcPr>
            <w:tcW w:w="596" w:type="pct"/>
            <w:tcBorders>
              <w:left w:val="nil"/>
              <w:right w:val="nil"/>
            </w:tcBorders>
            <w:vAlign w:val="center"/>
          </w:tcPr>
          <w:p w14:paraId="27DD4F26" w14:textId="77777777" w:rsidR="001E1DB6" w:rsidRPr="009243D5" w:rsidRDefault="001E1DB6" w:rsidP="009243D5">
            <w:pPr>
              <w:pStyle w:val="COMTabletext"/>
              <w:keepNext w:val="0"/>
              <w:rPr>
                <w:b/>
                <w:bCs w:val="0"/>
              </w:rPr>
            </w:pPr>
          </w:p>
        </w:tc>
        <w:tc>
          <w:tcPr>
            <w:tcW w:w="595" w:type="pct"/>
            <w:tcBorders>
              <w:left w:val="nil"/>
            </w:tcBorders>
            <w:vAlign w:val="center"/>
          </w:tcPr>
          <w:p w14:paraId="703226E4" w14:textId="77777777" w:rsidR="001E1DB6" w:rsidRPr="009243D5" w:rsidRDefault="001E1DB6" w:rsidP="009243D5">
            <w:pPr>
              <w:pStyle w:val="COMTabletext"/>
              <w:keepNext w:val="0"/>
              <w:rPr>
                <w:b/>
                <w:bCs w:val="0"/>
              </w:rPr>
            </w:pPr>
          </w:p>
        </w:tc>
      </w:tr>
      <w:tr w:rsidR="004E019C" w:rsidRPr="009872A8" w14:paraId="632FC8FE" w14:textId="77777777" w:rsidTr="00713B97">
        <w:tc>
          <w:tcPr>
            <w:tcW w:w="2266" w:type="pct"/>
          </w:tcPr>
          <w:p w14:paraId="1F135A2B" w14:textId="412843CE" w:rsidR="004E019C" w:rsidRPr="009872A8" w:rsidRDefault="004E019C" w:rsidP="004E019C">
            <w:pPr>
              <w:pStyle w:val="COMTabletext"/>
              <w:keepNext w:val="0"/>
            </w:pPr>
            <w:r w:rsidRPr="009872A8">
              <w:t>Progression-free based on March 2024 dabrafenib submission (0.89); progressed disease initially 0.89 reducing to 0 over 8.43 years.</w:t>
            </w:r>
          </w:p>
        </w:tc>
        <w:tc>
          <w:tcPr>
            <w:tcW w:w="739" w:type="pct"/>
            <w:vAlign w:val="center"/>
          </w:tcPr>
          <w:p w14:paraId="4476E376" w14:textId="6D708E50" w:rsidR="004E019C" w:rsidRPr="009872A8" w:rsidRDefault="004E019C" w:rsidP="004E019C">
            <w:pPr>
              <w:pStyle w:val="COMTabletext"/>
              <w:keepNext w:val="0"/>
              <w:jc w:val="center"/>
            </w:pPr>
            <w:r w:rsidRPr="009872A8">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2000F66B" w14:textId="5774A59F" w:rsidR="004E019C" w:rsidRPr="009872A8" w:rsidRDefault="004E019C" w:rsidP="004E019C">
            <w:pPr>
              <w:pStyle w:val="COMTabletext"/>
              <w:keepNext w:val="0"/>
              <w:jc w:val="center"/>
            </w:pPr>
            <w:r w:rsidRPr="009872A8">
              <w:t>1.919</w:t>
            </w:r>
          </w:p>
        </w:tc>
        <w:tc>
          <w:tcPr>
            <w:tcW w:w="596" w:type="pct"/>
            <w:vAlign w:val="center"/>
          </w:tcPr>
          <w:p w14:paraId="5FFA2476" w14:textId="3962D916" w:rsidR="004E019C" w:rsidRPr="009978F5" w:rsidRDefault="004E019C" w:rsidP="004E019C">
            <w:pPr>
              <w:pStyle w:val="COMTabletext"/>
              <w:keepNext w:val="0"/>
              <w:jc w:val="center"/>
              <w:rPr>
                <w:vertAlign w:val="superscript"/>
              </w:rPr>
            </w:pPr>
            <w:r w:rsidRPr="009872A8">
              <w:t>$</w:t>
            </w:r>
            <w:r w:rsidR="00556852" w:rsidRPr="00556852">
              <w:rPr>
                <w:rFonts w:hint="eastAsia"/>
                <w:color w:val="000000"/>
                <w:w w:val="24"/>
                <w:shd w:val="solid" w:color="000000" w:fill="000000"/>
                <w:fitText w:val="108" w:id="-629514483"/>
                <w14:textFill>
                  <w14:solidFill>
                    <w14:srgbClr w14:val="000000">
                      <w14:alpha w14:val="100000"/>
                    </w14:srgbClr>
                  </w14:solidFill>
                </w14:textFill>
              </w:rPr>
              <w:t xml:space="preserve">　</w:t>
            </w:r>
            <w:r w:rsidR="00556852" w:rsidRPr="00556852">
              <w:rPr>
                <w:color w:val="000000"/>
                <w:w w:val="24"/>
                <w:shd w:val="solid" w:color="000000" w:fill="000000"/>
                <w:fitText w:val="108" w:id="-629514483"/>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3"/>
                <w14:textFill>
                  <w14:solidFill>
                    <w14:srgbClr w14:val="000000">
                      <w14:alpha w14:val="100000"/>
                    </w14:srgbClr>
                  </w14:solidFill>
                </w14:textFill>
              </w:rPr>
              <w:t xml:space="preserve">　</w:t>
            </w:r>
            <w:r w:rsidR="009978F5">
              <w:rPr>
                <w:vertAlign w:val="superscript"/>
              </w:rPr>
              <w:t>1</w:t>
            </w:r>
          </w:p>
        </w:tc>
        <w:tc>
          <w:tcPr>
            <w:tcW w:w="595" w:type="pct"/>
            <w:vAlign w:val="center"/>
          </w:tcPr>
          <w:p w14:paraId="1A55A88C" w14:textId="66BCABF3" w:rsidR="004E019C" w:rsidRPr="009872A8" w:rsidRDefault="00556852" w:rsidP="004E019C">
            <w:pPr>
              <w:pStyle w:val="COMTabletext"/>
              <w:keepNext w:val="0"/>
              <w:jc w:val="center"/>
            </w:pPr>
            <w:r w:rsidRPr="00556852">
              <w:rPr>
                <w:rFonts w:hint="eastAsia"/>
                <w:color w:val="000000"/>
                <w:w w:val="27"/>
                <w:shd w:val="solid" w:color="000000" w:fill="000000"/>
                <w:fitText w:val="120" w:id="-629514482"/>
                <w14:textFill>
                  <w14:solidFill>
                    <w14:srgbClr w14:val="000000">
                      <w14:alpha w14:val="100000"/>
                    </w14:srgbClr>
                  </w14:solidFill>
                </w14:textFill>
              </w:rPr>
              <w:t xml:space="preserve">　</w:t>
            </w:r>
            <w:r w:rsidRPr="00556852">
              <w:rPr>
                <w:color w:val="000000"/>
                <w:w w:val="27"/>
                <w:shd w:val="solid" w:color="000000" w:fill="000000"/>
                <w:fitText w:val="120" w:id="-629514482"/>
                <w14:textFill>
                  <w14:solidFill>
                    <w14:srgbClr w14:val="000000">
                      <w14:alpha w14:val="100000"/>
                    </w14:srgbClr>
                  </w14:solidFill>
                </w14:textFill>
              </w:rPr>
              <w:t>|</w:t>
            </w:r>
            <w:r w:rsidRPr="00556852">
              <w:rPr>
                <w:rFonts w:hint="eastAsia"/>
                <w:color w:val="000000"/>
                <w:spacing w:val="2"/>
                <w:w w:val="27"/>
                <w:shd w:val="solid" w:color="000000" w:fill="000000"/>
                <w:fitText w:val="120" w:id="-629514482"/>
                <w14:textFill>
                  <w14:solidFill>
                    <w14:srgbClr w14:val="000000">
                      <w14:alpha w14:val="100000"/>
                    </w14:srgbClr>
                  </w14:solidFill>
                </w14:textFill>
              </w:rPr>
              <w:t xml:space="preserve">　</w:t>
            </w:r>
            <w:r w:rsidR="004E019C" w:rsidRPr="009872A8">
              <w:t>%</w:t>
            </w:r>
          </w:p>
        </w:tc>
      </w:tr>
      <w:tr w:rsidR="004E019C" w:rsidRPr="009872A8" w14:paraId="3B8125BF" w14:textId="77777777" w:rsidTr="00713B97">
        <w:tc>
          <w:tcPr>
            <w:tcW w:w="2266" w:type="pct"/>
          </w:tcPr>
          <w:p w14:paraId="42642808" w14:textId="59BB1BE2" w:rsidR="004E019C" w:rsidRPr="009872A8" w:rsidRDefault="004E019C" w:rsidP="004E019C">
            <w:pPr>
              <w:pStyle w:val="COMTabletext"/>
              <w:keepNext w:val="0"/>
            </w:pPr>
            <w:r w:rsidRPr="009872A8">
              <w:lastRenderedPageBreak/>
              <w:t>Progression-free based on March 2024 dabrafenib submission (0.89); progressed disease initially 0.89 reducing to 0 by 0.00919 per cycle.</w:t>
            </w:r>
          </w:p>
        </w:tc>
        <w:tc>
          <w:tcPr>
            <w:tcW w:w="739" w:type="pct"/>
            <w:vAlign w:val="center"/>
          </w:tcPr>
          <w:p w14:paraId="17608B75" w14:textId="4F96EFB8" w:rsidR="004E019C" w:rsidRPr="009872A8" w:rsidRDefault="004E019C" w:rsidP="004E019C">
            <w:pPr>
              <w:pStyle w:val="COMTabletext"/>
              <w:keepNext w:val="0"/>
              <w:jc w:val="center"/>
            </w:pPr>
            <w:r w:rsidRPr="009872A8">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6DD2C518" w14:textId="27752E5A" w:rsidR="004E019C" w:rsidRPr="009872A8" w:rsidRDefault="004E019C" w:rsidP="004E019C">
            <w:pPr>
              <w:pStyle w:val="COMTabletext"/>
              <w:keepNext w:val="0"/>
              <w:jc w:val="center"/>
            </w:pPr>
            <w:r w:rsidRPr="009872A8">
              <w:t>1.938</w:t>
            </w:r>
          </w:p>
        </w:tc>
        <w:tc>
          <w:tcPr>
            <w:tcW w:w="596" w:type="pct"/>
            <w:vAlign w:val="center"/>
          </w:tcPr>
          <w:p w14:paraId="49E00F65" w14:textId="74103CBF" w:rsidR="004E019C" w:rsidRPr="00AB0642" w:rsidRDefault="004E019C" w:rsidP="004E019C">
            <w:pPr>
              <w:pStyle w:val="COMTabletext"/>
              <w:keepNext w:val="0"/>
              <w:jc w:val="center"/>
              <w:rPr>
                <w:vertAlign w:val="superscript"/>
              </w:rPr>
            </w:pPr>
            <w:r w:rsidRPr="009872A8">
              <w:t>$</w:t>
            </w:r>
            <w:r w:rsidR="00556852" w:rsidRPr="00556852">
              <w:rPr>
                <w:rFonts w:hint="eastAsia"/>
                <w:color w:val="000000"/>
                <w:w w:val="24"/>
                <w:shd w:val="solid" w:color="000000" w:fill="000000"/>
                <w:fitText w:val="108" w:id="-629514481"/>
                <w14:textFill>
                  <w14:solidFill>
                    <w14:srgbClr w14:val="000000">
                      <w14:alpha w14:val="100000"/>
                    </w14:srgbClr>
                  </w14:solidFill>
                </w14:textFill>
              </w:rPr>
              <w:t xml:space="preserve">　</w:t>
            </w:r>
            <w:r w:rsidR="00556852" w:rsidRPr="00556852">
              <w:rPr>
                <w:color w:val="000000"/>
                <w:w w:val="24"/>
                <w:shd w:val="solid" w:color="000000" w:fill="000000"/>
                <w:fitText w:val="108" w:id="-629514481"/>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1"/>
                <w14:textFill>
                  <w14:solidFill>
                    <w14:srgbClr w14:val="000000">
                      <w14:alpha w14:val="100000"/>
                    </w14:srgbClr>
                  </w14:solidFill>
                </w14:textFill>
              </w:rPr>
              <w:t xml:space="preserve">　</w:t>
            </w:r>
            <w:r w:rsidR="00AB0642">
              <w:rPr>
                <w:vertAlign w:val="superscript"/>
              </w:rPr>
              <w:t>1</w:t>
            </w:r>
          </w:p>
        </w:tc>
        <w:tc>
          <w:tcPr>
            <w:tcW w:w="595" w:type="pct"/>
            <w:vAlign w:val="center"/>
          </w:tcPr>
          <w:p w14:paraId="33BB8243" w14:textId="06DA0667" w:rsidR="004E019C" w:rsidRPr="009872A8" w:rsidRDefault="00556852" w:rsidP="004E019C">
            <w:pPr>
              <w:pStyle w:val="COMTabletext"/>
              <w:keepNext w:val="0"/>
              <w:jc w:val="center"/>
            </w:pPr>
            <w:r w:rsidRPr="00556852">
              <w:rPr>
                <w:rFonts w:hint="eastAsia"/>
                <w:color w:val="000000"/>
                <w:w w:val="27"/>
                <w:shd w:val="solid" w:color="000000" w:fill="000000"/>
                <w:fitText w:val="120" w:id="-629514480"/>
                <w14:textFill>
                  <w14:solidFill>
                    <w14:srgbClr w14:val="000000">
                      <w14:alpha w14:val="100000"/>
                    </w14:srgbClr>
                  </w14:solidFill>
                </w14:textFill>
              </w:rPr>
              <w:t xml:space="preserve">　</w:t>
            </w:r>
            <w:r w:rsidRPr="00556852">
              <w:rPr>
                <w:color w:val="000000"/>
                <w:w w:val="27"/>
                <w:shd w:val="solid" w:color="000000" w:fill="000000"/>
                <w:fitText w:val="120" w:id="-629514480"/>
                <w14:textFill>
                  <w14:solidFill>
                    <w14:srgbClr w14:val="000000">
                      <w14:alpha w14:val="100000"/>
                    </w14:srgbClr>
                  </w14:solidFill>
                </w14:textFill>
              </w:rPr>
              <w:t>|</w:t>
            </w:r>
            <w:r w:rsidRPr="00556852">
              <w:rPr>
                <w:rFonts w:hint="eastAsia"/>
                <w:color w:val="000000"/>
                <w:spacing w:val="2"/>
                <w:w w:val="27"/>
                <w:shd w:val="solid" w:color="000000" w:fill="000000"/>
                <w:fitText w:val="120" w:id="-629514480"/>
                <w14:textFill>
                  <w14:solidFill>
                    <w14:srgbClr w14:val="000000">
                      <w14:alpha w14:val="100000"/>
                    </w14:srgbClr>
                  </w14:solidFill>
                </w14:textFill>
              </w:rPr>
              <w:t xml:space="preserve">　</w:t>
            </w:r>
            <w:r w:rsidR="004E019C" w:rsidRPr="009872A8">
              <w:t>%</w:t>
            </w:r>
          </w:p>
        </w:tc>
      </w:tr>
      <w:tr w:rsidR="004E019C" w:rsidRPr="009872A8" w14:paraId="584B51F3" w14:textId="77777777" w:rsidTr="00713B97">
        <w:tc>
          <w:tcPr>
            <w:tcW w:w="2266" w:type="pct"/>
          </w:tcPr>
          <w:p w14:paraId="490A2A6A" w14:textId="68AD99C6" w:rsidR="004E019C" w:rsidRPr="009872A8" w:rsidRDefault="004E019C" w:rsidP="004E019C">
            <w:pPr>
              <w:pStyle w:val="COMTabletext"/>
              <w:keepNext w:val="0"/>
            </w:pPr>
            <w:r w:rsidRPr="009872A8">
              <w:t>Progression-free based on Vera et al. (2018; 0.81); progressed disease initially 0.81 reducing to 0 over 8.43 years.</w:t>
            </w:r>
          </w:p>
        </w:tc>
        <w:tc>
          <w:tcPr>
            <w:tcW w:w="739" w:type="pct"/>
            <w:vAlign w:val="center"/>
          </w:tcPr>
          <w:p w14:paraId="2609F249" w14:textId="674836AC" w:rsidR="004E019C" w:rsidRPr="009872A8" w:rsidRDefault="004E019C" w:rsidP="004E019C">
            <w:pPr>
              <w:pStyle w:val="COMTabletext"/>
              <w:keepNext w:val="0"/>
              <w:jc w:val="center"/>
            </w:pPr>
            <w:r w:rsidRPr="009872A8">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66A0A2D3" w14:textId="4FAD2EE9" w:rsidR="004E019C" w:rsidRPr="009872A8" w:rsidRDefault="004E019C" w:rsidP="004E019C">
            <w:pPr>
              <w:pStyle w:val="COMTabletext"/>
              <w:keepNext w:val="0"/>
              <w:jc w:val="center"/>
            </w:pPr>
            <w:r w:rsidRPr="009872A8">
              <w:t>1.746</w:t>
            </w:r>
          </w:p>
        </w:tc>
        <w:tc>
          <w:tcPr>
            <w:tcW w:w="596" w:type="pct"/>
            <w:vAlign w:val="center"/>
          </w:tcPr>
          <w:p w14:paraId="3B935D5B" w14:textId="475DDF39" w:rsidR="004E019C" w:rsidRPr="00AB0642" w:rsidRDefault="004E019C" w:rsidP="004E019C">
            <w:pPr>
              <w:pStyle w:val="COMTabletext"/>
              <w:keepNext w:val="0"/>
              <w:jc w:val="center"/>
              <w:rPr>
                <w:vertAlign w:val="superscript"/>
              </w:rPr>
            </w:pPr>
            <w:r w:rsidRPr="009872A8">
              <w:t>$</w:t>
            </w:r>
            <w:r w:rsidR="00556852" w:rsidRPr="00556852">
              <w:rPr>
                <w:rFonts w:hint="eastAsia"/>
                <w:color w:val="000000"/>
                <w:w w:val="24"/>
                <w:shd w:val="solid" w:color="000000" w:fill="000000"/>
                <w:fitText w:val="108" w:id="-629514496"/>
                <w14:textFill>
                  <w14:solidFill>
                    <w14:srgbClr w14:val="000000">
                      <w14:alpha w14:val="100000"/>
                    </w14:srgbClr>
                  </w14:solidFill>
                </w14:textFill>
              </w:rPr>
              <w:t xml:space="preserve">　</w:t>
            </w:r>
            <w:r w:rsidR="00556852" w:rsidRPr="00556852">
              <w:rPr>
                <w:color w:val="000000"/>
                <w:w w:val="24"/>
                <w:shd w:val="solid" w:color="000000" w:fill="000000"/>
                <w:fitText w:val="108" w:id="-629514496"/>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6"/>
                <w14:textFill>
                  <w14:solidFill>
                    <w14:srgbClr w14:val="000000">
                      <w14:alpha w14:val="100000"/>
                    </w14:srgbClr>
                  </w14:solidFill>
                </w14:textFill>
              </w:rPr>
              <w:t xml:space="preserve">　</w:t>
            </w:r>
            <w:r w:rsidR="00AB0642">
              <w:rPr>
                <w:vertAlign w:val="superscript"/>
              </w:rPr>
              <w:t>1</w:t>
            </w:r>
          </w:p>
        </w:tc>
        <w:tc>
          <w:tcPr>
            <w:tcW w:w="595" w:type="pct"/>
            <w:vAlign w:val="center"/>
          </w:tcPr>
          <w:p w14:paraId="1F714AB2" w14:textId="128EBD56" w:rsidR="004E019C" w:rsidRPr="009872A8" w:rsidRDefault="00556852" w:rsidP="004E019C">
            <w:pPr>
              <w:pStyle w:val="COMTabletext"/>
              <w:keepNext w:val="0"/>
              <w:jc w:val="center"/>
            </w:pPr>
            <w:r w:rsidRPr="00556852">
              <w:rPr>
                <w:rFonts w:hint="eastAsia"/>
                <w:color w:val="000000"/>
                <w:w w:val="27"/>
                <w:shd w:val="solid" w:color="000000" w:fill="000000"/>
                <w:fitText w:val="120" w:id="-629514495"/>
                <w14:textFill>
                  <w14:solidFill>
                    <w14:srgbClr w14:val="000000">
                      <w14:alpha w14:val="100000"/>
                    </w14:srgbClr>
                  </w14:solidFill>
                </w14:textFill>
              </w:rPr>
              <w:t xml:space="preserve">　</w:t>
            </w:r>
            <w:r w:rsidRPr="00556852">
              <w:rPr>
                <w:color w:val="000000"/>
                <w:w w:val="27"/>
                <w:shd w:val="solid" w:color="000000" w:fill="000000"/>
                <w:fitText w:val="120" w:id="-629514495"/>
                <w14:textFill>
                  <w14:solidFill>
                    <w14:srgbClr w14:val="000000">
                      <w14:alpha w14:val="100000"/>
                    </w14:srgbClr>
                  </w14:solidFill>
                </w14:textFill>
              </w:rPr>
              <w:t>|</w:t>
            </w:r>
            <w:r w:rsidRPr="00556852">
              <w:rPr>
                <w:rFonts w:hint="eastAsia"/>
                <w:color w:val="000000"/>
                <w:spacing w:val="2"/>
                <w:w w:val="27"/>
                <w:shd w:val="solid" w:color="000000" w:fill="000000"/>
                <w:fitText w:val="120" w:id="-629514495"/>
                <w14:textFill>
                  <w14:solidFill>
                    <w14:srgbClr w14:val="000000">
                      <w14:alpha w14:val="100000"/>
                    </w14:srgbClr>
                  </w14:solidFill>
                </w14:textFill>
              </w:rPr>
              <w:t xml:space="preserve">　</w:t>
            </w:r>
            <w:r w:rsidR="004E019C" w:rsidRPr="009872A8">
              <w:t>%</w:t>
            </w:r>
          </w:p>
        </w:tc>
      </w:tr>
      <w:tr w:rsidR="004E019C" w:rsidRPr="009872A8" w14:paraId="072F66F9" w14:textId="77777777" w:rsidTr="00713B97">
        <w:tc>
          <w:tcPr>
            <w:tcW w:w="2266" w:type="pct"/>
            <w:tcBorders>
              <w:bottom w:val="single" w:sz="4" w:space="0" w:color="auto"/>
            </w:tcBorders>
          </w:tcPr>
          <w:p w14:paraId="386F6A40" w14:textId="0D6BD7F3" w:rsidR="004E019C" w:rsidRPr="009872A8" w:rsidRDefault="004E019C" w:rsidP="004E019C">
            <w:pPr>
              <w:pStyle w:val="COMTabletext"/>
              <w:keepNext w:val="0"/>
            </w:pPr>
            <w:r w:rsidRPr="009872A8">
              <w:t>Progression-free based on Vera et al. (2018; 0.81); progressed disease initially 0.81 reducing to 0 by 0.00919 per cycle.</w:t>
            </w:r>
          </w:p>
        </w:tc>
        <w:tc>
          <w:tcPr>
            <w:tcW w:w="739" w:type="pct"/>
            <w:tcBorders>
              <w:bottom w:val="single" w:sz="4" w:space="0" w:color="auto"/>
            </w:tcBorders>
            <w:vAlign w:val="center"/>
          </w:tcPr>
          <w:p w14:paraId="254BEB4C" w14:textId="244E26C1" w:rsidR="004E019C" w:rsidRPr="009872A8" w:rsidRDefault="004E019C" w:rsidP="004E019C">
            <w:pPr>
              <w:pStyle w:val="COMTabletext"/>
              <w:keepNext w:val="0"/>
              <w:jc w:val="center"/>
            </w:pPr>
            <w:r w:rsidRPr="009872A8">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tcBorders>
              <w:bottom w:val="single" w:sz="4" w:space="0" w:color="auto"/>
            </w:tcBorders>
            <w:vAlign w:val="center"/>
          </w:tcPr>
          <w:p w14:paraId="6C8E987A" w14:textId="59063B25" w:rsidR="004E019C" w:rsidRPr="009872A8" w:rsidRDefault="004E019C" w:rsidP="004E019C">
            <w:pPr>
              <w:pStyle w:val="COMTabletext"/>
              <w:keepNext w:val="0"/>
              <w:jc w:val="center"/>
            </w:pPr>
            <w:r w:rsidRPr="009872A8">
              <w:t>1.787</w:t>
            </w:r>
          </w:p>
        </w:tc>
        <w:tc>
          <w:tcPr>
            <w:tcW w:w="596" w:type="pct"/>
            <w:tcBorders>
              <w:bottom w:val="single" w:sz="4" w:space="0" w:color="auto"/>
            </w:tcBorders>
            <w:vAlign w:val="center"/>
          </w:tcPr>
          <w:p w14:paraId="357C604E" w14:textId="20C11D3C" w:rsidR="004E019C" w:rsidRPr="00AB0642" w:rsidRDefault="004E019C" w:rsidP="004E019C">
            <w:pPr>
              <w:pStyle w:val="COMTabletext"/>
              <w:keepNext w:val="0"/>
              <w:jc w:val="center"/>
              <w:rPr>
                <w:vertAlign w:val="superscript"/>
              </w:rPr>
            </w:pPr>
            <w:r w:rsidRPr="009872A8">
              <w:t>$</w:t>
            </w:r>
            <w:r w:rsidR="00556852" w:rsidRPr="00556852">
              <w:rPr>
                <w:rFonts w:hint="eastAsia"/>
                <w:color w:val="000000"/>
                <w:w w:val="24"/>
                <w:shd w:val="solid" w:color="000000" w:fill="000000"/>
                <w:fitText w:val="108" w:id="-629514494"/>
                <w14:textFill>
                  <w14:solidFill>
                    <w14:srgbClr w14:val="000000">
                      <w14:alpha w14:val="100000"/>
                    </w14:srgbClr>
                  </w14:solidFill>
                </w14:textFill>
              </w:rPr>
              <w:t xml:space="preserve">　</w:t>
            </w:r>
            <w:r w:rsidR="00556852" w:rsidRPr="00556852">
              <w:rPr>
                <w:color w:val="000000"/>
                <w:w w:val="24"/>
                <w:shd w:val="solid" w:color="000000" w:fill="000000"/>
                <w:fitText w:val="108" w:id="-629514494"/>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4"/>
                <w14:textFill>
                  <w14:solidFill>
                    <w14:srgbClr w14:val="000000">
                      <w14:alpha w14:val="100000"/>
                    </w14:srgbClr>
                  </w14:solidFill>
                </w14:textFill>
              </w:rPr>
              <w:t xml:space="preserve">　</w:t>
            </w:r>
            <w:r w:rsidR="00AB0642">
              <w:rPr>
                <w:vertAlign w:val="superscript"/>
              </w:rPr>
              <w:t>1</w:t>
            </w:r>
          </w:p>
        </w:tc>
        <w:tc>
          <w:tcPr>
            <w:tcW w:w="595" w:type="pct"/>
            <w:tcBorders>
              <w:bottom w:val="single" w:sz="4" w:space="0" w:color="auto"/>
            </w:tcBorders>
            <w:vAlign w:val="center"/>
          </w:tcPr>
          <w:p w14:paraId="7F875E08" w14:textId="181B443B" w:rsidR="004E019C" w:rsidRPr="009872A8" w:rsidRDefault="00556852" w:rsidP="004E019C">
            <w:pPr>
              <w:pStyle w:val="COMTabletext"/>
              <w:keepNext w:val="0"/>
              <w:jc w:val="center"/>
            </w:pPr>
            <w:r w:rsidRPr="00556852">
              <w:rPr>
                <w:rFonts w:hint="eastAsia"/>
                <w:color w:val="000000"/>
                <w:w w:val="27"/>
                <w:shd w:val="solid" w:color="000000" w:fill="000000"/>
                <w:fitText w:val="120" w:id="-629514493"/>
                <w14:textFill>
                  <w14:solidFill>
                    <w14:srgbClr w14:val="000000">
                      <w14:alpha w14:val="100000"/>
                    </w14:srgbClr>
                  </w14:solidFill>
                </w14:textFill>
              </w:rPr>
              <w:t xml:space="preserve">　</w:t>
            </w:r>
            <w:r w:rsidRPr="00556852">
              <w:rPr>
                <w:color w:val="000000"/>
                <w:w w:val="27"/>
                <w:shd w:val="solid" w:color="000000" w:fill="000000"/>
                <w:fitText w:val="120" w:id="-629514493"/>
                <w14:textFill>
                  <w14:solidFill>
                    <w14:srgbClr w14:val="000000">
                      <w14:alpha w14:val="100000"/>
                    </w14:srgbClr>
                  </w14:solidFill>
                </w14:textFill>
              </w:rPr>
              <w:t>|</w:t>
            </w:r>
            <w:r w:rsidRPr="00556852">
              <w:rPr>
                <w:rFonts w:hint="eastAsia"/>
                <w:color w:val="000000"/>
                <w:spacing w:val="2"/>
                <w:w w:val="27"/>
                <w:shd w:val="solid" w:color="000000" w:fill="000000"/>
                <w:fitText w:val="120" w:id="-629514493"/>
                <w14:textFill>
                  <w14:solidFill>
                    <w14:srgbClr w14:val="000000">
                      <w14:alpha w14:val="100000"/>
                    </w14:srgbClr>
                  </w14:solidFill>
                </w14:textFill>
              </w:rPr>
              <w:t xml:space="preserve">　</w:t>
            </w:r>
            <w:r w:rsidR="004E019C" w:rsidRPr="009872A8">
              <w:t>%</w:t>
            </w:r>
          </w:p>
        </w:tc>
      </w:tr>
      <w:tr w:rsidR="00F1764E" w:rsidRPr="009872A8" w14:paraId="1EF5715B" w14:textId="77777777" w:rsidTr="00DD17E6">
        <w:tc>
          <w:tcPr>
            <w:tcW w:w="3191" w:type="pct"/>
            <w:gridSpan w:val="3"/>
            <w:tcBorders>
              <w:right w:val="nil"/>
            </w:tcBorders>
          </w:tcPr>
          <w:p w14:paraId="36F8B7F1" w14:textId="7E55E3B6" w:rsidR="00F1764E" w:rsidRPr="009872A8" w:rsidRDefault="00F1764E" w:rsidP="004E019C">
            <w:pPr>
              <w:pStyle w:val="COMTabletext"/>
              <w:keepNext w:val="0"/>
              <w:rPr>
                <w:b/>
                <w:bCs w:val="0"/>
              </w:rPr>
            </w:pPr>
            <w:r w:rsidRPr="009872A8">
              <w:rPr>
                <w:b/>
                <w:bCs w:val="0"/>
              </w:rPr>
              <w:t xml:space="preserve">Multivariate sensitivity analyses requested by the </w:t>
            </w:r>
            <w:r w:rsidR="006A2F99" w:rsidRPr="009872A8">
              <w:rPr>
                <w:b/>
                <w:bCs w:val="0"/>
              </w:rPr>
              <w:t>Sub-Committees</w:t>
            </w:r>
            <w:r w:rsidR="00054133" w:rsidRPr="00054133">
              <w:rPr>
                <w:b/>
                <w:bCs w:val="0"/>
                <w:vertAlign w:val="superscript"/>
              </w:rPr>
              <w:t>e</w:t>
            </w:r>
          </w:p>
        </w:tc>
        <w:tc>
          <w:tcPr>
            <w:tcW w:w="333" w:type="pct"/>
            <w:gridSpan w:val="3"/>
            <w:tcBorders>
              <w:left w:val="nil"/>
              <w:right w:val="nil"/>
            </w:tcBorders>
            <w:vAlign w:val="center"/>
          </w:tcPr>
          <w:p w14:paraId="7EB57BFA" w14:textId="77777777" w:rsidR="00F1764E" w:rsidRPr="009872A8" w:rsidRDefault="00F1764E" w:rsidP="004E019C">
            <w:pPr>
              <w:pStyle w:val="COMTabletext"/>
              <w:keepNext w:val="0"/>
              <w:jc w:val="center"/>
              <w:rPr>
                <w:b/>
                <w:bCs w:val="0"/>
              </w:rPr>
            </w:pPr>
          </w:p>
        </w:tc>
        <w:tc>
          <w:tcPr>
            <w:tcW w:w="285" w:type="pct"/>
            <w:tcBorders>
              <w:left w:val="nil"/>
              <w:right w:val="nil"/>
            </w:tcBorders>
            <w:vAlign w:val="center"/>
          </w:tcPr>
          <w:p w14:paraId="13622773" w14:textId="77777777" w:rsidR="00F1764E" w:rsidRPr="009872A8" w:rsidRDefault="00F1764E" w:rsidP="004E019C">
            <w:pPr>
              <w:pStyle w:val="COMTabletext"/>
              <w:keepNext w:val="0"/>
              <w:jc w:val="center"/>
              <w:rPr>
                <w:b/>
                <w:bCs w:val="0"/>
              </w:rPr>
            </w:pPr>
          </w:p>
        </w:tc>
        <w:tc>
          <w:tcPr>
            <w:tcW w:w="596" w:type="pct"/>
            <w:tcBorders>
              <w:left w:val="nil"/>
              <w:right w:val="nil"/>
            </w:tcBorders>
            <w:vAlign w:val="center"/>
          </w:tcPr>
          <w:p w14:paraId="3790238C" w14:textId="77777777" w:rsidR="00F1764E" w:rsidRPr="009872A8" w:rsidRDefault="00F1764E" w:rsidP="004E019C">
            <w:pPr>
              <w:pStyle w:val="COMTabletext"/>
              <w:keepNext w:val="0"/>
              <w:jc w:val="center"/>
              <w:rPr>
                <w:b/>
                <w:bCs w:val="0"/>
              </w:rPr>
            </w:pPr>
          </w:p>
        </w:tc>
        <w:tc>
          <w:tcPr>
            <w:tcW w:w="595" w:type="pct"/>
            <w:tcBorders>
              <w:left w:val="nil"/>
            </w:tcBorders>
            <w:vAlign w:val="center"/>
          </w:tcPr>
          <w:p w14:paraId="2FB07140" w14:textId="77777777" w:rsidR="00F1764E" w:rsidRPr="009872A8" w:rsidRDefault="00F1764E" w:rsidP="004E019C">
            <w:pPr>
              <w:pStyle w:val="COMTabletext"/>
              <w:keepNext w:val="0"/>
              <w:jc w:val="center"/>
              <w:rPr>
                <w:b/>
                <w:bCs w:val="0"/>
              </w:rPr>
            </w:pPr>
          </w:p>
        </w:tc>
      </w:tr>
      <w:tr w:rsidR="005C56CE" w:rsidRPr="009872A8" w14:paraId="4D6DE340" w14:textId="77777777" w:rsidTr="00713B97">
        <w:tc>
          <w:tcPr>
            <w:tcW w:w="2266" w:type="pct"/>
          </w:tcPr>
          <w:p w14:paraId="19DDBF95" w14:textId="77777777" w:rsidR="005C56CE" w:rsidRPr="009872A8" w:rsidRDefault="005C56CE" w:rsidP="005C56CE">
            <w:pPr>
              <w:pStyle w:val="COMTabletext"/>
              <w:keepNext w:val="0"/>
            </w:pPr>
            <w:r w:rsidRPr="009872A8">
              <w:t>PFS extrapolation for vorasidenib arm: Weibull function</w:t>
            </w:r>
          </w:p>
          <w:p w14:paraId="741EFB7B" w14:textId="6B0B6655" w:rsidR="005C56CE" w:rsidRPr="009872A8" w:rsidRDefault="005C56CE" w:rsidP="005C56CE">
            <w:pPr>
              <w:pStyle w:val="COMTabletext"/>
              <w:keepNext w:val="0"/>
            </w:pPr>
            <w:r w:rsidRPr="009872A8">
              <w:t>Utilities based on dabrafenib submission (progression-free: 0.89; progressed disease: 0.73)</w:t>
            </w:r>
          </w:p>
        </w:tc>
        <w:tc>
          <w:tcPr>
            <w:tcW w:w="739" w:type="pct"/>
            <w:vAlign w:val="center"/>
          </w:tcPr>
          <w:p w14:paraId="63A2A095" w14:textId="12924994" w:rsidR="005C56CE" w:rsidRPr="009872A8" w:rsidRDefault="005C56CE" w:rsidP="005C56CE">
            <w:pPr>
              <w:pStyle w:val="COMTabletext"/>
              <w:keepNext w:val="0"/>
              <w:jc w:val="center"/>
            </w:pPr>
            <w:r w:rsidRPr="009872A8">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70F75A8E" w14:textId="52771BE1" w:rsidR="005C56CE" w:rsidRPr="009872A8" w:rsidRDefault="005C56CE" w:rsidP="005C56CE">
            <w:pPr>
              <w:pStyle w:val="COMTabletext"/>
              <w:keepNext w:val="0"/>
              <w:jc w:val="center"/>
            </w:pPr>
            <w:r w:rsidRPr="009872A8">
              <w:t>0.858</w:t>
            </w:r>
          </w:p>
        </w:tc>
        <w:tc>
          <w:tcPr>
            <w:tcW w:w="596" w:type="pct"/>
            <w:vAlign w:val="center"/>
          </w:tcPr>
          <w:p w14:paraId="5C59DF0A" w14:textId="66696456" w:rsidR="005C56CE" w:rsidRPr="00AB0642" w:rsidRDefault="005C56CE" w:rsidP="005C56CE">
            <w:pPr>
              <w:pStyle w:val="COMTabletext"/>
              <w:keepNext w:val="0"/>
              <w:jc w:val="center"/>
              <w:rPr>
                <w:vertAlign w:val="superscript"/>
              </w:rPr>
            </w:pPr>
            <w:r w:rsidRPr="009872A8">
              <w:t>$</w:t>
            </w:r>
            <w:r w:rsidR="00556852" w:rsidRPr="00556852">
              <w:rPr>
                <w:rFonts w:hint="eastAsia"/>
                <w:color w:val="000000"/>
                <w:w w:val="24"/>
                <w:shd w:val="solid" w:color="000000" w:fill="000000"/>
                <w:fitText w:val="108" w:id="-629514492"/>
                <w14:textFill>
                  <w14:solidFill>
                    <w14:srgbClr w14:val="000000">
                      <w14:alpha w14:val="100000"/>
                    </w14:srgbClr>
                  </w14:solidFill>
                </w14:textFill>
              </w:rPr>
              <w:t xml:space="preserve">　</w:t>
            </w:r>
            <w:r w:rsidR="00556852" w:rsidRPr="00556852">
              <w:rPr>
                <w:color w:val="000000"/>
                <w:w w:val="24"/>
                <w:shd w:val="solid" w:color="000000" w:fill="000000"/>
                <w:fitText w:val="108" w:id="-629514492"/>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92"/>
                <w14:textFill>
                  <w14:solidFill>
                    <w14:srgbClr w14:val="000000">
                      <w14:alpha w14:val="100000"/>
                    </w14:srgbClr>
                  </w14:solidFill>
                </w14:textFill>
              </w:rPr>
              <w:t xml:space="preserve">　</w:t>
            </w:r>
            <w:r w:rsidR="00AB0642">
              <w:rPr>
                <w:vertAlign w:val="superscript"/>
              </w:rPr>
              <w:t>1</w:t>
            </w:r>
          </w:p>
        </w:tc>
        <w:tc>
          <w:tcPr>
            <w:tcW w:w="595" w:type="pct"/>
            <w:vAlign w:val="center"/>
          </w:tcPr>
          <w:p w14:paraId="7ECE5A5F" w14:textId="5172041B" w:rsidR="005C56CE" w:rsidRPr="009872A8" w:rsidRDefault="00556852" w:rsidP="005C56CE">
            <w:pPr>
              <w:pStyle w:val="COMTabletext"/>
              <w:keepNext w:val="0"/>
              <w:jc w:val="center"/>
            </w:pPr>
            <w:r w:rsidRPr="00556852">
              <w:rPr>
                <w:rFonts w:hint="eastAsia"/>
                <w:color w:val="000000"/>
                <w:w w:val="27"/>
                <w:shd w:val="solid" w:color="000000" w:fill="000000"/>
                <w:fitText w:val="120" w:id="-629514491"/>
                <w14:textFill>
                  <w14:solidFill>
                    <w14:srgbClr w14:val="000000">
                      <w14:alpha w14:val="100000"/>
                    </w14:srgbClr>
                  </w14:solidFill>
                </w14:textFill>
              </w:rPr>
              <w:t xml:space="preserve">　</w:t>
            </w:r>
            <w:r w:rsidRPr="00556852">
              <w:rPr>
                <w:color w:val="000000"/>
                <w:w w:val="27"/>
                <w:shd w:val="solid" w:color="000000" w:fill="000000"/>
                <w:fitText w:val="120" w:id="-629514491"/>
                <w14:textFill>
                  <w14:solidFill>
                    <w14:srgbClr w14:val="000000">
                      <w14:alpha w14:val="100000"/>
                    </w14:srgbClr>
                  </w14:solidFill>
                </w14:textFill>
              </w:rPr>
              <w:t>|</w:t>
            </w:r>
            <w:r w:rsidRPr="00556852">
              <w:rPr>
                <w:rFonts w:hint="eastAsia"/>
                <w:color w:val="000000"/>
                <w:spacing w:val="2"/>
                <w:w w:val="27"/>
                <w:shd w:val="solid" w:color="000000" w:fill="000000"/>
                <w:fitText w:val="120" w:id="-629514491"/>
                <w14:textFill>
                  <w14:solidFill>
                    <w14:srgbClr w14:val="000000">
                      <w14:alpha w14:val="100000"/>
                    </w14:srgbClr>
                  </w14:solidFill>
                </w14:textFill>
              </w:rPr>
              <w:t xml:space="preserve">　</w:t>
            </w:r>
            <w:r w:rsidR="005C56CE" w:rsidRPr="009872A8">
              <w:t>%</w:t>
            </w:r>
          </w:p>
        </w:tc>
      </w:tr>
      <w:tr w:rsidR="005C56CE" w:rsidRPr="009872A8" w14:paraId="310E0C72" w14:textId="77777777" w:rsidTr="00713B97">
        <w:tc>
          <w:tcPr>
            <w:tcW w:w="2266" w:type="pct"/>
          </w:tcPr>
          <w:p w14:paraId="0E18E50A" w14:textId="77777777" w:rsidR="005C56CE" w:rsidRPr="009872A8" w:rsidRDefault="005C56CE" w:rsidP="005C56CE">
            <w:pPr>
              <w:pStyle w:val="COMTabletext"/>
              <w:keepNext w:val="0"/>
            </w:pPr>
            <w:r w:rsidRPr="009872A8">
              <w:t>PFS extrapolation for vorasidenib arm: Weibull function</w:t>
            </w:r>
          </w:p>
          <w:p w14:paraId="6C176FF2" w14:textId="77777777" w:rsidR="005C56CE" w:rsidRPr="009872A8" w:rsidRDefault="005C56CE" w:rsidP="005C56CE">
            <w:pPr>
              <w:pStyle w:val="COMTabletext"/>
              <w:keepNext w:val="0"/>
            </w:pPr>
            <w:r w:rsidRPr="009872A8">
              <w:t>Utilities based on dabrafenib submission (progression-free: 0.89; progressed disease: 0.73)</w:t>
            </w:r>
          </w:p>
          <w:p w14:paraId="44E24E1F" w14:textId="346069CF" w:rsidR="005C56CE" w:rsidRPr="009872A8" w:rsidRDefault="005C56CE" w:rsidP="005C56CE">
            <w:pPr>
              <w:pStyle w:val="COMTabletext"/>
              <w:keepNext w:val="0"/>
            </w:pPr>
            <w:r w:rsidRPr="009872A8">
              <w:t>Vorasidenib drug cost based on 30.4375 days of treatment per month ($</w:t>
            </w:r>
            <w:r w:rsidR="00556852" w:rsidRPr="00556852">
              <w:rPr>
                <w:color w:val="000000"/>
                <w:spacing w:val="51"/>
                <w:shd w:val="solid" w:color="000000" w:fill="000000"/>
                <w:fitText w:val="324" w:id="-629514490"/>
                <w14:textFill>
                  <w14:solidFill>
                    <w14:srgbClr w14:val="000000">
                      <w14:alpha w14:val="100000"/>
                    </w14:srgbClr>
                  </w14:solidFill>
                </w14:textFill>
              </w:rPr>
              <w:t>|||</w:t>
            </w:r>
            <w:r w:rsidR="00556852" w:rsidRPr="00556852">
              <w:rPr>
                <w:color w:val="000000"/>
                <w:spacing w:val="1"/>
                <w:shd w:val="solid" w:color="000000" w:fill="000000"/>
                <w:fitText w:val="324" w:id="-629514490"/>
                <w14:textFill>
                  <w14:solidFill>
                    <w14:srgbClr w14:val="000000">
                      <w14:alpha w14:val="100000"/>
                    </w14:srgbClr>
                  </w14:solidFill>
                </w14:textFill>
              </w:rPr>
              <w:t>|</w:t>
            </w:r>
            <w:r w:rsidRPr="009872A8">
              <w:t>)</w:t>
            </w:r>
            <w:r w:rsidR="00224132" w:rsidRPr="009872A8">
              <w:t>; MRI scan every 12 weeks during initial 60 months</w:t>
            </w:r>
          </w:p>
        </w:tc>
        <w:tc>
          <w:tcPr>
            <w:tcW w:w="739" w:type="pct"/>
            <w:vAlign w:val="center"/>
          </w:tcPr>
          <w:p w14:paraId="38DBDB19" w14:textId="3FD40BBC" w:rsidR="005C56CE" w:rsidRPr="009872A8" w:rsidRDefault="005C56CE" w:rsidP="005C56CE">
            <w:pPr>
              <w:pStyle w:val="COMTabletext"/>
              <w:keepNext w:val="0"/>
              <w:jc w:val="center"/>
            </w:pPr>
            <w:r w:rsidRPr="009872A8">
              <w:t>$</w:t>
            </w:r>
            <w:r w:rsidR="00556852" w:rsidRPr="00556852">
              <w:rPr>
                <w:color w:val="000000"/>
                <w:shd w:val="solid" w:color="000000" w:fill="000000"/>
                <w14:textFill>
                  <w14:solidFill>
                    <w14:srgbClr w14:val="000000">
                      <w14:alpha w14:val="100000"/>
                    </w14:srgbClr>
                  </w14:solidFill>
                </w14:textFill>
              </w:rPr>
              <w:t>|</w:t>
            </w:r>
          </w:p>
        </w:tc>
        <w:tc>
          <w:tcPr>
            <w:tcW w:w="804" w:type="pct"/>
            <w:gridSpan w:val="5"/>
            <w:vAlign w:val="center"/>
          </w:tcPr>
          <w:p w14:paraId="65710DC5" w14:textId="15059030" w:rsidR="005C56CE" w:rsidRPr="009872A8" w:rsidRDefault="005C56CE" w:rsidP="005C56CE">
            <w:pPr>
              <w:pStyle w:val="COMTabletext"/>
              <w:keepNext w:val="0"/>
              <w:jc w:val="center"/>
            </w:pPr>
            <w:r w:rsidRPr="009872A8">
              <w:t>0.858</w:t>
            </w:r>
          </w:p>
        </w:tc>
        <w:tc>
          <w:tcPr>
            <w:tcW w:w="596" w:type="pct"/>
            <w:vAlign w:val="center"/>
          </w:tcPr>
          <w:p w14:paraId="3D2A278B" w14:textId="0ED76151" w:rsidR="005C56CE" w:rsidRPr="00AB0642" w:rsidRDefault="005C56CE" w:rsidP="005C56CE">
            <w:pPr>
              <w:pStyle w:val="COMTabletext"/>
              <w:keepNext w:val="0"/>
              <w:jc w:val="center"/>
              <w:rPr>
                <w:vertAlign w:val="superscript"/>
              </w:rPr>
            </w:pPr>
            <w:r w:rsidRPr="009872A8">
              <w:t>$</w:t>
            </w:r>
            <w:r w:rsidR="00556852" w:rsidRPr="00556852">
              <w:rPr>
                <w:rFonts w:hint="eastAsia"/>
                <w:color w:val="000000"/>
                <w:w w:val="24"/>
                <w:shd w:val="solid" w:color="000000" w:fill="000000"/>
                <w:fitText w:val="108" w:id="-629514489"/>
                <w14:textFill>
                  <w14:solidFill>
                    <w14:srgbClr w14:val="000000">
                      <w14:alpha w14:val="100000"/>
                    </w14:srgbClr>
                  </w14:solidFill>
                </w14:textFill>
              </w:rPr>
              <w:t xml:space="preserve">　</w:t>
            </w:r>
            <w:r w:rsidR="00556852" w:rsidRPr="00556852">
              <w:rPr>
                <w:color w:val="000000"/>
                <w:w w:val="24"/>
                <w:shd w:val="solid" w:color="000000" w:fill="000000"/>
                <w:fitText w:val="108" w:id="-629514489"/>
                <w14:textFill>
                  <w14:solidFill>
                    <w14:srgbClr w14:val="000000">
                      <w14:alpha w14:val="100000"/>
                    </w14:srgbClr>
                  </w14:solidFill>
                </w14:textFill>
              </w:rPr>
              <w:t>|</w:t>
            </w:r>
            <w:r w:rsidR="00556852" w:rsidRPr="00556852">
              <w:rPr>
                <w:rFonts w:hint="eastAsia"/>
                <w:color w:val="000000"/>
                <w:spacing w:val="4"/>
                <w:w w:val="24"/>
                <w:shd w:val="solid" w:color="000000" w:fill="000000"/>
                <w:fitText w:val="108" w:id="-629514489"/>
                <w14:textFill>
                  <w14:solidFill>
                    <w14:srgbClr w14:val="000000">
                      <w14:alpha w14:val="100000"/>
                    </w14:srgbClr>
                  </w14:solidFill>
                </w14:textFill>
              </w:rPr>
              <w:t xml:space="preserve">　</w:t>
            </w:r>
            <w:r w:rsidR="00AB0642">
              <w:rPr>
                <w:vertAlign w:val="superscript"/>
              </w:rPr>
              <w:t>1</w:t>
            </w:r>
          </w:p>
        </w:tc>
        <w:tc>
          <w:tcPr>
            <w:tcW w:w="595" w:type="pct"/>
            <w:vAlign w:val="center"/>
          </w:tcPr>
          <w:p w14:paraId="153BC555" w14:textId="3C87D6F4" w:rsidR="005C56CE" w:rsidRPr="009872A8" w:rsidRDefault="00556852" w:rsidP="005C56CE">
            <w:pPr>
              <w:pStyle w:val="COMTabletext"/>
              <w:keepNext w:val="0"/>
              <w:jc w:val="center"/>
            </w:pPr>
            <w:r w:rsidRPr="00556852">
              <w:rPr>
                <w:rFonts w:hint="eastAsia"/>
                <w:color w:val="000000"/>
                <w:w w:val="27"/>
                <w:shd w:val="solid" w:color="000000" w:fill="000000"/>
                <w:fitText w:val="120" w:id="-629514488"/>
                <w14:textFill>
                  <w14:solidFill>
                    <w14:srgbClr w14:val="000000">
                      <w14:alpha w14:val="100000"/>
                    </w14:srgbClr>
                  </w14:solidFill>
                </w14:textFill>
              </w:rPr>
              <w:t xml:space="preserve">　</w:t>
            </w:r>
            <w:r w:rsidRPr="00556852">
              <w:rPr>
                <w:color w:val="000000"/>
                <w:w w:val="27"/>
                <w:shd w:val="solid" w:color="000000" w:fill="000000"/>
                <w:fitText w:val="120" w:id="-629514488"/>
                <w14:textFill>
                  <w14:solidFill>
                    <w14:srgbClr w14:val="000000">
                      <w14:alpha w14:val="100000"/>
                    </w14:srgbClr>
                  </w14:solidFill>
                </w14:textFill>
              </w:rPr>
              <w:t>|</w:t>
            </w:r>
            <w:r w:rsidRPr="00556852">
              <w:rPr>
                <w:rFonts w:hint="eastAsia"/>
                <w:color w:val="000000"/>
                <w:spacing w:val="2"/>
                <w:w w:val="27"/>
                <w:shd w:val="solid" w:color="000000" w:fill="000000"/>
                <w:fitText w:val="120" w:id="-629514488"/>
                <w14:textFill>
                  <w14:solidFill>
                    <w14:srgbClr w14:val="000000">
                      <w14:alpha w14:val="100000"/>
                    </w14:srgbClr>
                  </w14:solidFill>
                </w14:textFill>
              </w:rPr>
              <w:t xml:space="preserve">　</w:t>
            </w:r>
            <w:r w:rsidR="005C56CE" w:rsidRPr="009872A8">
              <w:t>%</w:t>
            </w:r>
          </w:p>
        </w:tc>
      </w:tr>
    </w:tbl>
    <w:p w14:paraId="18C22C14" w14:textId="77777777" w:rsidR="00121F6F" w:rsidRPr="0084014B" w:rsidRDefault="00121F6F" w:rsidP="00121F6F">
      <w:pPr>
        <w:pStyle w:val="COMTablefooter"/>
      </w:pPr>
      <w:r w:rsidRPr="0084014B">
        <w:t>Source: Table 3.14, p108 of the submission.</w:t>
      </w:r>
    </w:p>
    <w:p w14:paraId="6D632F5C" w14:textId="77777777" w:rsidR="00CE61B4" w:rsidRPr="0084014B" w:rsidRDefault="00121F6F" w:rsidP="00121F6F">
      <w:pPr>
        <w:pStyle w:val="COMTablefooter"/>
      </w:pPr>
      <w:r w:rsidRPr="0084014B">
        <w:t>Abbreviations: ICER, incremental cost-effectiveness ratio; PFS, progression-free survival; QALY, quality-adjusted life year.</w:t>
      </w:r>
    </w:p>
    <w:p w14:paraId="4129FF05" w14:textId="77777777" w:rsidR="00A04214" w:rsidRPr="00A04214" w:rsidRDefault="00CE61B4" w:rsidP="00A04214">
      <w:pPr>
        <w:pStyle w:val="COMTablefooter"/>
      </w:pPr>
      <w:r w:rsidRPr="0084014B">
        <w:rPr>
          <w:vertAlign w:val="superscript"/>
        </w:rPr>
        <w:t>a</w:t>
      </w:r>
      <w:r w:rsidRPr="0084014B">
        <w:t xml:space="preserve"> </w:t>
      </w:r>
      <w:r w:rsidR="00A04214" w:rsidRPr="00A04214">
        <w:t>p24 of the March 2023 INDIGO clinical study report states that disease response assessment by MRI occurred every 12 weeks (84 ±7 days) beginning at Cycle 4, every 6 months beginning at Cycle 37 for 2 years and then annually after that.</w:t>
      </w:r>
    </w:p>
    <w:p w14:paraId="2F552B47" w14:textId="7B016B7A" w:rsidR="00A771FD" w:rsidRPr="0084014B" w:rsidRDefault="00F75D62" w:rsidP="004E7ABE">
      <w:pPr>
        <w:pStyle w:val="COMTablefooter"/>
      </w:pPr>
      <w:r w:rsidRPr="00F75D62">
        <w:rPr>
          <w:vertAlign w:val="superscript"/>
        </w:rPr>
        <w:t>b</w:t>
      </w:r>
      <w:r>
        <w:t xml:space="preserve"> </w:t>
      </w:r>
      <w:r w:rsidR="002836AF" w:rsidRPr="0084014B">
        <w:t>S</w:t>
      </w:r>
      <w:r w:rsidR="00CE61B4" w:rsidRPr="0084014B">
        <w:t xml:space="preserve">tudy comparing the cost-effectiveness of adjuvant carmustine wafers </w:t>
      </w:r>
      <w:r w:rsidR="00A771FD" w:rsidRPr="0084014B">
        <w:t xml:space="preserve">or adjuvant and concomitant </w:t>
      </w:r>
      <w:r w:rsidR="00D13EB9" w:rsidRPr="0084014B">
        <w:t>temozolomide</w:t>
      </w:r>
      <w:r w:rsidR="00A771FD" w:rsidRPr="0084014B">
        <w:t xml:space="preserve"> versus surgery with radiotherapy, among patients with</w:t>
      </w:r>
      <w:r w:rsidR="004E7ABE" w:rsidRPr="0084014B">
        <w:t xml:space="preserve"> </w:t>
      </w:r>
      <w:r w:rsidR="00A771FD" w:rsidRPr="0084014B">
        <w:t>newly diagnosed high-grade glioma.</w:t>
      </w:r>
      <w:r w:rsidR="004E7ABE" w:rsidRPr="0084014B">
        <w:t xml:space="preserve"> Utilities obtained from a panel using the standard gamble method for preference elicitation.</w:t>
      </w:r>
    </w:p>
    <w:p w14:paraId="6C21B362" w14:textId="0C19B629" w:rsidR="00121F6F" w:rsidRDefault="00F75D62" w:rsidP="00121F6F">
      <w:pPr>
        <w:pStyle w:val="COMTablefooter"/>
      </w:pPr>
      <w:r>
        <w:rPr>
          <w:vertAlign w:val="superscript"/>
        </w:rPr>
        <w:t>c</w:t>
      </w:r>
      <w:r w:rsidR="00A771FD" w:rsidRPr="0084014B">
        <w:t xml:space="preserve"> </w:t>
      </w:r>
      <w:bookmarkStart w:id="44" w:name="_Hlk198559697"/>
      <w:r w:rsidR="002836AF" w:rsidRPr="0084014B">
        <w:t xml:space="preserve">Based on </w:t>
      </w:r>
      <w:r w:rsidR="00AA0CA7" w:rsidRPr="0084014B">
        <w:t xml:space="preserve">alternative utility values included in the March 2024 dabrafenib submission, </w:t>
      </w:r>
      <w:r w:rsidR="0018070B" w:rsidRPr="0084014B">
        <w:t>derived from</w:t>
      </w:r>
      <w:r w:rsidR="00AA0CA7" w:rsidRPr="0084014B">
        <w:t xml:space="preserve"> Vera et al. (2018), a </w:t>
      </w:r>
      <w:r w:rsidR="002836AF" w:rsidRPr="0084014B">
        <w:t xml:space="preserve">study </w:t>
      </w:r>
      <w:r w:rsidR="00737274" w:rsidRPr="0084014B">
        <w:t xml:space="preserve">assessing quality of life </w:t>
      </w:r>
      <w:r w:rsidR="00533FD1" w:rsidRPr="0084014B">
        <w:t xml:space="preserve">(assessed using the EQ-5D) </w:t>
      </w:r>
      <w:r w:rsidR="00737274" w:rsidRPr="0084014B">
        <w:t xml:space="preserve">among </w:t>
      </w:r>
      <w:r w:rsidR="00AA0CA7" w:rsidRPr="0084014B">
        <w:t xml:space="preserve">100 </w:t>
      </w:r>
      <w:r w:rsidR="002836AF" w:rsidRPr="0084014B">
        <w:t>patients with malignant glioma undergoing outpatient treatment at a US cancer treatment centre.</w:t>
      </w:r>
    </w:p>
    <w:p w14:paraId="245F1340" w14:textId="5F1BAD24" w:rsidR="008C237A" w:rsidRPr="008C237A" w:rsidRDefault="004D61D1" w:rsidP="00946C3F">
      <w:pPr>
        <w:pStyle w:val="COMTablefooter"/>
      </w:pPr>
      <w:r w:rsidRPr="00946C3F">
        <w:t xml:space="preserve">d </w:t>
      </w:r>
      <w:r w:rsidR="008C237A" w:rsidRPr="00946C3F">
        <w:t>Differences between these analyses and th</w:t>
      </w:r>
      <w:r w:rsidR="00BF4337" w:rsidRPr="00946C3F">
        <w:t xml:space="preserve">ose provided in the pre-PBAC response </w:t>
      </w:r>
      <w:r w:rsidR="008C237A" w:rsidRPr="00946C3F">
        <w:t>are due to</w:t>
      </w:r>
      <w:r w:rsidR="00BF4337" w:rsidRPr="00946C3F">
        <w:t xml:space="preserve"> t</w:t>
      </w:r>
      <w:r w:rsidR="008C237A" w:rsidRPr="008C237A">
        <w:t xml:space="preserve">he assumed timing of the utility change. In the sensitivity analyses, the pre-progression utility was applied in the cycle that disease progression occurs, with the first 0.00919 decrement applied in the first cycle in the progressed disease health state. The sensitivity analysis was based on the application of the exact utility decrement (0.00918561….), whereas the </w:t>
      </w:r>
      <w:r w:rsidR="00946C3F" w:rsidRPr="00946C3F">
        <w:t>analyses in the pre-PBAC response</w:t>
      </w:r>
      <w:r w:rsidR="008C237A" w:rsidRPr="008C237A">
        <w:t xml:space="preserve"> appear to have used the rounded figure (0.00919).</w:t>
      </w:r>
    </w:p>
    <w:p w14:paraId="3EB79DAE" w14:textId="243AF457" w:rsidR="004D61D1" w:rsidRDefault="004D61D1" w:rsidP="00CF724F">
      <w:pPr>
        <w:pStyle w:val="COMTablefooter"/>
        <w:spacing w:after="0"/>
      </w:pPr>
      <w:r w:rsidRPr="00946C3F">
        <w:t>e</w:t>
      </w:r>
      <w:r w:rsidR="00054133">
        <w:t xml:space="preserve"> </w:t>
      </w:r>
      <w:r w:rsidRPr="004D61D1">
        <w:t xml:space="preserve">In the multivariate sensitivity analyses, the utility in the cycle that disease progression occurs was assumed to be the same as the progression-free utility, with the post-progression value applied from the first cycle in the progressed disease health state onwards. The multivariate analyses provided </w:t>
      </w:r>
      <w:r>
        <w:t>in the pre-PBAC response</w:t>
      </w:r>
      <w:r w:rsidRPr="004D61D1">
        <w:t xml:space="preserve"> include 50% of the progression-free utility and 50% of the post-progression utility in the cycle that the disease progression occurs, and the post-progression utility from the first cycle in the progressed disease health state onwards.</w:t>
      </w:r>
    </w:p>
    <w:p w14:paraId="3DBE58B7" w14:textId="77777777" w:rsidR="00CF724F" w:rsidRPr="00AB0642" w:rsidRDefault="00CF724F" w:rsidP="00CF724F">
      <w:pPr>
        <w:rPr>
          <w:rFonts w:ascii="Arial Narrow" w:hAnsi="Arial Narrow"/>
          <w:i/>
          <w:iCs/>
          <w:snapToGrid w:val="0"/>
          <w:sz w:val="18"/>
          <w:szCs w:val="22"/>
        </w:rPr>
      </w:pPr>
      <w:r w:rsidRPr="00AB0642">
        <w:rPr>
          <w:rFonts w:ascii="Arial Narrow" w:hAnsi="Arial Narrow"/>
          <w:i/>
          <w:iCs/>
          <w:snapToGrid w:val="0"/>
          <w:sz w:val="18"/>
          <w:szCs w:val="22"/>
        </w:rPr>
        <w:t xml:space="preserve">The redacted values correspond to the following ranges: </w:t>
      </w:r>
    </w:p>
    <w:p w14:paraId="4A5E2E0F" w14:textId="6F222FD8" w:rsidR="00CF724F" w:rsidRPr="00AB0642" w:rsidRDefault="00CF724F" w:rsidP="00CF724F">
      <w:pPr>
        <w:rPr>
          <w:rFonts w:ascii="Arial Narrow" w:hAnsi="Arial Narrow"/>
          <w:i/>
          <w:iCs/>
          <w:snapToGrid w:val="0"/>
          <w:sz w:val="18"/>
          <w:szCs w:val="22"/>
        </w:rPr>
      </w:pPr>
      <w:r w:rsidRPr="00AB0642">
        <w:rPr>
          <w:rFonts w:ascii="Arial Narrow" w:hAnsi="Arial Narrow"/>
          <w:i/>
          <w:iCs/>
          <w:snapToGrid w:val="0"/>
          <w:sz w:val="18"/>
          <w:szCs w:val="22"/>
          <w:vertAlign w:val="superscript"/>
        </w:rPr>
        <w:t xml:space="preserve">1 </w:t>
      </w:r>
      <w:r w:rsidR="00AB0642" w:rsidRPr="00AB0642">
        <w:rPr>
          <w:rFonts w:ascii="Arial Narrow" w:hAnsi="Arial Narrow"/>
          <w:i/>
          <w:iCs/>
          <w:snapToGrid w:val="0"/>
          <w:sz w:val="18"/>
          <w:szCs w:val="22"/>
          <w:vertAlign w:val="superscript"/>
        </w:rPr>
        <w:t xml:space="preserve"> </w:t>
      </w:r>
      <w:r w:rsidR="00997AF3" w:rsidRPr="00AB0642">
        <w:rPr>
          <w:rFonts w:ascii="Arial Narrow" w:hAnsi="Arial Narrow"/>
          <w:i/>
          <w:iCs/>
          <w:snapToGrid w:val="0"/>
          <w:sz w:val="18"/>
          <w:szCs w:val="22"/>
        </w:rPr>
        <w:t>$155,000 to &lt; $255,000</w:t>
      </w:r>
    </w:p>
    <w:p w14:paraId="1A19DD87" w14:textId="77854AEC" w:rsidR="00CF724F" w:rsidRPr="00AB0642" w:rsidRDefault="00CF724F" w:rsidP="00CF724F">
      <w:pPr>
        <w:rPr>
          <w:rFonts w:ascii="Arial Narrow" w:hAnsi="Arial Narrow"/>
          <w:i/>
          <w:iCs/>
          <w:snapToGrid w:val="0"/>
          <w:sz w:val="18"/>
          <w:szCs w:val="22"/>
        </w:rPr>
      </w:pPr>
      <w:r w:rsidRPr="00AB0642">
        <w:rPr>
          <w:rFonts w:ascii="Arial Narrow" w:hAnsi="Arial Narrow"/>
          <w:i/>
          <w:iCs/>
          <w:snapToGrid w:val="0"/>
          <w:sz w:val="18"/>
          <w:szCs w:val="22"/>
          <w:vertAlign w:val="superscript"/>
        </w:rPr>
        <w:t xml:space="preserve">2 </w:t>
      </w:r>
      <w:r w:rsidR="00AB0642" w:rsidRPr="00AB0642">
        <w:rPr>
          <w:rFonts w:ascii="Arial Narrow" w:hAnsi="Arial Narrow"/>
          <w:i/>
          <w:iCs/>
          <w:snapToGrid w:val="0"/>
          <w:sz w:val="18"/>
          <w:szCs w:val="22"/>
          <w:vertAlign w:val="superscript"/>
        </w:rPr>
        <w:t xml:space="preserve"> </w:t>
      </w:r>
      <w:r w:rsidR="00AB0642" w:rsidRPr="00AB0642">
        <w:rPr>
          <w:rFonts w:ascii="Arial Narrow" w:hAnsi="Arial Narrow"/>
          <w:i/>
          <w:iCs/>
          <w:snapToGrid w:val="0"/>
          <w:sz w:val="18"/>
          <w:szCs w:val="22"/>
        </w:rPr>
        <w:t>$115,000 to &lt; $135,000</w:t>
      </w:r>
    </w:p>
    <w:p w14:paraId="6D5442FB" w14:textId="6A032792" w:rsidR="00CF724F" w:rsidRPr="009978F5" w:rsidRDefault="00CF724F" w:rsidP="00CF724F">
      <w:pPr>
        <w:rPr>
          <w:rFonts w:ascii="Arial Narrow" w:hAnsi="Arial Narrow"/>
          <w:i/>
          <w:iCs/>
          <w:snapToGrid w:val="0"/>
          <w:sz w:val="18"/>
          <w:szCs w:val="22"/>
        </w:rPr>
      </w:pPr>
      <w:r w:rsidRPr="00AB0642">
        <w:rPr>
          <w:rFonts w:ascii="Arial Narrow" w:hAnsi="Arial Narrow"/>
          <w:i/>
          <w:iCs/>
          <w:snapToGrid w:val="0"/>
          <w:sz w:val="18"/>
          <w:szCs w:val="22"/>
          <w:vertAlign w:val="superscript"/>
        </w:rPr>
        <w:t xml:space="preserve">3 </w:t>
      </w:r>
      <w:r w:rsidR="009978F5" w:rsidRPr="009978F5">
        <w:rPr>
          <w:rFonts w:ascii="Arial Narrow" w:hAnsi="Arial Narrow"/>
          <w:i/>
          <w:iCs/>
          <w:snapToGrid w:val="0"/>
          <w:sz w:val="18"/>
          <w:szCs w:val="22"/>
        </w:rPr>
        <w:t>$135,000 to &lt; $155,000</w:t>
      </w:r>
    </w:p>
    <w:bookmarkEnd w:id="44"/>
    <w:p w14:paraId="6107A2AA" w14:textId="5FB26E01" w:rsidR="00402812" w:rsidRDefault="00706823" w:rsidP="00BB732D">
      <w:pPr>
        <w:pStyle w:val="COMexecsummnumbered"/>
      </w:pPr>
      <w:r w:rsidRPr="0084014B">
        <w:t xml:space="preserve">The model was most sensitive to the choice of parametric function for the vorasidenib </w:t>
      </w:r>
      <w:r w:rsidR="006B5786">
        <w:t>PFS</w:t>
      </w:r>
      <w:r w:rsidRPr="0084014B">
        <w:t xml:space="preserve"> extrapolation, the choice of parametric function for the post-progression survival extrapolation, and the included health state utilities.</w:t>
      </w:r>
    </w:p>
    <w:p w14:paraId="138DA6BF" w14:textId="265575C5" w:rsidR="00BE6AFD" w:rsidRDefault="00BE6AFD" w:rsidP="007F461B">
      <w:pPr>
        <w:pStyle w:val="COMexecsummnumbered"/>
      </w:pPr>
      <w:r>
        <w:t>The pre-PBAC response stated that the sponsor was unable to replicate</w:t>
      </w:r>
      <w:r w:rsidR="00852BFE">
        <w:t xml:space="preserve"> </w:t>
      </w:r>
      <w:r w:rsidR="00863A24">
        <w:t xml:space="preserve">some analyses varying health state utilities in </w:t>
      </w:r>
      <w:r w:rsidR="00863A24">
        <w:fldChar w:fldCharType="begin"/>
      </w:r>
      <w:r w:rsidR="00863A24">
        <w:instrText xml:space="preserve"> REF _Ref104804865 \h </w:instrText>
      </w:r>
      <w:r w:rsidR="00863A24">
        <w:fldChar w:fldCharType="separate"/>
      </w:r>
      <w:r w:rsidR="003C0757" w:rsidRPr="0084014B">
        <w:t xml:space="preserve">Table </w:t>
      </w:r>
      <w:r w:rsidR="003C0757">
        <w:rPr>
          <w:noProof/>
        </w:rPr>
        <w:t>12</w:t>
      </w:r>
      <w:r w:rsidR="00863A24">
        <w:fldChar w:fldCharType="end"/>
      </w:r>
      <w:r w:rsidR="007F227F">
        <w:t xml:space="preserve">. </w:t>
      </w:r>
      <w:r w:rsidR="007F227F" w:rsidRPr="007F227F">
        <w:t xml:space="preserve">There </w:t>
      </w:r>
      <w:r w:rsidR="007F227F">
        <w:t>were</w:t>
      </w:r>
      <w:r w:rsidR="007F227F" w:rsidRPr="007F227F">
        <w:t xml:space="preserve"> slight differences in the results </w:t>
      </w:r>
      <w:r w:rsidR="00F967F1">
        <w:t xml:space="preserve">provided in the pre-PBAC response due to </w:t>
      </w:r>
      <w:r w:rsidR="007F227F" w:rsidRPr="007F227F">
        <w:t>the assumed timing of the switch from the progression-free to the progressed disease utility</w:t>
      </w:r>
      <w:r w:rsidR="00F967F1">
        <w:t xml:space="preserve"> and rounding of the utility value applied</w:t>
      </w:r>
      <w:r w:rsidR="007F227F" w:rsidRPr="007F227F">
        <w:t xml:space="preserve">. </w:t>
      </w:r>
    </w:p>
    <w:p w14:paraId="70F282C3" w14:textId="2E5DEB38" w:rsidR="00BC3CBA" w:rsidRPr="009872A8" w:rsidRDefault="00BC3CBA" w:rsidP="00BB732D">
      <w:pPr>
        <w:pStyle w:val="COMexecsummnumbered"/>
      </w:pPr>
      <w:r w:rsidRPr="009872A8">
        <w:lastRenderedPageBreak/>
        <w:t>The Sub-Committees noted that with more con</w:t>
      </w:r>
      <w:r w:rsidR="00B867CE" w:rsidRPr="009872A8">
        <w:t>servative assumptions regarding PFS extrapolation, utility values and correction of the vora</w:t>
      </w:r>
      <w:r w:rsidR="00F954B5" w:rsidRPr="009872A8">
        <w:t xml:space="preserve">sidenib drug costs the ICER increased by </w:t>
      </w:r>
      <w:r w:rsidR="00556852" w:rsidRPr="003C0757">
        <w:rPr>
          <w:color w:val="000000"/>
          <w:w w:val="15"/>
          <w:shd w:val="solid" w:color="000000" w:fill="000000"/>
          <w:fitText w:val="-20" w:id="-629514487"/>
          <w14:textFill>
            <w14:solidFill>
              <w14:srgbClr w14:val="000000">
                <w14:alpha w14:val="100000"/>
              </w14:srgbClr>
            </w14:solidFill>
          </w14:textFill>
        </w:rPr>
        <w:t xml:space="preserve">|  </w:t>
      </w:r>
      <w:r w:rsidR="00556852" w:rsidRPr="003C0757">
        <w:rPr>
          <w:color w:val="000000"/>
          <w:spacing w:val="-69"/>
          <w:w w:val="15"/>
          <w:shd w:val="solid" w:color="000000" w:fill="000000"/>
          <w:fitText w:val="-20" w:id="-629514487"/>
          <w14:textFill>
            <w14:solidFill>
              <w14:srgbClr w14:val="000000">
                <w14:alpha w14:val="100000"/>
              </w14:srgbClr>
            </w14:solidFill>
          </w14:textFill>
        </w:rPr>
        <w:t>|</w:t>
      </w:r>
      <w:r w:rsidR="00F954B5" w:rsidRPr="009872A8">
        <w:t xml:space="preserve">%, </w:t>
      </w:r>
      <w:r w:rsidR="00154B63" w:rsidRPr="009872A8">
        <w:t>from $</w:t>
      </w:r>
      <w:r w:rsidR="00643BEC" w:rsidRPr="00643BEC">
        <w:t>155,000 to &lt; $255,000</w:t>
      </w:r>
      <w:r w:rsidR="00154B63" w:rsidRPr="009872A8">
        <w:t xml:space="preserve"> </w:t>
      </w:r>
      <w:r w:rsidR="00F954B5" w:rsidRPr="009872A8">
        <w:t xml:space="preserve">to </w:t>
      </w:r>
      <w:r w:rsidR="00643BEC" w:rsidRPr="00643BEC">
        <w:t>$155,000 to &lt; $255,000</w:t>
      </w:r>
      <w:r w:rsidR="009872A8">
        <w:t xml:space="preserve"> </w:t>
      </w:r>
      <w:r w:rsidR="00F954B5" w:rsidRPr="009872A8">
        <w:t xml:space="preserve">per QALY. </w:t>
      </w:r>
    </w:p>
    <w:p w14:paraId="472842D7" w14:textId="05612981" w:rsidR="00C25D9C" w:rsidRPr="00F57392" w:rsidRDefault="00706823" w:rsidP="003D5DE7">
      <w:pPr>
        <w:pStyle w:val="COMH2-non-numbered"/>
      </w:pPr>
      <w:bookmarkStart w:id="45" w:name="_Toc22897646"/>
      <w:bookmarkStart w:id="46" w:name="_Toc198628233"/>
      <w:r w:rsidRPr="00F57392">
        <w:t>D</w:t>
      </w:r>
      <w:r w:rsidR="00C25D9C" w:rsidRPr="00F57392">
        <w:t>rug</w:t>
      </w:r>
      <w:r w:rsidRPr="00F57392">
        <w:t xml:space="preserve"> </w:t>
      </w:r>
      <w:r w:rsidR="00C25D9C" w:rsidRPr="00F57392">
        <w:t>cost/patient/course</w:t>
      </w:r>
      <w:bookmarkEnd w:id="45"/>
      <w:bookmarkEnd w:id="46"/>
    </w:p>
    <w:bookmarkStart w:id="47" w:name="_Ref104805102"/>
    <w:p w14:paraId="15FF9BE3" w14:textId="0ECA8AA8" w:rsidR="00706823" w:rsidRPr="00F57392" w:rsidRDefault="00292450" w:rsidP="00706823">
      <w:pPr>
        <w:pStyle w:val="COMexecsummnumbered"/>
      </w:pPr>
      <w:r w:rsidRPr="00F57392">
        <w:fldChar w:fldCharType="begin"/>
      </w:r>
      <w:r w:rsidRPr="00F57392">
        <w:instrText xml:space="preserve"> REF _Ref197897039 \h </w:instrText>
      </w:r>
      <w:r w:rsidRPr="00F57392">
        <w:fldChar w:fldCharType="separate"/>
      </w:r>
      <w:r w:rsidR="003C0757" w:rsidRPr="00F57392">
        <w:t xml:space="preserve">Table </w:t>
      </w:r>
      <w:r w:rsidR="003C0757">
        <w:rPr>
          <w:noProof/>
        </w:rPr>
        <w:t>13</w:t>
      </w:r>
      <w:r w:rsidRPr="00F57392">
        <w:fldChar w:fldCharType="end"/>
      </w:r>
      <w:r w:rsidR="00706823" w:rsidRPr="00F57392">
        <w:t xml:space="preserve"> presents a comparison of drug costs for </w:t>
      </w:r>
      <w:r w:rsidR="00444FD7" w:rsidRPr="00F57392">
        <w:t>vorasidenib included in the</w:t>
      </w:r>
      <w:r w:rsidR="00706823" w:rsidRPr="00F57392">
        <w:t xml:space="preserve"> economic model and financial estimates</w:t>
      </w:r>
      <w:r w:rsidR="006E3E4E" w:rsidRPr="00F57392">
        <w:t>.</w:t>
      </w:r>
    </w:p>
    <w:p w14:paraId="51691BD3" w14:textId="65883FA3" w:rsidR="00494207" w:rsidRPr="00F57392" w:rsidRDefault="00E16AD8" w:rsidP="00FF3ECD">
      <w:pPr>
        <w:pStyle w:val="COMtablefigcaption"/>
      </w:pPr>
      <w:bookmarkStart w:id="48" w:name="_Ref197897039"/>
      <w:r w:rsidRPr="00F57392">
        <w:t xml:space="preserve">Table </w:t>
      </w:r>
      <w:r w:rsidR="00052B1E">
        <w:fldChar w:fldCharType="begin"/>
      </w:r>
      <w:r w:rsidR="00052B1E">
        <w:instrText xml:space="preserve"> SEQ Table \* ARABIC </w:instrText>
      </w:r>
      <w:r w:rsidR="00052B1E">
        <w:fldChar w:fldCharType="separate"/>
      </w:r>
      <w:r w:rsidR="003C0757">
        <w:rPr>
          <w:noProof/>
        </w:rPr>
        <w:t>13</w:t>
      </w:r>
      <w:r w:rsidR="00052B1E">
        <w:rPr>
          <w:noProof/>
        </w:rPr>
        <w:fldChar w:fldCharType="end"/>
      </w:r>
      <w:bookmarkEnd w:id="47"/>
      <w:bookmarkEnd w:id="48"/>
      <w:r w:rsidRPr="00F57392">
        <w:t>:</w:t>
      </w:r>
      <w:r w:rsidR="00494207" w:rsidRPr="00F57392">
        <w:t xml:space="preserve"> Drug cost per patient for </w:t>
      </w:r>
      <w:r w:rsidR="006E3E4E" w:rsidRPr="00F57392">
        <w:t>vorasidenib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rug cost per patient for vorasidenib"/>
      </w:tblPr>
      <w:tblGrid>
        <w:gridCol w:w="1956"/>
        <w:gridCol w:w="2353"/>
        <w:gridCol w:w="2353"/>
        <w:gridCol w:w="2355"/>
      </w:tblGrid>
      <w:tr w:rsidR="00F038B5" w:rsidRPr="00F57392" w14:paraId="19F68841" w14:textId="77777777" w:rsidTr="00AA5D87">
        <w:trPr>
          <w:cantSplit/>
          <w:tblHeader/>
          <w:jc w:val="center"/>
        </w:trPr>
        <w:tc>
          <w:tcPr>
            <w:tcW w:w="1084" w:type="pct"/>
            <w:vMerge w:val="restart"/>
            <w:vAlign w:val="center"/>
          </w:tcPr>
          <w:p w14:paraId="433676BD" w14:textId="77777777" w:rsidR="00F038B5" w:rsidRPr="00F57392" w:rsidRDefault="00F038B5" w:rsidP="00F038B5">
            <w:pPr>
              <w:pStyle w:val="COMTabletext"/>
            </w:pPr>
            <w:bookmarkStart w:id="49" w:name="_Hlk107307804"/>
          </w:p>
        </w:tc>
        <w:tc>
          <w:tcPr>
            <w:tcW w:w="3916" w:type="pct"/>
            <w:gridSpan w:val="3"/>
            <w:vAlign w:val="center"/>
          </w:tcPr>
          <w:p w14:paraId="1B7606FB" w14:textId="77777777" w:rsidR="00F038B5" w:rsidRPr="00F57392" w:rsidRDefault="00F038B5" w:rsidP="00903311">
            <w:pPr>
              <w:pStyle w:val="COMTableheadingrow"/>
              <w:jc w:val="center"/>
              <w:rPr>
                <w:lang w:val="en-AU"/>
              </w:rPr>
            </w:pPr>
            <w:r w:rsidRPr="00F57392">
              <w:rPr>
                <w:lang w:val="en-AU"/>
              </w:rPr>
              <w:t>Vorasidenib</w:t>
            </w:r>
          </w:p>
        </w:tc>
      </w:tr>
      <w:tr w:rsidR="00F038B5" w:rsidRPr="00F57392" w14:paraId="1E92C77D" w14:textId="77777777" w:rsidTr="00AA5D87">
        <w:trPr>
          <w:cantSplit/>
          <w:tblHeader/>
          <w:jc w:val="center"/>
        </w:trPr>
        <w:tc>
          <w:tcPr>
            <w:tcW w:w="1084" w:type="pct"/>
            <w:vMerge/>
            <w:vAlign w:val="center"/>
          </w:tcPr>
          <w:p w14:paraId="21D5DA84" w14:textId="77777777" w:rsidR="00F038B5" w:rsidRPr="00F57392" w:rsidRDefault="00F038B5" w:rsidP="00930FD5">
            <w:pPr>
              <w:pStyle w:val="In-tableHeading"/>
            </w:pPr>
          </w:p>
        </w:tc>
        <w:tc>
          <w:tcPr>
            <w:tcW w:w="1305" w:type="pct"/>
            <w:vAlign w:val="center"/>
          </w:tcPr>
          <w:p w14:paraId="242CB692" w14:textId="77777777" w:rsidR="00F038B5" w:rsidRPr="00F57392" w:rsidRDefault="00F038B5" w:rsidP="00903311">
            <w:pPr>
              <w:pStyle w:val="COMTableheadingrow"/>
              <w:jc w:val="center"/>
              <w:rPr>
                <w:lang w:val="en-AU"/>
              </w:rPr>
            </w:pPr>
            <w:r w:rsidRPr="00F57392">
              <w:rPr>
                <w:lang w:val="en-AU"/>
              </w:rPr>
              <w:t>Clinical trial</w:t>
            </w:r>
          </w:p>
        </w:tc>
        <w:tc>
          <w:tcPr>
            <w:tcW w:w="1305" w:type="pct"/>
            <w:vAlign w:val="center"/>
          </w:tcPr>
          <w:p w14:paraId="6264D6DA" w14:textId="77777777" w:rsidR="00F038B5" w:rsidRPr="00F57392" w:rsidRDefault="00F038B5" w:rsidP="00903311">
            <w:pPr>
              <w:pStyle w:val="COMTableheadingrow"/>
              <w:jc w:val="center"/>
              <w:rPr>
                <w:lang w:val="en-AU"/>
              </w:rPr>
            </w:pPr>
            <w:r w:rsidRPr="00F57392">
              <w:rPr>
                <w:lang w:val="en-AU"/>
              </w:rPr>
              <w:t>Economic model</w:t>
            </w:r>
          </w:p>
        </w:tc>
        <w:tc>
          <w:tcPr>
            <w:tcW w:w="1305" w:type="pct"/>
            <w:vAlign w:val="center"/>
          </w:tcPr>
          <w:p w14:paraId="519364E7" w14:textId="77777777" w:rsidR="00F038B5" w:rsidRPr="00F57392" w:rsidRDefault="00F038B5" w:rsidP="00903311">
            <w:pPr>
              <w:pStyle w:val="COMTableheadingrow"/>
              <w:jc w:val="center"/>
              <w:rPr>
                <w:lang w:val="en-AU"/>
              </w:rPr>
            </w:pPr>
            <w:r w:rsidRPr="00F57392">
              <w:rPr>
                <w:lang w:val="en-AU"/>
              </w:rPr>
              <w:t>Financial estimates</w:t>
            </w:r>
          </w:p>
        </w:tc>
      </w:tr>
      <w:tr w:rsidR="00F038B5" w:rsidRPr="00F57392" w14:paraId="7DB75B5A" w14:textId="77777777" w:rsidTr="00AA5D87">
        <w:trPr>
          <w:cantSplit/>
          <w:jc w:val="center"/>
        </w:trPr>
        <w:tc>
          <w:tcPr>
            <w:tcW w:w="1084" w:type="pct"/>
            <w:vAlign w:val="center"/>
          </w:tcPr>
          <w:p w14:paraId="7FFBCA84" w14:textId="77777777" w:rsidR="00F038B5" w:rsidRPr="00F57392" w:rsidRDefault="00F038B5" w:rsidP="00903311">
            <w:pPr>
              <w:pStyle w:val="COMTabletext"/>
              <w:rPr>
                <w:vertAlign w:val="superscript"/>
              </w:rPr>
            </w:pPr>
            <w:r w:rsidRPr="00F57392">
              <w:t>Dose distribution</w:t>
            </w:r>
          </w:p>
        </w:tc>
        <w:tc>
          <w:tcPr>
            <w:tcW w:w="1305" w:type="pct"/>
            <w:vAlign w:val="center"/>
          </w:tcPr>
          <w:p w14:paraId="79952E6C" w14:textId="77777777" w:rsidR="00F038B5" w:rsidRPr="00A1769B" w:rsidRDefault="00F038B5" w:rsidP="006E3E4E">
            <w:pPr>
              <w:pStyle w:val="TableText"/>
              <w:jc w:val="center"/>
              <w:rPr>
                <w:b w:val="0"/>
                <w:bCs/>
                <w:vertAlign w:val="superscript"/>
                <w:lang w:val="pt-PT"/>
              </w:rPr>
            </w:pPr>
            <w:r w:rsidRPr="00A1769B">
              <w:rPr>
                <w:b w:val="0"/>
                <w:bCs/>
                <w:lang w:val="pt-PT"/>
              </w:rPr>
              <w:t xml:space="preserve">40 mg: 90.3% </w:t>
            </w:r>
            <w:r w:rsidRPr="00A1769B">
              <w:rPr>
                <w:b w:val="0"/>
                <w:bCs/>
                <w:vertAlign w:val="superscript"/>
                <w:lang w:val="pt-PT"/>
              </w:rPr>
              <w:t>a</w:t>
            </w:r>
          </w:p>
          <w:p w14:paraId="6B22EAD4" w14:textId="77777777" w:rsidR="00F038B5" w:rsidRPr="00A1769B" w:rsidRDefault="00F038B5" w:rsidP="006E3E4E">
            <w:pPr>
              <w:pStyle w:val="TableText"/>
              <w:jc w:val="center"/>
              <w:rPr>
                <w:b w:val="0"/>
                <w:bCs/>
                <w:vertAlign w:val="superscript"/>
                <w:lang w:val="pt-PT"/>
              </w:rPr>
            </w:pPr>
            <w:r w:rsidRPr="00A1769B">
              <w:rPr>
                <w:b w:val="0"/>
                <w:bCs/>
                <w:lang w:val="pt-PT"/>
              </w:rPr>
              <w:t xml:space="preserve">20 mg: 5.7% </w:t>
            </w:r>
            <w:r w:rsidRPr="00A1769B">
              <w:rPr>
                <w:b w:val="0"/>
                <w:bCs/>
                <w:vertAlign w:val="superscript"/>
                <w:lang w:val="pt-PT"/>
              </w:rPr>
              <w:t>a</w:t>
            </w:r>
          </w:p>
          <w:p w14:paraId="3597C220" w14:textId="77777777" w:rsidR="00F038B5" w:rsidRPr="00A1769B" w:rsidRDefault="00F038B5" w:rsidP="006E3E4E">
            <w:pPr>
              <w:pStyle w:val="TableText"/>
              <w:jc w:val="center"/>
              <w:rPr>
                <w:b w:val="0"/>
                <w:bCs/>
                <w:vertAlign w:val="superscript"/>
                <w:lang w:val="pt-PT"/>
              </w:rPr>
            </w:pPr>
            <w:r w:rsidRPr="00A1769B">
              <w:rPr>
                <w:b w:val="0"/>
                <w:bCs/>
                <w:lang w:val="pt-PT"/>
              </w:rPr>
              <w:t xml:space="preserve">10 mg: 1.9% </w:t>
            </w:r>
            <w:r w:rsidRPr="00A1769B">
              <w:rPr>
                <w:b w:val="0"/>
                <w:bCs/>
                <w:vertAlign w:val="superscript"/>
                <w:lang w:val="pt-PT"/>
              </w:rPr>
              <w:t>a</w:t>
            </w:r>
          </w:p>
          <w:p w14:paraId="19FF09E3" w14:textId="77777777" w:rsidR="00F038B5" w:rsidRPr="00A1769B" w:rsidRDefault="00F038B5" w:rsidP="006E3E4E">
            <w:pPr>
              <w:pStyle w:val="TableText"/>
              <w:jc w:val="center"/>
              <w:rPr>
                <w:b w:val="0"/>
                <w:bCs/>
                <w:vertAlign w:val="superscript"/>
                <w:lang w:val="pt-PT"/>
              </w:rPr>
            </w:pPr>
            <w:r w:rsidRPr="00A1769B">
              <w:rPr>
                <w:b w:val="0"/>
                <w:bCs/>
                <w:lang w:val="pt-PT"/>
              </w:rPr>
              <w:t xml:space="preserve">0 mg: 2.1% </w:t>
            </w:r>
            <w:r w:rsidRPr="00A1769B">
              <w:rPr>
                <w:b w:val="0"/>
                <w:bCs/>
                <w:vertAlign w:val="superscript"/>
                <w:lang w:val="pt-PT"/>
              </w:rPr>
              <w:t>a</w:t>
            </w:r>
          </w:p>
        </w:tc>
        <w:tc>
          <w:tcPr>
            <w:tcW w:w="1305" w:type="pct"/>
            <w:vAlign w:val="center"/>
          </w:tcPr>
          <w:p w14:paraId="682B0F25" w14:textId="77777777" w:rsidR="00F038B5" w:rsidRPr="00F57392" w:rsidRDefault="00F038B5" w:rsidP="006E3E4E">
            <w:pPr>
              <w:pStyle w:val="TableText"/>
              <w:jc w:val="center"/>
              <w:rPr>
                <w:b w:val="0"/>
                <w:bCs/>
                <w:vertAlign w:val="superscript"/>
              </w:rPr>
            </w:pPr>
            <w:r w:rsidRPr="00F57392">
              <w:rPr>
                <w:b w:val="0"/>
                <w:bCs/>
              </w:rPr>
              <w:t xml:space="preserve">40 mg: 92.2% </w:t>
            </w:r>
            <w:r w:rsidRPr="00F57392">
              <w:rPr>
                <w:b w:val="0"/>
                <w:bCs/>
                <w:vertAlign w:val="superscript"/>
              </w:rPr>
              <w:t>b</w:t>
            </w:r>
          </w:p>
          <w:p w14:paraId="56F0FBCC" w14:textId="77777777" w:rsidR="00F038B5" w:rsidRPr="00F57392" w:rsidRDefault="00F038B5" w:rsidP="006E3E4E">
            <w:pPr>
              <w:pStyle w:val="TableText"/>
              <w:jc w:val="center"/>
              <w:rPr>
                <w:b w:val="0"/>
                <w:bCs/>
                <w:vertAlign w:val="superscript"/>
              </w:rPr>
            </w:pPr>
            <w:r w:rsidRPr="00F57392">
              <w:rPr>
                <w:b w:val="0"/>
                <w:bCs/>
              </w:rPr>
              <w:t xml:space="preserve">20 mg: 5.8% </w:t>
            </w:r>
            <w:r w:rsidRPr="00F57392">
              <w:rPr>
                <w:b w:val="0"/>
                <w:bCs/>
                <w:vertAlign w:val="superscript"/>
              </w:rPr>
              <w:t>b</w:t>
            </w:r>
          </w:p>
          <w:p w14:paraId="75F89686" w14:textId="77777777" w:rsidR="00F038B5" w:rsidRPr="00F57392" w:rsidRDefault="00F038B5" w:rsidP="006E3E4E">
            <w:pPr>
              <w:pStyle w:val="TableText"/>
              <w:jc w:val="center"/>
              <w:rPr>
                <w:b w:val="0"/>
                <w:bCs/>
                <w:vertAlign w:val="superscript"/>
              </w:rPr>
            </w:pPr>
            <w:r w:rsidRPr="00F57392">
              <w:rPr>
                <w:b w:val="0"/>
                <w:bCs/>
              </w:rPr>
              <w:t xml:space="preserve">10 mg: 2.0% </w:t>
            </w:r>
            <w:r w:rsidRPr="00F57392">
              <w:rPr>
                <w:b w:val="0"/>
                <w:bCs/>
                <w:vertAlign w:val="superscript"/>
              </w:rPr>
              <w:t>b</w:t>
            </w:r>
          </w:p>
        </w:tc>
        <w:tc>
          <w:tcPr>
            <w:tcW w:w="1305" w:type="pct"/>
            <w:vAlign w:val="center"/>
          </w:tcPr>
          <w:p w14:paraId="5CB39594" w14:textId="77777777" w:rsidR="00F038B5" w:rsidRPr="00F57392" w:rsidRDefault="00F038B5" w:rsidP="006E3E4E">
            <w:pPr>
              <w:pStyle w:val="TableText"/>
              <w:jc w:val="center"/>
              <w:rPr>
                <w:b w:val="0"/>
                <w:bCs/>
                <w:vertAlign w:val="superscript"/>
              </w:rPr>
            </w:pPr>
            <w:r w:rsidRPr="00F57392">
              <w:rPr>
                <w:b w:val="0"/>
                <w:bCs/>
              </w:rPr>
              <w:t xml:space="preserve">40 mg: 92.2% </w:t>
            </w:r>
            <w:r w:rsidRPr="00F57392">
              <w:rPr>
                <w:b w:val="0"/>
                <w:bCs/>
                <w:vertAlign w:val="superscript"/>
              </w:rPr>
              <w:t>b</w:t>
            </w:r>
          </w:p>
          <w:p w14:paraId="707E3531" w14:textId="77777777" w:rsidR="00F038B5" w:rsidRPr="00F57392" w:rsidRDefault="00F038B5" w:rsidP="006E3E4E">
            <w:pPr>
              <w:pStyle w:val="TableText"/>
              <w:jc w:val="center"/>
              <w:rPr>
                <w:b w:val="0"/>
                <w:bCs/>
                <w:vertAlign w:val="superscript"/>
              </w:rPr>
            </w:pPr>
            <w:r w:rsidRPr="00F57392">
              <w:rPr>
                <w:b w:val="0"/>
                <w:bCs/>
              </w:rPr>
              <w:t xml:space="preserve">20 mg: 5.8% </w:t>
            </w:r>
            <w:r w:rsidRPr="00F57392">
              <w:rPr>
                <w:b w:val="0"/>
                <w:bCs/>
                <w:vertAlign w:val="superscript"/>
              </w:rPr>
              <w:t>b</w:t>
            </w:r>
          </w:p>
          <w:p w14:paraId="34CB7E41" w14:textId="77777777" w:rsidR="00F038B5" w:rsidRPr="00F57392" w:rsidRDefault="00F038B5" w:rsidP="006E3E4E">
            <w:pPr>
              <w:pStyle w:val="TableText"/>
              <w:jc w:val="center"/>
              <w:rPr>
                <w:b w:val="0"/>
                <w:bCs/>
                <w:vertAlign w:val="superscript"/>
              </w:rPr>
            </w:pPr>
            <w:r w:rsidRPr="00F57392">
              <w:rPr>
                <w:b w:val="0"/>
                <w:bCs/>
              </w:rPr>
              <w:t xml:space="preserve">10 mg: 2.0% </w:t>
            </w:r>
            <w:r w:rsidRPr="00F57392">
              <w:rPr>
                <w:b w:val="0"/>
                <w:bCs/>
                <w:vertAlign w:val="superscript"/>
              </w:rPr>
              <w:t>b</w:t>
            </w:r>
          </w:p>
        </w:tc>
      </w:tr>
      <w:tr w:rsidR="00F038B5" w:rsidRPr="00F57392" w14:paraId="6B46624F" w14:textId="77777777" w:rsidTr="00AA5D87">
        <w:trPr>
          <w:cantSplit/>
          <w:jc w:val="center"/>
        </w:trPr>
        <w:tc>
          <w:tcPr>
            <w:tcW w:w="1084" w:type="pct"/>
            <w:vAlign w:val="center"/>
          </w:tcPr>
          <w:p w14:paraId="7E38806E" w14:textId="77777777" w:rsidR="00F038B5" w:rsidRPr="00F57392" w:rsidRDefault="00F038B5" w:rsidP="00903311">
            <w:pPr>
              <w:pStyle w:val="COMTabletext"/>
            </w:pPr>
            <w:r w:rsidRPr="00F57392">
              <w:t>Treatment adherence</w:t>
            </w:r>
          </w:p>
        </w:tc>
        <w:tc>
          <w:tcPr>
            <w:tcW w:w="1305" w:type="pct"/>
            <w:vAlign w:val="center"/>
          </w:tcPr>
          <w:p w14:paraId="58A3FC29" w14:textId="77777777" w:rsidR="00F038B5" w:rsidRPr="00F57392" w:rsidRDefault="00F038B5" w:rsidP="006E3E4E">
            <w:pPr>
              <w:pStyle w:val="TableText"/>
              <w:jc w:val="center"/>
              <w:rPr>
                <w:b w:val="0"/>
                <w:bCs/>
                <w:vertAlign w:val="superscript"/>
              </w:rPr>
            </w:pPr>
            <w:r w:rsidRPr="00F57392">
              <w:rPr>
                <w:b w:val="0"/>
                <w:bCs/>
              </w:rPr>
              <w:t xml:space="preserve">93.3% </w:t>
            </w:r>
            <w:r w:rsidRPr="00F57392">
              <w:rPr>
                <w:b w:val="0"/>
                <w:bCs/>
                <w:vertAlign w:val="superscript"/>
              </w:rPr>
              <w:t>c</w:t>
            </w:r>
          </w:p>
        </w:tc>
        <w:tc>
          <w:tcPr>
            <w:tcW w:w="1305" w:type="pct"/>
            <w:vAlign w:val="center"/>
          </w:tcPr>
          <w:p w14:paraId="260DA902" w14:textId="429B4116" w:rsidR="00F038B5" w:rsidRPr="00F57392" w:rsidRDefault="00F038B5" w:rsidP="006E3E4E">
            <w:pPr>
              <w:pStyle w:val="TableText"/>
              <w:jc w:val="center"/>
              <w:rPr>
                <w:b w:val="0"/>
                <w:bCs/>
              </w:rPr>
            </w:pPr>
            <w:r w:rsidRPr="00F57392">
              <w:rPr>
                <w:b w:val="0"/>
                <w:bCs/>
              </w:rPr>
              <w:t xml:space="preserve">97.9% </w:t>
            </w:r>
            <w:r w:rsidRPr="00F57392">
              <w:rPr>
                <w:b w:val="0"/>
                <w:bCs/>
                <w:vertAlign w:val="superscript"/>
              </w:rPr>
              <w:t>d</w:t>
            </w:r>
          </w:p>
        </w:tc>
        <w:tc>
          <w:tcPr>
            <w:tcW w:w="1305" w:type="pct"/>
            <w:vAlign w:val="center"/>
          </w:tcPr>
          <w:p w14:paraId="75196BB8" w14:textId="77777777" w:rsidR="00F038B5" w:rsidRPr="00F57392" w:rsidRDefault="00F038B5" w:rsidP="006E3E4E">
            <w:pPr>
              <w:pStyle w:val="TableText"/>
              <w:jc w:val="center"/>
              <w:rPr>
                <w:b w:val="0"/>
                <w:bCs/>
              </w:rPr>
            </w:pPr>
            <w:r w:rsidRPr="00F57392">
              <w:rPr>
                <w:b w:val="0"/>
                <w:bCs/>
              </w:rPr>
              <w:t xml:space="preserve">93.6% </w:t>
            </w:r>
            <w:r w:rsidRPr="00F57392">
              <w:rPr>
                <w:b w:val="0"/>
                <w:bCs/>
                <w:vertAlign w:val="superscript"/>
              </w:rPr>
              <w:t>e</w:t>
            </w:r>
          </w:p>
        </w:tc>
      </w:tr>
      <w:tr w:rsidR="00F038B5" w:rsidRPr="00F57392" w14:paraId="7E769BD2" w14:textId="77777777" w:rsidTr="00AA5D87">
        <w:trPr>
          <w:cantSplit/>
          <w:jc w:val="center"/>
        </w:trPr>
        <w:tc>
          <w:tcPr>
            <w:tcW w:w="1084" w:type="pct"/>
            <w:vAlign w:val="center"/>
          </w:tcPr>
          <w:p w14:paraId="06366345" w14:textId="77777777" w:rsidR="00F038B5" w:rsidRPr="00F57392" w:rsidRDefault="00F038B5" w:rsidP="00903311">
            <w:pPr>
              <w:pStyle w:val="COMTabletext"/>
            </w:pPr>
            <w:r w:rsidRPr="00F57392">
              <w:t>Proposed price</w:t>
            </w:r>
          </w:p>
        </w:tc>
        <w:tc>
          <w:tcPr>
            <w:tcW w:w="1305" w:type="pct"/>
            <w:vAlign w:val="center"/>
          </w:tcPr>
          <w:p w14:paraId="6F8AF733" w14:textId="77777777" w:rsidR="00F038B5" w:rsidRPr="00F57392" w:rsidRDefault="00F038B5" w:rsidP="006E3E4E">
            <w:pPr>
              <w:pStyle w:val="TableText"/>
              <w:jc w:val="center"/>
              <w:rPr>
                <w:b w:val="0"/>
                <w:bCs/>
              </w:rPr>
            </w:pPr>
            <w:r w:rsidRPr="00F57392">
              <w:rPr>
                <w:b w:val="0"/>
                <w:bCs/>
              </w:rPr>
              <w:t>-</w:t>
            </w:r>
          </w:p>
        </w:tc>
        <w:tc>
          <w:tcPr>
            <w:tcW w:w="1305" w:type="pct"/>
            <w:vAlign w:val="center"/>
          </w:tcPr>
          <w:p w14:paraId="413A5504" w14:textId="1D22FE74" w:rsidR="00F038B5" w:rsidRPr="00F57392" w:rsidRDefault="00F038B5" w:rsidP="006E3E4E">
            <w:pPr>
              <w:pStyle w:val="TableText"/>
              <w:jc w:val="center"/>
              <w:rPr>
                <w:b w:val="0"/>
                <w:bCs/>
              </w:rPr>
            </w:pPr>
            <w:r w:rsidRPr="00F57392">
              <w:rPr>
                <w:b w:val="0"/>
                <w:bCs/>
              </w:rPr>
              <w:t>40 mg × 30 tablets: $</w:t>
            </w:r>
            <w:r w:rsidR="00556852" w:rsidRPr="00556852">
              <w:rPr>
                <w:b w:val="0"/>
                <w:bCs/>
                <w:color w:val="000000"/>
                <w:spacing w:val="82"/>
                <w:shd w:val="solid" w:color="000000" w:fill="000000"/>
                <w:fitText w:val="168" w:id="-629514486"/>
                <w14:textFill>
                  <w14:solidFill>
                    <w14:srgbClr w14:val="000000">
                      <w14:alpha w14:val="100000"/>
                    </w14:srgbClr>
                  </w14:solidFill>
                </w14:textFill>
              </w:rPr>
              <w:t>|</w:t>
            </w:r>
            <w:r w:rsidR="00556852" w:rsidRPr="00556852">
              <w:rPr>
                <w:b w:val="0"/>
                <w:bCs/>
                <w:color w:val="000000"/>
                <w:spacing w:val="1"/>
                <w:shd w:val="solid" w:color="000000" w:fill="000000"/>
                <w:fitText w:val="168" w:id="-629514486"/>
                <w14:textFill>
                  <w14:solidFill>
                    <w14:srgbClr w14:val="000000">
                      <w14:alpha w14:val="100000"/>
                    </w14:srgbClr>
                  </w14:solidFill>
                </w14:textFill>
              </w:rPr>
              <w:t>|</w:t>
            </w:r>
          </w:p>
          <w:p w14:paraId="75DC4D19" w14:textId="0B7E0836" w:rsidR="00F038B5" w:rsidRPr="00F57392" w:rsidRDefault="00F038B5" w:rsidP="006E3E4E">
            <w:pPr>
              <w:pStyle w:val="TableText"/>
              <w:jc w:val="center"/>
              <w:rPr>
                <w:b w:val="0"/>
                <w:bCs/>
              </w:rPr>
            </w:pPr>
            <w:r w:rsidRPr="00F57392">
              <w:rPr>
                <w:b w:val="0"/>
                <w:bCs/>
              </w:rPr>
              <w:t>10 mg × 60 tablets: $</w:t>
            </w:r>
            <w:r w:rsidR="00556852" w:rsidRPr="00556852">
              <w:rPr>
                <w:b w:val="0"/>
                <w:bCs/>
                <w:color w:val="000000"/>
                <w:spacing w:val="82"/>
                <w:shd w:val="solid" w:color="000000" w:fill="000000"/>
                <w:fitText w:val="168" w:id="-629514485"/>
                <w14:textFill>
                  <w14:solidFill>
                    <w14:srgbClr w14:val="000000">
                      <w14:alpha w14:val="100000"/>
                    </w14:srgbClr>
                  </w14:solidFill>
                </w14:textFill>
              </w:rPr>
              <w:t>|</w:t>
            </w:r>
            <w:r w:rsidR="00556852" w:rsidRPr="00556852">
              <w:rPr>
                <w:b w:val="0"/>
                <w:bCs/>
                <w:color w:val="000000"/>
                <w:spacing w:val="1"/>
                <w:shd w:val="solid" w:color="000000" w:fill="000000"/>
                <w:fitText w:val="168" w:id="-629514485"/>
                <w14:textFill>
                  <w14:solidFill>
                    <w14:srgbClr w14:val="000000">
                      <w14:alpha w14:val="100000"/>
                    </w14:srgbClr>
                  </w14:solidFill>
                </w14:textFill>
              </w:rPr>
              <w:t>|</w:t>
            </w:r>
          </w:p>
          <w:p w14:paraId="1F869F56" w14:textId="71E8489D" w:rsidR="00F038B5" w:rsidRPr="00F57392" w:rsidRDefault="00F038B5" w:rsidP="006E3E4E">
            <w:pPr>
              <w:pStyle w:val="TableText"/>
              <w:jc w:val="center"/>
              <w:rPr>
                <w:b w:val="0"/>
                <w:bCs/>
              </w:rPr>
            </w:pPr>
            <w:r w:rsidRPr="00F57392">
              <w:rPr>
                <w:b w:val="0"/>
                <w:bCs/>
              </w:rPr>
              <w:t>10 mg × 30 tablets: $</w:t>
            </w:r>
            <w:r w:rsidR="00556852" w:rsidRPr="00556852">
              <w:rPr>
                <w:b w:val="0"/>
                <w:bCs/>
                <w:color w:val="000000"/>
                <w:spacing w:val="82"/>
                <w:shd w:val="solid" w:color="000000" w:fill="000000"/>
                <w:fitText w:val="168" w:id="-629514484"/>
                <w14:textFill>
                  <w14:solidFill>
                    <w14:srgbClr w14:val="000000">
                      <w14:alpha w14:val="100000"/>
                    </w14:srgbClr>
                  </w14:solidFill>
                </w14:textFill>
              </w:rPr>
              <w:t>|</w:t>
            </w:r>
            <w:r w:rsidR="00556852" w:rsidRPr="00556852">
              <w:rPr>
                <w:b w:val="0"/>
                <w:bCs/>
                <w:color w:val="000000"/>
                <w:spacing w:val="1"/>
                <w:shd w:val="solid" w:color="000000" w:fill="000000"/>
                <w:fitText w:val="168" w:id="-629514484"/>
                <w14:textFill>
                  <w14:solidFill>
                    <w14:srgbClr w14:val="000000">
                      <w14:alpha w14:val="100000"/>
                    </w14:srgbClr>
                  </w14:solidFill>
                </w14:textFill>
              </w:rPr>
              <w:t>|</w:t>
            </w:r>
          </w:p>
        </w:tc>
        <w:tc>
          <w:tcPr>
            <w:tcW w:w="1305" w:type="pct"/>
            <w:vAlign w:val="center"/>
          </w:tcPr>
          <w:p w14:paraId="0A9B6569" w14:textId="6C7F6A09" w:rsidR="00F038B5" w:rsidRPr="00F57392" w:rsidRDefault="00F038B5" w:rsidP="006E3E4E">
            <w:pPr>
              <w:pStyle w:val="TableText"/>
              <w:jc w:val="center"/>
              <w:rPr>
                <w:b w:val="0"/>
                <w:bCs/>
              </w:rPr>
            </w:pPr>
            <w:r w:rsidRPr="00F57392">
              <w:rPr>
                <w:b w:val="0"/>
                <w:bCs/>
              </w:rPr>
              <w:t xml:space="preserve">40 mg × 30 tablets: </w:t>
            </w:r>
            <w:bookmarkStart w:id="50" w:name="_Hlk197892786"/>
            <w:r w:rsidRPr="00F57392">
              <w:rPr>
                <w:b w:val="0"/>
                <w:bCs/>
              </w:rPr>
              <w:t>$</w:t>
            </w:r>
            <w:bookmarkEnd w:id="50"/>
            <w:r w:rsidR="00556852" w:rsidRPr="00556852">
              <w:rPr>
                <w:b w:val="0"/>
                <w:bCs/>
                <w:color w:val="000000"/>
                <w:spacing w:val="70"/>
                <w:shd w:val="solid" w:color="000000" w:fill="000000"/>
                <w:fitText w:val="156" w:id="-629514483"/>
                <w14:textFill>
                  <w14:solidFill>
                    <w14:srgbClr w14:val="000000">
                      <w14:alpha w14:val="100000"/>
                    </w14:srgbClr>
                  </w14:solidFill>
                </w14:textFill>
              </w:rPr>
              <w:t>|</w:t>
            </w:r>
            <w:r w:rsidR="00556852" w:rsidRPr="00556852">
              <w:rPr>
                <w:b w:val="0"/>
                <w:bCs/>
                <w:color w:val="000000"/>
                <w:spacing w:val="1"/>
                <w:shd w:val="solid" w:color="000000" w:fill="000000"/>
                <w:fitText w:val="156" w:id="-629514483"/>
                <w14:textFill>
                  <w14:solidFill>
                    <w14:srgbClr w14:val="000000">
                      <w14:alpha w14:val="100000"/>
                    </w14:srgbClr>
                  </w14:solidFill>
                </w14:textFill>
              </w:rPr>
              <w:t>|</w:t>
            </w:r>
          </w:p>
          <w:p w14:paraId="068E2558" w14:textId="2271D6EB" w:rsidR="00F038B5" w:rsidRPr="00F57392" w:rsidRDefault="00F038B5" w:rsidP="006E3E4E">
            <w:pPr>
              <w:pStyle w:val="TableText"/>
              <w:jc w:val="center"/>
              <w:rPr>
                <w:b w:val="0"/>
                <w:bCs/>
                <w:vertAlign w:val="superscript"/>
              </w:rPr>
            </w:pPr>
            <w:r w:rsidRPr="00F57392">
              <w:rPr>
                <w:b w:val="0"/>
                <w:bCs/>
              </w:rPr>
              <w:t>10 mg × 60 tablets: $</w:t>
            </w:r>
            <w:r w:rsidR="00556852" w:rsidRPr="00556852">
              <w:rPr>
                <w:b w:val="0"/>
                <w:bCs/>
                <w:color w:val="000000"/>
                <w:spacing w:val="118"/>
                <w:shd w:val="solid" w:color="000000" w:fill="000000"/>
                <w:fitText w:val="204" w:id="-629514482"/>
                <w14:textFill>
                  <w14:solidFill>
                    <w14:srgbClr w14:val="000000">
                      <w14:alpha w14:val="100000"/>
                    </w14:srgbClr>
                  </w14:solidFill>
                </w14:textFill>
              </w:rPr>
              <w:t>|</w:t>
            </w:r>
            <w:r w:rsidR="00556852" w:rsidRPr="00556852">
              <w:rPr>
                <w:b w:val="0"/>
                <w:bCs/>
                <w:color w:val="000000"/>
                <w:spacing w:val="1"/>
                <w:shd w:val="solid" w:color="000000" w:fill="000000"/>
                <w:fitText w:val="204" w:id="-629514482"/>
                <w14:textFill>
                  <w14:solidFill>
                    <w14:srgbClr w14:val="000000">
                      <w14:alpha w14:val="100000"/>
                    </w14:srgbClr>
                  </w14:solidFill>
                </w14:textFill>
              </w:rPr>
              <w:t>|</w:t>
            </w:r>
            <w:r w:rsidRPr="00F57392">
              <w:rPr>
                <w:b w:val="0"/>
                <w:bCs/>
              </w:rPr>
              <w:t xml:space="preserve"> </w:t>
            </w:r>
            <w:r w:rsidRPr="00F57392">
              <w:rPr>
                <w:b w:val="0"/>
                <w:bCs/>
                <w:vertAlign w:val="superscript"/>
              </w:rPr>
              <w:t>f</w:t>
            </w:r>
          </w:p>
          <w:p w14:paraId="163B5D4A" w14:textId="77635BAD" w:rsidR="00F038B5" w:rsidRPr="00F57392" w:rsidRDefault="00F038B5" w:rsidP="006E3E4E">
            <w:pPr>
              <w:pStyle w:val="TableText"/>
              <w:jc w:val="center"/>
              <w:rPr>
                <w:b w:val="0"/>
                <w:bCs/>
                <w:vertAlign w:val="superscript"/>
              </w:rPr>
            </w:pPr>
            <w:r w:rsidRPr="00F57392">
              <w:rPr>
                <w:b w:val="0"/>
                <w:bCs/>
              </w:rPr>
              <w:t>10 mg × 30 tablets: $</w:t>
            </w:r>
            <w:r w:rsidR="00556852" w:rsidRPr="00556852">
              <w:rPr>
                <w:b w:val="0"/>
                <w:bCs/>
                <w:color w:val="000000"/>
                <w:spacing w:val="118"/>
                <w:shd w:val="solid" w:color="000000" w:fill="000000"/>
                <w:fitText w:val="204" w:id="-629514481"/>
                <w14:textFill>
                  <w14:solidFill>
                    <w14:srgbClr w14:val="000000">
                      <w14:alpha w14:val="100000"/>
                    </w14:srgbClr>
                  </w14:solidFill>
                </w14:textFill>
              </w:rPr>
              <w:t>|</w:t>
            </w:r>
            <w:r w:rsidR="00556852" w:rsidRPr="00556852">
              <w:rPr>
                <w:b w:val="0"/>
                <w:bCs/>
                <w:color w:val="000000"/>
                <w:spacing w:val="1"/>
                <w:shd w:val="solid" w:color="000000" w:fill="000000"/>
                <w:fitText w:val="204" w:id="-629514481"/>
                <w14:textFill>
                  <w14:solidFill>
                    <w14:srgbClr w14:val="000000">
                      <w14:alpha w14:val="100000"/>
                    </w14:srgbClr>
                  </w14:solidFill>
                </w14:textFill>
              </w:rPr>
              <w:t>|</w:t>
            </w:r>
            <w:r w:rsidRPr="00F57392">
              <w:rPr>
                <w:b w:val="0"/>
                <w:bCs/>
              </w:rPr>
              <w:t xml:space="preserve"> </w:t>
            </w:r>
            <w:r w:rsidRPr="00F57392">
              <w:rPr>
                <w:b w:val="0"/>
                <w:bCs/>
                <w:vertAlign w:val="superscript"/>
              </w:rPr>
              <w:t>f</w:t>
            </w:r>
          </w:p>
        </w:tc>
      </w:tr>
      <w:tr w:rsidR="00F038B5" w:rsidRPr="00F57392" w14:paraId="0251C9D0" w14:textId="77777777" w:rsidTr="00AA5D87">
        <w:trPr>
          <w:cantSplit/>
          <w:jc w:val="center"/>
        </w:trPr>
        <w:tc>
          <w:tcPr>
            <w:tcW w:w="1084" w:type="pct"/>
            <w:vAlign w:val="center"/>
          </w:tcPr>
          <w:p w14:paraId="2744D37B" w14:textId="77777777" w:rsidR="00F038B5" w:rsidRPr="00F57392" w:rsidRDefault="00F038B5" w:rsidP="00903311">
            <w:pPr>
              <w:pStyle w:val="COMTabletext"/>
            </w:pPr>
            <w:r w:rsidRPr="00F57392">
              <w:t>Cost/patient/month</w:t>
            </w:r>
          </w:p>
        </w:tc>
        <w:tc>
          <w:tcPr>
            <w:tcW w:w="1305" w:type="pct"/>
            <w:vAlign w:val="center"/>
          </w:tcPr>
          <w:p w14:paraId="1671E9D5" w14:textId="77777777" w:rsidR="00F038B5" w:rsidRPr="00F57392" w:rsidRDefault="00F038B5" w:rsidP="006E3E4E">
            <w:pPr>
              <w:pStyle w:val="TableText"/>
              <w:jc w:val="center"/>
              <w:rPr>
                <w:b w:val="0"/>
                <w:bCs/>
              </w:rPr>
            </w:pPr>
            <w:r w:rsidRPr="00F57392">
              <w:rPr>
                <w:b w:val="0"/>
                <w:bCs/>
              </w:rPr>
              <w:t>-</w:t>
            </w:r>
          </w:p>
        </w:tc>
        <w:tc>
          <w:tcPr>
            <w:tcW w:w="1305" w:type="pct"/>
            <w:vAlign w:val="center"/>
          </w:tcPr>
          <w:p w14:paraId="2B24432F" w14:textId="11E7C52E" w:rsidR="00F038B5" w:rsidRPr="00F57392" w:rsidRDefault="00F038B5" w:rsidP="006E3E4E">
            <w:pPr>
              <w:pStyle w:val="TableText"/>
              <w:jc w:val="center"/>
              <w:rPr>
                <w:b w:val="0"/>
                <w:bCs/>
                <w:vertAlign w:val="superscript"/>
              </w:rPr>
            </w:pPr>
            <w:r w:rsidRPr="00F57392">
              <w:rPr>
                <w:b w:val="0"/>
                <w:bCs/>
              </w:rPr>
              <w:t>$</w:t>
            </w:r>
            <w:r w:rsidR="00556852" w:rsidRPr="00556852">
              <w:rPr>
                <w:b w:val="0"/>
                <w:bCs/>
                <w:color w:val="000000"/>
                <w:shd w:val="solid" w:color="000000" w:fill="000000"/>
                <w14:textFill>
                  <w14:solidFill>
                    <w14:srgbClr w14:val="000000">
                      <w14:alpha w14:val="100000"/>
                    </w14:srgbClr>
                  </w14:solidFill>
                </w14:textFill>
              </w:rPr>
              <w:t>|</w:t>
            </w:r>
            <w:r w:rsidR="000F18CD" w:rsidRPr="00F57392">
              <w:rPr>
                <w:b w:val="0"/>
                <w:bCs/>
              </w:rPr>
              <w:t xml:space="preserve"> </w:t>
            </w:r>
            <w:r w:rsidR="000F18CD" w:rsidRPr="00F57392">
              <w:rPr>
                <w:b w:val="0"/>
                <w:bCs/>
                <w:vertAlign w:val="superscript"/>
              </w:rPr>
              <w:t>g</w:t>
            </w:r>
          </w:p>
        </w:tc>
        <w:tc>
          <w:tcPr>
            <w:tcW w:w="1305" w:type="pct"/>
            <w:vAlign w:val="center"/>
          </w:tcPr>
          <w:p w14:paraId="29321B65" w14:textId="469849E2" w:rsidR="00F038B5" w:rsidRPr="00F57392" w:rsidRDefault="00F038B5" w:rsidP="006E3E4E">
            <w:pPr>
              <w:pStyle w:val="TableText"/>
              <w:jc w:val="center"/>
              <w:rPr>
                <w:b w:val="0"/>
                <w:bCs/>
                <w:vertAlign w:val="superscript"/>
              </w:rPr>
            </w:pPr>
            <w:r w:rsidRPr="00F57392">
              <w:rPr>
                <w:b w:val="0"/>
                <w:bCs/>
              </w:rPr>
              <w:t>$</w:t>
            </w:r>
            <w:r w:rsidR="00556852" w:rsidRPr="00556852">
              <w:rPr>
                <w:b w:val="0"/>
                <w:bCs/>
                <w:color w:val="000000"/>
                <w:shd w:val="solid" w:color="000000" w:fill="000000"/>
                <w14:textFill>
                  <w14:solidFill>
                    <w14:srgbClr w14:val="000000">
                      <w14:alpha w14:val="100000"/>
                    </w14:srgbClr>
                  </w14:solidFill>
                </w14:textFill>
              </w:rPr>
              <w:t>|</w:t>
            </w:r>
            <w:r w:rsidR="00E31623" w:rsidRPr="00F57392">
              <w:rPr>
                <w:b w:val="0"/>
                <w:bCs/>
              </w:rPr>
              <w:t xml:space="preserve"> </w:t>
            </w:r>
            <w:r w:rsidR="00E31623" w:rsidRPr="00F57392">
              <w:rPr>
                <w:b w:val="0"/>
                <w:bCs/>
                <w:vertAlign w:val="superscript"/>
              </w:rPr>
              <w:t>h</w:t>
            </w:r>
          </w:p>
        </w:tc>
      </w:tr>
      <w:tr w:rsidR="00F038B5" w:rsidRPr="00F57392" w14:paraId="303E3B7F" w14:textId="77777777" w:rsidTr="00AA5D87">
        <w:trPr>
          <w:cantSplit/>
          <w:jc w:val="center"/>
        </w:trPr>
        <w:tc>
          <w:tcPr>
            <w:tcW w:w="1084" w:type="pct"/>
            <w:vAlign w:val="center"/>
          </w:tcPr>
          <w:p w14:paraId="16B7D50E" w14:textId="77777777" w:rsidR="00F038B5" w:rsidRPr="00F57392" w:rsidRDefault="00F038B5" w:rsidP="00903311">
            <w:pPr>
              <w:pStyle w:val="COMTabletext"/>
            </w:pPr>
            <w:r w:rsidRPr="00F57392">
              <w:t>Cost/patient/year</w:t>
            </w:r>
          </w:p>
        </w:tc>
        <w:tc>
          <w:tcPr>
            <w:tcW w:w="1305" w:type="pct"/>
            <w:vAlign w:val="center"/>
          </w:tcPr>
          <w:p w14:paraId="25753F2D" w14:textId="77777777" w:rsidR="00F038B5" w:rsidRPr="00F57392" w:rsidRDefault="00F038B5" w:rsidP="006E3E4E">
            <w:pPr>
              <w:pStyle w:val="TableText"/>
              <w:jc w:val="center"/>
              <w:rPr>
                <w:b w:val="0"/>
                <w:bCs/>
              </w:rPr>
            </w:pPr>
            <w:r w:rsidRPr="00F57392">
              <w:rPr>
                <w:b w:val="0"/>
                <w:bCs/>
              </w:rPr>
              <w:t>-</w:t>
            </w:r>
          </w:p>
        </w:tc>
        <w:tc>
          <w:tcPr>
            <w:tcW w:w="1305" w:type="pct"/>
            <w:vAlign w:val="center"/>
          </w:tcPr>
          <w:p w14:paraId="1E055799" w14:textId="1F6E6796" w:rsidR="00F038B5" w:rsidRPr="00F57392" w:rsidRDefault="00F038B5" w:rsidP="006E3E4E">
            <w:pPr>
              <w:pStyle w:val="TableText"/>
              <w:jc w:val="center"/>
              <w:rPr>
                <w:b w:val="0"/>
                <w:bCs/>
              </w:rPr>
            </w:pPr>
            <w:r w:rsidRPr="00F57392">
              <w:rPr>
                <w:b w:val="0"/>
                <w:bCs/>
              </w:rPr>
              <w:t>$</w:t>
            </w:r>
            <w:r w:rsidR="00556852" w:rsidRPr="00556852">
              <w:rPr>
                <w:b w:val="0"/>
                <w:bCs/>
                <w:color w:val="000000"/>
                <w:shd w:val="solid" w:color="000000" w:fill="000000"/>
                <w14:textFill>
                  <w14:solidFill>
                    <w14:srgbClr w14:val="000000">
                      <w14:alpha w14:val="100000"/>
                    </w14:srgbClr>
                  </w14:solidFill>
                </w14:textFill>
              </w:rPr>
              <w:t>|</w:t>
            </w:r>
          </w:p>
        </w:tc>
        <w:tc>
          <w:tcPr>
            <w:tcW w:w="1305" w:type="pct"/>
            <w:vAlign w:val="center"/>
          </w:tcPr>
          <w:p w14:paraId="4DFE4F8A" w14:textId="79146EAC" w:rsidR="00F038B5" w:rsidRPr="00F57392" w:rsidRDefault="00F038B5" w:rsidP="006E3E4E">
            <w:pPr>
              <w:pStyle w:val="TableText"/>
              <w:jc w:val="center"/>
              <w:rPr>
                <w:b w:val="0"/>
                <w:bCs/>
              </w:rPr>
            </w:pPr>
            <w:r w:rsidRPr="00F57392">
              <w:rPr>
                <w:b w:val="0"/>
                <w:bCs/>
              </w:rPr>
              <w:t>$</w:t>
            </w:r>
            <w:r w:rsidR="00556852" w:rsidRPr="00556852">
              <w:rPr>
                <w:b w:val="0"/>
                <w:bCs/>
                <w:color w:val="000000"/>
                <w:shd w:val="solid" w:color="000000" w:fill="000000"/>
                <w14:textFill>
                  <w14:solidFill>
                    <w14:srgbClr w14:val="000000">
                      <w14:alpha w14:val="100000"/>
                    </w14:srgbClr>
                  </w14:solidFill>
                </w14:textFill>
              </w:rPr>
              <w:t>|</w:t>
            </w:r>
          </w:p>
        </w:tc>
      </w:tr>
      <w:tr w:rsidR="00F038B5" w:rsidRPr="00F57392" w14:paraId="54DCFCEC" w14:textId="77777777" w:rsidTr="00AA5D87">
        <w:trPr>
          <w:cantSplit/>
          <w:jc w:val="center"/>
        </w:trPr>
        <w:tc>
          <w:tcPr>
            <w:tcW w:w="1084" w:type="pct"/>
            <w:vAlign w:val="center"/>
          </w:tcPr>
          <w:p w14:paraId="5E7D5339" w14:textId="6FBE6C08" w:rsidR="00F038B5" w:rsidRPr="00F57392" w:rsidRDefault="003657A8" w:rsidP="00903311">
            <w:pPr>
              <w:pStyle w:val="COMTabletext"/>
            </w:pPr>
            <w:r>
              <w:t>Treatment duration</w:t>
            </w:r>
          </w:p>
        </w:tc>
        <w:tc>
          <w:tcPr>
            <w:tcW w:w="1305" w:type="pct"/>
            <w:vAlign w:val="center"/>
          </w:tcPr>
          <w:p w14:paraId="08EE949E" w14:textId="77435A33" w:rsidR="00F038B5" w:rsidRPr="00684163" w:rsidRDefault="003657A8" w:rsidP="006E3E4E">
            <w:pPr>
              <w:pStyle w:val="TableText"/>
              <w:jc w:val="center"/>
              <w:rPr>
                <w:b w:val="0"/>
                <w:bCs/>
                <w:vertAlign w:val="superscript"/>
              </w:rPr>
            </w:pPr>
            <w:r>
              <w:rPr>
                <w:b w:val="0"/>
                <w:bCs/>
              </w:rPr>
              <w:t xml:space="preserve">17.8 months </w:t>
            </w:r>
            <w:r w:rsidR="00684163">
              <w:rPr>
                <w:b w:val="0"/>
                <w:bCs/>
                <w:vertAlign w:val="superscript"/>
              </w:rPr>
              <w:t>i</w:t>
            </w:r>
          </w:p>
        </w:tc>
        <w:tc>
          <w:tcPr>
            <w:tcW w:w="1305" w:type="pct"/>
            <w:vAlign w:val="center"/>
          </w:tcPr>
          <w:p w14:paraId="0751BC81" w14:textId="49231508" w:rsidR="00F038B5" w:rsidRPr="00A241B8" w:rsidRDefault="003657A8" w:rsidP="006E3E4E">
            <w:pPr>
              <w:pStyle w:val="TableText"/>
              <w:jc w:val="center"/>
              <w:rPr>
                <w:b w:val="0"/>
                <w:bCs/>
                <w:vertAlign w:val="superscript"/>
              </w:rPr>
            </w:pPr>
            <w:r>
              <w:rPr>
                <w:b w:val="0"/>
                <w:bCs/>
              </w:rPr>
              <w:t>5.37 years</w:t>
            </w:r>
            <w:r w:rsidR="00A241B8">
              <w:rPr>
                <w:b w:val="0"/>
                <w:bCs/>
              </w:rPr>
              <w:t xml:space="preserve"> </w:t>
            </w:r>
            <w:r w:rsidR="00A241B8">
              <w:rPr>
                <w:b w:val="0"/>
                <w:bCs/>
                <w:vertAlign w:val="superscript"/>
              </w:rPr>
              <w:t>j</w:t>
            </w:r>
          </w:p>
        </w:tc>
        <w:tc>
          <w:tcPr>
            <w:tcW w:w="1305" w:type="pct"/>
            <w:vAlign w:val="center"/>
          </w:tcPr>
          <w:p w14:paraId="65B9583C" w14:textId="7DDC725F" w:rsidR="00F038B5" w:rsidRPr="00554890" w:rsidRDefault="00F038B5" w:rsidP="006E3E4E">
            <w:pPr>
              <w:pStyle w:val="TableText"/>
              <w:jc w:val="center"/>
              <w:rPr>
                <w:b w:val="0"/>
                <w:bCs/>
                <w:vertAlign w:val="superscript"/>
              </w:rPr>
            </w:pPr>
            <w:r w:rsidRPr="00F57392">
              <w:rPr>
                <w:b w:val="0"/>
                <w:bCs/>
              </w:rPr>
              <w:t>Y1: 100%</w:t>
            </w:r>
            <w:r w:rsidR="00554890">
              <w:rPr>
                <w:b w:val="0"/>
                <w:bCs/>
              </w:rPr>
              <w:t xml:space="preserve"> </w:t>
            </w:r>
            <w:r w:rsidR="00A241B8">
              <w:rPr>
                <w:b w:val="0"/>
                <w:bCs/>
                <w:vertAlign w:val="superscript"/>
              </w:rPr>
              <w:t>k</w:t>
            </w:r>
          </w:p>
          <w:p w14:paraId="127AD88E" w14:textId="1CA1B5DC" w:rsidR="00F038B5" w:rsidRPr="00A241B8" w:rsidRDefault="00F038B5" w:rsidP="006E3E4E">
            <w:pPr>
              <w:pStyle w:val="TableText"/>
              <w:jc w:val="center"/>
              <w:rPr>
                <w:b w:val="0"/>
                <w:bCs/>
                <w:smallCaps/>
                <w:vertAlign w:val="superscript"/>
              </w:rPr>
            </w:pPr>
            <w:r w:rsidRPr="00F57392">
              <w:rPr>
                <w:b w:val="0"/>
                <w:bCs/>
              </w:rPr>
              <w:t>Y2: 77%</w:t>
            </w:r>
            <w:r w:rsidR="00554890">
              <w:rPr>
                <w:b w:val="0"/>
                <w:bCs/>
              </w:rPr>
              <w:t xml:space="preserve"> </w:t>
            </w:r>
            <w:r w:rsidR="00A241B8">
              <w:rPr>
                <w:b w:val="0"/>
                <w:bCs/>
                <w:vertAlign w:val="superscript"/>
              </w:rPr>
              <w:t>k</w:t>
            </w:r>
          </w:p>
          <w:p w14:paraId="0DD28280" w14:textId="7B024788" w:rsidR="00F038B5" w:rsidRPr="00554890" w:rsidRDefault="00F038B5" w:rsidP="006E3E4E">
            <w:pPr>
              <w:pStyle w:val="TableText"/>
              <w:jc w:val="center"/>
              <w:rPr>
                <w:b w:val="0"/>
                <w:bCs/>
                <w:vertAlign w:val="superscript"/>
              </w:rPr>
            </w:pPr>
            <w:r w:rsidRPr="00F57392">
              <w:rPr>
                <w:b w:val="0"/>
                <w:bCs/>
              </w:rPr>
              <w:t>Y3: 59%</w:t>
            </w:r>
            <w:r w:rsidR="00554890">
              <w:rPr>
                <w:b w:val="0"/>
                <w:bCs/>
              </w:rPr>
              <w:t xml:space="preserve"> </w:t>
            </w:r>
            <w:r w:rsidR="00A241B8">
              <w:rPr>
                <w:b w:val="0"/>
                <w:bCs/>
                <w:vertAlign w:val="superscript"/>
              </w:rPr>
              <w:t>k</w:t>
            </w:r>
          </w:p>
          <w:p w14:paraId="5FE523D7" w14:textId="2E69CB61" w:rsidR="00F038B5" w:rsidRPr="00554890" w:rsidRDefault="00F038B5" w:rsidP="006E3E4E">
            <w:pPr>
              <w:pStyle w:val="TableText"/>
              <w:jc w:val="center"/>
              <w:rPr>
                <w:b w:val="0"/>
                <w:bCs/>
                <w:vertAlign w:val="superscript"/>
              </w:rPr>
            </w:pPr>
            <w:r w:rsidRPr="00F57392">
              <w:rPr>
                <w:b w:val="0"/>
                <w:bCs/>
              </w:rPr>
              <w:t>Y4: 49%</w:t>
            </w:r>
            <w:r w:rsidR="00554890">
              <w:rPr>
                <w:b w:val="0"/>
                <w:bCs/>
              </w:rPr>
              <w:t xml:space="preserve"> </w:t>
            </w:r>
            <w:r w:rsidR="00A241B8">
              <w:rPr>
                <w:b w:val="0"/>
                <w:bCs/>
                <w:vertAlign w:val="superscript"/>
              </w:rPr>
              <w:t>k</w:t>
            </w:r>
          </w:p>
          <w:p w14:paraId="749CE9E9" w14:textId="65E94D92" w:rsidR="00F038B5" w:rsidRPr="00554890" w:rsidRDefault="00F038B5" w:rsidP="006E3E4E">
            <w:pPr>
              <w:pStyle w:val="TableText"/>
              <w:jc w:val="center"/>
              <w:rPr>
                <w:b w:val="0"/>
                <w:bCs/>
                <w:vertAlign w:val="superscript"/>
              </w:rPr>
            </w:pPr>
            <w:r w:rsidRPr="00F57392">
              <w:rPr>
                <w:b w:val="0"/>
                <w:bCs/>
              </w:rPr>
              <w:t>Y5: 39%</w:t>
            </w:r>
            <w:r w:rsidR="00554890">
              <w:rPr>
                <w:b w:val="0"/>
                <w:bCs/>
              </w:rPr>
              <w:t xml:space="preserve"> </w:t>
            </w:r>
            <w:r w:rsidR="00A241B8">
              <w:rPr>
                <w:b w:val="0"/>
                <w:bCs/>
                <w:vertAlign w:val="superscript"/>
              </w:rPr>
              <w:t>k</w:t>
            </w:r>
          </w:p>
          <w:p w14:paraId="42C684AF" w14:textId="2649B595" w:rsidR="00F038B5" w:rsidRPr="00554890" w:rsidRDefault="00F038B5" w:rsidP="006E3E4E">
            <w:pPr>
              <w:pStyle w:val="TableText"/>
              <w:jc w:val="center"/>
              <w:rPr>
                <w:b w:val="0"/>
                <w:bCs/>
                <w:vertAlign w:val="superscript"/>
              </w:rPr>
            </w:pPr>
            <w:r w:rsidRPr="00F57392">
              <w:rPr>
                <w:b w:val="0"/>
                <w:bCs/>
              </w:rPr>
              <w:t>Y6: 32%</w:t>
            </w:r>
            <w:r w:rsidR="00554890">
              <w:rPr>
                <w:b w:val="0"/>
                <w:bCs/>
              </w:rPr>
              <w:t xml:space="preserve"> </w:t>
            </w:r>
            <w:r w:rsidR="00A241B8">
              <w:rPr>
                <w:b w:val="0"/>
                <w:bCs/>
                <w:vertAlign w:val="superscript"/>
              </w:rPr>
              <w:t>k</w:t>
            </w:r>
          </w:p>
        </w:tc>
      </w:tr>
    </w:tbl>
    <w:p w14:paraId="297CCABF" w14:textId="2E183D76" w:rsidR="000F18CD" w:rsidRPr="00F57392" w:rsidRDefault="00F038B5" w:rsidP="00F038B5">
      <w:pPr>
        <w:pStyle w:val="COMTablefooter"/>
      </w:pPr>
      <w:r w:rsidRPr="00F57392">
        <w:t xml:space="preserve">Source: </w:t>
      </w:r>
      <w:r w:rsidR="00797FCB" w:rsidRPr="00F57392">
        <w:t>Table 14.1.16, p</w:t>
      </w:r>
      <w:r w:rsidR="00951179">
        <w:t>p</w:t>
      </w:r>
      <w:r w:rsidR="00797FCB" w:rsidRPr="00F57392">
        <w:t>12</w:t>
      </w:r>
      <w:r w:rsidR="00951179">
        <w:t>-14</w:t>
      </w:r>
      <w:r w:rsidR="00797FCB" w:rsidRPr="00F57392">
        <w:t xml:space="preserve"> of the March 2023 INDIGO clinical study report tables and figures document; Section 3 economic model Excel workbook; Section 4 financial implications Excel workbook.</w:t>
      </w:r>
    </w:p>
    <w:p w14:paraId="3CDFD149" w14:textId="4F87B981" w:rsidR="00F038B5" w:rsidRPr="00F57392" w:rsidRDefault="000F18CD" w:rsidP="00F038B5">
      <w:pPr>
        <w:pStyle w:val="COMTablefooter"/>
      </w:pPr>
      <w:r w:rsidRPr="00F57392">
        <w:t>Abbreviations: NR, not reported.</w:t>
      </w:r>
    </w:p>
    <w:p w14:paraId="716CB868" w14:textId="77777777" w:rsidR="00F038B5" w:rsidRPr="00F57392" w:rsidRDefault="00F038B5" w:rsidP="00F038B5">
      <w:pPr>
        <w:pStyle w:val="COMTablefooter"/>
      </w:pPr>
      <w:r w:rsidRPr="00F57392">
        <w:rPr>
          <w:vertAlign w:val="superscript"/>
        </w:rPr>
        <w:t>a</w:t>
      </w:r>
      <w:r w:rsidRPr="00F57392">
        <w:t xml:space="preserve"> Based on the mean number of vorasidenib administrations by dose in the INDIGO trial (0 mg: 2,382; 10 mg: 2,169; 20 mg: 6,404; 40 mg: 101,902).</w:t>
      </w:r>
    </w:p>
    <w:p w14:paraId="72EB5448" w14:textId="77777777" w:rsidR="00F038B5" w:rsidRPr="00F57392" w:rsidRDefault="00F038B5" w:rsidP="00F038B5">
      <w:pPr>
        <w:pStyle w:val="COMTablefooter"/>
      </w:pPr>
      <w:r w:rsidRPr="00F57392">
        <w:rPr>
          <w:vertAlign w:val="superscript"/>
        </w:rPr>
        <w:t>b</w:t>
      </w:r>
      <w:r w:rsidRPr="00F57392">
        <w:t xml:space="preserve"> Based on the mean number of vorasidenib administrations by dose in the INDIGO trial, excluding 0 mg doses.</w:t>
      </w:r>
    </w:p>
    <w:p w14:paraId="490D3A94" w14:textId="77777777" w:rsidR="00F038B5" w:rsidRPr="00F57392" w:rsidRDefault="00F038B5" w:rsidP="00F038B5">
      <w:pPr>
        <w:pStyle w:val="COMTablefooter"/>
      </w:pPr>
      <w:r w:rsidRPr="00F57392">
        <w:rPr>
          <w:vertAlign w:val="superscript"/>
        </w:rPr>
        <w:t>c</w:t>
      </w:r>
      <w:r w:rsidRPr="00F57392">
        <w:t xml:space="preserve"> Mean relative dose intensity reported among patients in the vorasidenib arm in the INDIGO trial.</w:t>
      </w:r>
    </w:p>
    <w:p w14:paraId="1B8D1350" w14:textId="77777777" w:rsidR="00F038B5" w:rsidRPr="00F57392" w:rsidRDefault="00F038B5" w:rsidP="00F038B5">
      <w:pPr>
        <w:pStyle w:val="COMTablefooter"/>
      </w:pPr>
      <w:r w:rsidRPr="00F57392">
        <w:rPr>
          <w:vertAlign w:val="superscript"/>
        </w:rPr>
        <w:t>d</w:t>
      </w:r>
      <w:r w:rsidRPr="00F57392">
        <w:t xml:space="preserve"> Derived from the vorasidenib dose distribution, assuming 2.1% of patients receive a dose of 0 mg.</w:t>
      </w:r>
    </w:p>
    <w:p w14:paraId="0E2AABD9" w14:textId="77777777" w:rsidR="00F038B5" w:rsidRPr="00F57392" w:rsidRDefault="00F038B5" w:rsidP="00F038B5">
      <w:pPr>
        <w:pStyle w:val="COMTablefooter"/>
      </w:pPr>
      <w:r w:rsidRPr="00F57392">
        <w:rPr>
          <w:vertAlign w:val="superscript"/>
        </w:rPr>
        <w:t xml:space="preserve">e </w:t>
      </w:r>
      <w:r w:rsidRPr="00F57392">
        <w:t>Derived by multiplying each dose by the proportion of administrations in the INDIGO trial and dividing by the planned daily dose of 40 mg.</w:t>
      </w:r>
    </w:p>
    <w:p w14:paraId="160F57C3" w14:textId="614296EA" w:rsidR="00F038B5" w:rsidRPr="00F57392" w:rsidRDefault="00F038B5" w:rsidP="00F038B5">
      <w:pPr>
        <w:pStyle w:val="COMTablefooter"/>
      </w:pPr>
      <w:r w:rsidRPr="00F57392">
        <w:rPr>
          <w:vertAlign w:val="superscript"/>
        </w:rPr>
        <w:t>f</w:t>
      </w:r>
      <w:r w:rsidRPr="00F57392">
        <w:t xml:space="preserve"> </w:t>
      </w:r>
      <w:r w:rsidR="00E809B3" w:rsidRPr="00F57392">
        <w:t xml:space="preserve">Corrected costs. </w:t>
      </w:r>
      <w:r w:rsidRPr="00F57392">
        <w:t xml:space="preserve">The cost per pack of 10 mg × 60 tablets and 10 mg × 30 tablets </w:t>
      </w:r>
      <w:r w:rsidR="00E809B3" w:rsidRPr="00F57392">
        <w:t>were</w:t>
      </w:r>
      <w:r w:rsidRPr="00F57392">
        <w:t xml:space="preserve"> incorrectly specified in the spreadsheet</w:t>
      </w:r>
      <w:r w:rsidR="00E809B3" w:rsidRPr="00F57392">
        <w:t xml:space="preserve"> as $</w:t>
      </w:r>
      <w:r w:rsidR="00556852" w:rsidRPr="00556852">
        <w:rPr>
          <w:color w:val="000000"/>
          <w:spacing w:val="40"/>
          <w:shd w:val="solid" w:color="000000" w:fill="000000"/>
          <w:fitText w:val="280" w:id="-629514480"/>
          <w14:textFill>
            <w14:solidFill>
              <w14:srgbClr w14:val="000000">
                <w14:alpha w14:val="100000"/>
              </w14:srgbClr>
            </w14:solidFill>
          </w14:textFill>
        </w:rPr>
        <w:t xml:space="preserve">|  </w:t>
      </w:r>
      <w:r w:rsidR="00556852" w:rsidRPr="00556852">
        <w:rPr>
          <w:color w:val="000000"/>
          <w:spacing w:val="2"/>
          <w:shd w:val="solid" w:color="000000" w:fill="000000"/>
          <w:fitText w:val="280" w:id="-629514480"/>
          <w14:textFill>
            <w14:solidFill>
              <w14:srgbClr w14:val="000000">
                <w14:alpha w14:val="100000"/>
              </w14:srgbClr>
            </w14:solidFill>
          </w14:textFill>
        </w:rPr>
        <w:t>|</w:t>
      </w:r>
      <w:r w:rsidR="00E809B3" w:rsidRPr="00F57392">
        <w:t>and $</w:t>
      </w:r>
      <w:r w:rsidR="00556852" w:rsidRPr="00746083">
        <w:rPr>
          <w:color w:val="000000"/>
          <w:spacing w:val="40"/>
          <w:shd w:val="solid" w:color="000000" w:fill="000000"/>
          <w:fitText w:val="280" w:id="-629514496"/>
          <w14:textFill>
            <w14:solidFill>
              <w14:srgbClr w14:val="000000">
                <w14:alpha w14:val="100000"/>
              </w14:srgbClr>
            </w14:solidFill>
          </w14:textFill>
        </w:rPr>
        <w:t xml:space="preserve">|  </w:t>
      </w:r>
      <w:r w:rsidR="00556852" w:rsidRPr="00746083">
        <w:rPr>
          <w:color w:val="000000"/>
          <w:spacing w:val="2"/>
          <w:shd w:val="solid" w:color="000000" w:fill="000000"/>
          <w:fitText w:val="280" w:id="-629514496"/>
          <w14:textFill>
            <w14:solidFill>
              <w14:srgbClr w14:val="000000">
                <w14:alpha w14:val="100000"/>
              </w14:srgbClr>
            </w14:solidFill>
          </w14:textFill>
        </w:rPr>
        <w:t>|</w:t>
      </w:r>
      <w:r w:rsidR="00E809B3" w:rsidRPr="00F57392">
        <w:t>, respectively.</w:t>
      </w:r>
    </w:p>
    <w:p w14:paraId="5C6C56FF" w14:textId="3578CFAF" w:rsidR="000F18CD" w:rsidRPr="00F57392" w:rsidRDefault="000F18CD" w:rsidP="00F038B5">
      <w:pPr>
        <w:pStyle w:val="COMTablefooter"/>
      </w:pPr>
      <w:r w:rsidRPr="00F57392">
        <w:rPr>
          <w:vertAlign w:val="superscript"/>
        </w:rPr>
        <w:t>g</w:t>
      </w:r>
      <w:r w:rsidR="00F038B5" w:rsidRPr="00F57392">
        <w:t xml:space="preserve"> </w:t>
      </w:r>
      <w:r w:rsidRPr="00F57392">
        <w:t>Based on an assumed 30</w:t>
      </w:r>
      <w:r w:rsidR="00E31623" w:rsidRPr="00F57392">
        <w:t>.0</w:t>
      </w:r>
      <w:r w:rsidRPr="00F57392">
        <w:t xml:space="preserve"> days per month of vorasidenib treatment.</w:t>
      </w:r>
    </w:p>
    <w:p w14:paraId="21108FBA" w14:textId="77777777" w:rsidR="00684163" w:rsidRDefault="000F18CD" w:rsidP="00F038B5">
      <w:pPr>
        <w:pStyle w:val="COMTablefooter"/>
      </w:pPr>
      <w:r w:rsidRPr="00F57392">
        <w:rPr>
          <w:vertAlign w:val="superscript"/>
        </w:rPr>
        <w:t>h</w:t>
      </w:r>
      <w:r w:rsidRPr="00F57392">
        <w:t xml:space="preserve"> Based on an assumed 30.44 days per month of vorasidenib treatment.</w:t>
      </w:r>
    </w:p>
    <w:p w14:paraId="0072DC06" w14:textId="24758BDF" w:rsidR="00554890" w:rsidRDefault="00554890" w:rsidP="00F038B5">
      <w:pPr>
        <w:pStyle w:val="COMTablefooter"/>
      </w:pPr>
      <w:r>
        <w:rPr>
          <w:vertAlign w:val="superscript"/>
        </w:rPr>
        <w:t>i</w:t>
      </w:r>
      <w:r w:rsidR="00684163">
        <w:t xml:space="preserve"> </w:t>
      </w:r>
      <w:r w:rsidR="003657A8">
        <w:t>M</w:t>
      </w:r>
      <w:r w:rsidR="00684163">
        <w:t xml:space="preserve">ean duration of vorasidenib treatment </w:t>
      </w:r>
      <w:r w:rsidR="003657A8">
        <w:t xml:space="preserve">at the time of the </w:t>
      </w:r>
      <w:r w:rsidR="00684163">
        <w:t>extended follow-u</w:t>
      </w:r>
      <w:r w:rsidR="003657A8">
        <w:t>p analysis</w:t>
      </w:r>
      <w:r w:rsidR="00684163">
        <w:t>.</w:t>
      </w:r>
    </w:p>
    <w:p w14:paraId="41D973AF" w14:textId="24175DEF" w:rsidR="00A241B8" w:rsidRDefault="00554890" w:rsidP="00F038B5">
      <w:pPr>
        <w:pStyle w:val="COMTablefooter"/>
      </w:pPr>
      <w:r>
        <w:rPr>
          <w:vertAlign w:val="superscript"/>
        </w:rPr>
        <w:t>j</w:t>
      </w:r>
      <w:r>
        <w:t xml:space="preserve"> </w:t>
      </w:r>
      <w:r w:rsidR="00A241B8">
        <w:t>M</w:t>
      </w:r>
      <w:r w:rsidR="003657A8">
        <w:t xml:space="preserve">odelled duration of </w:t>
      </w:r>
      <w:r w:rsidR="00A241B8">
        <w:t xml:space="preserve">vorasidenib </w:t>
      </w:r>
      <w:r w:rsidR="003657A8">
        <w:t>treatment</w:t>
      </w:r>
      <w:r w:rsidR="00A241B8">
        <w:t>. Progression-free survival was used as a proxy for time to treatment discontinuation.</w:t>
      </w:r>
    </w:p>
    <w:p w14:paraId="65A68298" w14:textId="1840DAE4" w:rsidR="00F038B5" w:rsidRDefault="00A241B8" w:rsidP="00F038B5">
      <w:pPr>
        <w:pStyle w:val="COMTablefooter"/>
      </w:pPr>
      <w:r>
        <w:rPr>
          <w:vertAlign w:val="superscript"/>
        </w:rPr>
        <w:t>k</w:t>
      </w:r>
      <w:r>
        <w:t xml:space="preserve"> </w:t>
      </w:r>
      <w:r w:rsidR="003657A8">
        <w:t xml:space="preserve">The proportion of </w:t>
      </w:r>
      <w:r>
        <w:t>patients remaining on treatment at the start of each year was derived from the economic model.</w:t>
      </w:r>
    </w:p>
    <w:p w14:paraId="2C6C0FCB" w14:textId="4E579508" w:rsidR="001B201C" w:rsidRPr="001B201C" w:rsidRDefault="001B201C" w:rsidP="001B201C">
      <w:pPr>
        <w:pStyle w:val="COMexecsummnumbered"/>
      </w:pPr>
      <w:bookmarkStart w:id="51" w:name="_Ref205376943"/>
      <w:r>
        <w:t xml:space="preserve">The PBAC noted that the modelled treatment duration for vorasidenib was uncertain as it was based on </w:t>
      </w:r>
      <w:r w:rsidR="007400D7">
        <w:t xml:space="preserve">extrapolation of </w:t>
      </w:r>
      <w:r w:rsidR="0013658F">
        <w:t xml:space="preserve">PFS from </w:t>
      </w:r>
      <w:r w:rsidR="00920D05">
        <w:t>17.7 months mean follow up for the vorasidenib arm</w:t>
      </w:r>
      <w:r w:rsidR="00056CBB">
        <w:t xml:space="preserve"> in </w:t>
      </w:r>
      <w:r w:rsidR="00920D05">
        <w:t>the INDIGO trial.</w:t>
      </w:r>
      <w:r w:rsidR="00056CBB">
        <w:t xml:space="preserve"> The PBAC noted that if more conservative extrapolation functions are selected</w:t>
      </w:r>
      <w:r w:rsidR="0073658F">
        <w:t xml:space="preserve"> the treatment duration estimated from the model was </w:t>
      </w:r>
      <w:r w:rsidR="002A7FB9">
        <w:t>reduced from 64.5 months to 49.1 months (exponential model), 36.7 months (Weibull model) or 32.7 months (Gompertz model).</w:t>
      </w:r>
      <w:bookmarkEnd w:id="51"/>
      <w:r w:rsidR="002A7FB9">
        <w:t xml:space="preserve"> </w:t>
      </w:r>
    </w:p>
    <w:p w14:paraId="268768EF" w14:textId="3626F292" w:rsidR="00B60939" w:rsidRPr="00F57392" w:rsidRDefault="00B60939" w:rsidP="003D5DE7">
      <w:pPr>
        <w:pStyle w:val="COMH2-non-numbered"/>
      </w:pPr>
      <w:bookmarkStart w:id="52" w:name="_Toc22897647"/>
      <w:bookmarkStart w:id="53" w:name="_Toc198628234"/>
      <w:bookmarkEnd w:id="49"/>
      <w:r w:rsidRPr="00F57392">
        <w:t>Estimated PBS usage &amp; financial implications</w:t>
      </w:r>
      <w:bookmarkEnd w:id="52"/>
      <w:bookmarkEnd w:id="53"/>
    </w:p>
    <w:p w14:paraId="16EF4367" w14:textId="3B976E9B" w:rsidR="002B05A1" w:rsidRPr="00F57392" w:rsidRDefault="00003332" w:rsidP="002B05A1">
      <w:pPr>
        <w:pStyle w:val="COMexecsummnumbered"/>
      </w:pPr>
      <w:r>
        <w:t>T</w:t>
      </w:r>
      <w:r w:rsidRPr="00003332">
        <w:t>his submission was considered by DUSC at a joint meeting of ESC and DUSC.</w:t>
      </w:r>
    </w:p>
    <w:p w14:paraId="6A4ADABE" w14:textId="7F41AC75" w:rsidR="004852F0" w:rsidRPr="00F57392" w:rsidRDefault="004852F0" w:rsidP="002B05A1">
      <w:pPr>
        <w:pStyle w:val="COMexecsummnumbered"/>
      </w:pPr>
      <w:r w:rsidRPr="00F57392">
        <w:lastRenderedPageBreak/>
        <w:t>The submission used an epidemiological approach to estimate the utilisation and financial implications of listing vorasidenib for the treatment of patients with Grade 2 IDH-mutant diffuse glioma.</w:t>
      </w:r>
    </w:p>
    <w:p w14:paraId="04B31D2D" w14:textId="72BAE1E9" w:rsidR="0072416F" w:rsidRPr="00F57392" w:rsidRDefault="00E16AD8" w:rsidP="004852F0">
      <w:pPr>
        <w:pStyle w:val="COMexecsummnumbered"/>
      </w:pPr>
      <w:r w:rsidRPr="00F57392">
        <w:fldChar w:fldCharType="begin"/>
      </w:r>
      <w:r w:rsidRPr="00F57392">
        <w:instrText xml:space="preserve"> REF _Ref104805262 \h  \* MERGEFORMAT </w:instrText>
      </w:r>
      <w:r w:rsidRPr="00F57392">
        <w:fldChar w:fldCharType="separate"/>
      </w:r>
      <w:r w:rsidR="003C0757" w:rsidRPr="00F57392">
        <w:t xml:space="preserve">Table </w:t>
      </w:r>
      <w:r w:rsidR="003C0757">
        <w:t>14</w:t>
      </w:r>
      <w:r w:rsidRPr="00F57392">
        <w:fldChar w:fldCharType="end"/>
      </w:r>
      <w:r w:rsidRPr="00F57392">
        <w:t xml:space="preserve"> </w:t>
      </w:r>
      <w:r w:rsidR="004852F0" w:rsidRPr="00F57392">
        <w:t>presents the key inputs relied on in the financial estimates.</w:t>
      </w:r>
    </w:p>
    <w:p w14:paraId="3393BCE7" w14:textId="31A86CEC" w:rsidR="00E42F73" w:rsidRDefault="00E16AD8" w:rsidP="00FF3ECD">
      <w:pPr>
        <w:pStyle w:val="COMtablefigcaption"/>
      </w:pPr>
      <w:bookmarkStart w:id="54" w:name="_Ref104805262"/>
      <w:r w:rsidRPr="00F57392">
        <w:t xml:space="preserve">Table </w:t>
      </w:r>
      <w:r w:rsidR="00052B1E">
        <w:fldChar w:fldCharType="begin"/>
      </w:r>
      <w:r w:rsidR="00052B1E">
        <w:instrText xml:space="preserve"> SEQ Table \* ARABIC </w:instrText>
      </w:r>
      <w:r w:rsidR="00052B1E">
        <w:fldChar w:fldCharType="separate"/>
      </w:r>
      <w:r w:rsidR="003C0757">
        <w:rPr>
          <w:noProof/>
        </w:rPr>
        <w:t>14</w:t>
      </w:r>
      <w:r w:rsidR="00052B1E">
        <w:rPr>
          <w:noProof/>
        </w:rPr>
        <w:fldChar w:fldCharType="end"/>
      </w:r>
      <w:bookmarkEnd w:id="54"/>
      <w:r w:rsidRPr="00F57392">
        <w:t>:</w:t>
      </w:r>
      <w:r w:rsidR="00E42F73" w:rsidRPr="00F57392">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inputs for financial estimates"/>
      </w:tblPr>
      <w:tblGrid>
        <w:gridCol w:w="1602"/>
        <w:gridCol w:w="1394"/>
        <w:gridCol w:w="2912"/>
        <w:gridCol w:w="3109"/>
      </w:tblGrid>
      <w:tr w:rsidR="005E2C51" w:rsidRPr="009872A8" w14:paraId="43C9924E" w14:textId="28959655" w:rsidTr="005E60DE">
        <w:trPr>
          <w:tblHeader/>
        </w:trPr>
        <w:tc>
          <w:tcPr>
            <w:tcW w:w="1601" w:type="dxa"/>
            <w:tcBorders>
              <w:bottom w:val="single" w:sz="4" w:space="0" w:color="auto"/>
            </w:tcBorders>
            <w:vAlign w:val="center"/>
          </w:tcPr>
          <w:p w14:paraId="3AA8964D" w14:textId="77777777" w:rsidR="005E2C51" w:rsidRPr="009872A8" w:rsidRDefault="005E2C51" w:rsidP="00903311">
            <w:pPr>
              <w:pStyle w:val="COMTableheadingrow"/>
              <w:keepNext w:val="0"/>
              <w:rPr>
                <w:lang w:val="en-AU"/>
              </w:rPr>
            </w:pPr>
            <w:r w:rsidRPr="009872A8">
              <w:rPr>
                <w:lang w:val="en-AU"/>
              </w:rPr>
              <w:t>Data</w:t>
            </w:r>
          </w:p>
        </w:tc>
        <w:tc>
          <w:tcPr>
            <w:tcW w:w="773" w:type="pct"/>
            <w:tcBorders>
              <w:bottom w:val="single" w:sz="4" w:space="0" w:color="auto"/>
            </w:tcBorders>
            <w:vAlign w:val="center"/>
          </w:tcPr>
          <w:p w14:paraId="709AE0FC" w14:textId="77777777" w:rsidR="005E2C51" w:rsidRPr="009872A8" w:rsidRDefault="005E2C51" w:rsidP="00903311">
            <w:pPr>
              <w:pStyle w:val="COMTableheadingrow"/>
              <w:keepNext w:val="0"/>
              <w:jc w:val="center"/>
              <w:rPr>
                <w:lang w:val="en-AU"/>
              </w:rPr>
            </w:pPr>
            <w:r w:rsidRPr="009872A8">
              <w:rPr>
                <w:lang w:val="en-AU"/>
              </w:rPr>
              <w:t>Value</w:t>
            </w:r>
          </w:p>
        </w:tc>
        <w:tc>
          <w:tcPr>
            <w:tcW w:w="1615" w:type="pct"/>
            <w:tcBorders>
              <w:bottom w:val="single" w:sz="4" w:space="0" w:color="auto"/>
            </w:tcBorders>
            <w:vAlign w:val="center"/>
          </w:tcPr>
          <w:p w14:paraId="00B61BA9" w14:textId="77777777" w:rsidR="005E2C51" w:rsidRPr="009872A8" w:rsidRDefault="005E2C51" w:rsidP="00903311">
            <w:pPr>
              <w:pStyle w:val="COMTableheadingrow"/>
              <w:keepNext w:val="0"/>
              <w:jc w:val="center"/>
              <w:rPr>
                <w:lang w:val="en-AU"/>
              </w:rPr>
            </w:pPr>
            <w:r w:rsidRPr="009872A8">
              <w:rPr>
                <w:lang w:val="en-AU"/>
              </w:rPr>
              <w:t>Source</w:t>
            </w:r>
          </w:p>
        </w:tc>
        <w:tc>
          <w:tcPr>
            <w:tcW w:w="1724" w:type="pct"/>
            <w:tcBorders>
              <w:bottom w:val="single" w:sz="4" w:space="0" w:color="auto"/>
            </w:tcBorders>
          </w:tcPr>
          <w:p w14:paraId="0DB51253" w14:textId="6C38F5B8" w:rsidR="005E2C51" w:rsidRPr="009872A8" w:rsidRDefault="005E2C51" w:rsidP="00903311">
            <w:pPr>
              <w:pStyle w:val="COMTableheadingrow"/>
              <w:keepNext w:val="0"/>
              <w:jc w:val="center"/>
              <w:rPr>
                <w:lang w:val="en-AU"/>
              </w:rPr>
            </w:pPr>
            <w:r>
              <w:rPr>
                <w:lang w:val="en-AU"/>
              </w:rPr>
              <w:t>Commentary and sub-committee comments</w:t>
            </w:r>
          </w:p>
        </w:tc>
      </w:tr>
      <w:tr w:rsidR="005E2C51" w:rsidRPr="009872A8" w14:paraId="1AFD4710" w14:textId="77777777" w:rsidTr="005E60DE">
        <w:tc>
          <w:tcPr>
            <w:tcW w:w="1601" w:type="dxa"/>
            <w:tcBorders>
              <w:right w:val="nil"/>
            </w:tcBorders>
            <w:vAlign w:val="center"/>
          </w:tcPr>
          <w:p w14:paraId="4A0316ED" w14:textId="48A97EC2" w:rsidR="005E2C51" w:rsidRPr="005E2C51" w:rsidRDefault="005E2C51" w:rsidP="00903311">
            <w:pPr>
              <w:pStyle w:val="COMTabletext"/>
              <w:keepNext w:val="0"/>
              <w:rPr>
                <w:b/>
                <w:bCs w:val="0"/>
              </w:rPr>
            </w:pPr>
            <w:r w:rsidRPr="005E2C51">
              <w:rPr>
                <w:b/>
                <w:bCs w:val="0"/>
              </w:rPr>
              <w:t>Eligible population</w:t>
            </w:r>
          </w:p>
        </w:tc>
        <w:tc>
          <w:tcPr>
            <w:tcW w:w="773" w:type="pct"/>
            <w:tcBorders>
              <w:left w:val="nil"/>
              <w:right w:val="nil"/>
            </w:tcBorders>
            <w:vAlign w:val="center"/>
          </w:tcPr>
          <w:p w14:paraId="73934C0D" w14:textId="77777777" w:rsidR="005E2C51" w:rsidRPr="009872A8" w:rsidRDefault="005E2C51" w:rsidP="00903311">
            <w:pPr>
              <w:pStyle w:val="COMTabletext"/>
              <w:jc w:val="center"/>
            </w:pPr>
          </w:p>
        </w:tc>
        <w:tc>
          <w:tcPr>
            <w:tcW w:w="1615" w:type="pct"/>
            <w:tcBorders>
              <w:left w:val="nil"/>
              <w:right w:val="nil"/>
            </w:tcBorders>
            <w:vAlign w:val="center"/>
          </w:tcPr>
          <w:p w14:paraId="74D97346" w14:textId="77777777" w:rsidR="005E2C51" w:rsidRPr="009872A8" w:rsidRDefault="005E2C51" w:rsidP="00903311">
            <w:pPr>
              <w:pStyle w:val="COMTabletext"/>
              <w:keepNext w:val="0"/>
            </w:pPr>
          </w:p>
        </w:tc>
        <w:tc>
          <w:tcPr>
            <w:tcW w:w="1724" w:type="pct"/>
            <w:tcBorders>
              <w:left w:val="nil"/>
            </w:tcBorders>
          </w:tcPr>
          <w:p w14:paraId="0384DC1F" w14:textId="77777777" w:rsidR="005E2C51" w:rsidRPr="009872A8" w:rsidRDefault="005E2C51" w:rsidP="297A0DD7">
            <w:pPr>
              <w:pStyle w:val="TableText"/>
              <w:rPr>
                <w:b w:val="0"/>
              </w:rPr>
            </w:pPr>
          </w:p>
        </w:tc>
      </w:tr>
      <w:tr w:rsidR="005E2C51" w:rsidRPr="009872A8" w14:paraId="4C914383" w14:textId="53DAE254" w:rsidTr="005E60DE">
        <w:tc>
          <w:tcPr>
            <w:tcW w:w="1601" w:type="dxa"/>
            <w:vAlign w:val="center"/>
          </w:tcPr>
          <w:p w14:paraId="384DF480" w14:textId="77777777" w:rsidR="005E2C51" w:rsidRPr="009872A8" w:rsidRDefault="005E2C51" w:rsidP="00903311">
            <w:pPr>
              <w:pStyle w:val="COMTabletext"/>
              <w:keepNext w:val="0"/>
            </w:pPr>
            <w:r w:rsidRPr="009872A8">
              <w:t>Australian population by 10-year age segments in 2016 to 2031.</w:t>
            </w:r>
          </w:p>
        </w:tc>
        <w:tc>
          <w:tcPr>
            <w:tcW w:w="773" w:type="pct"/>
            <w:vAlign w:val="center"/>
          </w:tcPr>
          <w:p w14:paraId="21A9A73F" w14:textId="77777777" w:rsidR="005E2C51" w:rsidRPr="009872A8" w:rsidRDefault="005E2C51" w:rsidP="00903311">
            <w:pPr>
              <w:pStyle w:val="COMTabletext"/>
              <w:jc w:val="center"/>
            </w:pPr>
            <w:r w:rsidRPr="009872A8">
              <w:t>-</w:t>
            </w:r>
          </w:p>
        </w:tc>
        <w:tc>
          <w:tcPr>
            <w:tcW w:w="1615" w:type="pct"/>
          </w:tcPr>
          <w:p w14:paraId="0481E013" w14:textId="77777777" w:rsidR="005E2C51" w:rsidRPr="009872A8" w:rsidRDefault="005E2C51" w:rsidP="005E2C51">
            <w:pPr>
              <w:pStyle w:val="COMTabletext"/>
              <w:keepNext w:val="0"/>
            </w:pPr>
            <w:r w:rsidRPr="009872A8">
              <w:t>ABS actual (2016-2023) and forecast (2024-2031) population by age segments, obtained from https://www.abs.gov.au/statistics/people/ population/population-clock-pyramid</w:t>
            </w:r>
          </w:p>
        </w:tc>
        <w:tc>
          <w:tcPr>
            <w:tcW w:w="1724" w:type="pct"/>
          </w:tcPr>
          <w:p w14:paraId="0F299586" w14:textId="6D098125" w:rsidR="005E2C51" w:rsidRPr="009872A8" w:rsidRDefault="005E2C51" w:rsidP="297A0DD7">
            <w:pPr>
              <w:pStyle w:val="TableText"/>
              <w:rPr>
                <w:b w:val="0"/>
              </w:rPr>
            </w:pPr>
            <w:r w:rsidRPr="009872A8">
              <w:rPr>
                <w:b w:val="0"/>
              </w:rPr>
              <w:t xml:space="preserve">The Sub-Committees considered this to be reasonable. </w:t>
            </w:r>
          </w:p>
        </w:tc>
      </w:tr>
      <w:tr w:rsidR="005E2C51" w:rsidRPr="009872A8" w14:paraId="72E09679" w14:textId="2E8B22E3" w:rsidTr="005E60DE">
        <w:tc>
          <w:tcPr>
            <w:tcW w:w="1601" w:type="dxa"/>
            <w:vAlign w:val="center"/>
          </w:tcPr>
          <w:p w14:paraId="7BD7CDA1" w14:textId="77777777" w:rsidR="005E2C51" w:rsidRPr="009872A8" w:rsidRDefault="005E2C51" w:rsidP="00903311">
            <w:pPr>
              <w:pStyle w:val="COMTabletext"/>
              <w:keepNext w:val="0"/>
            </w:pPr>
            <w:r w:rsidRPr="009872A8">
              <w:t>Grade 2 IDH-mutant glioma 5-year incidence by age segments</w:t>
            </w:r>
          </w:p>
        </w:tc>
        <w:tc>
          <w:tcPr>
            <w:tcW w:w="773" w:type="pct"/>
            <w:vAlign w:val="center"/>
          </w:tcPr>
          <w:p w14:paraId="20F89FE9" w14:textId="77777777" w:rsidR="005E2C51" w:rsidRPr="009872A8" w:rsidRDefault="005E2C51" w:rsidP="00903311">
            <w:pPr>
              <w:pStyle w:val="COMTabletext"/>
            </w:pPr>
            <w:r w:rsidRPr="009872A8">
              <w:t>0-11 yrs: 23</w:t>
            </w:r>
          </w:p>
          <w:p w14:paraId="7D1B8263" w14:textId="77777777" w:rsidR="005E2C51" w:rsidRPr="009872A8" w:rsidRDefault="005E2C51" w:rsidP="00903311">
            <w:pPr>
              <w:pStyle w:val="COMTabletext"/>
            </w:pPr>
            <w:r w:rsidRPr="009872A8">
              <w:t>12-18 yrs: 23</w:t>
            </w:r>
          </w:p>
          <w:p w14:paraId="2365FA84" w14:textId="77777777" w:rsidR="005E2C51" w:rsidRPr="009872A8" w:rsidRDefault="005E2C51" w:rsidP="00903311">
            <w:pPr>
              <w:pStyle w:val="COMTabletext"/>
            </w:pPr>
            <w:r w:rsidRPr="009872A8">
              <w:t>19-28 yrs: 129</w:t>
            </w:r>
          </w:p>
          <w:p w14:paraId="1A4858D2" w14:textId="77777777" w:rsidR="005E2C51" w:rsidRPr="009872A8" w:rsidRDefault="005E2C51" w:rsidP="00903311">
            <w:pPr>
              <w:pStyle w:val="COMTabletext"/>
            </w:pPr>
            <w:r w:rsidRPr="009872A8">
              <w:t>29-38 yrs: 187</w:t>
            </w:r>
          </w:p>
          <w:p w14:paraId="648432F9" w14:textId="77777777" w:rsidR="005E2C51" w:rsidRPr="009872A8" w:rsidRDefault="005E2C51" w:rsidP="00903311">
            <w:pPr>
              <w:pStyle w:val="COMTabletext"/>
            </w:pPr>
            <w:r w:rsidRPr="009872A8">
              <w:t>39-48 yrs: 177</w:t>
            </w:r>
          </w:p>
          <w:p w14:paraId="3EA46D9F" w14:textId="77777777" w:rsidR="005E2C51" w:rsidRPr="009872A8" w:rsidRDefault="005E2C51" w:rsidP="00903311">
            <w:pPr>
              <w:pStyle w:val="COMTabletext"/>
            </w:pPr>
            <w:r w:rsidRPr="009872A8">
              <w:t>49-58 yrs: 142</w:t>
            </w:r>
          </w:p>
          <w:p w14:paraId="450E4D92" w14:textId="77777777" w:rsidR="005E2C51" w:rsidRPr="009872A8" w:rsidRDefault="005E2C51" w:rsidP="00903311">
            <w:pPr>
              <w:pStyle w:val="COMTabletext"/>
            </w:pPr>
            <w:r w:rsidRPr="009872A8">
              <w:t>59-68 yrs: 124</w:t>
            </w:r>
          </w:p>
          <w:p w14:paraId="50C2A797" w14:textId="77777777" w:rsidR="005E2C51" w:rsidRPr="009872A8" w:rsidRDefault="005E2C51" w:rsidP="00903311">
            <w:pPr>
              <w:pStyle w:val="COMTabletext"/>
            </w:pPr>
            <w:r w:rsidRPr="009872A8">
              <w:t>69-78 yrs: 97</w:t>
            </w:r>
          </w:p>
          <w:p w14:paraId="56A4259E" w14:textId="77777777" w:rsidR="005E2C51" w:rsidRPr="009872A8" w:rsidRDefault="005E2C51" w:rsidP="00903311">
            <w:pPr>
              <w:pStyle w:val="COMTabletext"/>
            </w:pPr>
            <w:r w:rsidRPr="009872A8">
              <w:t>79-88 yrs: 24</w:t>
            </w:r>
          </w:p>
          <w:p w14:paraId="72440F76" w14:textId="77777777" w:rsidR="005E2C51" w:rsidRPr="009872A8" w:rsidRDefault="005E2C51" w:rsidP="00903311">
            <w:pPr>
              <w:pStyle w:val="COMTabletext"/>
              <w:keepNext w:val="0"/>
            </w:pPr>
            <w:r w:rsidRPr="009872A8">
              <w:t>89-99 yrs: 12</w:t>
            </w:r>
          </w:p>
        </w:tc>
        <w:tc>
          <w:tcPr>
            <w:tcW w:w="1615" w:type="pct"/>
          </w:tcPr>
          <w:p w14:paraId="381225BE" w14:textId="77777777" w:rsidR="005E2C51" w:rsidRPr="009872A8" w:rsidRDefault="005E2C51" w:rsidP="005E2C51">
            <w:pPr>
              <w:pStyle w:val="COMTabletext"/>
            </w:pPr>
            <w:r w:rsidRPr="009872A8">
              <w:t>Data obtained from the AIHW. Total incident cases of IDH-mutant glioma in 2016 to 2020 based on 10-year age segments for brain tumours with histology codes 9400 (‘astrocytoma, IDH-mutant, Grade 2 and astrocytoma, NOS’) and 9450 (‘oligodendroglioma, IDH-mutant and 1p/19q-codeleted, Grade 2 and oligodendroglioma, NOS’).</w:t>
            </w:r>
          </w:p>
        </w:tc>
        <w:tc>
          <w:tcPr>
            <w:tcW w:w="1724" w:type="pct"/>
          </w:tcPr>
          <w:p w14:paraId="280F94D2" w14:textId="77777777" w:rsidR="005E2C51" w:rsidRPr="009872A8" w:rsidRDefault="005E2C51" w:rsidP="00CD4332">
            <w:pPr>
              <w:pStyle w:val="TableText"/>
              <w:rPr>
                <w:b w:val="0"/>
                <w:bCs/>
              </w:rPr>
            </w:pPr>
            <w:r w:rsidRPr="009872A8">
              <w:rPr>
                <w:b w:val="0"/>
                <w:bCs/>
              </w:rPr>
              <w:t>The histology descriptors for the 9400 and 9450 codes include astrocytomas and oligodendrogliomas that are not otherwise specified. Therefore, it is unclear whether all tumours under this category correspond to Grade 2 tumours.</w:t>
            </w:r>
          </w:p>
          <w:p w14:paraId="2AC62F64" w14:textId="7B79C25D" w:rsidR="005E2C51" w:rsidRPr="009872A8" w:rsidRDefault="005E2C51" w:rsidP="297A0DD7">
            <w:pPr>
              <w:pStyle w:val="TableText"/>
              <w:rPr>
                <w:b w:val="0"/>
              </w:rPr>
            </w:pPr>
            <w:r w:rsidRPr="009872A8">
              <w:rPr>
                <w:b w:val="0"/>
                <w:bCs/>
              </w:rPr>
              <w:t xml:space="preserve">The overall number of incident cases per year matched AIHW data available using the AIHW cancer visualisation (incidence by histology) online tool. </w:t>
            </w:r>
            <w:r w:rsidRPr="009872A8">
              <w:rPr>
                <w:b w:val="0"/>
              </w:rPr>
              <w:t xml:space="preserve">The Sub-Committees noted the potential for overestimating incident patients, however overall the Sub-Committees’ considered this to be reasonable. </w:t>
            </w:r>
          </w:p>
        </w:tc>
      </w:tr>
      <w:tr w:rsidR="005E2C51" w:rsidRPr="009872A8" w14:paraId="074FF10F" w14:textId="0FD9FCFF" w:rsidTr="005E60DE">
        <w:tc>
          <w:tcPr>
            <w:tcW w:w="1601" w:type="dxa"/>
            <w:vAlign w:val="center"/>
          </w:tcPr>
          <w:p w14:paraId="2CF98616" w14:textId="77777777" w:rsidR="005E2C51" w:rsidRPr="009872A8" w:rsidRDefault="005E2C51" w:rsidP="00903311">
            <w:pPr>
              <w:pStyle w:val="COMTabletext"/>
              <w:keepNext w:val="0"/>
            </w:pPr>
            <w:r w:rsidRPr="009872A8">
              <w:t>Grade 2 IDH-mutant glioma incidence per 100,000 population for 2016 to 2020 period</w:t>
            </w:r>
          </w:p>
        </w:tc>
        <w:tc>
          <w:tcPr>
            <w:tcW w:w="773" w:type="pct"/>
            <w:vAlign w:val="center"/>
          </w:tcPr>
          <w:p w14:paraId="7B99C3A5" w14:textId="77777777" w:rsidR="005E2C51" w:rsidRPr="009872A8" w:rsidRDefault="005E2C51" w:rsidP="00903311">
            <w:pPr>
              <w:pStyle w:val="COMTabletext"/>
              <w:keepNext w:val="0"/>
            </w:pPr>
            <w:r w:rsidRPr="009872A8">
              <w:t>0-11 yrs: 0.121</w:t>
            </w:r>
          </w:p>
          <w:p w14:paraId="54F37FFC" w14:textId="77777777" w:rsidR="005E2C51" w:rsidRPr="009872A8" w:rsidRDefault="005E2C51" w:rsidP="00903311">
            <w:pPr>
              <w:pStyle w:val="COMTabletext"/>
              <w:keepNext w:val="0"/>
            </w:pPr>
            <w:r w:rsidRPr="009872A8">
              <w:t>12-18 yrs: 0.222</w:t>
            </w:r>
          </w:p>
          <w:p w14:paraId="1C81C7E2" w14:textId="77777777" w:rsidR="005E2C51" w:rsidRPr="009872A8" w:rsidRDefault="005E2C51" w:rsidP="00903311">
            <w:pPr>
              <w:pStyle w:val="COMTabletext"/>
              <w:keepNext w:val="0"/>
            </w:pPr>
            <w:r w:rsidRPr="009872A8">
              <w:t>19-28 yrs: 0.737</w:t>
            </w:r>
          </w:p>
          <w:p w14:paraId="39DDDAB4" w14:textId="77777777" w:rsidR="005E2C51" w:rsidRPr="009872A8" w:rsidRDefault="005E2C51" w:rsidP="00903311">
            <w:pPr>
              <w:pStyle w:val="COMTabletext"/>
              <w:keepNext w:val="0"/>
            </w:pPr>
            <w:r w:rsidRPr="009872A8">
              <w:t>29-38 yrs: 1.022</w:t>
            </w:r>
          </w:p>
          <w:p w14:paraId="0F1C0EAD" w14:textId="77777777" w:rsidR="005E2C51" w:rsidRPr="009872A8" w:rsidRDefault="005E2C51" w:rsidP="00903311">
            <w:pPr>
              <w:pStyle w:val="COMTabletext"/>
              <w:keepNext w:val="0"/>
            </w:pPr>
            <w:r w:rsidRPr="009872A8">
              <w:t>39-48 yrs: 1.079</w:t>
            </w:r>
          </w:p>
          <w:p w14:paraId="426BA9D0" w14:textId="77777777" w:rsidR="005E2C51" w:rsidRPr="009872A8" w:rsidRDefault="005E2C51" w:rsidP="00903311">
            <w:pPr>
              <w:pStyle w:val="COMTabletext"/>
              <w:keepNext w:val="0"/>
            </w:pPr>
            <w:r w:rsidRPr="009872A8">
              <w:t>49-58 yrs: 0.912</w:t>
            </w:r>
          </w:p>
          <w:p w14:paraId="375E556C" w14:textId="77777777" w:rsidR="005E2C51" w:rsidRPr="009872A8" w:rsidRDefault="005E2C51" w:rsidP="00903311">
            <w:pPr>
              <w:pStyle w:val="COMTabletext"/>
              <w:keepNext w:val="0"/>
            </w:pPr>
            <w:r w:rsidRPr="009872A8">
              <w:t>59-68 yrs: 0.928</w:t>
            </w:r>
          </w:p>
          <w:p w14:paraId="38FFE74D" w14:textId="77777777" w:rsidR="005E2C51" w:rsidRPr="009872A8" w:rsidRDefault="005E2C51" w:rsidP="00903311">
            <w:pPr>
              <w:pStyle w:val="COMTabletext"/>
              <w:keepNext w:val="0"/>
            </w:pPr>
            <w:r w:rsidRPr="009872A8">
              <w:t>69-78 yrs: 1.041</w:t>
            </w:r>
          </w:p>
          <w:p w14:paraId="4C59515C" w14:textId="77777777" w:rsidR="005E2C51" w:rsidRPr="009872A8" w:rsidRDefault="005E2C51" w:rsidP="00903311">
            <w:pPr>
              <w:pStyle w:val="COMTabletext"/>
              <w:keepNext w:val="0"/>
            </w:pPr>
            <w:r w:rsidRPr="009872A8">
              <w:t>79-88 yrs: 0.773</w:t>
            </w:r>
          </w:p>
          <w:p w14:paraId="19930ED7" w14:textId="77777777" w:rsidR="005E2C51" w:rsidRPr="009872A8" w:rsidRDefault="005E2C51" w:rsidP="00903311">
            <w:pPr>
              <w:pStyle w:val="COMTabletext"/>
            </w:pPr>
            <w:r w:rsidRPr="009872A8">
              <w:t>89-99 yrs: 0.480</w:t>
            </w:r>
          </w:p>
        </w:tc>
        <w:tc>
          <w:tcPr>
            <w:tcW w:w="1615" w:type="pct"/>
          </w:tcPr>
          <w:p w14:paraId="39AD0E78" w14:textId="77777777" w:rsidR="005E2C51" w:rsidRPr="009872A8" w:rsidRDefault="005E2C51" w:rsidP="005E2C51">
            <w:pPr>
              <w:pStyle w:val="COMTabletext"/>
            </w:pPr>
            <w:r w:rsidRPr="009872A8">
              <w:t>Total incident cases of Grade 2 IDH-mutant glioma over 5 years (2016-2020) by age segments divided by the population by age segments for the corresponding 5-year period (2016-2020) and multiplied by 100,000.</w:t>
            </w:r>
          </w:p>
        </w:tc>
        <w:tc>
          <w:tcPr>
            <w:tcW w:w="1724" w:type="pct"/>
          </w:tcPr>
          <w:p w14:paraId="38CB8B78" w14:textId="4FE69A6A" w:rsidR="005E2C51" w:rsidRPr="009872A8" w:rsidRDefault="005E2C51" w:rsidP="297A0DD7">
            <w:pPr>
              <w:pStyle w:val="TableText"/>
              <w:rPr>
                <w:b w:val="0"/>
              </w:rPr>
            </w:pPr>
            <w:r w:rsidRPr="009872A8">
              <w:rPr>
                <w:b w:val="0"/>
              </w:rPr>
              <w:t xml:space="preserve">The </w:t>
            </w:r>
            <w:r>
              <w:rPr>
                <w:b w:val="0"/>
              </w:rPr>
              <w:t xml:space="preserve">Commentary and </w:t>
            </w:r>
            <w:r w:rsidRPr="009872A8">
              <w:rPr>
                <w:b w:val="0"/>
              </w:rPr>
              <w:t>Sub-Committees considered this to be reasonable.</w:t>
            </w:r>
          </w:p>
        </w:tc>
      </w:tr>
      <w:tr w:rsidR="005E2C51" w:rsidRPr="009872A8" w14:paraId="2DD8AB27" w14:textId="48497C1B" w:rsidTr="005E60DE">
        <w:tc>
          <w:tcPr>
            <w:tcW w:w="1601" w:type="dxa"/>
            <w:vAlign w:val="center"/>
          </w:tcPr>
          <w:p w14:paraId="20DF8E63" w14:textId="77777777" w:rsidR="005E2C51" w:rsidRPr="009872A8" w:rsidRDefault="005E2C51" w:rsidP="00903311">
            <w:pPr>
              <w:pStyle w:val="COMTabletext"/>
              <w:keepNext w:val="0"/>
            </w:pPr>
            <w:r w:rsidRPr="009872A8">
              <w:t>Incident cases of IDH-mutant glioma in Year 1 to Year 6</w:t>
            </w:r>
          </w:p>
        </w:tc>
        <w:tc>
          <w:tcPr>
            <w:tcW w:w="773" w:type="pct"/>
            <w:vAlign w:val="center"/>
          </w:tcPr>
          <w:p w14:paraId="3B663FCF" w14:textId="77777777" w:rsidR="005E2C51" w:rsidRPr="009872A8" w:rsidRDefault="005E2C51" w:rsidP="00903311">
            <w:pPr>
              <w:pStyle w:val="COMTabletext"/>
            </w:pPr>
            <w:r w:rsidRPr="009872A8">
              <w:t>Y1: 212</w:t>
            </w:r>
          </w:p>
          <w:p w14:paraId="5CAACBDA" w14:textId="77777777" w:rsidR="005E2C51" w:rsidRPr="009872A8" w:rsidRDefault="005E2C51" w:rsidP="00903311">
            <w:pPr>
              <w:pStyle w:val="COMTabletext"/>
            </w:pPr>
            <w:r w:rsidRPr="009872A8">
              <w:t>Y2: 216</w:t>
            </w:r>
          </w:p>
          <w:p w14:paraId="1F5B5A5E" w14:textId="77777777" w:rsidR="005E2C51" w:rsidRPr="009872A8" w:rsidRDefault="005E2C51" w:rsidP="00903311">
            <w:pPr>
              <w:pStyle w:val="COMTabletext"/>
            </w:pPr>
            <w:r w:rsidRPr="009872A8">
              <w:t>Y3: 219</w:t>
            </w:r>
          </w:p>
          <w:p w14:paraId="0EA67868" w14:textId="77777777" w:rsidR="005E2C51" w:rsidRPr="009872A8" w:rsidRDefault="005E2C51" w:rsidP="00903311">
            <w:pPr>
              <w:pStyle w:val="COMTabletext"/>
            </w:pPr>
            <w:r w:rsidRPr="009872A8">
              <w:t>Y4: 223</w:t>
            </w:r>
          </w:p>
          <w:p w14:paraId="2365E05C" w14:textId="77777777" w:rsidR="005E2C51" w:rsidRPr="009872A8" w:rsidRDefault="005E2C51" w:rsidP="00903311">
            <w:pPr>
              <w:pStyle w:val="COMTabletext"/>
            </w:pPr>
            <w:r w:rsidRPr="009872A8">
              <w:t>Y5: 227</w:t>
            </w:r>
          </w:p>
          <w:p w14:paraId="165CF434" w14:textId="77777777" w:rsidR="005E2C51" w:rsidRPr="009872A8" w:rsidRDefault="005E2C51" w:rsidP="00903311">
            <w:pPr>
              <w:pStyle w:val="COMTabletext"/>
            </w:pPr>
            <w:r w:rsidRPr="009872A8">
              <w:t>Y6: 230</w:t>
            </w:r>
          </w:p>
        </w:tc>
        <w:tc>
          <w:tcPr>
            <w:tcW w:w="1615" w:type="pct"/>
          </w:tcPr>
          <w:p w14:paraId="07112D03" w14:textId="77777777" w:rsidR="005E2C51" w:rsidRPr="009872A8" w:rsidRDefault="005E2C51" w:rsidP="005E2C51">
            <w:pPr>
              <w:pStyle w:val="COMTabletext"/>
            </w:pPr>
            <w:r w:rsidRPr="009872A8">
              <w:t>The derived incidence of Grade 2 IDH-mutant glioma by age segment for 2016 to 2020 was applied to the corresponding projected population (by age segments) in 2025 to 2031.</w:t>
            </w:r>
          </w:p>
        </w:tc>
        <w:tc>
          <w:tcPr>
            <w:tcW w:w="1724" w:type="pct"/>
          </w:tcPr>
          <w:p w14:paraId="462AEB47" w14:textId="09225A1B" w:rsidR="005E2C51" w:rsidRPr="009872A8" w:rsidRDefault="005E2C51" w:rsidP="297A0DD7">
            <w:pPr>
              <w:pStyle w:val="TableText"/>
              <w:rPr>
                <w:b w:val="0"/>
              </w:rPr>
            </w:pPr>
            <w:r w:rsidRPr="009872A8">
              <w:rPr>
                <w:b w:val="0"/>
                <w:bCs/>
              </w:rPr>
              <w:t>The submission assumed a stable incidence of IDH-mutant glioma over time. Based on the available incidence data, this appeared reasonable.</w:t>
            </w:r>
          </w:p>
        </w:tc>
      </w:tr>
      <w:tr w:rsidR="005E2C51" w:rsidRPr="009872A8" w14:paraId="05EB5618" w14:textId="1D49029C" w:rsidTr="005E60DE">
        <w:tc>
          <w:tcPr>
            <w:tcW w:w="1601" w:type="dxa"/>
            <w:vAlign w:val="center"/>
          </w:tcPr>
          <w:p w14:paraId="6C2AD43A" w14:textId="77777777" w:rsidR="005E2C51" w:rsidRPr="009872A8" w:rsidRDefault="005E2C51" w:rsidP="00903311">
            <w:pPr>
              <w:pStyle w:val="COMTabletext"/>
              <w:keepNext w:val="0"/>
            </w:pPr>
            <w:r w:rsidRPr="009872A8">
              <w:lastRenderedPageBreak/>
              <w:t>Prevalent cases of IDH-mutant glioma in Year 1 of listing</w:t>
            </w:r>
          </w:p>
        </w:tc>
        <w:tc>
          <w:tcPr>
            <w:tcW w:w="773" w:type="pct"/>
            <w:vAlign w:val="center"/>
          </w:tcPr>
          <w:p w14:paraId="421CA5D6" w14:textId="77777777" w:rsidR="005E2C51" w:rsidRPr="009872A8" w:rsidRDefault="005E2C51" w:rsidP="00903311">
            <w:pPr>
              <w:pStyle w:val="COMTabletext"/>
            </w:pPr>
            <w:r w:rsidRPr="009872A8">
              <w:t>369</w:t>
            </w:r>
          </w:p>
        </w:tc>
        <w:tc>
          <w:tcPr>
            <w:tcW w:w="1615" w:type="pct"/>
          </w:tcPr>
          <w:p w14:paraId="6012EAD1" w14:textId="77777777" w:rsidR="005E2C51" w:rsidRPr="009872A8" w:rsidRDefault="005E2C51" w:rsidP="005E2C51">
            <w:pPr>
              <w:pStyle w:val="COMTabletext"/>
            </w:pPr>
            <w:r w:rsidRPr="009872A8">
              <w:t>Derived from the incident cases in 2020 to 2025 who are not considered to be in immediate need of radiotherapy/ chemotherapy. Patients receiving treatment under the sponsor’s compassionate access program and patients requiring chemotherapy/radiotherapy treatment were removed from the prevalent pool.</w:t>
            </w:r>
          </w:p>
        </w:tc>
        <w:tc>
          <w:tcPr>
            <w:tcW w:w="1724" w:type="pct"/>
          </w:tcPr>
          <w:p w14:paraId="23673CCE" w14:textId="0DF5141E" w:rsidR="005E2C51" w:rsidRPr="009872A8" w:rsidRDefault="005E2C51" w:rsidP="297A0DD7">
            <w:pPr>
              <w:pStyle w:val="TableText"/>
              <w:rPr>
                <w:b w:val="0"/>
              </w:rPr>
            </w:pPr>
            <w:r w:rsidRPr="009872A8">
              <w:rPr>
                <w:b w:val="0"/>
                <w:bCs/>
              </w:rPr>
              <w:t>Given the relatively long natural history of the disease</w:t>
            </w:r>
            <w:r>
              <w:rPr>
                <w:b w:val="0"/>
                <w:bCs/>
              </w:rPr>
              <w:t xml:space="preserve"> (as per BRAIN registry)</w:t>
            </w:r>
            <w:r w:rsidRPr="009872A8">
              <w:rPr>
                <w:b w:val="0"/>
                <w:bCs/>
              </w:rPr>
              <w:t>, there may be additional prevalent patients arising prior to 2020.</w:t>
            </w:r>
            <w:r>
              <w:rPr>
                <w:b w:val="0"/>
              </w:rPr>
              <w:t xml:space="preserve"> </w:t>
            </w:r>
            <w:r w:rsidRPr="009872A8">
              <w:rPr>
                <w:b w:val="0"/>
              </w:rPr>
              <w:t xml:space="preserve">The Sub-Committees’ advised that prevalent patients prior to 2020 should also be considered in the estimates. </w:t>
            </w:r>
          </w:p>
          <w:p w14:paraId="5A9A12B2" w14:textId="77777777" w:rsidR="005E2C51" w:rsidRPr="009872A8" w:rsidRDefault="005E2C51" w:rsidP="00903311">
            <w:pPr>
              <w:pStyle w:val="TableText"/>
              <w:rPr>
                <w:b w:val="0"/>
                <w:bCs/>
              </w:rPr>
            </w:pPr>
          </w:p>
          <w:p w14:paraId="14F5DEDC" w14:textId="0E117EC5" w:rsidR="005E2C51" w:rsidRPr="009872A8" w:rsidRDefault="005E2C51" w:rsidP="00903311">
            <w:pPr>
              <w:pStyle w:val="TableText"/>
              <w:rPr>
                <w:b w:val="0"/>
                <w:bCs/>
              </w:rPr>
            </w:pPr>
            <w:r w:rsidRPr="009872A8">
              <w:rPr>
                <w:b w:val="0"/>
                <w:bCs/>
              </w:rPr>
              <w:t xml:space="preserve">An error was identified by the evaluators in the financial worksheet where the persistence rate was applied to each previous year’s population rather than the initial population. This error was corrected </w:t>
            </w:r>
            <w:r w:rsidR="000B6E5C">
              <w:rPr>
                <w:b w:val="0"/>
                <w:bCs/>
              </w:rPr>
              <w:t>for the values</w:t>
            </w:r>
            <w:r w:rsidR="000B6E5C" w:rsidRPr="009872A8">
              <w:rPr>
                <w:b w:val="0"/>
                <w:bCs/>
              </w:rPr>
              <w:t xml:space="preserve"> </w:t>
            </w:r>
            <w:r w:rsidRPr="009872A8">
              <w:rPr>
                <w:b w:val="0"/>
                <w:bCs/>
              </w:rPr>
              <w:t xml:space="preserve">presented in Table 16. </w:t>
            </w:r>
          </w:p>
        </w:tc>
      </w:tr>
      <w:tr w:rsidR="005E2C51" w:rsidRPr="009872A8" w14:paraId="6AB09804" w14:textId="58D3CF8F" w:rsidTr="005E60DE">
        <w:tc>
          <w:tcPr>
            <w:tcW w:w="1601" w:type="dxa"/>
            <w:vAlign w:val="center"/>
          </w:tcPr>
          <w:p w14:paraId="3052790A" w14:textId="77777777" w:rsidR="005E2C51" w:rsidRPr="009872A8" w:rsidRDefault="005E2C51" w:rsidP="00903311">
            <w:pPr>
              <w:pStyle w:val="COMTabletext"/>
              <w:keepNext w:val="0"/>
            </w:pPr>
            <w:r w:rsidRPr="009872A8">
              <w:t>Proportion of incident patients not in immediate need of radiotherapy or chemotherapy</w:t>
            </w:r>
          </w:p>
        </w:tc>
        <w:tc>
          <w:tcPr>
            <w:tcW w:w="773" w:type="pct"/>
            <w:vAlign w:val="center"/>
          </w:tcPr>
          <w:p w14:paraId="66FA2F73" w14:textId="77777777" w:rsidR="005E2C51" w:rsidRPr="009872A8" w:rsidRDefault="005E2C51" w:rsidP="00903311">
            <w:pPr>
              <w:pStyle w:val="COMTabletext"/>
              <w:keepNext w:val="0"/>
            </w:pPr>
            <w:r w:rsidRPr="009872A8">
              <w:t>64.3%</w:t>
            </w:r>
          </w:p>
        </w:tc>
        <w:tc>
          <w:tcPr>
            <w:tcW w:w="1615" w:type="pct"/>
          </w:tcPr>
          <w:p w14:paraId="26FB3F2C" w14:textId="77777777" w:rsidR="005E2C51" w:rsidRPr="009872A8" w:rsidRDefault="005E2C51" w:rsidP="005E2C51">
            <w:pPr>
              <w:pStyle w:val="COMTabletext"/>
              <w:keepNext w:val="0"/>
            </w:pPr>
            <w:r w:rsidRPr="009872A8">
              <w:t>Based on an analysis of data from an Australian brain tumour registry (BRAIN), 110 of 171 patients (64.3%) did not receive radiotherapy or chemotherapy within the 6 months following surgery.</w:t>
            </w:r>
          </w:p>
        </w:tc>
        <w:tc>
          <w:tcPr>
            <w:tcW w:w="1724" w:type="pct"/>
          </w:tcPr>
          <w:p w14:paraId="4C0D0862" w14:textId="35A7C5D0" w:rsidR="005E2C51" w:rsidRPr="009872A8" w:rsidRDefault="005E2C51" w:rsidP="00903311">
            <w:pPr>
              <w:pStyle w:val="TableText"/>
              <w:rPr>
                <w:b w:val="0"/>
                <w:bCs/>
              </w:rPr>
            </w:pPr>
            <w:r w:rsidRPr="009872A8">
              <w:rPr>
                <w:b w:val="0"/>
                <w:bCs/>
              </w:rPr>
              <w:t xml:space="preserve">The </w:t>
            </w:r>
            <w:r>
              <w:rPr>
                <w:b w:val="0"/>
                <w:bCs/>
              </w:rPr>
              <w:t xml:space="preserve">commentary noted that </w:t>
            </w:r>
            <w:r w:rsidRPr="009872A8">
              <w:rPr>
                <w:b w:val="0"/>
                <w:bCs/>
              </w:rPr>
              <w:t>some patients may undertake a trial of vorasidenib rather than initiate treatment with radiotherapy/ chemotherapy.</w:t>
            </w:r>
          </w:p>
          <w:p w14:paraId="50CE8102" w14:textId="27139CAB" w:rsidR="005E2C51" w:rsidRPr="009872A8" w:rsidRDefault="005E2C51" w:rsidP="297A0DD7">
            <w:pPr>
              <w:pStyle w:val="TableText"/>
              <w:rPr>
                <w:b w:val="0"/>
              </w:rPr>
            </w:pPr>
            <w:r w:rsidRPr="009872A8">
              <w:rPr>
                <w:b w:val="0"/>
              </w:rPr>
              <w:t xml:space="preserve">The Sub-Committees noted that </w:t>
            </w:r>
            <w:r>
              <w:rPr>
                <w:b w:val="0"/>
              </w:rPr>
              <w:t xml:space="preserve">as vorasidenib </w:t>
            </w:r>
            <w:r w:rsidRPr="00C91629">
              <w:rPr>
                <w:b w:val="0"/>
              </w:rPr>
              <w:t>does not provide a reduction in tumour size</w:t>
            </w:r>
            <w:r w:rsidRPr="009872A8">
              <w:rPr>
                <w:b w:val="0"/>
              </w:rPr>
              <w:t xml:space="preserve"> clinicians would likely still use radio</w:t>
            </w:r>
            <w:r w:rsidR="004C0282">
              <w:rPr>
                <w:b w:val="0"/>
              </w:rPr>
              <w:t>therapy</w:t>
            </w:r>
            <w:r w:rsidRPr="009872A8">
              <w:rPr>
                <w:b w:val="0"/>
              </w:rPr>
              <w:t xml:space="preserve">/chemotherapy when needed rather than trial vorasidenib in symptomatic or imminently symptomatic patients. </w:t>
            </w:r>
          </w:p>
        </w:tc>
      </w:tr>
      <w:tr w:rsidR="005E2C51" w:rsidRPr="009872A8" w14:paraId="36401637" w14:textId="785F725F" w:rsidTr="005E60DE">
        <w:tc>
          <w:tcPr>
            <w:tcW w:w="1601" w:type="dxa"/>
            <w:vAlign w:val="center"/>
          </w:tcPr>
          <w:p w14:paraId="13C4C3B9" w14:textId="77777777" w:rsidR="005E2C51" w:rsidRPr="009872A8" w:rsidRDefault="005E2C51" w:rsidP="00903311">
            <w:pPr>
              <w:pStyle w:val="COMTabletext"/>
              <w:keepNext w:val="0"/>
            </w:pPr>
            <w:r w:rsidRPr="009872A8">
              <w:t>The proportion of patients not in immediate need of radiotherapy/ chemotherapy</w:t>
            </w:r>
          </w:p>
        </w:tc>
        <w:tc>
          <w:tcPr>
            <w:tcW w:w="773" w:type="pct"/>
            <w:vAlign w:val="center"/>
          </w:tcPr>
          <w:p w14:paraId="7E9543C1" w14:textId="77777777" w:rsidR="005E2C51" w:rsidRPr="009872A8" w:rsidRDefault="005E2C51" w:rsidP="00903311">
            <w:pPr>
              <w:pStyle w:val="COMTabletext"/>
            </w:pPr>
            <w:r w:rsidRPr="009872A8">
              <w:t>Y1: 100.00%</w:t>
            </w:r>
          </w:p>
          <w:p w14:paraId="3F55421E" w14:textId="77777777" w:rsidR="005E2C51" w:rsidRPr="009872A8" w:rsidRDefault="005E2C51" w:rsidP="00903311">
            <w:pPr>
              <w:pStyle w:val="COMTabletext"/>
            </w:pPr>
            <w:r w:rsidRPr="009872A8">
              <w:t>Y2: 98.26%</w:t>
            </w:r>
          </w:p>
          <w:p w14:paraId="44D64E3E" w14:textId="77777777" w:rsidR="005E2C51" w:rsidRPr="009872A8" w:rsidRDefault="005E2C51" w:rsidP="00903311">
            <w:pPr>
              <w:pStyle w:val="COMTabletext"/>
            </w:pPr>
            <w:r w:rsidRPr="009872A8">
              <w:t>Y3: 84.96%</w:t>
            </w:r>
          </w:p>
          <w:p w14:paraId="6C847617" w14:textId="77777777" w:rsidR="005E2C51" w:rsidRPr="009872A8" w:rsidRDefault="005E2C51" w:rsidP="00903311">
            <w:pPr>
              <w:pStyle w:val="COMTabletext"/>
            </w:pPr>
            <w:r w:rsidRPr="009872A8">
              <w:t>Y4: 68.47%</w:t>
            </w:r>
          </w:p>
          <w:p w14:paraId="30B33AD4" w14:textId="77777777" w:rsidR="005E2C51" w:rsidRPr="009872A8" w:rsidRDefault="005E2C51" w:rsidP="00903311">
            <w:pPr>
              <w:pStyle w:val="COMTabletext"/>
            </w:pPr>
            <w:r w:rsidRPr="009872A8">
              <w:t>Y5: 48.37%</w:t>
            </w:r>
          </w:p>
          <w:p w14:paraId="66E4B533" w14:textId="77777777" w:rsidR="005E2C51" w:rsidRPr="009872A8" w:rsidRDefault="005E2C51" w:rsidP="00903311">
            <w:pPr>
              <w:pStyle w:val="COMTabletext"/>
            </w:pPr>
            <w:r w:rsidRPr="009872A8">
              <w:t>Y6: 34.93%</w:t>
            </w:r>
          </w:p>
          <w:p w14:paraId="6F084BBA" w14:textId="77777777" w:rsidR="005E2C51" w:rsidRPr="009872A8" w:rsidRDefault="005E2C51" w:rsidP="00903311">
            <w:pPr>
              <w:pStyle w:val="COMTabletext"/>
            </w:pPr>
            <w:r w:rsidRPr="009872A8">
              <w:t>Y7: 25.14%</w:t>
            </w:r>
          </w:p>
          <w:p w14:paraId="2C4E157C" w14:textId="77777777" w:rsidR="005E2C51" w:rsidRPr="009872A8" w:rsidRDefault="005E2C51" w:rsidP="00903311">
            <w:pPr>
              <w:pStyle w:val="COMTabletext"/>
              <w:keepNext w:val="0"/>
            </w:pPr>
            <w:r w:rsidRPr="009872A8">
              <w:t>Y8: 18.16%</w:t>
            </w:r>
          </w:p>
        </w:tc>
        <w:tc>
          <w:tcPr>
            <w:tcW w:w="1615" w:type="pct"/>
          </w:tcPr>
          <w:p w14:paraId="4A9AF3B6" w14:textId="77777777" w:rsidR="005E2C51" w:rsidRPr="009872A8" w:rsidRDefault="005E2C51" w:rsidP="005E2C51">
            <w:pPr>
              <w:pStyle w:val="COMTabletext"/>
              <w:keepNext w:val="0"/>
            </w:pPr>
            <w:r w:rsidRPr="009872A8">
              <w:t>Based on an analysis of time to next intervention among a matched cohort of 100 patients with Grade 2 IDH-mutant glioma in an Australian brain tumour registry (BRAIN). A lognormal function was fitted to the Kaplan-Meier data. Used to derive the eligible prevalent pool of patients.</w:t>
            </w:r>
          </w:p>
        </w:tc>
        <w:tc>
          <w:tcPr>
            <w:tcW w:w="1724" w:type="pct"/>
          </w:tcPr>
          <w:p w14:paraId="00B3A73E" w14:textId="44A0E90D" w:rsidR="005E2C51" w:rsidRPr="009872A8" w:rsidRDefault="005E2C51" w:rsidP="297A0DD7">
            <w:pPr>
              <w:pStyle w:val="TableText"/>
              <w:rPr>
                <w:b w:val="0"/>
              </w:rPr>
            </w:pPr>
            <w:r w:rsidRPr="009872A8">
              <w:rPr>
                <w:b w:val="0"/>
                <w:bCs/>
              </w:rPr>
              <w:t xml:space="preserve">Interventions </w:t>
            </w:r>
            <w:r w:rsidR="008C469A">
              <w:rPr>
                <w:b w:val="0"/>
                <w:bCs/>
              </w:rPr>
              <w:t xml:space="preserve">in the analysis </w:t>
            </w:r>
            <w:r w:rsidRPr="009872A8">
              <w:rPr>
                <w:b w:val="0"/>
                <w:bCs/>
              </w:rPr>
              <w:t xml:space="preserve">included surgery. Patients undergoing re-resection would still be eligible for treatment with vorasidenib. </w:t>
            </w:r>
            <w:r w:rsidRPr="009872A8">
              <w:rPr>
                <w:b w:val="0"/>
              </w:rPr>
              <w:t>The Sub-Committees noted that th</w:t>
            </w:r>
            <w:r w:rsidR="005270E2">
              <w:rPr>
                <w:b w:val="0"/>
              </w:rPr>
              <w:t>is</w:t>
            </w:r>
            <w:r w:rsidRPr="009872A8">
              <w:rPr>
                <w:b w:val="0"/>
              </w:rPr>
              <w:t xml:space="preserve"> input is based on those patients from BRAIN who met the criteria for the </w:t>
            </w:r>
            <w:r>
              <w:rPr>
                <w:b w:val="0"/>
              </w:rPr>
              <w:t>INDIGO</w:t>
            </w:r>
            <w:r w:rsidRPr="009872A8">
              <w:rPr>
                <w:b w:val="0"/>
              </w:rPr>
              <w:t xml:space="preserve"> trial and excluded patients if they received radio</w:t>
            </w:r>
            <w:r w:rsidR="005270E2">
              <w:rPr>
                <w:b w:val="0"/>
              </w:rPr>
              <w:t>therapy</w:t>
            </w:r>
            <w:r w:rsidRPr="009872A8">
              <w:rPr>
                <w:b w:val="0"/>
              </w:rPr>
              <w:t xml:space="preserve">/chemotherapy within 1 year of surgery. The Sub-Committees considered that this is not inconsistent with the previous input. </w:t>
            </w:r>
          </w:p>
        </w:tc>
      </w:tr>
      <w:tr w:rsidR="005E2C51" w:rsidRPr="009872A8" w14:paraId="60098CF0" w14:textId="246685E1" w:rsidTr="005E60DE">
        <w:tc>
          <w:tcPr>
            <w:tcW w:w="1601" w:type="dxa"/>
            <w:tcBorders>
              <w:bottom w:val="single" w:sz="4" w:space="0" w:color="auto"/>
            </w:tcBorders>
            <w:vAlign w:val="center"/>
          </w:tcPr>
          <w:p w14:paraId="53A116CB" w14:textId="77777777" w:rsidR="005E2C51" w:rsidRPr="009872A8" w:rsidRDefault="005E2C51" w:rsidP="00903311">
            <w:pPr>
              <w:pStyle w:val="COMTabletext"/>
              <w:keepNext w:val="0"/>
            </w:pPr>
            <w:r w:rsidRPr="009872A8">
              <w:t>Grandfathered patients</w:t>
            </w:r>
          </w:p>
        </w:tc>
        <w:tc>
          <w:tcPr>
            <w:tcW w:w="773" w:type="pct"/>
            <w:tcBorders>
              <w:bottom w:val="single" w:sz="4" w:space="0" w:color="auto"/>
            </w:tcBorders>
            <w:vAlign w:val="center"/>
          </w:tcPr>
          <w:p w14:paraId="65F44947" w14:textId="5D390693" w:rsidR="005E2C51" w:rsidRPr="009872A8" w:rsidRDefault="00556852" w:rsidP="00903311">
            <w:pPr>
              <w:pStyle w:val="COMTabletext"/>
              <w:keepNext w:val="0"/>
            </w:pPr>
            <w:r w:rsidRPr="00556852">
              <w:rPr>
                <w:color w:val="000000"/>
                <w:spacing w:val="51"/>
                <w:shd w:val="solid" w:color="000000" w:fill="000000"/>
                <w:fitText w:val="324" w:id="-629514495"/>
                <w14:textFill>
                  <w14:solidFill>
                    <w14:srgbClr w14:val="000000">
                      <w14:alpha w14:val="100000"/>
                    </w14:srgbClr>
                  </w14:solidFill>
                </w14:textFill>
              </w:rPr>
              <w:t>|||</w:t>
            </w:r>
            <w:r w:rsidRPr="00556852">
              <w:rPr>
                <w:color w:val="000000"/>
                <w:spacing w:val="1"/>
                <w:shd w:val="solid" w:color="000000" w:fill="000000"/>
                <w:fitText w:val="324" w:id="-629514495"/>
                <w14:textFill>
                  <w14:solidFill>
                    <w14:srgbClr w14:val="000000">
                      <w14:alpha w14:val="100000"/>
                    </w14:srgbClr>
                  </w14:solidFill>
                </w14:textFill>
              </w:rPr>
              <w:t>|</w:t>
            </w:r>
            <w:r w:rsidR="005E2C51" w:rsidRPr="009872A8">
              <w:t xml:space="preserve"> patients</w:t>
            </w:r>
          </w:p>
        </w:tc>
        <w:tc>
          <w:tcPr>
            <w:tcW w:w="1615" w:type="pct"/>
            <w:tcBorders>
              <w:bottom w:val="single" w:sz="4" w:space="0" w:color="auto"/>
            </w:tcBorders>
          </w:tcPr>
          <w:p w14:paraId="67AC1955" w14:textId="77777777" w:rsidR="005E2C51" w:rsidRPr="009872A8" w:rsidRDefault="005E2C51" w:rsidP="005E2C51">
            <w:pPr>
              <w:pStyle w:val="COMTabletext"/>
              <w:keepNext w:val="0"/>
            </w:pPr>
            <w:r w:rsidRPr="009872A8">
              <w:t>Based on the expected number of patients in the sponsor’s compassionate access program by the end of March 2025.</w:t>
            </w:r>
          </w:p>
        </w:tc>
        <w:tc>
          <w:tcPr>
            <w:tcW w:w="1724" w:type="pct"/>
            <w:tcBorders>
              <w:bottom w:val="single" w:sz="4" w:space="0" w:color="auto"/>
            </w:tcBorders>
          </w:tcPr>
          <w:p w14:paraId="0C2ACB5A" w14:textId="24E4ACFB" w:rsidR="005E2C51" w:rsidRPr="009872A8" w:rsidRDefault="005E2C51" w:rsidP="00903311">
            <w:pPr>
              <w:pStyle w:val="TableText"/>
              <w:rPr>
                <w:b w:val="0"/>
                <w:bCs/>
              </w:rPr>
            </w:pPr>
            <w:r w:rsidRPr="009872A8">
              <w:rPr>
                <w:b w:val="0"/>
                <w:bCs/>
              </w:rPr>
              <w:t>Grandfathered patients were appropriately removed from the prevalent patient pool.</w:t>
            </w:r>
          </w:p>
        </w:tc>
      </w:tr>
      <w:tr w:rsidR="005E2C51" w:rsidRPr="009872A8" w14:paraId="773B4054" w14:textId="77777777" w:rsidTr="005E60DE">
        <w:tc>
          <w:tcPr>
            <w:tcW w:w="1661" w:type="pct"/>
            <w:gridSpan w:val="2"/>
            <w:tcBorders>
              <w:right w:val="nil"/>
            </w:tcBorders>
            <w:vAlign w:val="center"/>
          </w:tcPr>
          <w:p w14:paraId="261E60BE" w14:textId="38964C5B" w:rsidR="005E2C51" w:rsidRPr="009872A8" w:rsidRDefault="005E2C51" w:rsidP="005E2C51">
            <w:pPr>
              <w:pStyle w:val="COMTabletext"/>
              <w:keepLines/>
            </w:pPr>
            <w:r w:rsidRPr="005E2C51">
              <w:rPr>
                <w:b/>
                <w:bCs w:val="0"/>
              </w:rPr>
              <w:t>Treatment utilisation</w:t>
            </w:r>
          </w:p>
        </w:tc>
        <w:tc>
          <w:tcPr>
            <w:tcW w:w="1615" w:type="pct"/>
            <w:tcBorders>
              <w:left w:val="nil"/>
              <w:right w:val="nil"/>
            </w:tcBorders>
          </w:tcPr>
          <w:p w14:paraId="76720EE5" w14:textId="77777777" w:rsidR="005E2C51" w:rsidRPr="009872A8" w:rsidRDefault="005E2C51" w:rsidP="005E2C51">
            <w:pPr>
              <w:pStyle w:val="COMTabletext"/>
              <w:keepLines/>
            </w:pPr>
          </w:p>
        </w:tc>
        <w:tc>
          <w:tcPr>
            <w:tcW w:w="1724" w:type="pct"/>
            <w:tcBorders>
              <w:left w:val="nil"/>
            </w:tcBorders>
          </w:tcPr>
          <w:p w14:paraId="24E81A07" w14:textId="77777777" w:rsidR="005E2C51" w:rsidRPr="009872A8" w:rsidRDefault="005E2C51" w:rsidP="005E2C51">
            <w:pPr>
              <w:pStyle w:val="TableText"/>
              <w:rPr>
                <w:b w:val="0"/>
              </w:rPr>
            </w:pPr>
          </w:p>
        </w:tc>
      </w:tr>
      <w:tr w:rsidR="005E2C51" w:rsidRPr="009872A8" w14:paraId="78BE0EDA" w14:textId="34FDA9CA" w:rsidTr="005E60DE">
        <w:tc>
          <w:tcPr>
            <w:tcW w:w="1601" w:type="dxa"/>
            <w:vAlign w:val="center"/>
          </w:tcPr>
          <w:p w14:paraId="46AE8DA2" w14:textId="77777777" w:rsidR="005E2C51" w:rsidRPr="009872A8" w:rsidRDefault="005E2C51" w:rsidP="005E2C51">
            <w:pPr>
              <w:pStyle w:val="COMTabletext"/>
              <w:keepLines/>
            </w:pPr>
            <w:r w:rsidRPr="009872A8">
              <w:t>Uptake rate (incident patients)</w:t>
            </w:r>
          </w:p>
        </w:tc>
        <w:tc>
          <w:tcPr>
            <w:tcW w:w="773" w:type="pct"/>
            <w:vAlign w:val="center"/>
          </w:tcPr>
          <w:p w14:paraId="317C58DE" w14:textId="17AE7DBD" w:rsidR="005E2C51" w:rsidRPr="009872A8" w:rsidRDefault="005E2C51" w:rsidP="005E2C51">
            <w:pPr>
              <w:pStyle w:val="COMTabletext"/>
              <w:keepLines/>
            </w:pPr>
            <w:r w:rsidRPr="009872A8">
              <w:t xml:space="preserve">Yr 1: </w:t>
            </w:r>
            <w:r w:rsidR="00556852" w:rsidRPr="00556852">
              <w:rPr>
                <w:color w:val="000000"/>
                <w:spacing w:val="51"/>
                <w:shd w:val="solid" w:color="000000" w:fill="000000"/>
                <w:fitText w:val="324" w:id="-629514494"/>
                <w14:textFill>
                  <w14:solidFill>
                    <w14:srgbClr w14:val="000000">
                      <w14:alpha w14:val="100000"/>
                    </w14:srgbClr>
                  </w14:solidFill>
                </w14:textFill>
              </w:rPr>
              <w:t>|||</w:t>
            </w:r>
            <w:r w:rsidR="00556852" w:rsidRPr="00556852">
              <w:rPr>
                <w:color w:val="000000"/>
                <w:spacing w:val="1"/>
                <w:shd w:val="solid" w:color="000000" w:fill="000000"/>
                <w:fitText w:val="324" w:id="-629514494"/>
                <w14:textFill>
                  <w14:solidFill>
                    <w14:srgbClr w14:val="000000">
                      <w14:alpha w14:val="100000"/>
                    </w14:srgbClr>
                  </w14:solidFill>
                </w14:textFill>
              </w:rPr>
              <w:t>|</w:t>
            </w:r>
            <w:r w:rsidRPr="009872A8">
              <w:t>%</w:t>
            </w:r>
          </w:p>
          <w:p w14:paraId="0A6A0E66" w14:textId="3D70C390" w:rsidR="005E2C51" w:rsidRPr="009872A8" w:rsidRDefault="005E2C51" w:rsidP="005E2C51">
            <w:pPr>
              <w:pStyle w:val="COMTabletext"/>
              <w:keepLines/>
            </w:pPr>
            <w:r w:rsidRPr="009872A8">
              <w:t xml:space="preserve">Yr 2: </w:t>
            </w:r>
            <w:r w:rsidR="00556852" w:rsidRPr="00556852">
              <w:rPr>
                <w:color w:val="000000"/>
                <w:spacing w:val="51"/>
                <w:shd w:val="solid" w:color="000000" w:fill="000000"/>
                <w:fitText w:val="324" w:id="-629514493"/>
                <w14:textFill>
                  <w14:solidFill>
                    <w14:srgbClr w14:val="000000">
                      <w14:alpha w14:val="100000"/>
                    </w14:srgbClr>
                  </w14:solidFill>
                </w14:textFill>
              </w:rPr>
              <w:t>|||</w:t>
            </w:r>
            <w:r w:rsidR="00556852" w:rsidRPr="00556852">
              <w:rPr>
                <w:color w:val="000000"/>
                <w:spacing w:val="1"/>
                <w:shd w:val="solid" w:color="000000" w:fill="000000"/>
                <w:fitText w:val="324" w:id="-629514493"/>
                <w14:textFill>
                  <w14:solidFill>
                    <w14:srgbClr w14:val="000000">
                      <w14:alpha w14:val="100000"/>
                    </w14:srgbClr>
                  </w14:solidFill>
                </w14:textFill>
              </w:rPr>
              <w:t>|</w:t>
            </w:r>
            <w:r w:rsidRPr="009872A8">
              <w:t>%</w:t>
            </w:r>
          </w:p>
          <w:p w14:paraId="21B7190D" w14:textId="7E05AC59" w:rsidR="005E2C51" w:rsidRPr="009872A8" w:rsidRDefault="005E2C51" w:rsidP="005E2C51">
            <w:pPr>
              <w:pStyle w:val="COMTabletext"/>
              <w:keepLines/>
            </w:pPr>
            <w:r w:rsidRPr="009872A8">
              <w:t xml:space="preserve">Yr 3: </w:t>
            </w:r>
            <w:r w:rsidR="00556852" w:rsidRPr="00556852">
              <w:rPr>
                <w:color w:val="000000"/>
                <w:spacing w:val="51"/>
                <w:shd w:val="solid" w:color="000000" w:fill="000000"/>
                <w:fitText w:val="324" w:id="-629514492"/>
                <w14:textFill>
                  <w14:solidFill>
                    <w14:srgbClr w14:val="000000">
                      <w14:alpha w14:val="100000"/>
                    </w14:srgbClr>
                  </w14:solidFill>
                </w14:textFill>
              </w:rPr>
              <w:t>|||</w:t>
            </w:r>
            <w:r w:rsidR="00556852" w:rsidRPr="00556852">
              <w:rPr>
                <w:color w:val="000000"/>
                <w:spacing w:val="1"/>
                <w:shd w:val="solid" w:color="000000" w:fill="000000"/>
                <w:fitText w:val="324" w:id="-629514492"/>
                <w14:textFill>
                  <w14:solidFill>
                    <w14:srgbClr w14:val="000000">
                      <w14:alpha w14:val="100000"/>
                    </w14:srgbClr>
                  </w14:solidFill>
                </w14:textFill>
              </w:rPr>
              <w:t>|</w:t>
            </w:r>
            <w:r w:rsidRPr="009872A8">
              <w:t>%</w:t>
            </w:r>
          </w:p>
          <w:p w14:paraId="0848D1D5" w14:textId="0B918E7A" w:rsidR="005E2C51" w:rsidRPr="009872A8" w:rsidRDefault="005E2C51" w:rsidP="005E2C51">
            <w:pPr>
              <w:pStyle w:val="COMTabletext"/>
              <w:keepLines/>
            </w:pPr>
            <w:r w:rsidRPr="009872A8">
              <w:t xml:space="preserve">Yr 4: </w:t>
            </w:r>
            <w:r w:rsidR="00556852" w:rsidRPr="00556852">
              <w:rPr>
                <w:color w:val="000000"/>
                <w:spacing w:val="51"/>
                <w:shd w:val="solid" w:color="000000" w:fill="000000"/>
                <w:fitText w:val="324" w:id="-629514491"/>
                <w14:textFill>
                  <w14:solidFill>
                    <w14:srgbClr w14:val="000000">
                      <w14:alpha w14:val="100000"/>
                    </w14:srgbClr>
                  </w14:solidFill>
                </w14:textFill>
              </w:rPr>
              <w:t>|||</w:t>
            </w:r>
            <w:r w:rsidR="00556852" w:rsidRPr="00556852">
              <w:rPr>
                <w:color w:val="000000"/>
                <w:spacing w:val="1"/>
                <w:shd w:val="solid" w:color="000000" w:fill="000000"/>
                <w:fitText w:val="324" w:id="-629514491"/>
                <w14:textFill>
                  <w14:solidFill>
                    <w14:srgbClr w14:val="000000">
                      <w14:alpha w14:val="100000"/>
                    </w14:srgbClr>
                  </w14:solidFill>
                </w14:textFill>
              </w:rPr>
              <w:t>|</w:t>
            </w:r>
            <w:r w:rsidRPr="009872A8">
              <w:t>%</w:t>
            </w:r>
          </w:p>
          <w:p w14:paraId="6CA67E24" w14:textId="2CC264A0" w:rsidR="005E2C51" w:rsidRPr="009872A8" w:rsidRDefault="005E2C51" w:rsidP="005E2C51">
            <w:pPr>
              <w:pStyle w:val="COMTabletext"/>
              <w:keepLines/>
            </w:pPr>
            <w:r w:rsidRPr="009872A8">
              <w:t xml:space="preserve">Yr 5: </w:t>
            </w:r>
            <w:r w:rsidR="00556852" w:rsidRPr="00556852">
              <w:rPr>
                <w:color w:val="000000"/>
                <w:spacing w:val="51"/>
                <w:shd w:val="solid" w:color="000000" w:fill="000000"/>
                <w:fitText w:val="324" w:id="-629514490"/>
                <w14:textFill>
                  <w14:solidFill>
                    <w14:srgbClr w14:val="000000">
                      <w14:alpha w14:val="100000"/>
                    </w14:srgbClr>
                  </w14:solidFill>
                </w14:textFill>
              </w:rPr>
              <w:t>|||</w:t>
            </w:r>
            <w:r w:rsidR="00556852" w:rsidRPr="00556852">
              <w:rPr>
                <w:color w:val="000000"/>
                <w:spacing w:val="1"/>
                <w:shd w:val="solid" w:color="000000" w:fill="000000"/>
                <w:fitText w:val="324" w:id="-629514490"/>
                <w14:textFill>
                  <w14:solidFill>
                    <w14:srgbClr w14:val="000000">
                      <w14:alpha w14:val="100000"/>
                    </w14:srgbClr>
                  </w14:solidFill>
                </w14:textFill>
              </w:rPr>
              <w:t>|</w:t>
            </w:r>
            <w:r w:rsidRPr="009872A8">
              <w:t>%</w:t>
            </w:r>
          </w:p>
          <w:p w14:paraId="4A4219E6" w14:textId="5565A235" w:rsidR="005E2C51" w:rsidRPr="009872A8" w:rsidRDefault="005E2C51" w:rsidP="005E2C51">
            <w:pPr>
              <w:pStyle w:val="COMTabletext"/>
              <w:keepLines/>
            </w:pPr>
            <w:r w:rsidRPr="009872A8">
              <w:t xml:space="preserve">Yr 6: </w:t>
            </w:r>
            <w:r w:rsidR="00556852" w:rsidRPr="00556852">
              <w:rPr>
                <w:color w:val="000000"/>
                <w:spacing w:val="51"/>
                <w:shd w:val="solid" w:color="000000" w:fill="000000"/>
                <w:fitText w:val="324" w:id="-629514489"/>
                <w14:textFill>
                  <w14:solidFill>
                    <w14:srgbClr w14:val="000000">
                      <w14:alpha w14:val="100000"/>
                    </w14:srgbClr>
                  </w14:solidFill>
                </w14:textFill>
              </w:rPr>
              <w:t>|||</w:t>
            </w:r>
            <w:r w:rsidR="00556852" w:rsidRPr="00556852">
              <w:rPr>
                <w:color w:val="000000"/>
                <w:spacing w:val="1"/>
                <w:shd w:val="solid" w:color="000000" w:fill="000000"/>
                <w:fitText w:val="324" w:id="-629514489"/>
                <w14:textFill>
                  <w14:solidFill>
                    <w14:srgbClr w14:val="000000">
                      <w14:alpha w14:val="100000"/>
                    </w14:srgbClr>
                  </w14:solidFill>
                </w14:textFill>
              </w:rPr>
              <w:t>|</w:t>
            </w:r>
            <w:r w:rsidRPr="009872A8">
              <w:t>%</w:t>
            </w:r>
          </w:p>
        </w:tc>
        <w:tc>
          <w:tcPr>
            <w:tcW w:w="1615" w:type="pct"/>
            <w:vMerge w:val="restart"/>
          </w:tcPr>
          <w:p w14:paraId="64E858E8" w14:textId="77777777" w:rsidR="005E2C51" w:rsidRPr="009872A8" w:rsidRDefault="005E2C51" w:rsidP="005E2C51">
            <w:pPr>
              <w:pStyle w:val="COMTabletext"/>
              <w:keepLines/>
            </w:pPr>
            <w:r w:rsidRPr="009872A8">
              <w:t xml:space="preserve">Assumption. The submission argued that uptake is expected to be high due to the lack of alternative treatments, the simplicity of oral dosing and the acceptability of the safety profile. </w:t>
            </w:r>
          </w:p>
        </w:tc>
        <w:tc>
          <w:tcPr>
            <w:tcW w:w="1724" w:type="pct"/>
            <w:vMerge w:val="restart"/>
          </w:tcPr>
          <w:p w14:paraId="02678CEB" w14:textId="0B319F54" w:rsidR="005E2C51" w:rsidRPr="009872A8" w:rsidRDefault="005E2C51" w:rsidP="005E2C51">
            <w:pPr>
              <w:pStyle w:val="TableText"/>
              <w:rPr>
                <w:b w:val="0"/>
              </w:rPr>
            </w:pPr>
            <w:r w:rsidRPr="009872A8">
              <w:rPr>
                <w:b w:val="0"/>
              </w:rPr>
              <w:t>The Sub-Committees considered th</w:t>
            </w:r>
            <w:r>
              <w:rPr>
                <w:b w:val="0"/>
              </w:rPr>
              <w:t>e estimates of uptake</w:t>
            </w:r>
            <w:r w:rsidRPr="009872A8">
              <w:rPr>
                <w:b w:val="0"/>
              </w:rPr>
              <w:t xml:space="preserve"> to be reasonable</w:t>
            </w:r>
            <w:r>
              <w:rPr>
                <w:b w:val="0"/>
              </w:rPr>
              <w:t>, however t</w:t>
            </w:r>
            <w:r w:rsidRPr="009872A8">
              <w:rPr>
                <w:b w:val="0"/>
                <w:bCs/>
              </w:rPr>
              <w:t>he uptake of vorasidenib is uncertain.</w:t>
            </w:r>
          </w:p>
        </w:tc>
      </w:tr>
      <w:tr w:rsidR="005E2C51" w:rsidRPr="009872A8" w14:paraId="71142888" w14:textId="670EC73C" w:rsidTr="005E60DE">
        <w:tc>
          <w:tcPr>
            <w:tcW w:w="1601" w:type="dxa"/>
            <w:vAlign w:val="center"/>
          </w:tcPr>
          <w:p w14:paraId="2E4CBF14" w14:textId="77777777" w:rsidR="005E2C51" w:rsidRPr="009872A8" w:rsidRDefault="005E2C51" w:rsidP="00903311">
            <w:pPr>
              <w:pStyle w:val="COMTabletext"/>
              <w:keepNext w:val="0"/>
            </w:pPr>
            <w:r w:rsidRPr="009872A8">
              <w:t>Uptake rate (prevalent patients)</w:t>
            </w:r>
          </w:p>
        </w:tc>
        <w:tc>
          <w:tcPr>
            <w:tcW w:w="773" w:type="pct"/>
            <w:vAlign w:val="center"/>
          </w:tcPr>
          <w:p w14:paraId="514B1BBC" w14:textId="738A7EA1" w:rsidR="005E2C51" w:rsidRPr="009872A8" w:rsidRDefault="005E2C51" w:rsidP="00903311">
            <w:pPr>
              <w:pStyle w:val="COMTabletext"/>
              <w:keepNext w:val="0"/>
            </w:pPr>
            <w:r w:rsidRPr="009872A8">
              <w:t xml:space="preserve">Yr 1: </w:t>
            </w:r>
            <w:r w:rsidR="00556852" w:rsidRPr="00556852">
              <w:rPr>
                <w:color w:val="000000"/>
                <w:spacing w:val="51"/>
                <w:shd w:val="solid" w:color="000000" w:fill="000000"/>
                <w:fitText w:val="324" w:id="-629514488"/>
                <w14:textFill>
                  <w14:solidFill>
                    <w14:srgbClr w14:val="000000">
                      <w14:alpha w14:val="100000"/>
                    </w14:srgbClr>
                  </w14:solidFill>
                </w14:textFill>
              </w:rPr>
              <w:t>|||</w:t>
            </w:r>
            <w:r w:rsidR="00556852" w:rsidRPr="00556852">
              <w:rPr>
                <w:color w:val="000000"/>
                <w:spacing w:val="1"/>
                <w:shd w:val="solid" w:color="000000" w:fill="000000"/>
                <w:fitText w:val="324" w:id="-629514488"/>
                <w14:textFill>
                  <w14:solidFill>
                    <w14:srgbClr w14:val="000000">
                      <w14:alpha w14:val="100000"/>
                    </w14:srgbClr>
                  </w14:solidFill>
                </w14:textFill>
              </w:rPr>
              <w:t>|</w:t>
            </w:r>
            <w:r w:rsidRPr="009872A8">
              <w:t>%</w:t>
            </w:r>
          </w:p>
        </w:tc>
        <w:tc>
          <w:tcPr>
            <w:tcW w:w="1615" w:type="pct"/>
            <w:vMerge/>
          </w:tcPr>
          <w:p w14:paraId="4973E159" w14:textId="77777777" w:rsidR="005E2C51" w:rsidRPr="009872A8" w:rsidRDefault="005E2C51" w:rsidP="005E2C51">
            <w:pPr>
              <w:pStyle w:val="COMTabletext"/>
              <w:keepNext w:val="0"/>
            </w:pPr>
          </w:p>
        </w:tc>
        <w:tc>
          <w:tcPr>
            <w:tcW w:w="1724" w:type="pct"/>
            <w:vMerge/>
          </w:tcPr>
          <w:p w14:paraId="3CFE3F55" w14:textId="77777777" w:rsidR="005E2C51" w:rsidRPr="009872A8" w:rsidRDefault="005E2C51" w:rsidP="00903311">
            <w:pPr>
              <w:pStyle w:val="TableText"/>
              <w:rPr>
                <w:b w:val="0"/>
                <w:bCs/>
              </w:rPr>
            </w:pPr>
          </w:p>
        </w:tc>
      </w:tr>
      <w:tr w:rsidR="005E2C51" w:rsidRPr="009872A8" w14:paraId="41262E99" w14:textId="31B83E72" w:rsidTr="005E60DE">
        <w:tc>
          <w:tcPr>
            <w:tcW w:w="1601" w:type="dxa"/>
            <w:vAlign w:val="center"/>
          </w:tcPr>
          <w:p w14:paraId="2D63CE56" w14:textId="77777777" w:rsidR="005E2C51" w:rsidRPr="009872A8" w:rsidRDefault="005E2C51" w:rsidP="00903311">
            <w:pPr>
              <w:pStyle w:val="COMTabletext"/>
              <w:keepNext w:val="0"/>
            </w:pPr>
            <w:r w:rsidRPr="009872A8">
              <w:lastRenderedPageBreak/>
              <w:t>Vorasidenib treatment persistence</w:t>
            </w:r>
          </w:p>
        </w:tc>
        <w:tc>
          <w:tcPr>
            <w:tcW w:w="773" w:type="pct"/>
            <w:vAlign w:val="center"/>
          </w:tcPr>
          <w:p w14:paraId="68EF867E" w14:textId="77777777" w:rsidR="005E2C51" w:rsidRPr="009872A8" w:rsidRDefault="005E2C51" w:rsidP="00903311">
            <w:pPr>
              <w:pStyle w:val="COMTabletext"/>
              <w:keepNext w:val="0"/>
            </w:pPr>
            <w:r w:rsidRPr="009872A8">
              <w:t>Yr 1: 100%</w:t>
            </w:r>
          </w:p>
          <w:p w14:paraId="48077407" w14:textId="77777777" w:rsidR="005E2C51" w:rsidRPr="009872A8" w:rsidRDefault="005E2C51" w:rsidP="00903311">
            <w:pPr>
              <w:pStyle w:val="COMTabletext"/>
              <w:keepNext w:val="0"/>
            </w:pPr>
            <w:r w:rsidRPr="009872A8">
              <w:t>Yr 2: 77%</w:t>
            </w:r>
          </w:p>
          <w:p w14:paraId="60FB0BBB" w14:textId="77777777" w:rsidR="005E2C51" w:rsidRPr="009872A8" w:rsidRDefault="005E2C51" w:rsidP="00903311">
            <w:pPr>
              <w:pStyle w:val="COMTabletext"/>
              <w:keepNext w:val="0"/>
            </w:pPr>
            <w:r w:rsidRPr="009872A8">
              <w:t>Yr 3: 59%</w:t>
            </w:r>
          </w:p>
          <w:p w14:paraId="19FDE0F3" w14:textId="77777777" w:rsidR="005E2C51" w:rsidRPr="009872A8" w:rsidRDefault="005E2C51" w:rsidP="00903311">
            <w:pPr>
              <w:pStyle w:val="COMTabletext"/>
              <w:keepNext w:val="0"/>
            </w:pPr>
            <w:r w:rsidRPr="009872A8">
              <w:t>Yr 4: 49%</w:t>
            </w:r>
          </w:p>
          <w:p w14:paraId="3BAB7FDA" w14:textId="77777777" w:rsidR="005E2C51" w:rsidRPr="009872A8" w:rsidRDefault="005E2C51" w:rsidP="00903311">
            <w:pPr>
              <w:pStyle w:val="COMTabletext"/>
              <w:keepNext w:val="0"/>
            </w:pPr>
            <w:r w:rsidRPr="009872A8">
              <w:t>Yr 5: 39%</w:t>
            </w:r>
          </w:p>
          <w:p w14:paraId="3D54A32A" w14:textId="77777777" w:rsidR="005E2C51" w:rsidRPr="009872A8" w:rsidRDefault="005E2C51" w:rsidP="00903311">
            <w:pPr>
              <w:pStyle w:val="COMTabletext"/>
              <w:keepNext w:val="0"/>
            </w:pPr>
            <w:r w:rsidRPr="009872A8">
              <w:t>Yr 6: 32%</w:t>
            </w:r>
          </w:p>
        </w:tc>
        <w:tc>
          <w:tcPr>
            <w:tcW w:w="1615" w:type="pct"/>
          </w:tcPr>
          <w:p w14:paraId="73045B58" w14:textId="77777777" w:rsidR="005E2C51" w:rsidRPr="009872A8" w:rsidRDefault="005E2C51" w:rsidP="005E2C51">
            <w:pPr>
              <w:pStyle w:val="COMTabletext"/>
              <w:keepNext w:val="0"/>
            </w:pPr>
            <w:r w:rsidRPr="009872A8">
              <w:t>Based on the proportion of patients remaining progression-free at the start of each year in the vorasidenib arm of the economic model. Progression-free survival among patients in the vorasidenib arm of the economic model was derived from extrapolation of data for the vorasidenib arm of the INDIGO trial.</w:t>
            </w:r>
          </w:p>
        </w:tc>
        <w:tc>
          <w:tcPr>
            <w:tcW w:w="1724" w:type="pct"/>
          </w:tcPr>
          <w:p w14:paraId="04406C91" w14:textId="09BA17A3" w:rsidR="005E2C51" w:rsidRPr="009872A8" w:rsidRDefault="005E2C51" w:rsidP="297A0DD7">
            <w:pPr>
              <w:pStyle w:val="TableText"/>
              <w:rPr>
                <w:b w:val="0"/>
              </w:rPr>
            </w:pPr>
            <w:r w:rsidRPr="009872A8">
              <w:rPr>
                <w:b w:val="0"/>
                <w:bCs/>
              </w:rPr>
              <w:t>Progression events in the economic model were based on radiographic progression. It is unclear whether patients treated with vorasidenib in clinical practice will discontinue treatment with vorasidenib following an initial finding of radiographic disease progression. Additionally, patients may not receive MRI scanning as frequently as in the INIDIGO trial which may delay the identification of disease progression.</w:t>
            </w:r>
            <w:r>
              <w:rPr>
                <w:b w:val="0"/>
                <w:bCs/>
              </w:rPr>
              <w:t xml:space="preserve"> </w:t>
            </w:r>
            <w:r w:rsidRPr="009872A8">
              <w:rPr>
                <w:b w:val="0"/>
              </w:rPr>
              <w:t xml:space="preserve">The Sub-Committees considered there may be a potential underestimation of persistence. </w:t>
            </w:r>
            <w:r w:rsidR="00CD493E">
              <w:rPr>
                <w:b w:val="0"/>
              </w:rPr>
              <w:t xml:space="preserve">However, the PBAC </w:t>
            </w:r>
            <w:r w:rsidR="001C18BC">
              <w:rPr>
                <w:b w:val="0"/>
              </w:rPr>
              <w:t xml:space="preserve">also </w:t>
            </w:r>
            <w:r w:rsidR="00CD493E">
              <w:rPr>
                <w:b w:val="0"/>
              </w:rPr>
              <w:t xml:space="preserve">noted that </w:t>
            </w:r>
            <w:r w:rsidR="00C324ED">
              <w:rPr>
                <w:b w:val="0"/>
              </w:rPr>
              <w:t xml:space="preserve">modelled extrapolations of PFS were uncertain and more conservative extrapolations resulted in </w:t>
            </w:r>
            <w:r w:rsidR="001C18BC">
              <w:rPr>
                <w:b w:val="0"/>
              </w:rPr>
              <w:t>reduced treatment persistence.</w:t>
            </w:r>
          </w:p>
        </w:tc>
      </w:tr>
      <w:tr w:rsidR="005E2C51" w:rsidRPr="009872A8" w14:paraId="2A184FB4" w14:textId="7908F658" w:rsidTr="005E60DE">
        <w:tc>
          <w:tcPr>
            <w:tcW w:w="1601" w:type="dxa"/>
            <w:vAlign w:val="center"/>
          </w:tcPr>
          <w:p w14:paraId="70D66E0F" w14:textId="77777777" w:rsidR="005E2C51" w:rsidRPr="009872A8" w:rsidRDefault="005E2C51" w:rsidP="00903311">
            <w:pPr>
              <w:pStyle w:val="COMTabletext"/>
              <w:keepNext w:val="0"/>
            </w:pPr>
            <w:r w:rsidRPr="009872A8">
              <w:t>Vorasidenib dose distribution</w:t>
            </w:r>
          </w:p>
        </w:tc>
        <w:tc>
          <w:tcPr>
            <w:tcW w:w="773" w:type="pct"/>
            <w:vAlign w:val="center"/>
          </w:tcPr>
          <w:p w14:paraId="6D49246A" w14:textId="77777777" w:rsidR="005E2C51" w:rsidRPr="009872A8" w:rsidRDefault="005E2C51" w:rsidP="00903311">
            <w:pPr>
              <w:pStyle w:val="COMTabletext"/>
              <w:keepNext w:val="0"/>
            </w:pPr>
            <w:r w:rsidRPr="009872A8">
              <w:t>40 mg: 92.2%</w:t>
            </w:r>
          </w:p>
          <w:p w14:paraId="2A06F729" w14:textId="77777777" w:rsidR="005E2C51" w:rsidRPr="009872A8" w:rsidRDefault="005E2C51" w:rsidP="00903311">
            <w:pPr>
              <w:pStyle w:val="COMTabletext"/>
              <w:keepNext w:val="0"/>
            </w:pPr>
            <w:r w:rsidRPr="009872A8">
              <w:t>20 mg: 5.8%</w:t>
            </w:r>
          </w:p>
          <w:p w14:paraId="6844B516" w14:textId="77777777" w:rsidR="005E2C51" w:rsidRPr="009872A8" w:rsidRDefault="005E2C51" w:rsidP="00903311">
            <w:pPr>
              <w:pStyle w:val="COMTabletext"/>
              <w:keepNext w:val="0"/>
            </w:pPr>
            <w:r w:rsidRPr="009872A8">
              <w:t>10 mg: 2.0%.</w:t>
            </w:r>
          </w:p>
        </w:tc>
        <w:tc>
          <w:tcPr>
            <w:tcW w:w="1615" w:type="pct"/>
          </w:tcPr>
          <w:p w14:paraId="2EE3FAFD" w14:textId="77777777" w:rsidR="005E2C51" w:rsidRPr="009872A8" w:rsidRDefault="005E2C51" w:rsidP="005E2C51">
            <w:pPr>
              <w:pStyle w:val="COMTabletext"/>
              <w:keepNext w:val="0"/>
            </w:pPr>
            <w:r w:rsidRPr="009872A8">
              <w:t>Based on the number of vorasidenib administrations by dose (10 mg: 2,169; 20 mg: 6,404; 40 mg: 101,902) among patients in the vorasidenib arm of the INDIGO trial (administrations recorded as a 0 mg dose excluded).</w:t>
            </w:r>
          </w:p>
        </w:tc>
        <w:tc>
          <w:tcPr>
            <w:tcW w:w="1724" w:type="pct"/>
          </w:tcPr>
          <w:p w14:paraId="67DF98F5" w14:textId="11444F67" w:rsidR="005E2C51" w:rsidRPr="009872A8" w:rsidRDefault="005E2C51" w:rsidP="297A0DD7">
            <w:pPr>
              <w:pStyle w:val="TableText"/>
              <w:rPr>
                <w:b w:val="0"/>
              </w:rPr>
            </w:pPr>
            <w:r w:rsidRPr="009872A8">
              <w:rPr>
                <w:b w:val="0"/>
              </w:rPr>
              <w:t xml:space="preserve">The </w:t>
            </w:r>
            <w:r>
              <w:rPr>
                <w:b w:val="0"/>
              </w:rPr>
              <w:t xml:space="preserve">Commentary and </w:t>
            </w:r>
            <w:r w:rsidRPr="009872A8">
              <w:rPr>
                <w:b w:val="0"/>
              </w:rPr>
              <w:t>Sub-Committees considered this to be reasonable.</w:t>
            </w:r>
          </w:p>
        </w:tc>
      </w:tr>
      <w:tr w:rsidR="005E2C51" w:rsidRPr="009872A8" w14:paraId="7504CCF0" w14:textId="0C14E98D" w:rsidTr="005E60DE">
        <w:tc>
          <w:tcPr>
            <w:tcW w:w="1601" w:type="dxa"/>
            <w:tcBorders>
              <w:bottom w:val="single" w:sz="4" w:space="0" w:color="auto"/>
            </w:tcBorders>
            <w:vAlign w:val="center"/>
          </w:tcPr>
          <w:p w14:paraId="01B66C75" w14:textId="77777777" w:rsidR="005E2C51" w:rsidRPr="009872A8" w:rsidRDefault="005E2C51" w:rsidP="0022569C">
            <w:pPr>
              <w:pStyle w:val="COMTabletext"/>
              <w:keepNext w:val="0"/>
            </w:pPr>
            <w:r w:rsidRPr="009872A8">
              <w:t>Vorasidenib treatment adherence</w:t>
            </w:r>
          </w:p>
        </w:tc>
        <w:tc>
          <w:tcPr>
            <w:tcW w:w="773" w:type="pct"/>
            <w:tcBorders>
              <w:bottom w:val="single" w:sz="4" w:space="0" w:color="auto"/>
            </w:tcBorders>
            <w:vAlign w:val="center"/>
          </w:tcPr>
          <w:p w14:paraId="4E6B8398" w14:textId="77777777" w:rsidR="005E2C51" w:rsidRPr="009872A8" w:rsidRDefault="005E2C51" w:rsidP="0022569C">
            <w:pPr>
              <w:pStyle w:val="COMTabletext"/>
              <w:keepNext w:val="0"/>
            </w:pPr>
            <w:r w:rsidRPr="009872A8">
              <w:t>93.6%</w:t>
            </w:r>
          </w:p>
        </w:tc>
        <w:tc>
          <w:tcPr>
            <w:tcW w:w="1615" w:type="pct"/>
            <w:tcBorders>
              <w:bottom w:val="single" w:sz="4" w:space="0" w:color="auto"/>
            </w:tcBorders>
          </w:tcPr>
          <w:p w14:paraId="0DA435D1" w14:textId="77777777" w:rsidR="005E2C51" w:rsidRPr="009872A8" w:rsidRDefault="005E2C51" w:rsidP="005E2C51">
            <w:pPr>
              <w:pStyle w:val="COMTabletext"/>
            </w:pPr>
            <w:r w:rsidRPr="009872A8">
              <w:t>Based on the number of vorasidenib administrations by dose (0 mg: 2,382; 10 mg: 2,169; 20 mg: 6,404; 40 mg: 101,902) as a proportion of the planned total dose of 40 mg daily among patients in the vorasidenib arm of the INDIGO trial.</w:t>
            </w:r>
          </w:p>
          <w:p w14:paraId="6FB14400" w14:textId="77777777" w:rsidR="005E2C51" w:rsidRPr="009872A8" w:rsidRDefault="005E2C51" w:rsidP="005E2C51">
            <w:pPr>
              <w:pStyle w:val="COMTabletext"/>
              <w:keepNext w:val="0"/>
            </w:pPr>
          </w:p>
          <w:p w14:paraId="7E8AB33A" w14:textId="77777777" w:rsidR="005E2C51" w:rsidRPr="009872A8" w:rsidRDefault="005E2C51" w:rsidP="005E2C51">
            <w:pPr>
              <w:pStyle w:val="COMTabletext"/>
              <w:keepNext w:val="0"/>
            </w:pPr>
          </w:p>
        </w:tc>
        <w:tc>
          <w:tcPr>
            <w:tcW w:w="1724" w:type="pct"/>
            <w:tcBorders>
              <w:bottom w:val="single" w:sz="4" w:space="0" w:color="auto"/>
            </w:tcBorders>
          </w:tcPr>
          <w:p w14:paraId="195089F6" w14:textId="43296B95" w:rsidR="005E2C51" w:rsidRPr="009872A8" w:rsidRDefault="005E2C51" w:rsidP="297A0DD7">
            <w:pPr>
              <w:pStyle w:val="TableText"/>
              <w:rPr>
                <w:b w:val="0"/>
              </w:rPr>
            </w:pPr>
            <w:r w:rsidRPr="009872A8">
              <w:rPr>
                <w:b w:val="0"/>
                <w:bCs/>
              </w:rPr>
              <w:t>The calculation was based on the planned daily dose of 40 mg in the trial and assumed that patients receiving a 10 mg or 20 mg dose were not fully adherent to treatment. Given the proposed availability of 10 mg and 20 mg tablets, this assumption was likely to underestimate treatment adherence (only 2.1% of administrations were recorded as 0 mg). However, treatment adherence in clinical practice may be lower than in the clinical trial environment.</w:t>
            </w:r>
            <w:r>
              <w:rPr>
                <w:b w:val="0"/>
                <w:bCs/>
              </w:rPr>
              <w:t xml:space="preserve"> </w:t>
            </w:r>
          </w:p>
        </w:tc>
      </w:tr>
      <w:tr w:rsidR="005E2C51" w:rsidRPr="009872A8" w14:paraId="5AE8B68A" w14:textId="77777777" w:rsidTr="005E60DE">
        <w:tc>
          <w:tcPr>
            <w:tcW w:w="1601" w:type="dxa"/>
            <w:tcBorders>
              <w:right w:val="nil"/>
            </w:tcBorders>
            <w:vAlign w:val="center"/>
          </w:tcPr>
          <w:p w14:paraId="226BA8E8" w14:textId="2ADB5E76" w:rsidR="005E2C51" w:rsidRPr="009872A8" w:rsidRDefault="005E2C51" w:rsidP="0022569C">
            <w:pPr>
              <w:pStyle w:val="COMTabletext"/>
              <w:keepNext w:val="0"/>
            </w:pPr>
            <w:r w:rsidRPr="009872A8">
              <w:rPr>
                <w:b/>
                <w:bCs w:val="0"/>
              </w:rPr>
              <w:t>Costs</w:t>
            </w:r>
          </w:p>
        </w:tc>
        <w:tc>
          <w:tcPr>
            <w:tcW w:w="773" w:type="pct"/>
            <w:tcBorders>
              <w:left w:val="nil"/>
              <w:right w:val="nil"/>
            </w:tcBorders>
            <w:vAlign w:val="center"/>
          </w:tcPr>
          <w:p w14:paraId="173B84EE" w14:textId="77777777" w:rsidR="005E2C51" w:rsidRPr="009872A8" w:rsidRDefault="005E2C51" w:rsidP="0022569C">
            <w:pPr>
              <w:pStyle w:val="COMTabletext"/>
              <w:keepNext w:val="0"/>
            </w:pPr>
          </w:p>
        </w:tc>
        <w:tc>
          <w:tcPr>
            <w:tcW w:w="1615" w:type="pct"/>
            <w:tcBorders>
              <w:left w:val="nil"/>
              <w:right w:val="nil"/>
            </w:tcBorders>
          </w:tcPr>
          <w:p w14:paraId="61675E39" w14:textId="77777777" w:rsidR="005E2C51" w:rsidRPr="009872A8" w:rsidRDefault="005E2C51" w:rsidP="005E2C51">
            <w:pPr>
              <w:pStyle w:val="COMTabletext"/>
              <w:keepNext w:val="0"/>
            </w:pPr>
          </w:p>
        </w:tc>
        <w:tc>
          <w:tcPr>
            <w:tcW w:w="1724" w:type="pct"/>
            <w:tcBorders>
              <w:left w:val="nil"/>
            </w:tcBorders>
          </w:tcPr>
          <w:p w14:paraId="0E9DE862" w14:textId="77777777" w:rsidR="005E2C51" w:rsidRPr="009872A8" w:rsidRDefault="005E2C51" w:rsidP="297A0DD7">
            <w:pPr>
              <w:pStyle w:val="TableText"/>
              <w:rPr>
                <w:b w:val="0"/>
                <w:bCs/>
              </w:rPr>
            </w:pPr>
          </w:p>
        </w:tc>
      </w:tr>
      <w:tr w:rsidR="005E2C51" w:rsidRPr="009872A8" w14:paraId="3720838A" w14:textId="67E1FA8D" w:rsidTr="005E60DE">
        <w:tc>
          <w:tcPr>
            <w:tcW w:w="1601" w:type="dxa"/>
            <w:vAlign w:val="center"/>
          </w:tcPr>
          <w:p w14:paraId="72D5520A" w14:textId="77777777" w:rsidR="005E2C51" w:rsidRPr="009872A8" w:rsidRDefault="005E2C51" w:rsidP="0022569C">
            <w:pPr>
              <w:pStyle w:val="COMTabletext"/>
              <w:keepNext w:val="0"/>
            </w:pPr>
            <w:r w:rsidRPr="009872A8">
              <w:t>Vorasidenib</w:t>
            </w:r>
          </w:p>
        </w:tc>
        <w:tc>
          <w:tcPr>
            <w:tcW w:w="773" w:type="pct"/>
            <w:vAlign w:val="center"/>
          </w:tcPr>
          <w:p w14:paraId="7CB95047" w14:textId="56F7BE1B" w:rsidR="005E2C51" w:rsidRPr="009872A8" w:rsidRDefault="005E2C51" w:rsidP="0022569C">
            <w:pPr>
              <w:pStyle w:val="COMTabletext"/>
              <w:keepNext w:val="0"/>
            </w:pPr>
            <w:r w:rsidRPr="009872A8">
              <w:t>40 mg × 30 tablets: $</w:t>
            </w:r>
            <w:r w:rsidR="00556852" w:rsidRPr="00556852">
              <w:rPr>
                <w:color w:val="000000"/>
                <w:spacing w:val="51"/>
                <w:shd w:val="solid" w:color="000000" w:fill="000000"/>
                <w:fitText w:val="324" w:id="-629514487"/>
                <w14:textFill>
                  <w14:solidFill>
                    <w14:srgbClr w14:val="000000">
                      <w14:alpha w14:val="100000"/>
                    </w14:srgbClr>
                  </w14:solidFill>
                </w14:textFill>
              </w:rPr>
              <w:t>|||</w:t>
            </w:r>
            <w:r w:rsidR="00556852" w:rsidRPr="00556852">
              <w:rPr>
                <w:color w:val="000000"/>
                <w:spacing w:val="1"/>
                <w:shd w:val="solid" w:color="000000" w:fill="000000"/>
                <w:fitText w:val="324" w:id="-629514487"/>
                <w14:textFill>
                  <w14:solidFill>
                    <w14:srgbClr w14:val="000000">
                      <w14:alpha w14:val="100000"/>
                    </w14:srgbClr>
                  </w14:solidFill>
                </w14:textFill>
              </w:rPr>
              <w:t>|</w:t>
            </w:r>
          </w:p>
          <w:p w14:paraId="6C499D5D" w14:textId="555A6A4A" w:rsidR="005E2C51" w:rsidRPr="009872A8" w:rsidRDefault="005E2C51" w:rsidP="0022569C">
            <w:pPr>
              <w:pStyle w:val="COMTabletext"/>
              <w:keepNext w:val="0"/>
            </w:pPr>
            <w:r w:rsidRPr="009872A8">
              <w:t>10 mg × 60 tablets: $</w:t>
            </w:r>
            <w:r w:rsidR="00556852" w:rsidRPr="00556852">
              <w:rPr>
                <w:color w:val="000000"/>
                <w:spacing w:val="51"/>
                <w:shd w:val="solid" w:color="000000" w:fill="000000"/>
                <w:fitText w:val="324" w:id="-629514486"/>
                <w14:textFill>
                  <w14:solidFill>
                    <w14:srgbClr w14:val="000000">
                      <w14:alpha w14:val="100000"/>
                    </w14:srgbClr>
                  </w14:solidFill>
                </w14:textFill>
              </w:rPr>
              <w:t>|||</w:t>
            </w:r>
            <w:r w:rsidR="00556852" w:rsidRPr="00556852">
              <w:rPr>
                <w:color w:val="000000"/>
                <w:spacing w:val="1"/>
                <w:shd w:val="solid" w:color="000000" w:fill="000000"/>
                <w:fitText w:val="324" w:id="-629514486"/>
                <w14:textFill>
                  <w14:solidFill>
                    <w14:srgbClr w14:val="000000">
                      <w14:alpha w14:val="100000"/>
                    </w14:srgbClr>
                  </w14:solidFill>
                </w14:textFill>
              </w:rPr>
              <w:t>|</w:t>
            </w:r>
          </w:p>
          <w:p w14:paraId="5F26F670" w14:textId="05801D10" w:rsidR="005E2C51" w:rsidRPr="009872A8" w:rsidRDefault="005E2C51" w:rsidP="0022569C">
            <w:pPr>
              <w:pStyle w:val="COMTabletext"/>
              <w:keepNext w:val="0"/>
            </w:pPr>
            <w:r w:rsidRPr="009872A8">
              <w:t>10 mg × 30 tablets: $</w:t>
            </w:r>
            <w:r w:rsidR="00556852" w:rsidRPr="00556852">
              <w:rPr>
                <w:color w:val="000000"/>
                <w:spacing w:val="51"/>
                <w:shd w:val="solid" w:color="000000" w:fill="000000"/>
                <w:fitText w:val="324" w:id="-629514485"/>
                <w14:textFill>
                  <w14:solidFill>
                    <w14:srgbClr w14:val="000000">
                      <w14:alpha w14:val="100000"/>
                    </w14:srgbClr>
                  </w14:solidFill>
                </w14:textFill>
              </w:rPr>
              <w:t>|||</w:t>
            </w:r>
            <w:r w:rsidR="00556852" w:rsidRPr="00556852">
              <w:rPr>
                <w:color w:val="000000"/>
                <w:spacing w:val="1"/>
                <w:shd w:val="solid" w:color="000000" w:fill="000000"/>
                <w:fitText w:val="324" w:id="-629514485"/>
                <w14:textFill>
                  <w14:solidFill>
                    <w14:srgbClr w14:val="000000">
                      <w14:alpha w14:val="100000"/>
                    </w14:srgbClr>
                  </w14:solidFill>
                </w14:textFill>
              </w:rPr>
              <w:t>|</w:t>
            </w:r>
          </w:p>
        </w:tc>
        <w:tc>
          <w:tcPr>
            <w:tcW w:w="1615" w:type="pct"/>
          </w:tcPr>
          <w:p w14:paraId="74C9180D" w14:textId="77777777" w:rsidR="005E2C51" w:rsidRPr="009872A8" w:rsidRDefault="005E2C51" w:rsidP="005E2C51">
            <w:pPr>
              <w:pStyle w:val="COMTabletext"/>
              <w:keepNext w:val="0"/>
            </w:pPr>
            <w:r w:rsidRPr="009872A8">
              <w:t>Proposed effective price.</w:t>
            </w:r>
          </w:p>
        </w:tc>
        <w:tc>
          <w:tcPr>
            <w:tcW w:w="1724" w:type="pct"/>
          </w:tcPr>
          <w:p w14:paraId="6355DFDE" w14:textId="3A5FCEB3" w:rsidR="005E2C51" w:rsidRPr="009872A8" w:rsidRDefault="005E2C51" w:rsidP="297A0DD7">
            <w:pPr>
              <w:pStyle w:val="TableText"/>
              <w:rPr>
                <w:b w:val="0"/>
              </w:rPr>
            </w:pPr>
            <w:r w:rsidRPr="009872A8">
              <w:rPr>
                <w:b w:val="0"/>
                <w:bCs/>
              </w:rPr>
              <w:t>The cost per pack of 10 mg × 60 tablets and 10 mg × 30 tablets were incorrectly specified in the spreadsheet. The cost per pack of 60 tablets should be $</w:t>
            </w:r>
            <w:r w:rsidR="00556852" w:rsidRPr="00556852">
              <w:rPr>
                <w:b w:val="0"/>
                <w:bCs/>
                <w:color w:val="000000"/>
                <w:spacing w:val="51"/>
                <w:shd w:val="solid" w:color="000000" w:fill="000000"/>
                <w:fitText w:val="324" w:id="-629514484"/>
                <w14:textFill>
                  <w14:solidFill>
                    <w14:srgbClr w14:val="000000">
                      <w14:alpha w14:val="100000"/>
                    </w14:srgbClr>
                  </w14:solidFill>
                </w14:textFill>
              </w:rPr>
              <w:t>|||</w:t>
            </w:r>
            <w:r w:rsidR="00556852" w:rsidRPr="00556852">
              <w:rPr>
                <w:b w:val="0"/>
                <w:bCs/>
                <w:color w:val="000000"/>
                <w:spacing w:val="1"/>
                <w:shd w:val="solid" w:color="000000" w:fill="000000"/>
                <w:fitText w:val="324" w:id="-629514484"/>
                <w14:textFill>
                  <w14:solidFill>
                    <w14:srgbClr w14:val="000000">
                      <w14:alpha w14:val="100000"/>
                    </w14:srgbClr>
                  </w14:solidFill>
                </w14:textFill>
              </w:rPr>
              <w:t>|</w:t>
            </w:r>
            <w:r w:rsidRPr="009872A8">
              <w:rPr>
                <w:b w:val="0"/>
                <w:bCs/>
              </w:rPr>
              <w:t xml:space="preserve"> and the cost per pack of 30 tablets should be $</w:t>
            </w:r>
            <w:r w:rsidR="00556852">
              <w:rPr>
                <w:b w:val="0"/>
                <w:bCs/>
                <w:color w:val="000000"/>
                <w:spacing w:val="50"/>
                <w:shd w:val="solid" w:color="000000" w:fill="000000"/>
                <w:fitText w:val="324" w:id="-629514483"/>
                <w14:textFill>
                  <w14:solidFill>
                    <w14:srgbClr w14:val="000000">
                      <w14:alpha w14:val="100000"/>
                    </w14:srgbClr>
                  </w14:solidFill>
                </w14:textFill>
              </w:rPr>
              <w:t>|||</w:t>
            </w:r>
            <w:r w:rsidR="00556852">
              <w:rPr>
                <w:b w:val="0"/>
                <w:bCs/>
                <w:color w:val="000000"/>
                <w:spacing w:val="2"/>
                <w:shd w:val="solid" w:color="000000" w:fill="000000"/>
                <w:fitText w:val="324" w:id="-629514483"/>
                <w14:textFill>
                  <w14:solidFill>
                    <w14:srgbClr w14:val="000000">
                      <w14:alpha w14:val="100000"/>
                    </w14:srgbClr>
                  </w14:solidFill>
                </w14:textFill>
              </w:rPr>
              <w:t>|</w:t>
            </w:r>
            <w:r w:rsidRPr="009872A8">
              <w:rPr>
                <w:b w:val="0"/>
                <w:bCs/>
              </w:rPr>
              <w:t>.</w:t>
            </w:r>
            <w:r w:rsidRPr="009872A8">
              <w:rPr>
                <w:b w:val="0"/>
              </w:rPr>
              <w:t xml:space="preserve"> </w:t>
            </w:r>
          </w:p>
        </w:tc>
      </w:tr>
      <w:tr w:rsidR="005E2C51" w:rsidRPr="009872A8" w14:paraId="545997F0" w14:textId="4F115FCE" w:rsidTr="005E60DE">
        <w:tc>
          <w:tcPr>
            <w:tcW w:w="1601" w:type="dxa"/>
            <w:vAlign w:val="center"/>
          </w:tcPr>
          <w:p w14:paraId="756315E7" w14:textId="77777777" w:rsidR="005E2C51" w:rsidRPr="009872A8" w:rsidRDefault="005E2C51" w:rsidP="0022569C">
            <w:pPr>
              <w:pStyle w:val="COMTabletext"/>
              <w:keepNext w:val="0"/>
            </w:pPr>
            <w:r w:rsidRPr="009872A8">
              <w:t>Patient copayment</w:t>
            </w:r>
          </w:p>
        </w:tc>
        <w:tc>
          <w:tcPr>
            <w:tcW w:w="773" w:type="pct"/>
            <w:vAlign w:val="center"/>
          </w:tcPr>
          <w:p w14:paraId="754C37C6" w14:textId="77777777" w:rsidR="005E2C51" w:rsidRPr="009872A8" w:rsidRDefault="005E2C51" w:rsidP="0022569C">
            <w:pPr>
              <w:pStyle w:val="COMTabletext"/>
              <w:keepNext w:val="0"/>
            </w:pPr>
            <w:r w:rsidRPr="009872A8">
              <w:t>PBS: $22.99</w:t>
            </w:r>
          </w:p>
          <w:p w14:paraId="0804A6B0" w14:textId="77777777" w:rsidR="005E2C51" w:rsidRPr="009872A8" w:rsidRDefault="005E2C51" w:rsidP="0022569C">
            <w:pPr>
              <w:pStyle w:val="COMTabletext"/>
              <w:keepNext w:val="0"/>
            </w:pPr>
            <w:r w:rsidRPr="009872A8">
              <w:t>RPBS: $4.83</w:t>
            </w:r>
          </w:p>
        </w:tc>
        <w:tc>
          <w:tcPr>
            <w:tcW w:w="1615" w:type="pct"/>
          </w:tcPr>
          <w:p w14:paraId="357B55E0" w14:textId="77777777" w:rsidR="005E2C51" w:rsidRPr="009872A8" w:rsidRDefault="005E2C51" w:rsidP="005E2C51">
            <w:pPr>
              <w:pStyle w:val="COMTabletext"/>
            </w:pPr>
            <w:r w:rsidRPr="009872A8">
              <w:t>Distribution across copayment groups based on CGRP antagonists dispensed in July 2023 to June 2024 (PBS Items 12469G, 12478R, 12603H, 12611R, 13115G, 13129B, 13342F, 13352R). Based on a 99.3%/0.7% PBS/RPBS split.</w:t>
            </w:r>
          </w:p>
        </w:tc>
        <w:tc>
          <w:tcPr>
            <w:tcW w:w="1724" w:type="pct"/>
          </w:tcPr>
          <w:p w14:paraId="68955260" w14:textId="5E01E918" w:rsidR="005E2C51" w:rsidRPr="009872A8" w:rsidRDefault="005E2C51" w:rsidP="297A0DD7">
            <w:pPr>
              <w:pStyle w:val="TableText"/>
              <w:rPr>
                <w:b w:val="0"/>
              </w:rPr>
            </w:pPr>
            <w:r w:rsidRPr="009872A8">
              <w:rPr>
                <w:b w:val="0"/>
              </w:rPr>
              <w:t xml:space="preserve">The </w:t>
            </w:r>
            <w:r>
              <w:rPr>
                <w:b w:val="0"/>
              </w:rPr>
              <w:t xml:space="preserve">Commentary and </w:t>
            </w:r>
            <w:r w:rsidRPr="009872A8">
              <w:rPr>
                <w:b w:val="0"/>
              </w:rPr>
              <w:t>Sub-Committees considered this to be reasonable.</w:t>
            </w:r>
          </w:p>
        </w:tc>
      </w:tr>
      <w:tr w:rsidR="005E2C51" w:rsidRPr="009872A8" w14:paraId="57B0DAF1" w14:textId="2AA07B6B" w:rsidTr="005E60DE">
        <w:tc>
          <w:tcPr>
            <w:tcW w:w="1601" w:type="dxa"/>
            <w:vAlign w:val="center"/>
          </w:tcPr>
          <w:p w14:paraId="0C26B373" w14:textId="77777777" w:rsidR="005E2C51" w:rsidRPr="009872A8" w:rsidRDefault="005E2C51" w:rsidP="0022569C">
            <w:pPr>
              <w:pStyle w:val="COMTabletext"/>
              <w:keepNext w:val="0"/>
            </w:pPr>
            <w:r w:rsidRPr="009872A8">
              <w:t>MBS costs</w:t>
            </w:r>
          </w:p>
        </w:tc>
        <w:tc>
          <w:tcPr>
            <w:tcW w:w="773" w:type="pct"/>
            <w:vAlign w:val="center"/>
          </w:tcPr>
          <w:p w14:paraId="43BEED69" w14:textId="77777777" w:rsidR="005E2C51" w:rsidRPr="009872A8" w:rsidRDefault="005E2C51" w:rsidP="0022569C">
            <w:pPr>
              <w:pStyle w:val="COMTabletext"/>
              <w:keepNext w:val="0"/>
            </w:pPr>
            <w:r w:rsidRPr="009872A8">
              <w:t>$300.20</w:t>
            </w:r>
          </w:p>
        </w:tc>
        <w:tc>
          <w:tcPr>
            <w:tcW w:w="1615" w:type="pct"/>
          </w:tcPr>
          <w:p w14:paraId="0EA6BC8D" w14:textId="77777777" w:rsidR="005E2C51" w:rsidRPr="009872A8" w:rsidRDefault="005E2C51" w:rsidP="005E2C51">
            <w:pPr>
              <w:pStyle w:val="COMTabletext"/>
              <w:keepNext w:val="0"/>
            </w:pPr>
            <w:r w:rsidRPr="009872A8">
              <w:t>MBS Item 63001 (MRI brain), assuming 80% of the Schedule fee.</w:t>
            </w:r>
          </w:p>
        </w:tc>
        <w:tc>
          <w:tcPr>
            <w:tcW w:w="1724" w:type="pct"/>
          </w:tcPr>
          <w:p w14:paraId="69AB8ABD" w14:textId="0D4CE366" w:rsidR="005E2C51" w:rsidRPr="009872A8" w:rsidRDefault="005E2C51" w:rsidP="297A0DD7">
            <w:pPr>
              <w:pStyle w:val="TableText"/>
              <w:rPr>
                <w:b w:val="0"/>
              </w:rPr>
            </w:pPr>
            <w:r w:rsidRPr="009872A8">
              <w:rPr>
                <w:b w:val="0"/>
              </w:rPr>
              <w:t xml:space="preserve">The </w:t>
            </w:r>
            <w:r>
              <w:rPr>
                <w:b w:val="0"/>
              </w:rPr>
              <w:t xml:space="preserve">Commentary and </w:t>
            </w:r>
            <w:r w:rsidRPr="009872A8">
              <w:rPr>
                <w:b w:val="0"/>
              </w:rPr>
              <w:t>Sub-Committees considered this to be reasonable.</w:t>
            </w:r>
          </w:p>
        </w:tc>
      </w:tr>
    </w:tbl>
    <w:p w14:paraId="36CC3B39" w14:textId="77777777" w:rsidR="00003332" w:rsidRPr="00F57392" w:rsidRDefault="00003332" w:rsidP="00003332">
      <w:pPr>
        <w:pStyle w:val="COMTablefooter"/>
      </w:pPr>
      <w:r w:rsidRPr="00F57392">
        <w:t>Source: Section 4, pp109-115 of the submission’ Section 4 financial implications Excel workbook.</w:t>
      </w:r>
    </w:p>
    <w:p w14:paraId="555069DF" w14:textId="72C3F51F" w:rsidR="00003332" w:rsidRDefault="00003332" w:rsidP="00DD2C13">
      <w:pPr>
        <w:pStyle w:val="COMTablefooter"/>
      </w:pPr>
      <w:r w:rsidRPr="00F57392">
        <w:lastRenderedPageBreak/>
        <w:t>Abbreviations: ABS, Australian Bureau of Statistics; AIHW, Australian Institute of Health and Welfare; CGRP, calcitonin gene-related peptide; IDH, isocitrate dehydrogenase; NOS, not otherwise specified.</w:t>
      </w:r>
    </w:p>
    <w:p w14:paraId="26FB6670" w14:textId="622EC159" w:rsidR="00B505C8" w:rsidRPr="00F57392" w:rsidRDefault="00E16AD8" w:rsidP="00B505C8">
      <w:pPr>
        <w:pStyle w:val="COMexecsummnumbered"/>
      </w:pPr>
      <w:r w:rsidRPr="00F57392">
        <w:fldChar w:fldCharType="begin"/>
      </w:r>
      <w:r w:rsidRPr="00F57392">
        <w:instrText xml:space="preserve"> REF _Ref104805295 \h  \* MERGEFORMAT </w:instrText>
      </w:r>
      <w:r w:rsidRPr="00F57392">
        <w:fldChar w:fldCharType="separate"/>
      </w:r>
      <w:r w:rsidR="003C0757" w:rsidRPr="00F57392">
        <w:t xml:space="preserve">Table </w:t>
      </w:r>
      <w:r w:rsidR="003C0757">
        <w:t>15</w:t>
      </w:r>
      <w:r w:rsidRPr="00F57392">
        <w:fldChar w:fldCharType="end"/>
      </w:r>
      <w:r w:rsidR="00B201A4" w:rsidRPr="00F57392">
        <w:t xml:space="preserve"> </w:t>
      </w:r>
      <w:r w:rsidR="0033251C" w:rsidRPr="00F57392">
        <w:t>presents the estimated use and financial implications of listing vorasidenib on the PBS.</w:t>
      </w:r>
    </w:p>
    <w:p w14:paraId="38EC053C" w14:textId="25389B39" w:rsidR="00C25D9C" w:rsidRPr="00F57392" w:rsidRDefault="00E16AD8" w:rsidP="00FF3ECD">
      <w:pPr>
        <w:pStyle w:val="COMtablefigcaption"/>
      </w:pPr>
      <w:bookmarkStart w:id="55" w:name="_Ref104805295"/>
      <w:r w:rsidRPr="00F57392">
        <w:t xml:space="preserve">Table </w:t>
      </w:r>
      <w:r w:rsidR="00052B1E">
        <w:fldChar w:fldCharType="begin"/>
      </w:r>
      <w:r w:rsidR="00052B1E">
        <w:instrText xml:space="preserve"> SEQ Table \* ARABIC </w:instrText>
      </w:r>
      <w:r w:rsidR="00052B1E">
        <w:fldChar w:fldCharType="separate"/>
      </w:r>
      <w:r w:rsidR="003C0757">
        <w:rPr>
          <w:noProof/>
        </w:rPr>
        <w:t>15</w:t>
      </w:r>
      <w:r w:rsidR="00052B1E">
        <w:rPr>
          <w:noProof/>
        </w:rPr>
        <w:fldChar w:fldCharType="end"/>
      </w:r>
      <w:bookmarkEnd w:id="55"/>
      <w:r w:rsidRPr="00F57392">
        <w:t>:</w:t>
      </w:r>
      <w:r w:rsidR="002A2F50" w:rsidRPr="00F57392">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w:tblPr>
      <w:tblGrid>
        <w:gridCol w:w="2389"/>
        <w:gridCol w:w="14"/>
        <w:gridCol w:w="1066"/>
        <w:gridCol w:w="36"/>
        <w:gridCol w:w="206"/>
        <w:gridCol w:w="124"/>
        <w:gridCol w:w="359"/>
        <w:gridCol w:w="119"/>
        <w:gridCol w:w="296"/>
        <w:gridCol w:w="1102"/>
        <w:gridCol w:w="1102"/>
        <w:gridCol w:w="1102"/>
        <w:gridCol w:w="1102"/>
      </w:tblGrid>
      <w:tr w:rsidR="006618CC" w:rsidRPr="00F57392" w14:paraId="43A2A3A1" w14:textId="77777777" w:rsidTr="00CA34FF">
        <w:trPr>
          <w:tblHeader/>
        </w:trPr>
        <w:tc>
          <w:tcPr>
            <w:tcW w:w="1333" w:type="pct"/>
            <w:gridSpan w:val="2"/>
            <w:vAlign w:val="center"/>
          </w:tcPr>
          <w:p w14:paraId="0A4E41E1" w14:textId="77777777" w:rsidR="00385A9D" w:rsidRPr="00F57392" w:rsidRDefault="00385A9D" w:rsidP="00930FD5">
            <w:pPr>
              <w:pStyle w:val="In-tableHeading"/>
            </w:pPr>
          </w:p>
        </w:tc>
        <w:tc>
          <w:tcPr>
            <w:tcW w:w="611" w:type="pct"/>
            <w:gridSpan w:val="2"/>
            <w:vAlign w:val="center"/>
          </w:tcPr>
          <w:p w14:paraId="77420B6F" w14:textId="77777777" w:rsidR="00385A9D" w:rsidRPr="00F57392" w:rsidRDefault="00385A9D" w:rsidP="004043AE">
            <w:pPr>
              <w:pStyle w:val="COMTableheadingrow"/>
              <w:jc w:val="center"/>
              <w:rPr>
                <w:lang w:val="en-AU"/>
              </w:rPr>
            </w:pPr>
            <w:r w:rsidRPr="00F57392">
              <w:rPr>
                <w:lang w:val="en-AU"/>
              </w:rPr>
              <w:t>Year 1</w:t>
            </w:r>
          </w:p>
        </w:tc>
        <w:tc>
          <w:tcPr>
            <w:tcW w:w="612" w:type="pct"/>
            <w:gridSpan w:val="5"/>
            <w:vAlign w:val="center"/>
          </w:tcPr>
          <w:p w14:paraId="3BBD9218" w14:textId="77777777" w:rsidR="00385A9D" w:rsidRPr="00F57392" w:rsidRDefault="00385A9D" w:rsidP="004043AE">
            <w:pPr>
              <w:pStyle w:val="COMTableheadingrow"/>
              <w:jc w:val="center"/>
              <w:rPr>
                <w:lang w:val="en-AU"/>
              </w:rPr>
            </w:pPr>
            <w:r w:rsidRPr="00F57392">
              <w:rPr>
                <w:lang w:val="en-AU"/>
              </w:rPr>
              <w:t>Year 2</w:t>
            </w:r>
          </w:p>
        </w:tc>
        <w:tc>
          <w:tcPr>
            <w:tcW w:w="611" w:type="pct"/>
            <w:vAlign w:val="center"/>
          </w:tcPr>
          <w:p w14:paraId="729A646E" w14:textId="77777777" w:rsidR="00385A9D" w:rsidRPr="00F57392" w:rsidRDefault="00385A9D" w:rsidP="004043AE">
            <w:pPr>
              <w:pStyle w:val="COMTableheadingrow"/>
              <w:jc w:val="center"/>
              <w:rPr>
                <w:lang w:val="en-AU"/>
              </w:rPr>
            </w:pPr>
            <w:r w:rsidRPr="00F57392">
              <w:rPr>
                <w:lang w:val="en-AU"/>
              </w:rPr>
              <w:t>Year 3</w:t>
            </w:r>
          </w:p>
        </w:tc>
        <w:tc>
          <w:tcPr>
            <w:tcW w:w="611" w:type="pct"/>
            <w:vAlign w:val="center"/>
          </w:tcPr>
          <w:p w14:paraId="280BB544" w14:textId="77777777" w:rsidR="00385A9D" w:rsidRPr="00F57392" w:rsidRDefault="00385A9D" w:rsidP="004043AE">
            <w:pPr>
              <w:pStyle w:val="COMTableheadingrow"/>
              <w:jc w:val="center"/>
              <w:rPr>
                <w:lang w:val="en-AU"/>
              </w:rPr>
            </w:pPr>
            <w:r w:rsidRPr="00F57392">
              <w:rPr>
                <w:lang w:val="en-AU"/>
              </w:rPr>
              <w:t>Year 4</w:t>
            </w:r>
          </w:p>
        </w:tc>
        <w:tc>
          <w:tcPr>
            <w:tcW w:w="611" w:type="pct"/>
            <w:vAlign w:val="center"/>
          </w:tcPr>
          <w:p w14:paraId="6435BB5B" w14:textId="77777777" w:rsidR="00385A9D" w:rsidRPr="00F57392" w:rsidRDefault="00385A9D" w:rsidP="004043AE">
            <w:pPr>
              <w:pStyle w:val="COMTableheadingrow"/>
              <w:jc w:val="center"/>
              <w:rPr>
                <w:lang w:val="en-AU"/>
              </w:rPr>
            </w:pPr>
            <w:r w:rsidRPr="00F57392">
              <w:rPr>
                <w:lang w:val="en-AU"/>
              </w:rPr>
              <w:t>Year 5</w:t>
            </w:r>
          </w:p>
        </w:tc>
        <w:tc>
          <w:tcPr>
            <w:tcW w:w="611" w:type="pct"/>
          </w:tcPr>
          <w:p w14:paraId="7C618119" w14:textId="77777777" w:rsidR="00385A9D" w:rsidRPr="00F57392" w:rsidRDefault="00385A9D" w:rsidP="004043AE">
            <w:pPr>
              <w:pStyle w:val="COMTableheadingrow"/>
              <w:jc w:val="center"/>
              <w:rPr>
                <w:lang w:val="en-AU"/>
              </w:rPr>
            </w:pPr>
            <w:r w:rsidRPr="00F57392">
              <w:rPr>
                <w:lang w:val="en-AU"/>
              </w:rPr>
              <w:t>Year 6</w:t>
            </w:r>
          </w:p>
        </w:tc>
      </w:tr>
      <w:tr w:rsidR="006618CC" w:rsidRPr="00F57392" w14:paraId="3C519059" w14:textId="77777777" w:rsidTr="009C3A3A">
        <w:tc>
          <w:tcPr>
            <w:tcW w:w="5000" w:type="pct"/>
            <w:gridSpan w:val="13"/>
            <w:vAlign w:val="center"/>
          </w:tcPr>
          <w:p w14:paraId="516C2197" w14:textId="77777777" w:rsidR="00385A9D" w:rsidRPr="00F57392" w:rsidRDefault="00385A9D" w:rsidP="00942559">
            <w:pPr>
              <w:pStyle w:val="COMTableheadingrow"/>
              <w:rPr>
                <w:lang w:val="en-AU"/>
              </w:rPr>
            </w:pPr>
            <w:r w:rsidRPr="00F57392">
              <w:rPr>
                <w:lang w:val="en-AU"/>
              </w:rPr>
              <w:t>Estimated extent of use</w:t>
            </w:r>
          </w:p>
        </w:tc>
      </w:tr>
      <w:tr w:rsidR="00F704BF" w:rsidRPr="00F57392" w14:paraId="148A8EEF" w14:textId="77777777" w:rsidTr="00CA34FF">
        <w:tc>
          <w:tcPr>
            <w:tcW w:w="1333" w:type="pct"/>
            <w:gridSpan w:val="2"/>
            <w:vAlign w:val="center"/>
          </w:tcPr>
          <w:p w14:paraId="201B6ECA" w14:textId="77777777" w:rsidR="00F704BF" w:rsidRPr="00F57392" w:rsidRDefault="00F704BF" w:rsidP="00F704BF">
            <w:pPr>
              <w:pStyle w:val="COMTabletext"/>
              <w:rPr>
                <w:rFonts w:ascii="Times" w:hAnsi="Times"/>
              </w:rPr>
            </w:pPr>
            <w:r w:rsidRPr="00F57392">
              <w:t>Number of patients treated</w:t>
            </w:r>
          </w:p>
        </w:tc>
        <w:tc>
          <w:tcPr>
            <w:tcW w:w="611" w:type="pct"/>
            <w:gridSpan w:val="2"/>
          </w:tcPr>
          <w:p w14:paraId="577607A9" w14:textId="05666616" w:rsidR="00F704BF" w:rsidRPr="005D7964" w:rsidRDefault="00556852" w:rsidP="00CB37D9">
            <w:pPr>
              <w:pStyle w:val="TableText"/>
              <w:jc w:val="center"/>
              <w:rPr>
                <w:b w:val="0"/>
                <w:bCs/>
                <w:highlight w:val="darkGray"/>
                <w:vertAlign w:val="superscript"/>
              </w:rPr>
            </w:pPr>
            <w:r w:rsidRPr="00556852">
              <w:rPr>
                <w:rFonts w:hint="eastAsia"/>
                <w:b w:val="0"/>
                <w:bCs/>
                <w:color w:val="000000"/>
                <w:w w:val="15"/>
                <w:shd w:val="solid" w:color="000000" w:fill="000000"/>
                <w:fitText w:val="48" w:id="-629514482"/>
                <w14:textFill>
                  <w14:solidFill>
                    <w14:srgbClr w14:val="000000">
                      <w14:alpha w14:val="100000"/>
                    </w14:srgbClr>
                  </w14:solidFill>
                </w14:textFill>
              </w:rPr>
              <w:t xml:space="preserve">　</w:t>
            </w:r>
            <w:r w:rsidRPr="00556852">
              <w:rPr>
                <w:b w:val="0"/>
                <w:bCs/>
                <w:color w:val="000000"/>
                <w:w w:val="15"/>
                <w:shd w:val="solid" w:color="000000" w:fill="000000"/>
                <w:fitText w:val="48" w:id="-629514482"/>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2"/>
                <w14:textFill>
                  <w14:solidFill>
                    <w14:srgbClr w14:val="000000">
                      <w14:alpha w14:val="100000"/>
                    </w14:srgbClr>
                  </w14:solidFill>
                </w14:textFill>
              </w:rPr>
              <w:t xml:space="preserve">　</w:t>
            </w:r>
            <w:r w:rsidR="005D7964" w:rsidRPr="005D7964">
              <w:rPr>
                <w:b w:val="0"/>
                <w:bCs/>
                <w:vertAlign w:val="superscript"/>
              </w:rPr>
              <w:t>1</w:t>
            </w:r>
          </w:p>
        </w:tc>
        <w:tc>
          <w:tcPr>
            <w:tcW w:w="612" w:type="pct"/>
            <w:gridSpan w:val="5"/>
          </w:tcPr>
          <w:p w14:paraId="6610B4C9" w14:textId="392E103F" w:rsidR="00F704BF" w:rsidRPr="00745E20"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1"/>
                <w14:textFill>
                  <w14:solidFill>
                    <w14:srgbClr w14:val="000000">
                      <w14:alpha w14:val="100000"/>
                    </w14:srgbClr>
                  </w14:solidFill>
                </w14:textFill>
              </w:rPr>
              <w:t xml:space="preserve">　</w:t>
            </w:r>
            <w:r w:rsidRPr="00556852">
              <w:rPr>
                <w:b w:val="0"/>
                <w:bCs/>
                <w:color w:val="000000"/>
                <w:w w:val="15"/>
                <w:shd w:val="solid" w:color="000000" w:fill="000000"/>
                <w:fitText w:val="48" w:id="-629514481"/>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1"/>
                <w14:textFill>
                  <w14:solidFill>
                    <w14:srgbClr w14:val="000000">
                      <w14:alpha w14:val="100000"/>
                    </w14:srgbClr>
                  </w14:solidFill>
                </w14:textFill>
              </w:rPr>
              <w:t xml:space="preserve">　</w:t>
            </w:r>
            <w:r w:rsidR="00FB35E3" w:rsidRPr="005D7964">
              <w:rPr>
                <w:b w:val="0"/>
                <w:bCs/>
                <w:vertAlign w:val="superscript"/>
              </w:rPr>
              <w:t>1</w:t>
            </w:r>
          </w:p>
        </w:tc>
        <w:tc>
          <w:tcPr>
            <w:tcW w:w="611" w:type="pct"/>
          </w:tcPr>
          <w:p w14:paraId="29F46D6B" w14:textId="24325D06" w:rsidR="00F704BF" w:rsidRPr="00745E20"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0"/>
                <w14:textFill>
                  <w14:solidFill>
                    <w14:srgbClr w14:val="000000">
                      <w14:alpha w14:val="100000"/>
                    </w14:srgbClr>
                  </w14:solidFill>
                </w14:textFill>
              </w:rPr>
              <w:t xml:space="preserve">　</w:t>
            </w:r>
            <w:r w:rsidRPr="00556852">
              <w:rPr>
                <w:b w:val="0"/>
                <w:bCs/>
                <w:color w:val="000000"/>
                <w:w w:val="15"/>
                <w:shd w:val="solid" w:color="000000" w:fill="000000"/>
                <w:fitText w:val="48" w:id="-629514480"/>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0"/>
                <w14:textFill>
                  <w14:solidFill>
                    <w14:srgbClr w14:val="000000">
                      <w14:alpha w14:val="100000"/>
                    </w14:srgbClr>
                  </w14:solidFill>
                </w14:textFill>
              </w:rPr>
              <w:t xml:space="preserve">　</w:t>
            </w:r>
            <w:r w:rsidR="00FB35E3" w:rsidRPr="005D7964">
              <w:rPr>
                <w:b w:val="0"/>
                <w:bCs/>
                <w:vertAlign w:val="superscript"/>
              </w:rPr>
              <w:t>1</w:t>
            </w:r>
          </w:p>
        </w:tc>
        <w:tc>
          <w:tcPr>
            <w:tcW w:w="611" w:type="pct"/>
          </w:tcPr>
          <w:p w14:paraId="21167904" w14:textId="374E8492" w:rsidR="00F704BF" w:rsidRPr="00745E20"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6"/>
                <w14:textFill>
                  <w14:solidFill>
                    <w14:srgbClr w14:val="000000">
                      <w14:alpha w14:val="100000"/>
                    </w14:srgbClr>
                  </w14:solidFill>
                </w14:textFill>
              </w:rPr>
              <w:t xml:space="preserve">　</w:t>
            </w:r>
            <w:r w:rsidRPr="00556852">
              <w:rPr>
                <w:b w:val="0"/>
                <w:bCs/>
                <w:color w:val="000000"/>
                <w:w w:val="15"/>
                <w:shd w:val="solid" w:color="000000" w:fill="000000"/>
                <w:fitText w:val="48" w:id="-629514496"/>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6"/>
                <w14:textFill>
                  <w14:solidFill>
                    <w14:srgbClr w14:val="000000">
                      <w14:alpha w14:val="100000"/>
                    </w14:srgbClr>
                  </w14:solidFill>
                </w14:textFill>
              </w:rPr>
              <w:t xml:space="preserve">　</w:t>
            </w:r>
            <w:r w:rsidR="00FB35E3" w:rsidRPr="005D7964">
              <w:rPr>
                <w:b w:val="0"/>
                <w:bCs/>
                <w:vertAlign w:val="superscript"/>
              </w:rPr>
              <w:t>1</w:t>
            </w:r>
          </w:p>
        </w:tc>
        <w:tc>
          <w:tcPr>
            <w:tcW w:w="611" w:type="pct"/>
          </w:tcPr>
          <w:p w14:paraId="762D4B71" w14:textId="3DA033F2" w:rsidR="00F704BF" w:rsidRPr="00745E20"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5"/>
                <w14:textFill>
                  <w14:solidFill>
                    <w14:srgbClr w14:val="000000">
                      <w14:alpha w14:val="100000"/>
                    </w14:srgbClr>
                  </w14:solidFill>
                </w14:textFill>
              </w:rPr>
              <w:t xml:space="preserve">　</w:t>
            </w:r>
            <w:r w:rsidRPr="00556852">
              <w:rPr>
                <w:b w:val="0"/>
                <w:bCs/>
                <w:color w:val="000000"/>
                <w:w w:val="15"/>
                <w:shd w:val="solid" w:color="000000" w:fill="000000"/>
                <w:fitText w:val="48" w:id="-629514495"/>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5"/>
                <w14:textFill>
                  <w14:solidFill>
                    <w14:srgbClr w14:val="000000">
                      <w14:alpha w14:val="100000"/>
                    </w14:srgbClr>
                  </w14:solidFill>
                </w14:textFill>
              </w:rPr>
              <w:t xml:space="preserve">　</w:t>
            </w:r>
            <w:r w:rsidR="00FB35E3" w:rsidRPr="005D7964">
              <w:rPr>
                <w:b w:val="0"/>
                <w:bCs/>
                <w:vertAlign w:val="superscript"/>
              </w:rPr>
              <w:t>1</w:t>
            </w:r>
          </w:p>
        </w:tc>
        <w:tc>
          <w:tcPr>
            <w:tcW w:w="611" w:type="pct"/>
          </w:tcPr>
          <w:p w14:paraId="42B428B5" w14:textId="60DEC348" w:rsidR="00F704BF" w:rsidRPr="00745E20"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4"/>
                <w14:textFill>
                  <w14:solidFill>
                    <w14:srgbClr w14:val="000000">
                      <w14:alpha w14:val="100000"/>
                    </w14:srgbClr>
                  </w14:solidFill>
                </w14:textFill>
              </w:rPr>
              <w:t xml:space="preserve">　</w:t>
            </w:r>
            <w:r w:rsidRPr="00556852">
              <w:rPr>
                <w:b w:val="0"/>
                <w:bCs/>
                <w:color w:val="000000"/>
                <w:w w:val="15"/>
                <w:shd w:val="solid" w:color="000000" w:fill="000000"/>
                <w:fitText w:val="48" w:id="-629514494"/>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4"/>
                <w14:textFill>
                  <w14:solidFill>
                    <w14:srgbClr w14:val="000000">
                      <w14:alpha w14:val="100000"/>
                    </w14:srgbClr>
                  </w14:solidFill>
                </w14:textFill>
              </w:rPr>
              <w:t xml:space="preserve">　</w:t>
            </w:r>
            <w:r w:rsidR="00FB35E3" w:rsidRPr="005D7964">
              <w:rPr>
                <w:b w:val="0"/>
                <w:bCs/>
                <w:vertAlign w:val="superscript"/>
              </w:rPr>
              <w:t>1</w:t>
            </w:r>
          </w:p>
        </w:tc>
      </w:tr>
      <w:tr w:rsidR="00F704BF" w:rsidRPr="00F57392" w14:paraId="1CEE4D09" w14:textId="77777777" w:rsidTr="00CA34FF">
        <w:tc>
          <w:tcPr>
            <w:tcW w:w="1333" w:type="pct"/>
            <w:gridSpan w:val="2"/>
            <w:vAlign w:val="center"/>
          </w:tcPr>
          <w:p w14:paraId="229A1EDF" w14:textId="447ADCF6" w:rsidR="00F704BF" w:rsidRPr="00F57392" w:rsidRDefault="00F704BF" w:rsidP="00F704BF">
            <w:pPr>
              <w:pStyle w:val="COMTabletext"/>
              <w:rPr>
                <w:rFonts w:ascii="Times" w:hAnsi="Times"/>
              </w:rPr>
            </w:pPr>
            <w:r w:rsidRPr="00F57392">
              <w:t>Vorasidenib 40 mg × 30 scripts</w:t>
            </w:r>
          </w:p>
        </w:tc>
        <w:tc>
          <w:tcPr>
            <w:tcW w:w="611" w:type="pct"/>
            <w:gridSpan w:val="2"/>
          </w:tcPr>
          <w:p w14:paraId="0D9F25C2" w14:textId="4621DF5C" w:rsidR="00F704BF" w:rsidRPr="004C2DF8" w:rsidRDefault="00556852" w:rsidP="00CB37D9">
            <w:pPr>
              <w:pStyle w:val="TableText"/>
              <w:jc w:val="center"/>
              <w:rPr>
                <w:b w:val="0"/>
                <w:bCs/>
                <w:highlight w:val="darkGray"/>
                <w:vertAlign w:val="superscript"/>
              </w:rPr>
            </w:pPr>
            <w:r w:rsidRPr="00556852">
              <w:rPr>
                <w:rFonts w:hint="eastAsia"/>
                <w:b w:val="0"/>
                <w:bCs/>
                <w:color w:val="000000"/>
                <w:w w:val="15"/>
                <w:shd w:val="solid" w:color="000000" w:fill="000000"/>
                <w:fitText w:val="48" w:id="-629514493"/>
                <w14:textFill>
                  <w14:solidFill>
                    <w14:srgbClr w14:val="000000">
                      <w14:alpha w14:val="100000"/>
                    </w14:srgbClr>
                  </w14:solidFill>
                </w14:textFill>
              </w:rPr>
              <w:t xml:space="preserve">　</w:t>
            </w:r>
            <w:r w:rsidRPr="00556852">
              <w:rPr>
                <w:b w:val="0"/>
                <w:bCs/>
                <w:color w:val="000000"/>
                <w:w w:val="15"/>
                <w:shd w:val="solid" w:color="000000" w:fill="000000"/>
                <w:fitText w:val="48" w:id="-629514493"/>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3"/>
                <w14:textFill>
                  <w14:solidFill>
                    <w14:srgbClr w14:val="000000">
                      <w14:alpha w14:val="100000"/>
                    </w14:srgbClr>
                  </w14:solidFill>
                </w14:textFill>
              </w:rPr>
              <w:t xml:space="preserve">　</w:t>
            </w:r>
            <w:r w:rsidR="004C2DF8" w:rsidRPr="004C2DF8">
              <w:rPr>
                <w:b w:val="0"/>
                <w:bCs/>
                <w:vertAlign w:val="superscript"/>
              </w:rPr>
              <w:t>2</w:t>
            </w:r>
          </w:p>
        </w:tc>
        <w:tc>
          <w:tcPr>
            <w:tcW w:w="612" w:type="pct"/>
            <w:gridSpan w:val="5"/>
          </w:tcPr>
          <w:p w14:paraId="2D7847AA" w14:textId="7C6C4DFA"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2"/>
                <w14:textFill>
                  <w14:solidFill>
                    <w14:srgbClr w14:val="000000">
                      <w14:alpha w14:val="100000"/>
                    </w14:srgbClr>
                  </w14:solidFill>
                </w14:textFill>
              </w:rPr>
              <w:t xml:space="preserve">　</w:t>
            </w:r>
            <w:r w:rsidRPr="00556852">
              <w:rPr>
                <w:b w:val="0"/>
                <w:bCs/>
                <w:color w:val="000000"/>
                <w:w w:val="15"/>
                <w:shd w:val="solid" w:color="000000" w:fill="000000"/>
                <w:fitText w:val="48" w:id="-629514492"/>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2"/>
                <w14:textFill>
                  <w14:solidFill>
                    <w14:srgbClr w14:val="000000">
                      <w14:alpha w14:val="100000"/>
                    </w14:srgbClr>
                  </w14:solidFill>
                </w14:textFill>
              </w:rPr>
              <w:t xml:space="preserve">　</w:t>
            </w:r>
            <w:r w:rsidR="004C2DF8" w:rsidRPr="004C2DF8">
              <w:rPr>
                <w:b w:val="0"/>
                <w:bCs/>
                <w:vertAlign w:val="superscript"/>
              </w:rPr>
              <w:t>2</w:t>
            </w:r>
          </w:p>
        </w:tc>
        <w:tc>
          <w:tcPr>
            <w:tcW w:w="611" w:type="pct"/>
          </w:tcPr>
          <w:p w14:paraId="7A620378" w14:textId="2884D522"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1"/>
                <w14:textFill>
                  <w14:solidFill>
                    <w14:srgbClr w14:val="000000">
                      <w14:alpha w14:val="100000"/>
                    </w14:srgbClr>
                  </w14:solidFill>
                </w14:textFill>
              </w:rPr>
              <w:t xml:space="preserve">　</w:t>
            </w:r>
            <w:r w:rsidRPr="00556852">
              <w:rPr>
                <w:b w:val="0"/>
                <w:bCs/>
                <w:color w:val="000000"/>
                <w:w w:val="15"/>
                <w:shd w:val="solid" w:color="000000" w:fill="000000"/>
                <w:fitText w:val="48" w:id="-629514491"/>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1"/>
                <w14:textFill>
                  <w14:solidFill>
                    <w14:srgbClr w14:val="000000">
                      <w14:alpha w14:val="100000"/>
                    </w14:srgbClr>
                  </w14:solidFill>
                </w14:textFill>
              </w:rPr>
              <w:t xml:space="preserve">　</w:t>
            </w:r>
            <w:r w:rsidR="004C2DF8" w:rsidRPr="004C2DF8">
              <w:rPr>
                <w:b w:val="0"/>
                <w:bCs/>
                <w:vertAlign w:val="superscript"/>
              </w:rPr>
              <w:t>2</w:t>
            </w:r>
          </w:p>
        </w:tc>
        <w:tc>
          <w:tcPr>
            <w:tcW w:w="611" w:type="pct"/>
          </w:tcPr>
          <w:p w14:paraId="1D2C1413" w14:textId="410EA749"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0"/>
                <w14:textFill>
                  <w14:solidFill>
                    <w14:srgbClr w14:val="000000">
                      <w14:alpha w14:val="100000"/>
                    </w14:srgbClr>
                  </w14:solidFill>
                </w14:textFill>
              </w:rPr>
              <w:t xml:space="preserve">　</w:t>
            </w:r>
            <w:r w:rsidRPr="00556852">
              <w:rPr>
                <w:b w:val="0"/>
                <w:bCs/>
                <w:color w:val="000000"/>
                <w:w w:val="15"/>
                <w:shd w:val="solid" w:color="000000" w:fill="000000"/>
                <w:fitText w:val="48" w:id="-629514490"/>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0"/>
                <w14:textFill>
                  <w14:solidFill>
                    <w14:srgbClr w14:val="000000">
                      <w14:alpha w14:val="100000"/>
                    </w14:srgbClr>
                  </w14:solidFill>
                </w14:textFill>
              </w:rPr>
              <w:t xml:space="preserve">　</w:t>
            </w:r>
            <w:r w:rsidR="004C2DF8" w:rsidRPr="004C2DF8">
              <w:rPr>
                <w:b w:val="0"/>
                <w:bCs/>
                <w:vertAlign w:val="superscript"/>
              </w:rPr>
              <w:t>2</w:t>
            </w:r>
          </w:p>
        </w:tc>
        <w:tc>
          <w:tcPr>
            <w:tcW w:w="611" w:type="pct"/>
          </w:tcPr>
          <w:p w14:paraId="3F0ACB95" w14:textId="379FF2F8"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9"/>
                <w14:textFill>
                  <w14:solidFill>
                    <w14:srgbClr w14:val="000000">
                      <w14:alpha w14:val="100000"/>
                    </w14:srgbClr>
                  </w14:solidFill>
                </w14:textFill>
              </w:rPr>
              <w:t xml:space="preserve">　</w:t>
            </w:r>
            <w:r w:rsidRPr="00556852">
              <w:rPr>
                <w:b w:val="0"/>
                <w:bCs/>
                <w:color w:val="000000"/>
                <w:w w:val="15"/>
                <w:shd w:val="solid" w:color="000000" w:fill="000000"/>
                <w:fitText w:val="48" w:id="-629514489"/>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9"/>
                <w14:textFill>
                  <w14:solidFill>
                    <w14:srgbClr w14:val="000000">
                      <w14:alpha w14:val="100000"/>
                    </w14:srgbClr>
                  </w14:solidFill>
                </w14:textFill>
              </w:rPr>
              <w:t xml:space="preserve">　</w:t>
            </w:r>
            <w:r w:rsidR="004C2DF8" w:rsidRPr="004C2DF8">
              <w:rPr>
                <w:b w:val="0"/>
                <w:bCs/>
                <w:vertAlign w:val="superscript"/>
              </w:rPr>
              <w:t>2</w:t>
            </w:r>
          </w:p>
        </w:tc>
        <w:tc>
          <w:tcPr>
            <w:tcW w:w="611" w:type="pct"/>
          </w:tcPr>
          <w:p w14:paraId="1C30F331" w14:textId="1A2A008C"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8"/>
                <w14:textFill>
                  <w14:solidFill>
                    <w14:srgbClr w14:val="000000">
                      <w14:alpha w14:val="100000"/>
                    </w14:srgbClr>
                  </w14:solidFill>
                </w14:textFill>
              </w:rPr>
              <w:t xml:space="preserve">　</w:t>
            </w:r>
            <w:r w:rsidRPr="00556852">
              <w:rPr>
                <w:b w:val="0"/>
                <w:bCs/>
                <w:color w:val="000000"/>
                <w:w w:val="15"/>
                <w:shd w:val="solid" w:color="000000" w:fill="000000"/>
                <w:fitText w:val="48" w:id="-629514488"/>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8"/>
                <w14:textFill>
                  <w14:solidFill>
                    <w14:srgbClr w14:val="000000">
                      <w14:alpha w14:val="100000"/>
                    </w14:srgbClr>
                  </w14:solidFill>
                </w14:textFill>
              </w:rPr>
              <w:t xml:space="preserve">　</w:t>
            </w:r>
            <w:r w:rsidR="004C2DF8" w:rsidRPr="004C2DF8">
              <w:rPr>
                <w:b w:val="0"/>
                <w:bCs/>
                <w:vertAlign w:val="superscript"/>
              </w:rPr>
              <w:t>2</w:t>
            </w:r>
          </w:p>
        </w:tc>
      </w:tr>
      <w:tr w:rsidR="00F704BF" w:rsidRPr="00F57392" w14:paraId="6BB43A52" w14:textId="77777777" w:rsidTr="00CA34FF">
        <w:tc>
          <w:tcPr>
            <w:tcW w:w="1333" w:type="pct"/>
            <w:gridSpan w:val="2"/>
            <w:vAlign w:val="center"/>
          </w:tcPr>
          <w:p w14:paraId="35E3BFB6" w14:textId="387BACA6" w:rsidR="00F704BF" w:rsidRPr="00F57392" w:rsidRDefault="00F704BF" w:rsidP="00F704BF">
            <w:pPr>
              <w:pStyle w:val="COMTabletext"/>
            </w:pPr>
            <w:r w:rsidRPr="00F57392">
              <w:t>Vorasidenib 10 mg × 60 scripts</w:t>
            </w:r>
          </w:p>
        </w:tc>
        <w:tc>
          <w:tcPr>
            <w:tcW w:w="611" w:type="pct"/>
            <w:gridSpan w:val="2"/>
          </w:tcPr>
          <w:p w14:paraId="7D3E6F9F" w14:textId="0A24FC56" w:rsidR="00F704BF" w:rsidRPr="00325A67" w:rsidRDefault="00556852" w:rsidP="00CB37D9">
            <w:pPr>
              <w:pStyle w:val="TableText"/>
              <w:jc w:val="center"/>
              <w:rPr>
                <w:b w:val="0"/>
                <w:bCs/>
                <w:highlight w:val="darkGray"/>
                <w:vertAlign w:val="superscript"/>
              </w:rPr>
            </w:pPr>
            <w:r w:rsidRPr="00556852">
              <w:rPr>
                <w:rFonts w:hint="eastAsia"/>
                <w:b w:val="0"/>
                <w:bCs/>
                <w:color w:val="000000"/>
                <w:w w:val="15"/>
                <w:shd w:val="solid" w:color="000000" w:fill="000000"/>
                <w:fitText w:val="48" w:id="-629514487"/>
                <w14:textFill>
                  <w14:solidFill>
                    <w14:srgbClr w14:val="000000">
                      <w14:alpha w14:val="100000"/>
                    </w14:srgbClr>
                  </w14:solidFill>
                </w14:textFill>
              </w:rPr>
              <w:t xml:space="preserve">　</w:t>
            </w:r>
            <w:r w:rsidRPr="00556852">
              <w:rPr>
                <w:b w:val="0"/>
                <w:bCs/>
                <w:color w:val="000000"/>
                <w:w w:val="15"/>
                <w:shd w:val="solid" w:color="000000" w:fill="000000"/>
                <w:fitText w:val="48" w:id="-629514487"/>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7"/>
                <w14:textFill>
                  <w14:solidFill>
                    <w14:srgbClr w14:val="000000">
                      <w14:alpha w14:val="100000"/>
                    </w14:srgbClr>
                  </w14:solidFill>
                </w14:textFill>
              </w:rPr>
              <w:t xml:space="preserve">　</w:t>
            </w:r>
            <w:r w:rsidR="00325A67" w:rsidRPr="00325A67">
              <w:rPr>
                <w:b w:val="0"/>
                <w:bCs/>
                <w:vertAlign w:val="superscript"/>
              </w:rPr>
              <w:t>3</w:t>
            </w:r>
          </w:p>
        </w:tc>
        <w:tc>
          <w:tcPr>
            <w:tcW w:w="612" w:type="pct"/>
            <w:gridSpan w:val="5"/>
          </w:tcPr>
          <w:p w14:paraId="5F4D240A" w14:textId="29FE5DD4"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6"/>
                <w14:textFill>
                  <w14:solidFill>
                    <w14:srgbClr w14:val="000000">
                      <w14:alpha w14:val="100000"/>
                    </w14:srgbClr>
                  </w14:solidFill>
                </w14:textFill>
              </w:rPr>
              <w:t xml:space="preserve">　</w:t>
            </w:r>
            <w:r w:rsidRPr="00556852">
              <w:rPr>
                <w:b w:val="0"/>
                <w:bCs/>
                <w:color w:val="000000"/>
                <w:w w:val="15"/>
                <w:shd w:val="solid" w:color="000000" w:fill="000000"/>
                <w:fitText w:val="48" w:id="-629514486"/>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6"/>
                <w14:textFill>
                  <w14:solidFill>
                    <w14:srgbClr w14:val="000000">
                      <w14:alpha w14:val="100000"/>
                    </w14:srgbClr>
                  </w14:solidFill>
                </w14:textFill>
              </w:rPr>
              <w:t xml:space="preserve">　</w:t>
            </w:r>
            <w:r w:rsidR="00A46F41" w:rsidRPr="00325A67">
              <w:rPr>
                <w:b w:val="0"/>
                <w:bCs/>
                <w:vertAlign w:val="superscript"/>
              </w:rPr>
              <w:t>3</w:t>
            </w:r>
          </w:p>
        </w:tc>
        <w:tc>
          <w:tcPr>
            <w:tcW w:w="611" w:type="pct"/>
          </w:tcPr>
          <w:p w14:paraId="2D6C8873" w14:textId="6D4A7F5B"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5"/>
                <w14:textFill>
                  <w14:solidFill>
                    <w14:srgbClr w14:val="000000">
                      <w14:alpha w14:val="100000"/>
                    </w14:srgbClr>
                  </w14:solidFill>
                </w14:textFill>
              </w:rPr>
              <w:t xml:space="preserve">　</w:t>
            </w:r>
            <w:r w:rsidRPr="00556852">
              <w:rPr>
                <w:b w:val="0"/>
                <w:bCs/>
                <w:color w:val="000000"/>
                <w:w w:val="15"/>
                <w:shd w:val="solid" w:color="000000" w:fill="000000"/>
                <w:fitText w:val="48" w:id="-629514485"/>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5"/>
                <w14:textFill>
                  <w14:solidFill>
                    <w14:srgbClr w14:val="000000">
                      <w14:alpha w14:val="100000"/>
                    </w14:srgbClr>
                  </w14:solidFill>
                </w14:textFill>
              </w:rPr>
              <w:t xml:space="preserve">　</w:t>
            </w:r>
            <w:r w:rsidR="00A46F41" w:rsidRPr="00325A67">
              <w:rPr>
                <w:b w:val="0"/>
                <w:bCs/>
                <w:vertAlign w:val="superscript"/>
              </w:rPr>
              <w:t>3</w:t>
            </w:r>
          </w:p>
        </w:tc>
        <w:tc>
          <w:tcPr>
            <w:tcW w:w="611" w:type="pct"/>
          </w:tcPr>
          <w:p w14:paraId="37BB5E13" w14:textId="721FEC55"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4"/>
                <w14:textFill>
                  <w14:solidFill>
                    <w14:srgbClr w14:val="000000">
                      <w14:alpha w14:val="100000"/>
                    </w14:srgbClr>
                  </w14:solidFill>
                </w14:textFill>
              </w:rPr>
              <w:t xml:space="preserve">　</w:t>
            </w:r>
            <w:r w:rsidRPr="00556852">
              <w:rPr>
                <w:b w:val="0"/>
                <w:bCs/>
                <w:color w:val="000000"/>
                <w:w w:val="15"/>
                <w:shd w:val="solid" w:color="000000" w:fill="000000"/>
                <w:fitText w:val="48" w:id="-629514484"/>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4"/>
                <w14:textFill>
                  <w14:solidFill>
                    <w14:srgbClr w14:val="000000">
                      <w14:alpha w14:val="100000"/>
                    </w14:srgbClr>
                  </w14:solidFill>
                </w14:textFill>
              </w:rPr>
              <w:t xml:space="preserve">　</w:t>
            </w:r>
            <w:r w:rsidR="006A0D7B" w:rsidRPr="00325A67">
              <w:rPr>
                <w:b w:val="0"/>
                <w:bCs/>
                <w:vertAlign w:val="superscript"/>
              </w:rPr>
              <w:t>3</w:t>
            </w:r>
          </w:p>
        </w:tc>
        <w:tc>
          <w:tcPr>
            <w:tcW w:w="611" w:type="pct"/>
          </w:tcPr>
          <w:p w14:paraId="2A14BE85" w14:textId="6FA73B37"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3"/>
                <w14:textFill>
                  <w14:solidFill>
                    <w14:srgbClr w14:val="000000">
                      <w14:alpha w14:val="100000"/>
                    </w14:srgbClr>
                  </w14:solidFill>
                </w14:textFill>
              </w:rPr>
              <w:t xml:space="preserve">　</w:t>
            </w:r>
            <w:r w:rsidRPr="00556852">
              <w:rPr>
                <w:b w:val="0"/>
                <w:bCs/>
                <w:color w:val="000000"/>
                <w:w w:val="15"/>
                <w:shd w:val="solid" w:color="000000" w:fill="000000"/>
                <w:fitText w:val="48" w:id="-629514483"/>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3"/>
                <w14:textFill>
                  <w14:solidFill>
                    <w14:srgbClr w14:val="000000">
                      <w14:alpha w14:val="100000"/>
                    </w14:srgbClr>
                  </w14:solidFill>
                </w14:textFill>
              </w:rPr>
              <w:t xml:space="preserve">　</w:t>
            </w:r>
            <w:r w:rsidR="006A0D7B" w:rsidRPr="00325A67">
              <w:rPr>
                <w:b w:val="0"/>
                <w:bCs/>
                <w:vertAlign w:val="superscript"/>
              </w:rPr>
              <w:t>3</w:t>
            </w:r>
          </w:p>
        </w:tc>
        <w:tc>
          <w:tcPr>
            <w:tcW w:w="611" w:type="pct"/>
          </w:tcPr>
          <w:p w14:paraId="78DDAFF5" w14:textId="76016DB2"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2"/>
                <w14:textFill>
                  <w14:solidFill>
                    <w14:srgbClr w14:val="000000">
                      <w14:alpha w14:val="100000"/>
                    </w14:srgbClr>
                  </w14:solidFill>
                </w14:textFill>
              </w:rPr>
              <w:t xml:space="preserve">　</w:t>
            </w:r>
            <w:r w:rsidRPr="00556852">
              <w:rPr>
                <w:b w:val="0"/>
                <w:bCs/>
                <w:color w:val="000000"/>
                <w:w w:val="15"/>
                <w:shd w:val="solid" w:color="000000" w:fill="000000"/>
                <w:fitText w:val="48" w:id="-629514482"/>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2"/>
                <w14:textFill>
                  <w14:solidFill>
                    <w14:srgbClr w14:val="000000">
                      <w14:alpha w14:val="100000"/>
                    </w14:srgbClr>
                  </w14:solidFill>
                </w14:textFill>
              </w:rPr>
              <w:t xml:space="preserve">　</w:t>
            </w:r>
            <w:r w:rsidR="006A0D7B" w:rsidRPr="00325A67">
              <w:rPr>
                <w:b w:val="0"/>
                <w:bCs/>
                <w:vertAlign w:val="superscript"/>
              </w:rPr>
              <w:t>3</w:t>
            </w:r>
          </w:p>
        </w:tc>
      </w:tr>
      <w:tr w:rsidR="00F704BF" w:rsidRPr="00F57392" w14:paraId="24452FFA" w14:textId="77777777" w:rsidTr="00CA34FF">
        <w:tc>
          <w:tcPr>
            <w:tcW w:w="1333" w:type="pct"/>
            <w:gridSpan w:val="2"/>
            <w:vAlign w:val="center"/>
          </w:tcPr>
          <w:p w14:paraId="62138A99" w14:textId="7B9B29A1" w:rsidR="00F704BF" w:rsidRPr="00F57392" w:rsidRDefault="00F704BF" w:rsidP="00F704BF">
            <w:pPr>
              <w:pStyle w:val="COMTabletext"/>
            </w:pPr>
            <w:r w:rsidRPr="00F57392">
              <w:t>Vorasidenib 10 mg × 30 scripts</w:t>
            </w:r>
          </w:p>
        </w:tc>
        <w:tc>
          <w:tcPr>
            <w:tcW w:w="611" w:type="pct"/>
            <w:gridSpan w:val="2"/>
          </w:tcPr>
          <w:p w14:paraId="22B906A5" w14:textId="5535B746"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1"/>
                <w14:textFill>
                  <w14:solidFill>
                    <w14:srgbClr w14:val="000000">
                      <w14:alpha w14:val="100000"/>
                    </w14:srgbClr>
                  </w14:solidFill>
                </w14:textFill>
              </w:rPr>
              <w:t xml:space="preserve">　</w:t>
            </w:r>
            <w:r w:rsidRPr="00556852">
              <w:rPr>
                <w:b w:val="0"/>
                <w:bCs/>
                <w:color w:val="000000"/>
                <w:w w:val="15"/>
                <w:shd w:val="solid" w:color="000000" w:fill="000000"/>
                <w:fitText w:val="48" w:id="-629514481"/>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1"/>
                <w14:textFill>
                  <w14:solidFill>
                    <w14:srgbClr w14:val="000000">
                      <w14:alpha w14:val="100000"/>
                    </w14:srgbClr>
                  </w14:solidFill>
                </w14:textFill>
              </w:rPr>
              <w:t xml:space="preserve">　</w:t>
            </w:r>
            <w:r w:rsidR="006A0D7B" w:rsidRPr="00325A67">
              <w:rPr>
                <w:b w:val="0"/>
                <w:bCs/>
                <w:vertAlign w:val="superscript"/>
              </w:rPr>
              <w:t>3</w:t>
            </w:r>
          </w:p>
        </w:tc>
        <w:tc>
          <w:tcPr>
            <w:tcW w:w="612" w:type="pct"/>
            <w:gridSpan w:val="5"/>
          </w:tcPr>
          <w:p w14:paraId="2F40B378" w14:textId="0E2B6420"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80"/>
                <w14:textFill>
                  <w14:solidFill>
                    <w14:srgbClr w14:val="000000">
                      <w14:alpha w14:val="100000"/>
                    </w14:srgbClr>
                  </w14:solidFill>
                </w14:textFill>
              </w:rPr>
              <w:t xml:space="preserve">　</w:t>
            </w:r>
            <w:r w:rsidRPr="00556852">
              <w:rPr>
                <w:b w:val="0"/>
                <w:bCs/>
                <w:color w:val="000000"/>
                <w:w w:val="15"/>
                <w:shd w:val="solid" w:color="000000" w:fill="000000"/>
                <w:fitText w:val="48" w:id="-629514480"/>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80"/>
                <w14:textFill>
                  <w14:solidFill>
                    <w14:srgbClr w14:val="000000">
                      <w14:alpha w14:val="100000"/>
                    </w14:srgbClr>
                  </w14:solidFill>
                </w14:textFill>
              </w:rPr>
              <w:t xml:space="preserve">　</w:t>
            </w:r>
            <w:r w:rsidR="006A0D7B" w:rsidRPr="00325A67">
              <w:rPr>
                <w:b w:val="0"/>
                <w:bCs/>
                <w:vertAlign w:val="superscript"/>
              </w:rPr>
              <w:t>3</w:t>
            </w:r>
          </w:p>
        </w:tc>
        <w:tc>
          <w:tcPr>
            <w:tcW w:w="611" w:type="pct"/>
          </w:tcPr>
          <w:p w14:paraId="6031E007" w14:textId="5CC54F9E"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6"/>
                <w14:textFill>
                  <w14:solidFill>
                    <w14:srgbClr w14:val="000000">
                      <w14:alpha w14:val="100000"/>
                    </w14:srgbClr>
                  </w14:solidFill>
                </w14:textFill>
              </w:rPr>
              <w:t xml:space="preserve">　</w:t>
            </w:r>
            <w:r w:rsidRPr="00556852">
              <w:rPr>
                <w:b w:val="0"/>
                <w:bCs/>
                <w:color w:val="000000"/>
                <w:w w:val="15"/>
                <w:shd w:val="solid" w:color="000000" w:fill="000000"/>
                <w:fitText w:val="48" w:id="-629514496"/>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6"/>
                <w14:textFill>
                  <w14:solidFill>
                    <w14:srgbClr w14:val="000000">
                      <w14:alpha w14:val="100000"/>
                    </w14:srgbClr>
                  </w14:solidFill>
                </w14:textFill>
              </w:rPr>
              <w:t xml:space="preserve">　</w:t>
            </w:r>
            <w:r w:rsidR="006A0D7B" w:rsidRPr="00325A67">
              <w:rPr>
                <w:b w:val="0"/>
                <w:bCs/>
                <w:vertAlign w:val="superscript"/>
              </w:rPr>
              <w:t>3</w:t>
            </w:r>
          </w:p>
        </w:tc>
        <w:tc>
          <w:tcPr>
            <w:tcW w:w="611" w:type="pct"/>
          </w:tcPr>
          <w:p w14:paraId="746C59C9" w14:textId="37C9042C"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5"/>
                <w14:textFill>
                  <w14:solidFill>
                    <w14:srgbClr w14:val="000000">
                      <w14:alpha w14:val="100000"/>
                    </w14:srgbClr>
                  </w14:solidFill>
                </w14:textFill>
              </w:rPr>
              <w:t xml:space="preserve">　</w:t>
            </w:r>
            <w:r w:rsidRPr="00556852">
              <w:rPr>
                <w:b w:val="0"/>
                <w:bCs/>
                <w:color w:val="000000"/>
                <w:w w:val="15"/>
                <w:shd w:val="solid" w:color="000000" w:fill="000000"/>
                <w:fitText w:val="48" w:id="-629514495"/>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5"/>
                <w14:textFill>
                  <w14:solidFill>
                    <w14:srgbClr w14:val="000000">
                      <w14:alpha w14:val="100000"/>
                    </w14:srgbClr>
                  </w14:solidFill>
                </w14:textFill>
              </w:rPr>
              <w:t xml:space="preserve">　</w:t>
            </w:r>
            <w:r w:rsidR="006A0D7B" w:rsidRPr="00325A67">
              <w:rPr>
                <w:b w:val="0"/>
                <w:bCs/>
                <w:vertAlign w:val="superscript"/>
              </w:rPr>
              <w:t>3</w:t>
            </w:r>
          </w:p>
        </w:tc>
        <w:tc>
          <w:tcPr>
            <w:tcW w:w="611" w:type="pct"/>
          </w:tcPr>
          <w:p w14:paraId="7BBD6DC6" w14:textId="3CD5E26B"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4"/>
                <w14:textFill>
                  <w14:solidFill>
                    <w14:srgbClr w14:val="000000">
                      <w14:alpha w14:val="100000"/>
                    </w14:srgbClr>
                  </w14:solidFill>
                </w14:textFill>
              </w:rPr>
              <w:t xml:space="preserve">　</w:t>
            </w:r>
            <w:r w:rsidRPr="00556852">
              <w:rPr>
                <w:b w:val="0"/>
                <w:bCs/>
                <w:color w:val="000000"/>
                <w:w w:val="15"/>
                <w:shd w:val="solid" w:color="000000" w:fill="000000"/>
                <w:fitText w:val="48" w:id="-629514494"/>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4"/>
                <w14:textFill>
                  <w14:solidFill>
                    <w14:srgbClr w14:val="000000">
                      <w14:alpha w14:val="100000"/>
                    </w14:srgbClr>
                  </w14:solidFill>
                </w14:textFill>
              </w:rPr>
              <w:t xml:space="preserve">　</w:t>
            </w:r>
            <w:r w:rsidR="006A0D7B" w:rsidRPr="00325A67">
              <w:rPr>
                <w:b w:val="0"/>
                <w:bCs/>
                <w:vertAlign w:val="superscript"/>
              </w:rPr>
              <w:t>3</w:t>
            </w:r>
          </w:p>
        </w:tc>
        <w:tc>
          <w:tcPr>
            <w:tcW w:w="611" w:type="pct"/>
          </w:tcPr>
          <w:p w14:paraId="2D294B94" w14:textId="7C9A24B2" w:rsidR="00F704BF" w:rsidRPr="00B23373" w:rsidRDefault="00556852" w:rsidP="00CB37D9">
            <w:pPr>
              <w:pStyle w:val="TableText"/>
              <w:jc w:val="center"/>
              <w:rPr>
                <w:b w:val="0"/>
                <w:bCs/>
                <w:highlight w:val="darkGray"/>
              </w:rPr>
            </w:pPr>
            <w:r w:rsidRPr="00556852">
              <w:rPr>
                <w:rFonts w:hint="eastAsia"/>
                <w:b w:val="0"/>
                <w:bCs/>
                <w:color w:val="000000"/>
                <w:w w:val="15"/>
                <w:shd w:val="solid" w:color="000000" w:fill="000000"/>
                <w:fitText w:val="48" w:id="-629514493"/>
                <w14:textFill>
                  <w14:solidFill>
                    <w14:srgbClr w14:val="000000">
                      <w14:alpha w14:val="100000"/>
                    </w14:srgbClr>
                  </w14:solidFill>
                </w14:textFill>
              </w:rPr>
              <w:t xml:space="preserve">　</w:t>
            </w:r>
            <w:r w:rsidRPr="00556852">
              <w:rPr>
                <w:b w:val="0"/>
                <w:bCs/>
                <w:color w:val="000000"/>
                <w:w w:val="15"/>
                <w:shd w:val="solid" w:color="000000" w:fill="000000"/>
                <w:fitText w:val="48" w:id="-629514493"/>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493"/>
                <w14:textFill>
                  <w14:solidFill>
                    <w14:srgbClr w14:val="000000">
                      <w14:alpha w14:val="100000"/>
                    </w14:srgbClr>
                  </w14:solidFill>
                </w14:textFill>
              </w:rPr>
              <w:t xml:space="preserve">　</w:t>
            </w:r>
            <w:r w:rsidR="006A0D7B" w:rsidRPr="00325A67">
              <w:rPr>
                <w:b w:val="0"/>
                <w:bCs/>
                <w:vertAlign w:val="superscript"/>
              </w:rPr>
              <w:t>3</w:t>
            </w:r>
          </w:p>
        </w:tc>
      </w:tr>
      <w:tr w:rsidR="006618CC" w:rsidRPr="00F57392" w14:paraId="1E699D47" w14:textId="77777777" w:rsidTr="009C3A3A">
        <w:tc>
          <w:tcPr>
            <w:tcW w:w="5000" w:type="pct"/>
            <w:gridSpan w:val="13"/>
            <w:vAlign w:val="center"/>
          </w:tcPr>
          <w:p w14:paraId="7D0E0884" w14:textId="4F5D5978" w:rsidR="00385A9D" w:rsidRPr="00F57392" w:rsidRDefault="00385A9D" w:rsidP="00942559">
            <w:pPr>
              <w:pStyle w:val="COMTableheadingrow"/>
              <w:rPr>
                <w:lang w:val="en-AU"/>
              </w:rPr>
            </w:pPr>
            <w:r w:rsidRPr="00F57392">
              <w:rPr>
                <w:lang w:val="en-AU"/>
              </w:rPr>
              <w:t xml:space="preserve">Estimated financial implications of </w:t>
            </w:r>
            <w:r w:rsidR="00F704BF" w:rsidRPr="00F57392">
              <w:rPr>
                <w:lang w:val="en-AU"/>
              </w:rPr>
              <w:t>vorasidenib</w:t>
            </w:r>
          </w:p>
        </w:tc>
      </w:tr>
      <w:tr w:rsidR="00F704BF" w:rsidRPr="00F57392" w14:paraId="4B4ACF1A" w14:textId="77777777" w:rsidTr="00CA34FF">
        <w:tc>
          <w:tcPr>
            <w:tcW w:w="1333" w:type="pct"/>
            <w:gridSpan w:val="2"/>
            <w:vAlign w:val="center"/>
          </w:tcPr>
          <w:p w14:paraId="467993BD" w14:textId="0C369E29" w:rsidR="00F704BF" w:rsidRPr="00F57392" w:rsidRDefault="00F704BF" w:rsidP="00F704BF">
            <w:pPr>
              <w:pStyle w:val="COMTabletext"/>
            </w:pPr>
            <w:r w:rsidRPr="00F57392">
              <w:t>Cost to PBS/RPBS less copayments</w:t>
            </w:r>
          </w:p>
        </w:tc>
        <w:tc>
          <w:tcPr>
            <w:tcW w:w="611" w:type="pct"/>
            <w:gridSpan w:val="2"/>
            <w:vAlign w:val="center"/>
          </w:tcPr>
          <w:p w14:paraId="4125A2B6" w14:textId="2AF72A20" w:rsidR="00F704BF" w:rsidRPr="00297947"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92"/>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92"/>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92"/>
                <w14:textFill>
                  <w14:solidFill>
                    <w14:srgbClr w14:val="000000">
                      <w14:alpha w14:val="100000"/>
                    </w14:srgbClr>
                  </w14:solidFill>
                </w14:textFill>
              </w:rPr>
              <w:t xml:space="preserve">　</w:t>
            </w:r>
            <w:r w:rsidR="00297947">
              <w:rPr>
                <w:b w:val="0"/>
                <w:bCs/>
                <w:vertAlign w:val="superscript"/>
              </w:rPr>
              <w:t>4</w:t>
            </w:r>
          </w:p>
        </w:tc>
        <w:tc>
          <w:tcPr>
            <w:tcW w:w="612" w:type="pct"/>
            <w:gridSpan w:val="5"/>
            <w:vAlign w:val="center"/>
          </w:tcPr>
          <w:p w14:paraId="5BDFECEB" w14:textId="2F9F5F79"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91"/>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91"/>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91"/>
                <w14:textFill>
                  <w14:solidFill>
                    <w14:srgbClr w14:val="000000">
                      <w14:alpha w14:val="100000"/>
                    </w14:srgbClr>
                  </w14:solidFill>
                </w14:textFill>
              </w:rPr>
              <w:t xml:space="preserve">　</w:t>
            </w:r>
            <w:r w:rsidR="00382AA3">
              <w:rPr>
                <w:b w:val="0"/>
                <w:bCs/>
                <w:vertAlign w:val="superscript"/>
              </w:rPr>
              <w:t>4</w:t>
            </w:r>
          </w:p>
        </w:tc>
        <w:tc>
          <w:tcPr>
            <w:tcW w:w="611" w:type="pct"/>
            <w:vAlign w:val="center"/>
          </w:tcPr>
          <w:p w14:paraId="3890D42E" w14:textId="1238C511"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90"/>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90"/>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90"/>
                <w14:textFill>
                  <w14:solidFill>
                    <w14:srgbClr w14:val="000000">
                      <w14:alpha w14:val="100000"/>
                    </w14:srgbClr>
                  </w14:solidFill>
                </w14:textFill>
              </w:rPr>
              <w:t xml:space="preserve">　</w:t>
            </w:r>
            <w:r w:rsidR="00382AA3">
              <w:rPr>
                <w:b w:val="0"/>
                <w:bCs/>
                <w:vertAlign w:val="superscript"/>
              </w:rPr>
              <w:t>4</w:t>
            </w:r>
          </w:p>
        </w:tc>
        <w:tc>
          <w:tcPr>
            <w:tcW w:w="611" w:type="pct"/>
            <w:vAlign w:val="center"/>
          </w:tcPr>
          <w:p w14:paraId="2728B643" w14:textId="1887A314"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9"/>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9"/>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89"/>
                <w14:textFill>
                  <w14:solidFill>
                    <w14:srgbClr w14:val="000000">
                      <w14:alpha w14:val="100000"/>
                    </w14:srgbClr>
                  </w14:solidFill>
                </w14:textFill>
              </w:rPr>
              <w:t xml:space="preserve">　</w:t>
            </w:r>
            <w:r w:rsidR="00382AA3">
              <w:rPr>
                <w:b w:val="0"/>
                <w:bCs/>
                <w:vertAlign w:val="superscript"/>
              </w:rPr>
              <w:t>4</w:t>
            </w:r>
          </w:p>
        </w:tc>
        <w:tc>
          <w:tcPr>
            <w:tcW w:w="611" w:type="pct"/>
            <w:vAlign w:val="center"/>
          </w:tcPr>
          <w:p w14:paraId="5FE5021A" w14:textId="36F92F11"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8"/>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8"/>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88"/>
                <w14:textFill>
                  <w14:solidFill>
                    <w14:srgbClr w14:val="000000">
                      <w14:alpha w14:val="100000"/>
                    </w14:srgbClr>
                  </w14:solidFill>
                </w14:textFill>
              </w:rPr>
              <w:t xml:space="preserve">　</w:t>
            </w:r>
            <w:r w:rsidR="00382AA3">
              <w:rPr>
                <w:b w:val="0"/>
                <w:bCs/>
                <w:vertAlign w:val="superscript"/>
              </w:rPr>
              <w:t>4</w:t>
            </w:r>
          </w:p>
        </w:tc>
        <w:tc>
          <w:tcPr>
            <w:tcW w:w="611" w:type="pct"/>
            <w:vAlign w:val="center"/>
          </w:tcPr>
          <w:p w14:paraId="6F8E9082" w14:textId="5A1804E4"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7"/>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7"/>
                <w14:textFill>
                  <w14:solidFill>
                    <w14:srgbClr w14:val="000000">
                      <w14:alpha w14:val="100000"/>
                    </w14:srgbClr>
                  </w14:solidFill>
                </w14:textFill>
              </w:rPr>
              <w:t>|</w:t>
            </w:r>
            <w:r w:rsidR="00556852" w:rsidRPr="00556852">
              <w:rPr>
                <w:rFonts w:hint="eastAsia"/>
                <w:b w:val="0"/>
                <w:bCs/>
                <w:color w:val="000000"/>
                <w:w w:val="21"/>
                <w:shd w:val="solid" w:color="000000" w:fill="000000"/>
                <w:fitText w:val="96" w:id="-629514487"/>
                <w14:textFill>
                  <w14:solidFill>
                    <w14:srgbClr w14:val="000000">
                      <w14:alpha w14:val="100000"/>
                    </w14:srgbClr>
                  </w14:solidFill>
                </w14:textFill>
              </w:rPr>
              <w:t xml:space="preserve">　</w:t>
            </w:r>
            <w:r w:rsidR="00382AA3">
              <w:rPr>
                <w:b w:val="0"/>
                <w:bCs/>
                <w:vertAlign w:val="superscript"/>
              </w:rPr>
              <w:t>4</w:t>
            </w:r>
          </w:p>
        </w:tc>
      </w:tr>
      <w:tr w:rsidR="00F704BF" w:rsidRPr="00F57392" w14:paraId="571B64F4" w14:textId="77777777" w:rsidTr="00CA34FF">
        <w:tc>
          <w:tcPr>
            <w:tcW w:w="1333" w:type="pct"/>
            <w:gridSpan w:val="2"/>
            <w:vAlign w:val="center"/>
          </w:tcPr>
          <w:p w14:paraId="427698FB" w14:textId="6F0130A2" w:rsidR="00F704BF" w:rsidRPr="00F57392" w:rsidRDefault="00F704BF" w:rsidP="00F704BF">
            <w:pPr>
              <w:pStyle w:val="COMTabletext"/>
              <w:rPr>
                <w:rFonts w:ascii="Times" w:hAnsi="Times"/>
                <w:vertAlign w:val="superscript"/>
              </w:rPr>
            </w:pPr>
            <w:r w:rsidRPr="00F57392">
              <w:t>Net cost to MBS</w:t>
            </w:r>
            <w:r w:rsidR="00ED04EB" w:rsidRPr="00F57392">
              <w:t xml:space="preserve"> </w:t>
            </w:r>
          </w:p>
        </w:tc>
        <w:tc>
          <w:tcPr>
            <w:tcW w:w="611" w:type="pct"/>
            <w:gridSpan w:val="2"/>
          </w:tcPr>
          <w:p w14:paraId="5AD7A1FC" w14:textId="0ADE155C" w:rsidR="00F704BF" w:rsidRPr="006B007B"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6"/>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6"/>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86"/>
                <w14:textFill>
                  <w14:solidFill>
                    <w14:srgbClr w14:val="000000">
                      <w14:alpha w14:val="100000"/>
                    </w14:srgbClr>
                  </w14:solidFill>
                </w14:textFill>
              </w:rPr>
              <w:t xml:space="preserve">　</w:t>
            </w:r>
            <w:r w:rsidR="006B007B">
              <w:rPr>
                <w:b w:val="0"/>
                <w:bCs/>
                <w:vertAlign w:val="superscript"/>
              </w:rPr>
              <w:t>5</w:t>
            </w:r>
          </w:p>
        </w:tc>
        <w:tc>
          <w:tcPr>
            <w:tcW w:w="612" w:type="pct"/>
            <w:gridSpan w:val="5"/>
          </w:tcPr>
          <w:p w14:paraId="1D6E215B" w14:textId="4892B317" w:rsidR="00F704BF" w:rsidRPr="006B007B"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5"/>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5"/>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85"/>
                <w14:textFill>
                  <w14:solidFill>
                    <w14:srgbClr w14:val="000000">
                      <w14:alpha w14:val="100000"/>
                    </w14:srgbClr>
                  </w14:solidFill>
                </w14:textFill>
              </w:rPr>
              <w:t xml:space="preserve">　</w:t>
            </w:r>
            <w:r w:rsidR="006B007B">
              <w:rPr>
                <w:b w:val="0"/>
                <w:bCs/>
                <w:vertAlign w:val="superscript"/>
              </w:rPr>
              <w:t>5</w:t>
            </w:r>
          </w:p>
        </w:tc>
        <w:tc>
          <w:tcPr>
            <w:tcW w:w="611" w:type="pct"/>
          </w:tcPr>
          <w:p w14:paraId="25026D9D" w14:textId="07819CC1" w:rsidR="00F704BF" w:rsidRPr="00F57392" w:rsidRDefault="00F704BF" w:rsidP="00CB37D9">
            <w:pPr>
              <w:pStyle w:val="TableText"/>
              <w:jc w:val="center"/>
              <w:rPr>
                <w:b w:val="0"/>
                <w:bCs/>
              </w:rPr>
            </w:pPr>
            <w:r w:rsidRPr="00F57392">
              <w:rPr>
                <w:b w:val="0"/>
                <w:bCs/>
              </w:rPr>
              <w:t>$</w:t>
            </w:r>
            <w:r w:rsidR="00556852" w:rsidRPr="00556852">
              <w:rPr>
                <w:rFonts w:hint="eastAsia"/>
                <w:b w:val="0"/>
                <w:bCs/>
                <w:color w:val="000000"/>
                <w:w w:val="16"/>
                <w:shd w:val="solid" w:color="000000" w:fill="000000"/>
                <w:fitText w:val="72" w:id="-629514484"/>
                <w14:textFill>
                  <w14:solidFill>
                    <w14:srgbClr w14:val="000000">
                      <w14:alpha w14:val="100000"/>
                    </w14:srgbClr>
                  </w14:solidFill>
                </w14:textFill>
              </w:rPr>
              <w:t xml:space="preserve">　</w:t>
            </w:r>
            <w:r w:rsidR="00556852" w:rsidRPr="00556852">
              <w:rPr>
                <w:b w:val="0"/>
                <w:bCs/>
                <w:color w:val="000000"/>
                <w:w w:val="16"/>
                <w:shd w:val="solid" w:color="000000" w:fill="000000"/>
                <w:fitText w:val="72" w:id="-629514484"/>
                <w14:textFill>
                  <w14:solidFill>
                    <w14:srgbClr w14:val="000000">
                      <w14:alpha w14:val="100000"/>
                    </w14:srgbClr>
                  </w14:solidFill>
                </w14:textFill>
              </w:rPr>
              <w:t>|</w:t>
            </w:r>
            <w:r w:rsidR="00556852" w:rsidRPr="00556852">
              <w:rPr>
                <w:rFonts w:hint="eastAsia"/>
                <w:b w:val="0"/>
                <w:bCs/>
                <w:color w:val="000000"/>
                <w:spacing w:val="2"/>
                <w:w w:val="16"/>
                <w:shd w:val="solid" w:color="000000" w:fill="000000"/>
                <w:fitText w:val="72" w:id="-629514484"/>
                <w14:textFill>
                  <w14:solidFill>
                    <w14:srgbClr w14:val="000000">
                      <w14:alpha w14:val="100000"/>
                    </w14:srgbClr>
                  </w14:solidFill>
                </w14:textFill>
              </w:rPr>
              <w:t xml:space="preserve">　</w:t>
            </w:r>
          </w:p>
        </w:tc>
        <w:tc>
          <w:tcPr>
            <w:tcW w:w="611" w:type="pct"/>
          </w:tcPr>
          <w:p w14:paraId="6933D36F" w14:textId="1FE88FA0" w:rsidR="00F704BF" w:rsidRPr="006B007B"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3"/>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3"/>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83"/>
                <w14:textFill>
                  <w14:solidFill>
                    <w14:srgbClr w14:val="000000">
                      <w14:alpha w14:val="100000"/>
                    </w14:srgbClr>
                  </w14:solidFill>
                </w14:textFill>
              </w:rPr>
              <w:t xml:space="preserve">　</w:t>
            </w:r>
            <w:r w:rsidR="006B007B">
              <w:rPr>
                <w:b w:val="0"/>
                <w:bCs/>
                <w:vertAlign w:val="superscript"/>
              </w:rPr>
              <w:t>5</w:t>
            </w:r>
          </w:p>
        </w:tc>
        <w:tc>
          <w:tcPr>
            <w:tcW w:w="611" w:type="pct"/>
          </w:tcPr>
          <w:p w14:paraId="04433A65" w14:textId="304070AA" w:rsidR="00F704BF" w:rsidRPr="006B007B"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2"/>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2"/>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82"/>
                <w14:textFill>
                  <w14:solidFill>
                    <w14:srgbClr w14:val="000000">
                      <w14:alpha w14:val="100000"/>
                    </w14:srgbClr>
                  </w14:solidFill>
                </w14:textFill>
              </w:rPr>
              <w:t xml:space="preserve">　</w:t>
            </w:r>
            <w:r w:rsidR="006B007B">
              <w:rPr>
                <w:b w:val="0"/>
                <w:bCs/>
                <w:vertAlign w:val="superscript"/>
              </w:rPr>
              <w:t>5</w:t>
            </w:r>
          </w:p>
        </w:tc>
        <w:tc>
          <w:tcPr>
            <w:tcW w:w="611" w:type="pct"/>
          </w:tcPr>
          <w:p w14:paraId="2223EBD7" w14:textId="427ED697" w:rsidR="00F704BF" w:rsidRPr="006B007B"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1"/>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1"/>
                <w14:textFill>
                  <w14:solidFill>
                    <w14:srgbClr w14:val="000000">
                      <w14:alpha w14:val="100000"/>
                    </w14:srgbClr>
                  </w14:solidFill>
                </w14:textFill>
              </w:rPr>
              <w:t>|</w:t>
            </w:r>
            <w:r w:rsidR="00556852" w:rsidRPr="00556852">
              <w:rPr>
                <w:rFonts w:hint="eastAsia"/>
                <w:b w:val="0"/>
                <w:bCs/>
                <w:color w:val="000000"/>
                <w:w w:val="21"/>
                <w:shd w:val="solid" w:color="000000" w:fill="000000"/>
                <w:fitText w:val="96" w:id="-629514481"/>
                <w14:textFill>
                  <w14:solidFill>
                    <w14:srgbClr w14:val="000000">
                      <w14:alpha w14:val="100000"/>
                    </w14:srgbClr>
                  </w14:solidFill>
                </w14:textFill>
              </w:rPr>
              <w:t xml:space="preserve">　</w:t>
            </w:r>
            <w:r w:rsidR="006B007B">
              <w:rPr>
                <w:b w:val="0"/>
                <w:bCs/>
                <w:vertAlign w:val="superscript"/>
              </w:rPr>
              <w:t>5</w:t>
            </w:r>
          </w:p>
        </w:tc>
      </w:tr>
      <w:tr w:rsidR="00F704BF" w:rsidRPr="00F57392" w14:paraId="123830C0" w14:textId="77777777" w:rsidTr="00CA34FF">
        <w:tc>
          <w:tcPr>
            <w:tcW w:w="1333" w:type="pct"/>
            <w:gridSpan w:val="2"/>
            <w:vAlign w:val="center"/>
          </w:tcPr>
          <w:p w14:paraId="50FCDA47" w14:textId="68BC8D52" w:rsidR="00F704BF" w:rsidRPr="00F57392" w:rsidRDefault="00F704BF" w:rsidP="00F704BF">
            <w:pPr>
              <w:pStyle w:val="COMTabletext"/>
            </w:pPr>
            <w:r w:rsidRPr="00F57392">
              <w:t>Net cost to PBS/RPBS/MBS</w:t>
            </w:r>
            <w:r w:rsidR="00975779" w:rsidRPr="00F57392">
              <w:rPr>
                <w:vertAlign w:val="superscript"/>
              </w:rPr>
              <w:t xml:space="preserve"> a</w:t>
            </w:r>
          </w:p>
        </w:tc>
        <w:tc>
          <w:tcPr>
            <w:tcW w:w="611" w:type="pct"/>
            <w:gridSpan w:val="2"/>
          </w:tcPr>
          <w:p w14:paraId="0F4EB661" w14:textId="260A5D28"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80"/>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80"/>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80"/>
                <w14:textFill>
                  <w14:solidFill>
                    <w14:srgbClr w14:val="000000">
                      <w14:alpha w14:val="100000"/>
                    </w14:srgbClr>
                  </w14:solidFill>
                </w14:textFill>
              </w:rPr>
              <w:t xml:space="preserve">　</w:t>
            </w:r>
            <w:r w:rsidR="00382AA3">
              <w:rPr>
                <w:b w:val="0"/>
                <w:bCs/>
                <w:vertAlign w:val="superscript"/>
              </w:rPr>
              <w:t>4</w:t>
            </w:r>
          </w:p>
        </w:tc>
        <w:tc>
          <w:tcPr>
            <w:tcW w:w="612" w:type="pct"/>
            <w:gridSpan w:val="5"/>
          </w:tcPr>
          <w:p w14:paraId="59B75FE2" w14:textId="6B91212C"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96"/>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96"/>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96"/>
                <w14:textFill>
                  <w14:solidFill>
                    <w14:srgbClr w14:val="000000">
                      <w14:alpha w14:val="100000"/>
                    </w14:srgbClr>
                  </w14:solidFill>
                </w14:textFill>
              </w:rPr>
              <w:t xml:space="preserve">　</w:t>
            </w:r>
            <w:r w:rsidR="00382AA3">
              <w:rPr>
                <w:b w:val="0"/>
                <w:bCs/>
                <w:vertAlign w:val="superscript"/>
              </w:rPr>
              <w:t>4</w:t>
            </w:r>
          </w:p>
        </w:tc>
        <w:tc>
          <w:tcPr>
            <w:tcW w:w="611" w:type="pct"/>
          </w:tcPr>
          <w:p w14:paraId="6AE6473A" w14:textId="210840A6"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95"/>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95"/>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95"/>
                <w14:textFill>
                  <w14:solidFill>
                    <w14:srgbClr w14:val="000000">
                      <w14:alpha w14:val="100000"/>
                    </w14:srgbClr>
                  </w14:solidFill>
                </w14:textFill>
              </w:rPr>
              <w:t xml:space="preserve">　</w:t>
            </w:r>
            <w:r w:rsidR="00382AA3">
              <w:rPr>
                <w:b w:val="0"/>
                <w:bCs/>
                <w:vertAlign w:val="superscript"/>
              </w:rPr>
              <w:t>4</w:t>
            </w:r>
          </w:p>
        </w:tc>
        <w:tc>
          <w:tcPr>
            <w:tcW w:w="611" w:type="pct"/>
          </w:tcPr>
          <w:p w14:paraId="1F476C04" w14:textId="2C53A749"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94"/>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94"/>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94"/>
                <w14:textFill>
                  <w14:solidFill>
                    <w14:srgbClr w14:val="000000">
                      <w14:alpha w14:val="100000"/>
                    </w14:srgbClr>
                  </w14:solidFill>
                </w14:textFill>
              </w:rPr>
              <w:t xml:space="preserve">　</w:t>
            </w:r>
            <w:r w:rsidR="00382AA3">
              <w:rPr>
                <w:b w:val="0"/>
                <w:bCs/>
                <w:vertAlign w:val="superscript"/>
              </w:rPr>
              <w:t>4</w:t>
            </w:r>
          </w:p>
        </w:tc>
        <w:tc>
          <w:tcPr>
            <w:tcW w:w="611" w:type="pct"/>
          </w:tcPr>
          <w:p w14:paraId="12079751" w14:textId="6595E81A"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93"/>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93"/>
                <w14:textFill>
                  <w14:solidFill>
                    <w14:srgbClr w14:val="000000">
                      <w14:alpha w14:val="100000"/>
                    </w14:srgbClr>
                  </w14:solidFill>
                </w14:textFill>
              </w:rPr>
              <w:t>|</w:t>
            </w:r>
            <w:r w:rsidR="00556852" w:rsidRPr="00556852">
              <w:rPr>
                <w:rFonts w:hint="eastAsia"/>
                <w:b w:val="0"/>
                <w:bCs/>
                <w:color w:val="000000"/>
                <w:spacing w:val="5"/>
                <w:w w:val="21"/>
                <w:shd w:val="solid" w:color="000000" w:fill="000000"/>
                <w:fitText w:val="96" w:id="-629514493"/>
                <w14:textFill>
                  <w14:solidFill>
                    <w14:srgbClr w14:val="000000">
                      <w14:alpha w14:val="100000"/>
                    </w14:srgbClr>
                  </w14:solidFill>
                </w14:textFill>
              </w:rPr>
              <w:t xml:space="preserve">　</w:t>
            </w:r>
            <w:r w:rsidR="00382AA3">
              <w:rPr>
                <w:b w:val="0"/>
                <w:bCs/>
                <w:vertAlign w:val="superscript"/>
              </w:rPr>
              <w:t>4</w:t>
            </w:r>
          </w:p>
        </w:tc>
        <w:tc>
          <w:tcPr>
            <w:tcW w:w="611" w:type="pct"/>
          </w:tcPr>
          <w:p w14:paraId="4844CB4D" w14:textId="5179F3AF" w:rsidR="00F704BF" w:rsidRPr="00382AA3" w:rsidRDefault="00F704BF" w:rsidP="00CB37D9">
            <w:pPr>
              <w:pStyle w:val="TableText"/>
              <w:jc w:val="center"/>
              <w:rPr>
                <w:b w:val="0"/>
                <w:bCs/>
                <w:vertAlign w:val="superscript"/>
              </w:rPr>
            </w:pPr>
            <w:r w:rsidRPr="00F57392">
              <w:rPr>
                <w:b w:val="0"/>
                <w:bCs/>
              </w:rPr>
              <w:t>$</w:t>
            </w:r>
            <w:r w:rsidR="00556852" w:rsidRPr="00556852">
              <w:rPr>
                <w:rFonts w:hint="eastAsia"/>
                <w:b w:val="0"/>
                <w:bCs/>
                <w:color w:val="000000"/>
                <w:w w:val="21"/>
                <w:shd w:val="solid" w:color="000000" w:fill="000000"/>
                <w:fitText w:val="96" w:id="-629514492"/>
                <w14:textFill>
                  <w14:solidFill>
                    <w14:srgbClr w14:val="000000">
                      <w14:alpha w14:val="100000"/>
                    </w14:srgbClr>
                  </w14:solidFill>
                </w14:textFill>
              </w:rPr>
              <w:t xml:space="preserve">　</w:t>
            </w:r>
            <w:r w:rsidR="00556852" w:rsidRPr="00556852">
              <w:rPr>
                <w:b w:val="0"/>
                <w:bCs/>
                <w:color w:val="000000"/>
                <w:w w:val="21"/>
                <w:shd w:val="solid" w:color="000000" w:fill="000000"/>
                <w:fitText w:val="96" w:id="-629514492"/>
                <w14:textFill>
                  <w14:solidFill>
                    <w14:srgbClr w14:val="000000">
                      <w14:alpha w14:val="100000"/>
                    </w14:srgbClr>
                  </w14:solidFill>
                </w14:textFill>
              </w:rPr>
              <w:t>|</w:t>
            </w:r>
            <w:r w:rsidR="00556852" w:rsidRPr="00556852">
              <w:rPr>
                <w:rFonts w:hint="eastAsia"/>
                <w:b w:val="0"/>
                <w:bCs/>
                <w:color w:val="000000"/>
                <w:w w:val="21"/>
                <w:shd w:val="solid" w:color="000000" w:fill="000000"/>
                <w:fitText w:val="96" w:id="-629514492"/>
                <w14:textFill>
                  <w14:solidFill>
                    <w14:srgbClr w14:val="000000">
                      <w14:alpha w14:val="100000"/>
                    </w14:srgbClr>
                  </w14:solidFill>
                </w14:textFill>
              </w:rPr>
              <w:t xml:space="preserve">　</w:t>
            </w:r>
            <w:r w:rsidR="00382AA3">
              <w:rPr>
                <w:b w:val="0"/>
                <w:bCs/>
                <w:vertAlign w:val="superscript"/>
              </w:rPr>
              <w:t>4</w:t>
            </w:r>
          </w:p>
        </w:tc>
      </w:tr>
      <w:tr w:rsidR="007E3F2D" w:rsidRPr="00037E3B" w14:paraId="03A1EE2E" w14:textId="77777777" w:rsidTr="00CA34FF">
        <w:tc>
          <w:tcPr>
            <w:tcW w:w="1333" w:type="pct"/>
            <w:gridSpan w:val="2"/>
            <w:tcBorders>
              <w:bottom w:val="single" w:sz="4" w:space="0" w:color="auto"/>
            </w:tcBorders>
            <w:vAlign w:val="center"/>
          </w:tcPr>
          <w:p w14:paraId="5B91EC46" w14:textId="53FBF9E0" w:rsidR="007E3F2D" w:rsidRPr="00037E3B" w:rsidRDefault="007E3F2D" w:rsidP="007E3F2D">
            <w:pPr>
              <w:pStyle w:val="COMTabletext"/>
              <w:rPr>
                <w:b/>
                <w:bCs w:val="0"/>
                <w:vertAlign w:val="superscript"/>
              </w:rPr>
            </w:pPr>
            <w:r w:rsidRPr="00037E3B">
              <w:rPr>
                <w:b/>
                <w:bCs w:val="0"/>
              </w:rPr>
              <w:t>Net cost to PBS/RPBS/MBS (corrected)</w:t>
            </w:r>
            <w:r w:rsidR="00ED04EB" w:rsidRPr="00037E3B">
              <w:rPr>
                <w:b/>
                <w:bCs w:val="0"/>
                <w:vertAlign w:val="superscript"/>
              </w:rPr>
              <w:t xml:space="preserve"> b</w:t>
            </w:r>
          </w:p>
        </w:tc>
        <w:tc>
          <w:tcPr>
            <w:tcW w:w="611" w:type="pct"/>
            <w:gridSpan w:val="2"/>
            <w:tcBorders>
              <w:bottom w:val="single" w:sz="4" w:space="0" w:color="auto"/>
            </w:tcBorders>
            <w:vAlign w:val="center"/>
          </w:tcPr>
          <w:p w14:paraId="08222E66" w14:textId="1CF62B06" w:rsidR="007E3F2D" w:rsidRPr="00382AA3" w:rsidRDefault="007E3F2D" w:rsidP="00CB37D9">
            <w:pPr>
              <w:pStyle w:val="TableText"/>
              <w:jc w:val="center"/>
              <w:rPr>
                <w:vertAlign w:val="superscript"/>
              </w:rPr>
            </w:pPr>
            <w:r w:rsidRPr="00037E3B">
              <w:t>$</w:t>
            </w:r>
            <w:r w:rsidR="00556852" w:rsidRPr="00556852">
              <w:rPr>
                <w:rFonts w:hint="eastAsia"/>
                <w:color w:val="000000"/>
                <w:w w:val="32"/>
                <w:shd w:val="solid" w:color="000000" w:fill="000000"/>
                <w:fitText w:val="144" w:id="-629514240"/>
                <w14:textFill>
                  <w14:solidFill>
                    <w14:srgbClr w14:val="000000">
                      <w14:alpha w14:val="100000"/>
                    </w14:srgbClr>
                  </w14:solidFill>
                </w14:textFill>
              </w:rPr>
              <w:t xml:space="preserve">　</w:t>
            </w:r>
            <w:r w:rsidR="00556852" w:rsidRPr="00556852">
              <w:rPr>
                <w:color w:val="000000"/>
                <w:w w:val="32"/>
                <w:shd w:val="solid" w:color="000000" w:fill="000000"/>
                <w:fitText w:val="144" w:id="-629514240"/>
                <w14:textFill>
                  <w14:solidFill>
                    <w14:srgbClr w14:val="000000">
                      <w14:alpha w14:val="100000"/>
                    </w14:srgbClr>
                  </w14:solidFill>
                </w14:textFill>
              </w:rPr>
              <w:t>|</w:t>
            </w:r>
            <w:r w:rsidR="00556852" w:rsidRPr="00556852">
              <w:rPr>
                <w:rFonts w:hint="eastAsia"/>
                <w:color w:val="000000"/>
                <w:spacing w:val="4"/>
                <w:w w:val="32"/>
                <w:shd w:val="solid" w:color="000000" w:fill="000000"/>
                <w:fitText w:val="144" w:id="-629514240"/>
                <w14:textFill>
                  <w14:solidFill>
                    <w14:srgbClr w14:val="000000">
                      <w14:alpha w14:val="100000"/>
                    </w14:srgbClr>
                  </w14:solidFill>
                </w14:textFill>
              </w:rPr>
              <w:t xml:space="preserve">　</w:t>
            </w:r>
            <w:r w:rsidR="00382AA3">
              <w:rPr>
                <w:vertAlign w:val="superscript"/>
              </w:rPr>
              <w:t>4</w:t>
            </w:r>
          </w:p>
        </w:tc>
        <w:tc>
          <w:tcPr>
            <w:tcW w:w="612" w:type="pct"/>
            <w:gridSpan w:val="5"/>
            <w:tcBorders>
              <w:bottom w:val="single" w:sz="4" w:space="0" w:color="auto"/>
            </w:tcBorders>
            <w:vAlign w:val="center"/>
          </w:tcPr>
          <w:p w14:paraId="225AB7ED" w14:textId="20DB2645" w:rsidR="007E3F2D" w:rsidRPr="00382AA3" w:rsidRDefault="007E3F2D" w:rsidP="00CB37D9">
            <w:pPr>
              <w:pStyle w:val="TableText"/>
              <w:jc w:val="center"/>
              <w:rPr>
                <w:vertAlign w:val="superscript"/>
              </w:rPr>
            </w:pPr>
            <w:r w:rsidRPr="00037E3B">
              <w:t>$</w:t>
            </w:r>
            <w:r w:rsidR="00556852" w:rsidRPr="00556852">
              <w:rPr>
                <w:rFonts w:hint="eastAsia"/>
                <w:color w:val="000000"/>
                <w:w w:val="32"/>
                <w:shd w:val="solid" w:color="000000" w:fill="000000"/>
                <w:fitText w:val="144" w:id="-629514239"/>
                <w14:textFill>
                  <w14:solidFill>
                    <w14:srgbClr w14:val="000000">
                      <w14:alpha w14:val="100000"/>
                    </w14:srgbClr>
                  </w14:solidFill>
                </w14:textFill>
              </w:rPr>
              <w:t xml:space="preserve">　</w:t>
            </w:r>
            <w:r w:rsidR="00556852" w:rsidRPr="00556852">
              <w:rPr>
                <w:color w:val="000000"/>
                <w:w w:val="32"/>
                <w:shd w:val="solid" w:color="000000" w:fill="000000"/>
                <w:fitText w:val="144" w:id="-629514239"/>
                <w14:textFill>
                  <w14:solidFill>
                    <w14:srgbClr w14:val="000000">
                      <w14:alpha w14:val="100000"/>
                    </w14:srgbClr>
                  </w14:solidFill>
                </w14:textFill>
              </w:rPr>
              <w:t>|</w:t>
            </w:r>
            <w:r w:rsidR="00556852" w:rsidRPr="00556852">
              <w:rPr>
                <w:rFonts w:hint="eastAsia"/>
                <w:color w:val="000000"/>
                <w:spacing w:val="4"/>
                <w:w w:val="32"/>
                <w:shd w:val="solid" w:color="000000" w:fill="000000"/>
                <w:fitText w:val="144" w:id="-629514239"/>
                <w14:textFill>
                  <w14:solidFill>
                    <w14:srgbClr w14:val="000000">
                      <w14:alpha w14:val="100000"/>
                    </w14:srgbClr>
                  </w14:solidFill>
                </w14:textFill>
              </w:rPr>
              <w:t xml:space="preserve">　</w:t>
            </w:r>
            <w:r w:rsidR="00382AA3">
              <w:rPr>
                <w:vertAlign w:val="superscript"/>
              </w:rPr>
              <w:t>4</w:t>
            </w:r>
          </w:p>
        </w:tc>
        <w:tc>
          <w:tcPr>
            <w:tcW w:w="611" w:type="pct"/>
            <w:tcBorders>
              <w:bottom w:val="single" w:sz="4" w:space="0" w:color="auto"/>
            </w:tcBorders>
            <w:vAlign w:val="center"/>
          </w:tcPr>
          <w:p w14:paraId="0D4ED3C5" w14:textId="66006982" w:rsidR="007E3F2D" w:rsidRPr="00382AA3" w:rsidRDefault="007E3F2D" w:rsidP="00CB37D9">
            <w:pPr>
              <w:pStyle w:val="TableText"/>
              <w:jc w:val="center"/>
              <w:rPr>
                <w:vertAlign w:val="superscript"/>
              </w:rPr>
            </w:pPr>
            <w:r w:rsidRPr="00037E3B">
              <w:t>$</w:t>
            </w:r>
            <w:r w:rsidR="00556852" w:rsidRPr="00556852">
              <w:rPr>
                <w:rFonts w:hint="eastAsia"/>
                <w:color w:val="000000"/>
                <w:w w:val="32"/>
                <w:shd w:val="solid" w:color="000000" w:fill="000000"/>
                <w:fitText w:val="144" w:id="-629514238"/>
                <w14:textFill>
                  <w14:solidFill>
                    <w14:srgbClr w14:val="000000">
                      <w14:alpha w14:val="100000"/>
                    </w14:srgbClr>
                  </w14:solidFill>
                </w14:textFill>
              </w:rPr>
              <w:t xml:space="preserve">　</w:t>
            </w:r>
            <w:r w:rsidR="00556852" w:rsidRPr="00556852">
              <w:rPr>
                <w:color w:val="000000"/>
                <w:w w:val="32"/>
                <w:shd w:val="solid" w:color="000000" w:fill="000000"/>
                <w:fitText w:val="144" w:id="-629514238"/>
                <w14:textFill>
                  <w14:solidFill>
                    <w14:srgbClr w14:val="000000">
                      <w14:alpha w14:val="100000"/>
                    </w14:srgbClr>
                  </w14:solidFill>
                </w14:textFill>
              </w:rPr>
              <w:t>|</w:t>
            </w:r>
            <w:r w:rsidR="00556852" w:rsidRPr="00556852">
              <w:rPr>
                <w:rFonts w:hint="eastAsia"/>
                <w:color w:val="000000"/>
                <w:spacing w:val="4"/>
                <w:w w:val="32"/>
                <w:shd w:val="solid" w:color="000000" w:fill="000000"/>
                <w:fitText w:val="144" w:id="-629514238"/>
                <w14:textFill>
                  <w14:solidFill>
                    <w14:srgbClr w14:val="000000">
                      <w14:alpha w14:val="100000"/>
                    </w14:srgbClr>
                  </w14:solidFill>
                </w14:textFill>
              </w:rPr>
              <w:t xml:space="preserve">　</w:t>
            </w:r>
            <w:r w:rsidR="00382AA3">
              <w:rPr>
                <w:vertAlign w:val="superscript"/>
              </w:rPr>
              <w:t>4</w:t>
            </w:r>
          </w:p>
        </w:tc>
        <w:tc>
          <w:tcPr>
            <w:tcW w:w="611" w:type="pct"/>
            <w:tcBorders>
              <w:bottom w:val="single" w:sz="4" w:space="0" w:color="auto"/>
            </w:tcBorders>
            <w:vAlign w:val="center"/>
          </w:tcPr>
          <w:p w14:paraId="241EE9C9" w14:textId="048CD727" w:rsidR="007E3F2D" w:rsidRPr="00382AA3" w:rsidRDefault="007E3F2D" w:rsidP="00CB37D9">
            <w:pPr>
              <w:pStyle w:val="TableText"/>
              <w:jc w:val="center"/>
              <w:rPr>
                <w:vertAlign w:val="superscript"/>
              </w:rPr>
            </w:pPr>
            <w:r w:rsidRPr="00037E3B">
              <w:t>$</w:t>
            </w:r>
            <w:r w:rsidR="00556852" w:rsidRPr="00556852">
              <w:rPr>
                <w:rFonts w:hint="eastAsia"/>
                <w:color w:val="000000"/>
                <w:w w:val="32"/>
                <w:shd w:val="solid" w:color="000000" w:fill="000000"/>
                <w:fitText w:val="144" w:id="-629514237"/>
                <w14:textFill>
                  <w14:solidFill>
                    <w14:srgbClr w14:val="000000">
                      <w14:alpha w14:val="100000"/>
                    </w14:srgbClr>
                  </w14:solidFill>
                </w14:textFill>
              </w:rPr>
              <w:t xml:space="preserve">　</w:t>
            </w:r>
            <w:r w:rsidR="00556852" w:rsidRPr="00556852">
              <w:rPr>
                <w:color w:val="000000"/>
                <w:w w:val="32"/>
                <w:shd w:val="solid" w:color="000000" w:fill="000000"/>
                <w:fitText w:val="144" w:id="-629514237"/>
                <w14:textFill>
                  <w14:solidFill>
                    <w14:srgbClr w14:val="000000">
                      <w14:alpha w14:val="100000"/>
                    </w14:srgbClr>
                  </w14:solidFill>
                </w14:textFill>
              </w:rPr>
              <w:t>|</w:t>
            </w:r>
            <w:r w:rsidR="00556852" w:rsidRPr="00556852">
              <w:rPr>
                <w:rFonts w:hint="eastAsia"/>
                <w:color w:val="000000"/>
                <w:spacing w:val="4"/>
                <w:w w:val="32"/>
                <w:shd w:val="solid" w:color="000000" w:fill="000000"/>
                <w:fitText w:val="144" w:id="-629514237"/>
                <w14:textFill>
                  <w14:solidFill>
                    <w14:srgbClr w14:val="000000">
                      <w14:alpha w14:val="100000"/>
                    </w14:srgbClr>
                  </w14:solidFill>
                </w14:textFill>
              </w:rPr>
              <w:t xml:space="preserve">　</w:t>
            </w:r>
            <w:r w:rsidR="00382AA3">
              <w:rPr>
                <w:vertAlign w:val="superscript"/>
              </w:rPr>
              <w:t>4</w:t>
            </w:r>
          </w:p>
        </w:tc>
        <w:tc>
          <w:tcPr>
            <w:tcW w:w="611" w:type="pct"/>
            <w:tcBorders>
              <w:bottom w:val="single" w:sz="4" w:space="0" w:color="auto"/>
            </w:tcBorders>
            <w:vAlign w:val="center"/>
          </w:tcPr>
          <w:p w14:paraId="50FB86DB" w14:textId="2EAB1273" w:rsidR="007E3F2D" w:rsidRPr="00382AA3" w:rsidRDefault="007E3F2D" w:rsidP="00CB37D9">
            <w:pPr>
              <w:pStyle w:val="TableText"/>
              <w:jc w:val="center"/>
              <w:rPr>
                <w:vertAlign w:val="superscript"/>
              </w:rPr>
            </w:pPr>
            <w:r w:rsidRPr="00037E3B">
              <w:t>$</w:t>
            </w:r>
            <w:r w:rsidR="00556852" w:rsidRPr="00556852">
              <w:rPr>
                <w:rFonts w:hint="eastAsia"/>
                <w:color w:val="000000"/>
                <w:w w:val="32"/>
                <w:shd w:val="solid" w:color="000000" w:fill="000000"/>
                <w:fitText w:val="144" w:id="-629514236"/>
                <w14:textFill>
                  <w14:solidFill>
                    <w14:srgbClr w14:val="000000">
                      <w14:alpha w14:val="100000"/>
                    </w14:srgbClr>
                  </w14:solidFill>
                </w14:textFill>
              </w:rPr>
              <w:t xml:space="preserve">　</w:t>
            </w:r>
            <w:r w:rsidR="00556852" w:rsidRPr="00556852">
              <w:rPr>
                <w:color w:val="000000"/>
                <w:w w:val="32"/>
                <w:shd w:val="solid" w:color="000000" w:fill="000000"/>
                <w:fitText w:val="144" w:id="-629514236"/>
                <w14:textFill>
                  <w14:solidFill>
                    <w14:srgbClr w14:val="000000">
                      <w14:alpha w14:val="100000"/>
                    </w14:srgbClr>
                  </w14:solidFill>
                </w14:textFill>
              </w:rPr>
              <w:t>|</w:t>
            </w:r>
            <w:r w:rsidR="00556852" w:rsidRPr="00556852">
              <w:rPr>
                <w:rFonts w:hint="eastAsia"/>
                <w:color w:val="000000"/>
                <w:spacing w:val="4"/>
                <w:w w:val="32"/>
                <w:shd w:val="solid" w:color="000000" w:fill="000000"/>
                <w:fitText w:val="144" w:id="-629514236"/>
                <w14:textFill>
                  <w14:solidFill>
                    <w14:srgbClr w14:val="000000">
                      <w14:alpha w14:val="100000"/>
                    </w14:srgbClr>
                  </w14:solidFill>
                </w14:textFill>
              </w:rPr>
              <w:t xml:space="preserve">　</w:t>
            </w:r>
            <w:r w:rsidR="00382AA3">
              <w:rPr>
                <w:vertAlign w:val="superscript"/>
              </w:rPr>
              <w:t>4</w:t>
            </w:r>
          </w:p>
        </w:tc>
        <w:tc>
          <w:tcPr>
            <w:tcW w:w="611" w:type="pct"/>
            <w:tcBorders>
              <w:bottom w:val="single" w:sz="4" w:space="0" w:color="auto"/>
            </w:tcBorders>
            <w:vAlign w:val="center"/>
          </w:tcPr>
          <w:p w14:paraId="5C715A4C" w14:textId="28E540F3" w:rsidR="007E3F2D" w:rsidRPr="00382AA3" w:rsidRDefault="007E3F2D" w:rsidP="00CB37D9">
            <w:pPr>
              <w:pStyle w:val="TableText"/>
              <w:jc w:val="center"/>
              <w:rPr>
                <w:vertAlign w:val="superscript"/>
              </w:rPr>
            </w:pPr>
            <w:r w:rsidRPr="00037E3B">
              <w:t>$</w:t>
            </w:r>
            <w:r w:rsidR="00556852" w:rsidRPr="00556852">
              <w:rPr>
                <w:rFonts w:hint="eastAsia"/>
                <w:color w:val="000000"/>
                <w:w w:val="32"/>
                <w:shd w:val="solid" w:color="000000" w:fill="000000"/>
                <w:fitText w:val="144" w:id="-629514235"/>
                <w14:textFill>
                  <w14:solidFill>
                    <w14:srgbClr w14:val="000000">
                      <w14:alpha w14:val="100000"/>
                    </w14:srgbClr>
                  </w14:solidFill>
                </w14:textFill>
              </w:rPr>
              <w:t xml:space="preserve">　</w:t>
            </w:r>
            <w:r w:rsidR="00556852" w:rsidRPr="00556852">
              <w:rPr>
                <w:color w:val="000000"/>
                <w:w w:val="32"/>
                <w:shd w:val="solid" w:color="000000" w:fill="000000"/>
                <w:fitText w:val="144" w:id="-629514235"/>
                <w14:textFill>
                  <w14:solidFill>
                    <w14:srgbClr w14:val="000000">
                      <w14:alpha w14:val="100000"/>
                    </w14:srgbClr>
                  </w14:solidFill>
                </w14:textFill>
              </w:rPr>
              <w:t>|</w:t>
            </w:r>
            <w:r w:rsidR="00556852" w:rsidRPr="00556852">
              <w:rPr>
                <w:rFonts w:hint="eastAsia"/>
                <w:color w:val="000000"/>
                <w:w w:val="32"/>
                <w:shd w:val="solid" w:color="000000" w:fill="000000"/>
                <w:fitText w:val="144" w:id="-629514235"/>
                <w14:textFill>
                  <w14:solidFill>
                    <w14:srgbClr w14:val="000000">
                      <w14:alpha w14:val="100000"/>
                    </w14:srgbClr>
                  </w14:solidFill>
                </w14:textFill>
              </w:rPr>
              <w:t xml:space="preserve">　</w:t>
            </w:r>
            <w:r w:rsidR="00382AA3">
              <w:rPr>
                <w:vertAlign w:val="superscript"/>
              </w:rPr>
              <w:t>4</w:t>
            </w:r>
          </w:p>
        </w:tc>
      </w:tr>
      <w:tr w:rsidR="00C91C1F" w:rsidRPr="00037E3B" w14:paraId="00EB6B95" w14:textId="77777777" w:rsidTr="00CA34FF">
        <w:tc>
          <w:tcPr>
            <w:tcW w:w="2058" w:type="pct"/>
            <w:gridSpan w:val="5"/>
            <w:tcBorders>
              <w:right w:val="nil"/>
            </w:tcBorders>
            <w:vAlign w:val="center"/>
          </w:tcPr>
          <w:p w14:paraId="54A51742" w14:textId="48772159" w:rsidR="00C91C1F" w:rsidRPr="00037E3B" w:rsidRDefault="006B50C5" w:rsidP="007E3F2D">
            <w:pPr>
              <w:pStyle w:val="COMTabletext"/>
              <w:rPr>
                <w:b/>
                <w:bCs w:val="0"/>
              </w:rPr>
            </w:pPr>
            <w:r>
              <w:rPr>
                <w:b/>
                <w:bCs w:val="0"/>
              </w:rPr>
              <w:t>Corrected prevalent population calculations</w:t>
            </w:r>
          </w:p>
        </w:tc>
        <w:tc>
          <w:tcPr>
            <w:tcW w:w="334" w:type="pct"/>
            <w:gridSpan w:val="3"/>
            <w:tcBorders>
              <w:left w:val="nil"/>
              <w:right w:val="nil"/>
            </w:tcBorders>
            <w:vAlign w:val="center"/>
          </w:tcPr>
          <w:p w14:paraId="5C7A2BB2" w14:textId="77777777" w:rsidR="00C91C1F" w:rsidRPr="00037E3B" w:rsidRDefault="00C91C1F" w:rsidP="00CB37D9">
            <w:pPr>
              <w:pStyle w:val="TableText"/>
              <w:jc w:val="center"/>
            </w:pPr>
          </w:p>
        </w:tc>
        <w:tc>
          <w:tcPr>
            <w:tcW w:w="163" w:type="pct"/>
            <w:tcBorders>
              <w:left w:val="nil"/>
              <w:right w:val="nil"/>
            </w:tcBorders>
            <w:vAlign w:val="center"/>
          </w:tcPr>
          <w:p w14:paraId="55EB3B02" w14:textId="77777777" w:rsidR="00C91C1F" w:rsidRPr="00037E3B" w:rsidRDefault="00C91C1F" w:rsidP="00CB37D9">
            <w:pPr>
              <w:pStyle w:val="TableText"/>
              <w:jc w:val="center"/>
            </w:pPr>
          </w:p>
        </w:tc>
        <w:tc>
          <w:tcPr>
            <w:tcW w:w="611" w:type="pct"/>
            <w:tcBorders>
              <w:left w:val="nil"/>
              <w:right w:val="nil"/>
            </w:tcBorders>
            <w:vAlign w:val="center"/>
          </w:tcPr>
          <w:p w14:paraId="3C43926B" w14:textId="77777777" w:rsidR="00C91C1F" w:rsidRPr="00037E3B" w:rsidRDefault="00C91C1F" w:rsidP="00CB37D9">
            <w:pPr>
              <w:pStyle w:val="TableText"/>
              <w:jc w:val="center"/>
            </w:pPr>
          </w:p>
        </w:tc>
        <w:tc>
          <w:tcPr>
            <w:tcW w:w="611" w:type="pct"/>
            <w:tcBorders>
              <w:left w:val="nil"/>
              <w:right w:val="nil"/>
            </w:tcBorders>
            <w:vAlign w:val="center"/>
          </w:tcPr>
          <w:p w14:paraId="0754F2C8" w14:textId="77777777" w:rsidR="00C91C1F" w:rsidRPr="00037E3B" w:rsidRDefault="00C91C1F" w:rsidP="00CB37D9">
            <w:pPr>
              <w:pStyle w:val="TableText"/>
              <w:jc w:val="center"/>
            </w:pPr>
          </w:p>
        </w:tc>
        <w:tc>
          <w:tcPr>
            <w:tcW w:w="611" w:type="pct"/>
            <w:tcBorders>
              <w:left w:val="nil"/>
              <w:right w:val="nil"/>
            </w:tcBorders>
            <w:vAlign w:val="center"/>
          </w:tcPr>
          <w:p w14:paraId="60F2A950" w14:textId="77777777" w:rsidR="00C91C1F" w:rsidRPr="00037E3B" w:rsidRDefault="00C91C1F" w:rsidP="00CB37D9">
            <w:pPr>
              <w:pStyle w:val="TableText"/>
              <w:jc w:val="center"/>
            </w:pPr>
          </w:p>
        </w:tc>
        <w:tc>
          <w:tcPr>
            <w:tcW w:w="611" w:type="pct"/>
            <w:tcBorders>
              <w:left w:val="nil"/>
            </w:tcBorders>
            <w:vAlign w:val="center"/>
          </w:tcPr>
          <w:p w14:paraId="585646EA" w14:textId="77777777" w:rsidR="00C91C1F" w:rsidRPr="00037E3B" w:rsidRDefault="00C91C1F" w:rsidP="00CB37D9">
            <w:pPr>
              <w:pStyle w:val="TableText"/>
              <w:jc w:val="center"/>
            </w:pPr>
          </w:p>
        </w:tc>
      </w:tr>
      <w:tr w:rsidR="00CA34FF" w:rsidRPr="00037E3B" w14:paraId="47A8EC57" w14:textId="77777777" w:rsidTr="00990765">
        <w:tc>
          <w:tcPr>
            <w:tcW w:w="1325" w:type="pct"/>
            <w:tcBorders>
              <w:bottom w:val="single" w:sz="4" w:space="0" w:color="auto"/>
            </w:tcBorders>
            <w:vAlign w:val="center"/>
          </w:tcPr>
          <w:p w14:paraId="1DB8CB3E" w14:textId="673131E0" w:rsidR="00CA34FF" w:rsidRDefault="00CA34FF" w:rsidP="00CA34FF">
            <w:pPr>
              <w:pStyle w:val="COMTabletext"/>
              <w:rPr>
                <w:b/>
                <w:bCs w:val="0"/>
              </w:rPr>
            </w:pPr>
            <w:r w:rsidRPr="009872A8">
              <w:t>Prevalent population</w:t>
            </w:r>
            <w:r w:rsidR="00197BB3">
              <w:rPr>
                <w:vertAlign w:val="superscript"/>
              </w:rPr>
              <w:t>c</w:t>
            </w:r>
          </w:p>
        </w:tc>
        <w:tc>
          <w:tcPr>
            <w:tcW w:w="599" w:type="pct"/>
            <w:gridSpan w:val="2"/>
            <w:tcBorders>
              <w:bottom w:val="single" w:sz="4" w:space="0" w:color="auto"/>
            </w:tcBorders>
            <w:vAlign w:val="center"/>
          </w:tcPr>
          <w:p w14:paraId="5559CBFC" w14:textId="7F188E21"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60" w:id="-629514234"/>
                <w14:textFill>
                  <w14:solidFill>
                    <w14:srgbClr w14:val="000000">
                      <w14:alpha w14:val="100000"/>
                    </w14:srgbClr>
                  </w14:solidFill>
                </w14:textFill>
              </w:rPr>
              <w:t xml:space="preserve">　</w:t>
            </w:r>
            <w:r w:rsidRPr="00556852">
              <w:rPr>
                <w:b w:val="0"/>
                <w:bCs/>
                <w:color w:val="000000"/>
                <w:w w:val="15"/>
                <w:shd w:val="solid" w:color="000000" w:fill="000000"/>
                <w:fitText w:val="60" w:id="-629514234"/>
                <w14:textFill>
                  <w14:solidFill>
                    <w14:srgbClr w14:val="000000">
                      <w14:alpha w14:val="100000"/>
                    </w14:srgbClr>
                  </w14:solidFill>
                </w14:textFill>
              </w:rPr>
              <w:t>|</w:t>
            </w:r>
            <w:r w:rsidRPr="00556852">
              <w:rPr>
                <w:rFonts w:hint="eastAsia"/>
                <w:b w:val="0"/>
                <w:bCs/>
                <w:color w:val="000000"/>
                <w:spacing w:val="-5"/>
                <w:w w:val="15"/>
                <w:shd w:val="solid" w:color="000000" w:fill="000000"/>
                <w:fitText w:val="60" w:id="-629514234"/>
                <w14:textFill>
                  <w14:solidFill>
                    <w14:srgbClr w14:val="000000">
                      <w14:alpha w14:val="100000"/>
                    </w14:srgbClr>
                  </w14:solidFill>
                </w14:textFill>
              </w:rPr>
              <w:t xml:space="preserve">　</w:t>
            </w:r>
            <w:r w:rsidR="006A0D7B" w:rsidRPr="00325A67">
              <w:rPr>
                <w:b w:val="0"/>
                <w:bCs/>
                <w:vertAlign w:val="superscript"/>
              </w:rPr>
              <w:t>3</w:t>
            </w:r>
          </w:p>
        </w:tc>
        <w:tc>
          <w:tcPr>
            <w:tcW w:w="632" w:type="pct"/>
            <w:gridSpan w:val="6"/>
            <w:tcBorders>
              <w:bottom w:val="single" w:sz="4" w:space="0" w:color="auto"/>
            </w:tcBorders>
            <w:vAlign w:val="center"/>
          </w:tcPr>
          <w:p w14:paraId="70F360CE" w14:textId="13476A3F"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36" w:id="-629514233"/>
                <w14:textFill>
                  <w14:solidFill>
                    <w14:srgbClr w14:val="000000">
                      <w14:alpha w14:val="100000"/>
                    </w14:srgbClr>
                  </w14:solidFill>
                </w14:textFill>
              </w:rPr>
              <w:t xml:space="preserve">　</w:t>
            </w:r>
            <w:r w:rsidRPr="00556852">
              <w:rPr>
                <w:b w:val="0"/>
                <w:bCs/>
                <w:color w:val="000000"/>
                <w:w w:val="15"/>
                <w:shd w:val="solid" w:color="000000" w:fill="000000"/>
                <w:fitText w:val="36" w:id="-629514233"/>
                <w14:textFill>
                  <w14:solidFill>
                    <w14:srgbClr w14:val="000000">
                      <w14:alpha w14:val="100000"/>
                    </w14:srgbClr>
                  </w14:solidFill>
                </w14:textFill>
              </w:rPr>
              <w:t>|</w:t>
            </w:r>
            <w:r w:rsidRPr="00556852">
              <w:rPr>
                <w:rFonts w:hint="eastAsia"/>
                <w:b w:val="0"/>
                <w:bCs/>
                <w:color w:val="000000"/>
                <w:spacing w:val="-29"/>
                <w:w w:val="15"/>
                <w:shd w:val="solid" w:color="000000" w:fill="000000"/>
                <w:fitText w:val="36" w:id="-629514233"/>
                <w14:textFill>
                  <w14:solidFill>
                    <w14:srgbClr w14:val="000000">
                      <w14:alpha w14:val="100000"/>
                    </w14:srgbClr>
                  </w14:solidFill>
                </w14:textFill>
              </w:rPr>
              <w:t xml:space="preserve">　</w:t>
            </w:r>
            <w:r w:rsidR="006A0D7B" w:rsidRPr="00325A67">
              <w:rPr>
                <w:b w:val="0"/>
                <w:bCs/>
                <w:vertAlign w:val="superscript"/>
              </w:rPr>
              <w:t>3</w:t>
            </w:r>
          </w:p>
        </w:tc>
        <w:tc>
          <w:tcPr>
            <w:tcW w:w="611" w:type="pct"/>
            <w:tcBorders>
              <w:bottom w:val="single" w:sz="4" w:space="0" w:color="auto"/>
            </w:tcBorders>
            <w:vAlign w:val="center"/>
          </w:tcPr>
          <w:p w14:paraId="43D5AC02" w14:textId="7475787E"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48" w:id="-629514232"/>
                <w14:textFill>
                  <w14:solidFill>
                    <w14:srgbClr w14:val="000000">
                      <w14:alpha w14:val="100000"/>
                    </w14:srgbClr>
                  </w14:solidFill>
                </w14:textFill>
              </w:rPr>
              <w:t xml:space="preserve">　</w:t>
            </w:r>
            <w:r w:rsidRPr="00556852">
              <w:rPr>
                <w:b w:val="0"/>
                <w:bCs/>
                <w:color w:val="000000"/>
                <w:w w:val="15"/>
                <w:shd w:val="solid" w:color="000000" w:fill="000000"/>
                <w:fitText w:val="48" w:id="-629514232"/>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232"/>
                <w14:textFill>
                  <w14:solidFill>
                    <w14:srgbClr w14:val="000000">
                      <w14:alpha w14:val="100000"/>
                    </w14:srgbClr>
                  </w14:solidFill>
                </w14:textFill>
              </w:rPr>
              <w:t xml:space="preserve">　</w:t>
            </w:r>
            <w:r w:rsidR="006A0D7B" w:rsidRPr="00325A67">
              <w:rPr>
                <w:b w:val="0"/>
                <w:bCs/>
                <w:vertAlign w:val="superscript"/>
              </w:rPr>
              <w:t>3</w:t>
            </w:r>
          </w:p>
        </w:tc>
        <w:tc>
          <w:tcPr>
            <w:tcW w:w="611" w:type="pct"/>
            <w:tcBorders>
              <w:bottom w:val="single" w:sz="4" w:space="0" w:color="auto"/>
            </w:tcBorders>
            <w:vAlign w:val="center"/>
          </w:tcPr>
          <w:p w14:paraId="7734953A" w14:textId="18F07EDC"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48" w:id="-629514231"/>
                <w14:textFill>
                  <w14:solidFill>
                    <w14:srgbClr w14:val="000000">
                      <w14:alpha w14:val="100000"/>
                    </w14:srgbClr>
                  </w14:solidFill>
                </w14:textFill>
              </w:rPr>
              <w:t xml:space="preserve">　</w:t>
            </w:r>
            <w:r w:rsidRPr="00556852">
              <w:rPr>
                <w:b w:val="0"/>
                <w:bCs/>
                <w:color w:val="000000"/>
                <w:w w:val="15"/>
                <w:shd w:val="solid" w:color="000000" w:fill="000000"/>
                <w:fitText w:val="48" w:id="-629514231"/>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231"/>
                <w14:textFill>
                  <w14:solidFill>
                    <w14:srgbClr w14:val="000000">
                      <w14:alpha w14:val="100000"/>
                    </w14:srgbClr>
                  </w14:solidFill>
                </w14:textFill>
              </w:rPr>
              <w:t xml:space="preserve">　</w:t>
            </w:r>
            <w:r w:rsidR="006A0D7B" w:rsidRPr="00325A67">
              <w:rPr>
                <w:b w:val="0"/>
                <w:bCs/>
                <w:vertAlign w:val="superscript"/>
              </w:rPr>
              <w:t>3</w:t>
            </w:r>
          </w:p>
        </w:tc>
        <w:tc>
          <w:tcPr>
            <w:tcW w:w="611" w:type="pct"/>
            <w:tcBorders>
              <w:bottom w:val="single" w:sz="4" w:space="0" w:color="auto"/>
            </w:tcBorders>
            <w:vAlign w:val="center"/>
          </w:tcPr>
          <w:p w14:paraId="374DBD5E" w14:textId="390C1AFB"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48" w:id="-629514230"/>
                <w14:textFill>
                  <w14:solidFill>
                    <w14:srgbClr w14:val="000000">
                      <w14:alpha w14:val="100000"/>
                    </w14:srgbClr>
                  </w14:solidFill>
                </w14:textFill>
              </w:rPr>
              <w:t xml:space="preserve">　</w:t>
            </w:r>
            <w:r w:rsidRPr="00556852">
              <w:rPr>
                <w:b w:val="0"/>
                <w:bCs/>
                <w:color w:val="000000"/>
                <w:w w:val="15"/>
                <w:shd w:val="solid" w:color="000000" w:fill="000000"/>
                <w:fitText w:val="48" w:id="-629514230"/>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230"/>
                <w14:textFill>
                  <w14:solidFill>
                    <w14:srgbClr w14:val="000000">
                      <w14:alpha w14:val="100000"/>
                    </w14:srgbClr>
                  </w14:solidFill>
                </w14:textFill>
              </w:rPr>
              <w:t xml:space="preserve">　</w:t>
            </w:r>
            <w:r w:rsidR="006A0D7B" w:rsidRPr="00325A67">
              <w:rPr>
                <w:b w:val="0"/>
                <w:bCs/>
                <w:vertAlign w:val="superscript"/>
              </w:rPr>
              <w:t>3</w:t>
            </w:r>
          </w:p>
        </w:tc>
        <w:tc>
          <w:tcPr>
            <w:tcW w:w="611" w:type="pct"/>
            <w:tcBorders>
              <w:bottom w:val="single" w:sz="4" w:space="0" w:color="auto"/>
            </w:tcBorders>
          </w:tcPr>
          <w:p w14:paraId="3C669D2F" w14:textId="32690D1B"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48" w:id="-629514229"/>
                <w14:textFill>
                  <w14:solidFill>
                    <w14:srgbClr w14:val="000000">
                      <w14:alpha w14:val="100000"/>
                    </w14:srgbClr>
                  </w14:solidFill>
                </w14:textFill>
              </w:rPr>
              <w:t xml:space="preserve">　</w:t>
            </w:r>
            <w:r w:rsidRPr="00556852">
              <w:rPr>
                <w:b w:val="0"/>
                <w:bCs/>
                <w:color w:val="000000"/>
                <w:w w:val="15"/>
                <w:shd w:val="solid" w:color="000000" w:fill="000000"/>
                <w:fitText w:val="48" w:id="-629514229"/>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229"/>
                <w14:textFill>
                  <w14:solidFill>
                    <w14:srgbClr w14:val="000000">
                      <w14:alpha w14:val="100000"/>
                    </w14:srgbClr>
                  </w14:solidFill>
                </w14:textFill>
              </w:rPr>
              <w:t xml:space="preserve">　</w:t>
            </w:r>
            <w:r w:rsidR="00E02B59" w:rsidRPr="00325A67">
              <w:rPr>
                <w:b w:val="0"/>
                <w:bCs/>
                <w:vertAlign w:val="superscript"/>
              </w:rPr>
              <w:t>3</w:t>
            </w:r>
          </w:p>
        </w:tc>
      </w:tr>
      <w:tr w:rsidR="00CA34FF" w:rsidRPr="00037E3B" w14:paraId="6FB76F8E" w14:textId="77777777" w:rsidTr="00556852">
        <w:tc>
          <w:tcPr>
            <w:tcW w:w="1325" w:type="pct"/>
            <w:tcBorders>
              <w:right w:val="nil"/>
            </w:tcBorders>
            <w:vAlign w:val="center"/>
          </w:tcPr>
          <w:p w14:paraId="03C5E75E" w14:textId="19777CEE" w:rsidR="00CA34FF" w:rsidRDefault="00CA34FF" w:rsidP="00CA34FF">
            <w:pPr>
              <w:pStyle w:val="COMTabletext"/>
              <w:rPr>
                <w:b/>
                <w:bCs w:val="0"/>
              </w:rPr>
            </w:pPr>
            <w:r w:rsidRPr="009872A8">
              <w:t>Estimated extent of use</w:t>
            </w:r>
          </w:p>
        </w:tc>
        <w:tc>
          <w:tcPr>
            <w:tcW w:w="599" w:type="pct"/>
            <w:gridSpan w:val="2"/>
            <w:tcBorders>
              <w:left w:val="nil"/>
              <w:right w:val="nil"/>
            </w:tcBorders>
          </w:tcPr>
          <w:p w14:paraId="5A49C123" w14:textId="77777777" w:rsidR="00CA34FF" w:rsidRPr="006B3D2E" w:rsidRDefault="00CA34FF" w:rsidP="00CA34FF">
            <w:pPr>
              <w:pStyle w:val="TableText"/>
              <w:jc w:val="center"/>
              <w:rPr>
                <w:highlight w:val="darkGray"/>
              </w:rPr>
            </w:pPr>
          </w:p>
        </w:tc>
        <w:tc>
          <w:tcPr>
            <w:tcW w:w="632" w:type="pct"/>
            <w:gridSpan w:val="6"/>
            <w:tcBorders>
              <w:left w:val="nil"/>
              <w:right w:val="nil"/>
            </w:tcBorders>
            <w:vAlign w:val="center"/>
          </w:tcPr>
          <w:p w14:paraId="5A833A33" w14:textId="77777777" w:rsidR="00CA34FF" w:rsidRPr="006B3D2E" w:rsidRDefault="00CA34FF" w:rsidP="00CA34FF">
            <w:pPr>
              <w:pStyle w:val="TableText"/>
              <w:jc w:val="center"/>
              <w:rPr>
                <w:highlight w:val="darkGray"/>
              </w:rPr>
            </w:pPr>
          </w:p>
        </w:tc>
        <w:tc>
          <w:tcPr>
            <w:tcW w:w="611" w:type="pct"/>
            <w:tcBorders>
              <w:left w:val="nil"/>
              <w:right w:val="nil"/>
            </w:tcBorders>
            <w:vAlign w:val="center"/>
          </w:tcPr>
          <w:p w14:paraId="775C923D" w14:textId="77777777" w:rsidR="00CA34FF" w:rsidRPr="006B3D2E" w:rsidRDefault="00CA34FF" w:rsidP="00CA34FF">
            <w:pPr>
              <w:pStyle w:val="TableText"/>
              <w:jc w:val="center"/>
              <w:rPr>
                <w:highlight w:val="darkGray"/>
              </w:rPr>
            </w:pPr>
          </w:p>
        </w:tc>
        <w:tc>
          <w:tcPr>
            <w:tcW w:w="611" w:type="pct"/>
            <w:tcBorders>
              <w:left w:val="nil"/>
              <w:right w:val="nil"/>
            </w:tcBorders>
            <w:vAlign w:val="center"/>
          </w:tcPr>
          <w:p w14:paraId="35631497" w14:textId="77777777" w:rsidR="00CA34FF" w:rsidRPr="006B3D2E" w:rsidRDefault="00CA34FF" w:rsidP="00CA34FF">
            <w:pPr>
              <w:pStyle w:val="TableText"/>
              <w:jc w:val="center"/>
              <w:rPr>
                <w:highlight w:val="darkGray"/>
              </w:rPr>
            </w:pPr>
          </w:p>
        </w:tc>
        <w:tc>
          <w:tcPr>
            <w:tcW w:w="611" w:type="pct"/>
            <w:tcBorders>
              <w:left w:val="nil"/>
              <w:bottom w:val="single" w:sz="4" w:space="0" w:color="auto"/>
              <w:right w:val="nil"/>
            </w:tcBorders>
            <w:vAlign w:val="center"/>
          </w:tcPr>
          <w:p w14:paraId="3519A405" w14:textId="77777777" w:rsidR="00CA34FF" w:rsidRPr="006B3D2E" w:rsidRDefault="00CA34FF" w:rsidP="00CA34FF">
            <w:pPr>
              <w:pStyle w:val="TableText"/>
              <w:jc w:val="center"/>
              <w:rPr>
                <w:highlight w:val="darkGray"/>
              </w:rPr>
            </w:pPr>
          </w:p>
        </w:tc>
        <w:tc>
          <w:tcPr>
            <w:tcW w:w="611" w:type="pct"/>
            <w:tcBorders>
              <w:left w:val="nil"/>
              <w:bottom w:val="single" w:sz="4" w:space="0" w:color="auto"/>
            </w:tcBorders>
          </w:tcPr>
          <w:p w14:paraId="33B63261" w14:textId="77777777" w:rsidR="00CA34FF" w:rsidRPr="006B3D2E" w:rsidRDefault="00CA34FF" w:rsidP="00CA34FF">
            <w:pPr>
              <w:pStyle w:val="TableText"/>
              <w:jc w:val="center"/>
              <w:rPr>
                <w:highlight w:val="darkGray"/>
              </w:rPr>
            </w:pPr>
          </w:p>
        </w:tc>
      </w:tr>
      <w:tr w:rsidR="00CA34FF" w:rsidRPr="00037E3B" w14:paraId="4B6CB4C0" w14:textId="77777777" w:rsidTr="00556852">
        <w:tc>
          <w:tcPr>
            <w:tcW w:w="1325" w:type="pct"/>
            <w:tcBorders>
              <w:bottom w:val="single" w:sz="4" w:space="0" w:color="auto"/>
            </w:tcBorders>
            <w:vAlign w:val="center"/>
          </w:tcPr>
          <w:p w14:paraId="5784CBEF" w14:textId="180080F1" w:rsidR="00CA34FF" w:rsidRDefault="00CA34FF" w:rsidP="00CA34FF">
            <w:pPr>
              <w:pStyle w:val="COMTabletext"/>
              <w:rPr>
                <w:b/>
                <w:bCs w:val="0"/>
              </w:rPr>
            </w:pPr>
            <w:r w:rsidRPr="009872A8">
              <w:t>Number of patients treated</w:t>
            </w:r>
          </w:p>
        </w:tc>
        <w:tc>
          <w:tcPr>
            <w:tcW w:w="599" w:type="pct"/>
            <w:gridSpan w:val="2"/>
            <w:tcBorders>
              <w:bottom w:val="single" w:sz="4" w:space="0" w:color="auto"/>
            </w:tcBorders>
          </w:tcPr>
          <w:p w14:paraId="1C906731" w14:textId="51C3A288"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60" w:id="-629514228"/>
                <w14:textFill>
                  <w14:solidFill>
                    <w14:srgbClr w14:val="000000">
                      <w14:alpha w14:val="100000"/>
                    </w14:srgbClr>
                  </w14:solidFill>
                </w14:textFill>
              </w:rPr>
              <w:t xml:space="preserve">　</w:t>
            </w:r>
            <w:r w:rsidRPr="00556852">
              <w:rPr>
                <w:b w:val="0"/>
                <w:bCs/>
                <w:color w:val="000000"/>
                <w:w w:val="15"/>
                <w:shd w:val="solid" w:color="000000" w:fill="000000"/>
                <w:fitText w:val="60" w:id="-629514228"/>
                <w14:textFill>
                  <w14:solidFill>
                    <w14:srgbClr w14:val="000000">
                      <w14:alpha w14:val="100000"/>
                    </w14:srgbClr>
                  </w14:solidFill>
                </w14:textFill>
              </w:rPr>
              <w:t>|</w:t>
            </w:r>
            <w:r w:rsidRPr="00556852">
              <w:rPr>
                <w:rFonts w:hint="eastAsia"/>
                <w:b w:val="0"/>
                <w:bCs/>
                <w:color w:val="000000"/>
                <w:spacing w:val="-5"/>
                <w:w w:val="15"/>
                <w:shd w:val="solid" w:color="000000" w:fill="000000"/>
                <w:fitText w:val="60" w:id="-629514228"/>
                <w14:textFill>
                  <w14:solidFill>
                    <w14:srgbClr w14:val="000000">
                      <w14:alpha w14:val="100000"/>
                    </w14:srgbClr>
                  </w14:solidFill>
                </w14:textFill>
              </w:rPr>
              <w:t xml:space="preserve">　</w:t>
            </w:r>
            <w:r w:rsidR="00325A67" w:rsidRPr="005D7964">
              <w:rPr>
                <w:b w:val="0"/>
                <w:bCs/>
                <w:vertAlign w:val="superscript"/>
              </w:rPr>
              <w:t>1</w:t>
            </w:r>
          </w:p>
        </w:tc>
        <w:tc>
          <w:tcPr>
            <w:tcW w:w="632" w:type="pct"/>
            <w:gridSpan w:val="6"/>
            <w:tcBorders>
              <w:bottom w:val="single" w:sz="4" w:space="0" w:color="auto"/>
            </w:tcBorders>
          </w:tcPr>
          <w:p w14:paraId="6AD394B2" w14:textId="3A7F3A1E"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36" w:id="-629514227"/>
                <w14:textFill>
                  <w14:solidFill>
                    <w14:srgbClr w14:val="000000">
                      <w14:alpha w14:val="100000"/>
                    </w14:srgbClr>
                  </w14:solidFill>
                </w14:textFill>
              </w:rPr>
              <w:t xml:space="preserve">　</w:t>
            </w:r>
            <w:r w:rsidRPr="00556852">
              <w:rPr>
                <w:b w:val="0"/>
                <w:bCs/>
                <w:color w:val="000000"/>
                <w:w w:val="15"/>
                <w:shd w:val="solid" w:color="000000" w:fill="000000"/>
                <w:fitText w:val="36" w:id="-629514227"/>
                <w14:textFill>
                  <w14:solidFill>
                    <w14:srgbClr w14:val="000000">
                      <w14:alpha w14:val="100000"/>
                    </w14:srgbClr>
                  </w14:solidFill>
                </w14:textFill>
              </w:rPr>
              <w:t>|</w:t>
            </w:r>
            <w:r w:rsidRPr="00556852">
              <w:rPr>
                <w:rFonts w:hint="eastAsia"/>
                <w:b w:val="0"/>
                <w:bCs/>
                <w:color w:val="000000"/>
                <w:spacing w:val="-29"/>
                <w:w w:val="15"/>
                <w:shd w:val="solid" w:color="000000" w:fill="000000"/>
                <w:fitText w:val="36" w:id="-629514227"/>
                <w14:textFill>
                  <w14:solidFill>
                    <w14:srgbClr w14:val="000000">
                      <w14:alpha w14:val="100000"/>
                    </w14:srgbClr>
                  </w14:solidFill>
                </w14:textFill>
              </w:rPr>
              <w:t xml:space="preserve">　</w:t>
            </w:r>
            <w:r w:rsidR="00325A67" w:rsidRPr="005D7964">
              <w:rPr>
                <w:b w:val="0"/>
                <w:bCs/>
                <w:vertAlign w:val="superscript"/>
              </w:rPr>
              <w:t>1</w:t>
            </w:r>
          </w:p>
        </w:tc>
        <w:tc>
          <w:tcPr>
            <w:tcW w:w="611" w:type="pct"/>
            <w:tcBorders>
              <w:bottom w:val="single" w:sz="4" w:space="0" w:color="auto"/>
            </w:tcBorders>
          </w:tcPr>
          <w:p w14:paraId="51FC5EF5" w14:textId="426B5F72" w:rsidR="00CA34FF" w:rsidRPr="006B3D2E" w:rsidRDefault="00556852" w:rsidP="00CA34FF">
            <w:pPr>
              <w:pStyle w:val="TableText"/>
              <w:jc w:val="center"/>
              <w:rPr>
                <w:highlight w:val="darkGray"/>
              </w:rPr>
            </w:pPr>
            <w:r w:rsidRPr="00556852">
              <w:rPr>
                <w:rFonts w:hint="eastAsia"/>
                <w:b w:val="0"/>
                <w:bCs/>
                <w:color w:val="000000"/>
                <w:w w:val="15"/>
                <w:shd w:val="solid" w:color="000000" w:fill="000000"/>
                <w:fitText w:val="48" w:id="-629514226"/>
                <w14:textFill>
                  <w14:solidFill>
                    <w14:srgbClr w14:val="000000">
                      <w14:alpha w14:val="100000"/>
                    </w14:srgbClr>
                  </w14:solidFill>
                </w14:textFill>
              </w:rPr>
              <w:t xml:space="preserve">　</w:t>
            </w:r>
            <w:r w:rsidRPr="00556852">
              <w:rPr>
                <w:b w:val="0"/>
                <w:bCs/>
                <w:color w:val="000000"/>
                <w:w w:val="15"/>
                <w:shd w:val="solid" w:color="000000" w:fill="000000"/>
                <w:fitText w:val="48" w:id="-629514226"/>
                <w14:textFill>
                  <w14:solidFill>
                    <w14:srgbClr w14:val="000000">
                      <w14:alpha w14:val="100000"/>
                    </w14:srgbClr>
                  </w14:solidFill>
                </w14:textFill>
              </w:rPr>
              <w:t>|</w:t>
            </w:r>
            <w:r w:rsidRPr="00556852">
              <w:rPr>
                <w:rFonts w:hint="eastAsia"/>
                <w:b w:val="0"/>
                <w:bCs/>
                <w:color w:val="000000"/>
                <w:spacing w:val="-17"/>
                <w:w w:val="15"/>
                <w:shd w:val="solid" w:color="000000" w:fill="000000"/>
                <w:fitText w:val="48" w:id="-629514226"/>
                <w14:textFill>
                  <w14:solidFill>
                    <w14:srgbClr w14:val="000000">
                      <w14:alpha w14:val="100000"/>
                    </w14:srgbClr>
                  </w14:solidFill>
                </w14:textFill>
              </w:rPr>
              <w:t xml:space="preserve">　</w:t>
            </w:r>
            <w:r w:rsidR="00E02B59" w:rsidRPr="00325A67">
              <w:rPr>
                <w:b w:val="0"/>
                <w:bCs/>
                <w:vertAlign w:val="superscript"/>
              </w:rPr>
              <w:t>3</w:t>
            </w:r>
          </w:p>
        </w:tc>
        <w:tc>
          <w:tcPr>
            <w:tcW w:w="611" w:type="pct"/>
            <w:tcBorders>
              <w:bottom w:val="single" w:sz="4" w:space="0" w:color="auto"/>
            </w:tcBorders>
          </w:tcPr>
          <w:p w14:paraId="59D3C53A" w14:textId="3E856837" w:rsidR="00CA34FF" w:rsidRPr="006B3D2E" w:rsidRDefault="00556852" w:rsidP="00CA34FF">
            <w:pPr>
              <w:pStyle w:val="TableText"/>
              <w:jc w:val="center"/>
              <w:rPr>
                <w:highlight w:val="darkGray"/>
              </w:rPr>
            </w:pPr>
            <w:r w:rsidRPr="00556852">
              <w:rPr>
                <w:b w:val="0"/>
                <w:bCs/>
                <w:color w:val="000000"/>
                <w:spacing w:val="178"/>
                <w:shd w:val="solid" w:color="000000" w:fill="000000"/>
                <w:fitText w:val="264" w:id="-629514225"/>
                <w14:textFill>
                  <w14:solidFill>
                    <w14:srgbClr w14:val="000000">
                      <w14:alpha w14:val="100000"/>
                    </w14:srgbClr>
                  </w14:solidFill>
                </w14:textFill>
              </w:rPr>
              <w:t>|</w:t>
            </w:r>
            <w:r w:rsidRPr="00556852">
              <w:rPr>
                <w:b w:val="0"/>
                <w:bCs/>
                <w:color w:val="000000"/>
                <w:spacing w:val="1"/>
                <w:shd w:val="solid" w:color="000000" w:fill="000000"/>
                <w:fitText w:val="264" w:id="-629514225"/>
                <w14:textFill>
                  <w14:solidFill>
                    <w14:srgbClr w14:val="000000">
                      <w14:alpha w14:val="100000"/>
                    </w14:srgbClr>
                  </w14:solidFill>
                </w14:textFill>
              </w:rPr>
              <w:t>|</w:t>
            </w:r>
            <w:r w:rsidR="00E02B59" w:rsidRPr="00325A67">
              <w:rPr>
                <w:b w:val="0"/>
                <w:bCs/>
                <w:vertAlign w:val="superscript"/>
              </w:rPr>
              <w:t>3</w:t>
            </w:r>
            <w:r w:rsidRPr="00556852">
              <w:rPr>
                <w:b w:val="0"/>
                <w:bCs/>
                <w:color w:val="000000"/>
                <w:spacing w:val="94"/>
                <w:shd w:val="solid" w:color="000000" w:fill="000000"/>
                <w:fitText w:val="180" w:id="-629514224"/>
                <w14:textFill>
                  <w14:solidFill>
                    <w14:srgbClr w14:val="000000">
                      <w14:alpha w14:val="100000"/>
                    </w14:srgbClr>
                  </w14:solidFill>
                </w14:textFill>
              </w:rPr>
              <w:t>|</w:t>
            </w:r>
            <w:r w:rsidRPr="00556852">
              <w:rPr>
                <w:b w:val="0"/>
                <w:bCs/>
                <w:color w:val="000000"/>
                <w:spacing w:val="1"/>
                <w:shd w:val="solid" w:color="000000" w:fill="000000"/>
                <w:fitText w:val="180" w:id="-629514224"/>
                <w14:textFill>
                  <w14:solidFill>
                    <w14:srgbClr w14:val="000000">
                      <w14:alpha w14:val="100000"/>
                    </w14:srgbClr>
                  </w14:solidFill>
                </w14:textFill>
              </w:rPr>
              <w:t>|</w:t>
            </w:r>
          </w:p>
        </w:tc>
        <w:tc>
          <w:tcPr>
            <w:tcW w:w="611" w:type="pct"/>
            <w:tcBorders>
              <w:bottom w:val="single" w:sz="4" w:space="0" w:color="auto"/>
            </w:tcBorders>
            <w:shd w:val="solid" w:color="000000" w:fill="000000"/>
          </w:tcPr>
          <w:p w14:paraId="2C423550" w14:textId="54F9D7AB" w:rsidR="00CA34FF" w:rsidRPr="006B3D2E" w:rsidRDefault="00556852" w:rsidP="00CA34FF">
            <w:pPr>
              <w:pStyle w:val="TableText"/>
              <w:jc w:val="center"/>
              <w:rPr>
                <w:highlight w:val="darkGray"/>
              </w:rPr>
            </w:pPr>
            <w:r w:rsidRPr="00556852">
              <w:rPr>
                <w:rFonts w:hint="eastAsia"/>
                <w:b w:val="0"/>
                <w:bCs/>
                <w:color w:val="000000"/>
                <w:w w:val="15"/>
                <w:fitText w:val="36" w:id="-629514240"/>
                <w14:textFill>
                  <w14:solidFill>
                    <w14:srgbClr w14:val="000000">
                      <w14:alpha w14:val="100000"/>
                    </w14:srgbClr>
                  </w14:solidFill>
                </w14:textFill>
              </w:rPr>
              <w:t xml:space="preserve">　</w:t>
            </w:r>
            <w:r w:rsidRPr="00556852">
              <w:rPr>
                <w:b w:val="0"/>
                <w:bCs/>
                <w:color w:val="000000"/>
                <w:w w:val="15"/>
                <w:fitText w:val="36" w:id="-629514240"/>
                <w14:textFill>
                  <w14:solidFill>
                    <w14:srgbClr w14:val="000000">
                      <w14:alpha w14:val="100000"/>
                    </w14:srgbClr>
                  </w14:solidFill>
                </w14:textFill>
              </w:rPr>
              <w:t>|</w:t>
            </w:r>
            <w:r w:rsidRPr="00556852">
              <w:rPr>
                <w:rFonts w:hint="eastAsia"/>
                <w:b w:val="0"/>
                <w:bCs/>
                <w:color w:val="000000"/>
                <w:spacing w:val="-29"/>
                <w:w w:val="15"/>
                <w:fitText w:val="36" w:id="-629514240"/>
                <w14:textFill>
                  <w14:solidFill>
                    <w14:srgbClr w14:val="000000">
                      <w14:alpha w14:val="100000"/>
                    </w14:srgbClr>
                  </w14:solidFill>
                </w14:textFill>
              </w:rPr>
              <w:t xml:space="preserve">　</w:t>
            </w:r>
          </w:p>
        </w:tc>
        <w:tc>
          <w:tcPr>
            <w:tcW w:w="611" w:type="pct"/>
            <w:tcBorders>
              <w:bottom w:val="single" w:sz="4" w:space="0" w:color="auto"/>
            </w:tcBorders>
            <w:shd w:val="solid" w:color="000000" w:fill="000000"/>
          </w:tcPr>
          <w:p w14:paraId="0303FF7B" w14:textId="587805BF" w:rsidR="00CA34FF" w:rsidRPr="006B3D2E" w:rsidRDefault="00556852" w:rsidP="00CA34FF">
            <w:pPr>
              <w:pStyle w:val="TableText"/>
              <w:jc w:val="center"/>
              <w:rPr>
                <w:highlight w:val="darkGray"/>
              </w:rPr>
            </w:pPr>
            <w:r w:rsidRPr="00556852">
              <w:rPr>
                <w:rFonts w:hint="eastAsia"/>
                <w:b w:val="0"/>
                <w:bCs/>
                <w:color w:val="000000"/>
                <w:w w:val="15"/>
                <w:fitText w:val="36" w:id="-629514239"/>
                <w14:textFill>
                  <w14:solidFill>
                    <w14:srgbClr w14:val="000000">
                      <w14:alpha w14:val="100000"/>
                    </w14:srgbClr>
                  </w14:solidFill>
                </w14:textFill>
              </w:rPr>
              <w:t xml:space="preserve">　</w:t>
            </w:r>
            <w:r w:rsidRPr="00556852">
              <w:rPr>
                <w:b w:val="0"/>
                <w:bCs/>
                <w:color w:val="000000"/>
                <w:w w:val="15"/>
                <w:fitText w:val="36" w:id="-629514239"/>
                <w14:textFill>
                  <w14:solidFill>
                    <w14:srgbClr w14:val="000000">
                      <w14:alpha w14:val="100000"/>
                    </w14:srgbClr>
                  </w14:solidFill>
                </w14:textFill>
              </w:rPr>
              <w:t>|</w:t>
            </w:r>
            <w:r w:rsidRPr="00556852">
              <w:rPr>
                <w:rFonts w:hint="eastAsia"/>
                <w:b w:val="0"/>
                <w:bCs/>
                <w:color w:val="000000"/>
                <w:spacing w:val="-29"/>
                <w:w w:val="15"/>
                <w:fitText w:val="36" w:id="-629514239"/>
                <w14:textFill>
                  <w14:solidFill>
                    <w14:srgbClr w14:val="000000">
                      <w14:alpha w14:val="100000"/>
                    </w14:srgbClr>
                  </w14:solidFill>
                </w14:textFill>
              </w:rPr>
              <w:t xml:space="preserve">　</w:t>
            </w:r>
          </w:p>
        </w:tc>
      </w:tr>
      <w:tr w:rsidR="00CA34FF" w:rsidRPr="00037E3B" w14:paraId="5DD55730" w14:textId="77777777" w:rsidTr="00990765">
        <w:tc>
          <w:tcPr>
            <w:tcW w:w="2127" w:type="pct"/>
            <w:gridSpan w:val="6"/>
            <w:tcBorders>
              <w:right w:val="nil"/>
            </w:tcBorders>
            <w:vAlign w:val="center"/>
          </w:tcPr>
          <w:p w14:paraId="7DA2EAF8" w14:textId="7132D4C2" w:rsidR="00CA34FF" w:rsidRDefault="00CA34FF" w:rsidP="00CA34FF">
            <w:pPr>
              <w:pStyle w:val="COMTabletext"/>
              <w:rPr>
                <w:b/>
                <w:bCs w:val="0"/>
              </w:rPr>
            </w:pPr>
            <w:r w:rsidRPr="009872A8">
              <w:t>Estimated financial implications of vorasidenib</w:t>
            </w:r>
          </w:p>
        </w:tc>
        <w:tc>
          <w:tcPr>
            <w:tcW w:w="199" w:type="pct"/>
            <w:tcBorders>
              <w:left w:val="nil"/>
              <w:right w:val="nil"/>
            </w:tcBorders>
          </w:tcPr>
          <w:p w14:paraId="6E1D1584" w14:textId="77777777" w:rsidR="00CA34FF" w:rsidRPr="00037E3B" w:rsidRDefault="00CA34FF" w:rsidP="00CA34FF">
            <w:pPr>
              <w:pStyle w:val="TableText"/>
              <w:jc w:val="center"/>
            </w:pPr>
          </w:p>
        </w:tc>
        <w:tc>
          <w:tcPr>
            <w:tcW w:w="230" w:type="pct"/>
            <w:gridSpan w:val="2"/>
            <w:tcBorders>
              <w:left w:val="nil"/>
              <w:right w:val="nil"/>
            </w:tcBorders>
          </w:tcPr>
          <w:p w14:paraId="6CCF58AB" w14:textId="77777777" w:rsidR="00CA34FF" w:rsidRPr="00037E3B" w:rsidRDefault="00CA34FF" w:rsidP="00CA34FF">
            <w:pPr>
              <w:pStyle w:val="TableText"/>
              <w:jc w:val="center"/>
            </w:pPr>
          </w:p>
        </w:tc>
        <w:tc>
          <w:tcPr>
            <w:tcW w:w="611" w:type="pct"/>
            <w:tcBorders>
              <w:left w:val="nil"/>
              <w:right w:val="nil"/>
            </w:tcBorders>
          </w:tcPr>
          <w:p w14:paraId="698991BA" w14:textId="77777777" w:rsidR="00CA34FF" w:rsidRPr="00037E3B" w:rsidRDefault="00CA34FF" w:rsidP="00CA34FF">
            <w:pPr>
              <w:pStyle w:val="TableText"/>
              <w:jc w:val="center"/>
            </w:pPr>
          </w:p>
        </w:tc>
        <w:tc>
          <w:tcPr>
            <w:tcW w:w="611" w:type="pct"/>
            <w:tcBorders>
              <w:left w:val="nil"/>
              <w:right w:val="nil"/>
            </w:tcBorders>
          </w:tcPr>
          <w:p w14:paraId="5DA88547" w14:textId="77777777" w:rsidR="00CA34FF" w:rsidRPr="00037E3B" w:rsidRDefault="00CA34FF" w:rsidP="00CA34FF">
            <w:pPr>
              <w:pStyle w:val="TableText"/>
              <w:jc w:val="center"/>
            </w:pPr>
          </w:p>
        </w:tc>
        <w:tc>
          <w:tcPr>
            <w:tcW w:w="611" w:type="pct"/>
            <w:tcBorders>
              <w:left w:val="nil"/>
              <w:right w:val="nil"/>
            </w:tcBorders>
          </w:tcPr>
          <w:p w14:paraId="250DE689" w14:textId="77777777" w:rsidR="00CA34FF" w:rsidRPr="00037E3B" w:rsidRDefault="00CA34FF" w:rsidP="00CA34FF">
            <w:pPr>
              <w:pStyle w:val="TableText"/>
              <w:jc w:val="center"/>
            </w:pPr>
          </w:p>
        </w:tc>
        <w:tc>
          <w:tcPr>
            <w:tcW w:w="611" w:type="pct"/>
            <w:tcBorders>
              <w:left w:val="nil"/>
            </w:tcBorders>
          </w:tcPr>
          <w:p w14:paraId="2151E545" w14:textId="77777777" w:rsidR="00CA34FF" w:rsidRPr="00037E3B" w:rsidRDefault="00CA34FF" w:rsidP="00CA34FF">
            <w:pPr>
              <w:pStyle w:val="TableText"/>
              <w:jc w:val="center"/>
            </w:pPr>
          </w:p>
        </w:tc>
      </w:tr>
      <w:tr w:rsidR="00CA34FF" w:rsidRPr="00037E3B" w14:paraId="41DBFB6C" w14:textId="77777777" w:rsidTr="00990765">
        <w:tc>
          <w:tcPr>
            <w:tcW w:w="1325" w:type="pct"/>
            <w:vAlign w:val="center"/>
          </w:tcPr>
          <w:p w14:paraId="4C5453F2" w14:textId="02284FAB" w:rsidR="00CA34FF" w:rsidRDefault="00CA34FF" w:rsidP="00CA34FF">
            <w:pPr>
              <w:pStyle w:val="COMTabletext"/>
              <w:rPr>
                <w:b/>
                <w:bCs w:val="0"/>
              </w:rPr>
            </w:pPr>
            <w:r w:rsidRPr="009872A8">
              <w:t>Cost to PBS/RPBS less copayments</w:t>
            </w:r>
          </w:p>
        </w:tc>
        <w:tc>
          <w:tcPr>
            <w:tcW w:w="599" w:type="pct"/>
            <w:gridSpan w:val="2"/>
          </w:tcPr>
          <w:p w14:paraId="5A255A42" w14:textId="264DC614" w:rsidR="00CA34FF" w:rsidRPr="00382AA3" w:rsidRDefault="00CA34FF" w:rsidP="00CA34FF">
            <w:pPr>
              <w:pStyle w:val="TableText"/>
              <w:jc w:val="center"/>
              <w:rPr>
                <w:vertAlign w:val="superscript"/>
              </w:rPr>
            </w:pPr>
            <w:r w:rsidRPr="009872A8">
              <w:t>$</w:t>
            </w:r>
            <w:r w:rsidR="00556852" w:rsidRPr="00556852">
              <w:rPr>
                <w:color w:val="000000"/>
                <w:spacing w:val="64"/>
                <w:shd w:val="solid" w:color="000000" w:fill="000000"/>
                <w:fitText w:val="156" w:id="-629514238"/>
                <w14:textFill>
                  <w14:solidFill>
                    <w14:srgbClr w14:val="000000">
                      <w14:alpha w14:val="100000"/>
                    </w14:srgbClr>
                  </w14:solidFill>
                </w14:textFill>
              </w:rPr>
              <w:t>|</w:t>
            </w:r>
            <w:r w:rsidR="00556852" w:rsidRPr="00556852">
              <w:rPr>
                <w:color w:val="000000"/>
                <w:spacing w:val="1"/>
                <w:shd w:val="solid" w:color="000000" w:fill="000000"/>
                <w:fitText w:val="156" w:id="-629514238"/>
                <w14:textFill>
                  <w14:solidFill>
                    <w14:srgbClr w14:val="000000">
                      <w14:alpha w14:val="100000"/>
                    </w14:srgbClr>
                  </w14:solidFill>
                </w14:textFill>
              </w:rPr>
              <w:t>|</w:t>
            </w:r>
            <w:r w:rsidR="00382AA3">
              <w:rPr>
                <w:vertAlign w:val="superscript"/>
              </w:rPr>
              <w:t>4</w:t>
            </w:r>
          </w:p>
        </w:tc>
        <w:tc>
          <w:tcPr>
            <w:tcW w:w="632" w:type="pct"/>
            <w:gridSpan w:val="6"/>
          </w:tcPr>
          <w:p w14:paraId="66046CAB" w14:textId="5D5C4AB0" w:rsidR="00CA34FF" w:rsidRPr="00382AA3" w:rsidRDefault="00CA34FF" w:rsidP="00CA34FF">
            <w:pPr>
              <w:pStyle w:val="TableText"/>
              <w:jc w:val="center"/>
              <w:rPr>
                <w:vertAlign w:val="superscript"/>
              </w:rPr>
            </w:pPr>
            <w:r w:rsidRPr="009872A8">
              <w:t>$</w:t>
            </w:r>
            <w:r w:rsidR="00556852" w:rsidRPr="00556852">
              <w:rPr>
                <w:rFonts w:hint="eastAsia"/>
                <w:color w:val="000000"/>
                <w:w w:val="26"/>
                <w:shd w:val="solid" w:color="000000" w:fill="000000"/>
                <w:fitText w:val="120" w:id="-629514237"/>
                <w14:textFill>
                  <w14:solidFill>
                    <w14:srgbClr w14:val="000000">
                      <w14:alpha w14:val="100000"/>
                    </w14:srgbClr>
                  </w14:solidFill>
                </w14:textFill>
              </w:rPr>
              <w:t xml:space="preserve">　</w:t>
            </w:r>
            <w:r w:rsidR="00556852" w:rsidRPr="00556852">
              <w:rPr>
                <w:color w:val="000000"/>
                <w:w w:val="26"/>
                <w:shd w:val="solid" w:color="000000" w:fill="000000"/>
                <w:fitText w:val="120" w:id="-629514237"/>
                <w14:textFill>
                  <w14:solidFill>
                    <w14:srgbClr w14:val="000000">
                      <w14:alpha w14:val="100000"/>
                    </w14:srgbClr>
                  </w14:solidFill>
                </w14:textFill>
              </w:rPr>
              <w:t>|</w:t>
            </w:r>
            <w:r w:rsidR="00556852" w:rsidRPr="00556852">
              <w:rPr>
                <w:rFonts w:hint="eastAsia"/>
                <w:color w:val="000000"/>
                <w:spacing w:val="4"/>
                <w:w w:val="26"/>
                <w:shd w:val="solid" w:color="000000" w:fill="000000"/>
                <w:fitText w:val="120" w:id="-629514237"/>
                <w14:textFill>
                  <w14:solidFill>
                    <w14:srgbClr w14:val="000000">
                      <w14:alpha w14:val="100000"/>
                    </w14:srgbClr>
                  </w14:solidFill>
                </w14:textFill>
              </w:rPr>
              <w:t xml:space="preserve">　</w:t>
            </w:r>
            <w:r w:rsidR="00382AA3">
              <w:rPr>
                <w:vertAlign w:val="superscript"/>
              </w:rPr>
              <w:t>4</w:t>
            </w:r>
          </w:p>
        </w:tc>
        <w:tc>
          <w:tcPr>
            <w:tcW w:w="611" w:type="pct"/>
          </w:tcPr>
          <w:p w14:paraId="52C9BC07" w14:textId="10E00866" w:rsidR="00CA34FF" w:rsidRPr="00382AA3" w:rsidRDefault="00CA34FF" w:rsidP="00CA34FF">
            <w:pPr>
              <w:pStyle w:val="TableText"/>
              <w:jc w:val="center"/>
              <w:rPr>
                <w:vertAlign w:val="superscript"/>
              </w:rPr>
            </w:pPr>
            <w:r w:rsidRPr="009872A8">
              <w:t>$</w:t>
            </w:r>
            <w:r w:rsidR="00556852" w:rsidRPr="00556852">
              <w:rPr>
                <w:rFonts w:hint="eastAsia"/>
                <w:color w:val="000000"/>
                <w:w w:val="32"/>
                <w:shd w:val="solid" w:color="000000" w:fill="000000"/>
                <w:fitText w:val="144" w:id="-629514236"/>
                <w14:textFill>
                  <w14:solidFill>
                    <w14:srgbClr w14:val="000000">
                      <w14:alpha w14:val="100000"/>
                    </w14:srgbClr>
                  </w14:solidFill>
                </w14:textFill>
              </w:rPr>
              <w:t xml:space="preserve">　</w:t>
            </w:r>
            <w:r w:rsidR="00556852" w:rsidRPr="00556852">
              <w:rPr>
                <w:color w:val="000000"/>
                <w:w w:val="32"/>
                <w:shd w:val="solid" w:color="000000" w:fill="000000"/>
                <w:fitText w:val="144" w:id="-629514236"/>
                <w14:textFill>
                  <w14:solidFill>
                    <w14:srgbClr w14:val="000000">
                      <w14:alpha w14:val="100000"/>
                    </w14:srgbClr>
                  </w14:solidFill>
                </w14:textFill>
              </w:rPr>
              <w:t>|</w:t>
            </w:r>
            <w:r w:rsidR="00556852" w:rsidRPr="00556852">
              <w:rPr>
                <w:rFonts w:hint="eastAsia"/>
                <w:color w:val="000000"/>
                <w:spacing w:val="4"/>
                <w:w w:val="32"/>
                <w:shd w:val="solid" w:color="000000" w:fill="000000"/>
                <w:fitText w:val="144" w:id="-629514236"/>
                <w14:textFill>
                  <w14:solidFill>
                    <w14:srgbClr w14:val="000000">
                      <w14:alpha w14:val="100000"/>
                    </w14:srgbClr>
                  </w14:solidFill>
                </w14:textFill>
              </w:rPr>
              <w:t xml:space="preserve">　</w:t>
            </w:r>
            <w:r w:rsidR="00382AA3">
              <w:rPr>
                <w:vertAlign w:val="superscript"/>
              </w:rPr>
              <w:t>4</w:t>
            </w:r>
          </w:p>
        </w:tc>
        <w:tc>
          <w:tcPr>
            <w:tcW w:w="611" w:type="pct"/>
          </w:tcPr>
          <w:p w14:paraId="203F4591" w14:textId="73E76A6C" w:rsidR="00CA34FF" w:rsidRPr="00382AA3" w:rsidRDefault="00CA34FF" w:rsidP="00CA34FF">
            <w:pPr>
              <w:pStyle w:val="TableText"/>
              <w:jc w:val="center"/>
              <w:rPr>
                <w:vertAlign w:val="superscript"/>
              </w:rPr>
            </w:pPr>
            <w:r w:rsidRPr="009872A8">
              <w:t>$</w:t>
            </w:r>
            <w:r w:rsidR="00556852" w:rsidRPr="00556852">
              <w:rPr>
                <w:rFonts w:hint="eastAsia"/>
                <w:color w:val="000000"/>
                <w:w w:val="32"/>
                <w:shd w:val="solid" w:color="000000" w:fill="000000"/>
                <w:fitText w:val="144" w:id="-629514235"/>
                <w14:textFill>
                  <w14:solidFill>
                    <w14:srgbClr w14:val="000000">
                      <w14:alpha w14:val="100000"/>
                    </w14:srgbClr>
                  </w14:solidFill>
                </w14:textFill>
              </w:rPr>
              <w:t xml:space="preserve">　</w:t>
            </w:r>
            <w:r w:rsidR="00556852" w:rsidRPr="00556852">
              <w:rPr>
                <w:color w:val="000000"/>
                <w:w w:val="32"/>
                <w:shd w:val="solid" w:color="000000" w:fill="000000"/>
                <w:fitText w:val="144" w:id="-629514235"/>
                <w14:textFill>
                  <w14:solidFill>
                    <w14:srgbClr w14:val="000000">
                      <w14:alpha w14:val="100000"/>
                    </w14:srgbClr>
                  </w14:solidFill>
                </w14:textFill>
              </w:rPr>
              <w:t>|</w:t>
            </w:r>
            <w:r w:rsidR="00556852" w:rsidRPr="00556852">
              <w:rPr>
                <w:rFonts w:hint="eastAsia"/>
                <w:color w:val="000000"/>
                <w:spacing w:val="4"/>
                <w:w w:val="32"/>
                <w:shd w:val="solid" w:color="000000" w:fill="000000"/>
                <w:fitText w:val="144" w:id="-629514235"/>
                <w14:textFill>
                  <w14:solidFill>
                    <w14:srgbClr w14:val="000000">
                      <w14:alpha w14:val="100000"/>
                    </w14:srgbClr>
                  </w14:solidFill>
                </w14:textFill>
              </w:rPr>
              <w:t xml:space="preserve">　</w:t>
            </w:r>
            <w:r w:rsidR="00382AA3">
              <w:rPr>
                <w:vertAlign w:val="superscript"/>
              </w:rPr>
              <w:t>4</w:t>
            </w:r>
          </w:p>
        </w:tc>
        <w:tc>
          <w:tcPr>
            <w:tcW w:w="611" w:type="pct"/>
          </w:tcPr>
          <w:p w14:paraId="365C8A2B" w14:textId="178E52AB" w:rsidR="00CA34FF" w:rsidRPr="00382AA3" w:rsidRDefault="00CA34FF" w:rsidP="00CA34FF">
            <w:pPr>
              <w:pStyle w:val="TableText"/>
              <w:jc w:val="center"/>
              <w:rPr>
                <w:vertAlign w:val="superscript"/>
              </w:rPr>
            </w:pPr>
            <w:r w:rsidRPr="009872A8">
              <w:t>$</w:t>
            </w:r>
            <w:r w:rsidR="00556852" w:rsidRPr="00556852">
              <w:rPr>
                <w:rFonts w:hint="eastAsia"/>
                <w:color w:val="000000"/>
                <w:w w:val="32"/>
                <w:shd w:val="solid" w:color="000000" w:fill="000000"/>
                <w:fitText w:val="144" w:id="-629514234"/>
                <w14:textFill>
                  <w14:solidFill>
                    <w14:srgbClr w14:val="000000">
                      <w14:alpha w14:val="100000"/>
                    </w14:srgbClr>
                  </w14:solidFill>
                </w14:textFill>
              </w:rPr>
              <w:t xml:space="preserve">　</w:t>
            </w:r>
            <w:r w:rsidR="00556852" w:rsidRPr="00556852">
              <w:rPr>
                <w:color w:val="000000"/>
                <w:w w:val="32"/>
                <w:shd w:val="solid" w:color="000000" w:fill="000000"/>
                <w:fitText w:val="144" w:id="-629514234"/>
                <w14:textFill>
                  <w14:solidFill>
                    <w14:srgbClr w14:val="000000">
                      <w14:alpha w14:val="100000"/>
                    </w14:srgbClr>
                  </w14:solidFill>
                </w14:textFill>
              </w:rPr>
              <w:t>|</w:t>
            </w:r>
            <w:r w:rsidR="00556852" w:rsidRPr="00556852">
              <w:rPr>
                <w:rFonts w:hint="eastAsia"/>
                <w:color w:val="000000"/>
                <w:spacing w:val="4"/>
                <w:w w:val="32"/>
                <w:shd w:val="solid" w:color="000000" w:fill="000000"/>
                <w:fitText w:val="144" w:id="-629514234"/>
                <w14:textFill>
                  <w14:solidFill>
                    <w14:srgbClr w14:val="000000">
                      <w14:alpha w14:val="100000"/>
                    </w14:srgbClr>
                  </w14:solidFill>
                </w14:textFill>
              </w:rPr>
              <w:t xml:space="preserve">　</w:t>
            </w:r>
            <w:r w:rsidR="00382AA3">
              <w:rPr>
                <w:vertAlign w:val="superscript"/>
              </w:rPr>
              <w:t>4</w:t>
            </w:r>
          </w:p>
        </w:tc>
        <w:tc>
          <w:tcPr>
            <w:tcW w:w="611" w:type="pct"/>
          </w:tcPr>
          <w:p w14:paraId="172D59D5" w14:textId="15A0D8FC" w:rsidR="00CA34FF" w:rsidRPr="00382AA3" w:rsidRDefault="00CA34FF" w:rsidP="00CA34FF">
            <w:pPr>
              <w:pStyle w:val="TableText"/>
              <w:jc w:val="center"/>
              <w:rPr>
                <w:vertAlign w:val="superscript"/>
              </w:rPr>
            </w:pPr>
            <w:r w:rsidRPr="009872A8">
              <w:t>$</w:t>
            </w:r>
            <w:r w:rsidR="00556852" w:rsidRPr="00556852">
              <w:rPr>
                <w:rFonts w:hint="eastAsia"/>
                <w:color w:val="000000"/>
                <w:w w:val="32"/>
                <w:shd w:val="solid" w:color="000000" w:fill="000000"/>
                <w:fitText w:val="144" w:id="-629514233"/>
                <w14:textFill>
                  <w14:solidFill>
                    <w14:srgbClr w14:val="000000">
                      <w14:alpha w14:val="100000"/>
                    </w14:srgbClr>
                  </w14:solidFill>
                </w14:textFill>
              </w:rPr>
              <w:t xml:space="preserve">　</w:t>
            </w:r>
            <w:r w:rsidR="00556852" w:rsidRPr="00556852">
              <w:rPr>
                <w:color w:val="000000"/>
                <w:w w:val="32"/>
                <w:shd w:val="solid" w:color="000000" w:fill="000000"/>
                <w:fitText w:val="144" w:id="-629514233"/>
                <w14:textFill>
                  <w14:solidFill>
                    <w14:srgbClr w14:val="000000">
                      <w14:alpha w14:val="100000"/>
                    </w14:srgbClr>
                  </w14:solidFill>
                </w14:textFill>
              </w:rPr>
              <w:t>|</w:t>
            </w:r>
            <w:r w:rsidR="00556852" w:rsidRPr="00556852">
              <w:rPr>
                <w:rFonts w:hint="eastAsia"/>
                <w:color w:val="000000"/>
                <w:w w:val="32"/>
                <w:shd w:val="solid" w:color="000000" w:fill="000000"/>
                <w:fitText w:val="144" w:id="-629514233"/>
                <w14:textFill>
                  <w14:solidFill>
                    <w14:srgbClr w14:val="000000">
                      <w14:alpha w14:val="100000"/>
                    </w14:srgbClr>
                  </w14:solidFill>
                </w14:textFill>
              </w:rPr>
              <w:t xml:space="preserve">　</w:t>
            </w:r>
            <w:r w:rsidR="00382AA3">
              <w:rPr>
                <w:vertAlign w:val="superscript"/>
              </w:rPr>
              <w:t>4</w:t>
            </w:r>
          </w:p>
        </w:tc>
      </w:tr>
    </w:tbl>
    <w:p w14:paraId="187DA155" w14:textId="192D52CA" w:rsidR="007E3F2D" w:rsidRPr="00037E3B" w:rsidRDefault="007E3F2D" w:rsidP="007E3F2D">
      <w:pPr>
        <w:pStyle w:val="COMTablefooter"/>
      </w:pPr>
      <w:r w:rsidRPr="00037E3B">
        <w:t>Source: Section 4 financial implications Excel workbook.</w:t>
      </w:r>
    </w:p>
    <w:p w14:paraId="7DB361AB" w14:textId="746A6F41" w:rsidR="00ED04EB" w:rsidRPr="00F57392" w:rsidRDefault="00ED04EB" w:rsidP="007E3F2D">
      <w:pPr>
        <w:pStyle w:val="COMTablefooter"/>
      </w:pPr>
      <w:r w:rsidRPr="00F57392">
        <w:rPr>
          <w:vertAlign w:val="superscript"/>
        </w:rPr>
        <w:t>a</w:t>
      </w:r>
      <w:r w:rsidRPr="00F57392">
        <w:t xml:space="preserve"> MBS cost</w:t>
      </w:r>
      <w:r w:rsidR="00C32325" w:rsidRPr="00F57392">
        <w:t>s</w:t>
      </w:r>
      <w:r w:rsidRPr="00F57392">
        <w:t xml:space="preserve"> associated with an increase in the number of MRI scans (MBS Item 63001) due to improvements in progression-free survival associated with vorasidenib compared to active surveillance.</w:t>
      </w:r>
    </w:p>
    <w:p w14:paraId="26A2F081" w14:textId="39019A12" w:rsidR="007E3F2D" w:rsidRDefault="00ED04EB" w:rsidP="007E3F2D">
      <w:pPr>
        <w:pStyle w:val="COMTablefooter"/>
      </w:pPr>
      <w:r w:rsidRPr="00F57392">
        <w:rPr>
          <w:vertAlign w:val="superscript"/>
        </w:rPr>
        <w:t>b</w:t>
      </w:r>
      <w:r w:rsidR="007E3F2D" w:rsidRPr="00F57392">
        <w:t xml:space="preserve"> Estimates updated using the correct cost per pack of 10 mg × 60 tablets ($</w:t>
      </w:r>
      <w:r w:rsidR="00556852" w:rsidRPr="00556852">
        <w:rPr>
          <w:color w:val="000000"/>
          <w:spacing w:val="36"/>
          <w:shd w:val="solid" w:color="000000" w:fill="000000"/>
          <w:fitText w:val="268" w:id="-629514232"/>
          <w14:textFill>
            <w14:solidFill>
              <w14:srgbClr w14:val="000000">
                <w14:alpha w14:val="100000"/>
              </w14:srgbClr>
            </w14:solidFill>
          </w14:textFill>
        </w:rPr>
        <w:t xml:space="preserve">|  </w:t>
      </w:r>
      <w:r w:rsidR="00556852" w:rsidRPr="00556852">
        <w:rPr>
          <w:color w:val="000000"/>
          <w:spacing w:val="2"/>
          <w:shd w:val="solid" w:color="000000" w:fill="000000"/>
          <w:fitText w:val="268" w:id="-629514232"/>
          <w14:textFill>
            <w14:solidFill>
              <w14:srgbClr w14:val="000000">
                <w14:alpha w14:val="100000"/>
              </w14:srgbClr>
            </w14:solidFill>
          </w14:textFill>
        </w:rPr>
        <w:t>|</w:t>
      </w:r>
      <w:r w:rsidR="007E3F2D" w:rsidRPr="00F57392">
        <w:t>) and 10 mg × 30 tablets ($</w:t>
      </w:r>
      <w:r w:rsidR="00556852" w:rsidRPr="00556852">
        <w:rPr>
          <w:color w:val="000000"/>
          <w:spacing w:val="40"/>
          <w:shd w:val="solid" w:color="000000" w:fill="000000"/>
          <w:fitText w:val="280" w:id="-629514231"/>
          <w14:textFill>
            <w14:solidFill>
              <w14:srgbClr w14:val="000000">
                <w14:alpha w14:val="100000"/>
              </w14:srgbClr>
            </w14:solidFill>
          </w14:textFill>
        </w:rPr>
        <w:t xml:space="preserve">|  </w:t>
      </w:r>
      <w:r w:rsidR="00556852" w:rsidRPr="00556852">
        <w:rPr>
          <w:color w:val="000000"/>
          <w:spacing w:val="2"/>
          <w:shd w:val="solid" w:color="000000" w:fill="000000"/>
          <w:fitText w:val="280" w:id="-629514231"/>
          <w14:textFill>
            <w14:solidFill>
              <w14:srgbClr w14:val="000000">
                <w14:alpha w14:val="100000"/>
              </w14:srgbClr>
            </w14:solidFill>
          </w14:textFill>
        </w:rPr>
        <w:t>|</w:t>
      </w:r>
      <w:r w:rsidR="007E3F2D" w:rsidRPr="00F57392">
        <w:t xml:space="preserve">). The cost per pack of 10 mg × 60 tablets and 10 mg × 30 tablets were incorrectly specified in the financial </w:t>
      </w:r>
      <w:r w:rsidR="00010852" w:rsidRPr="00F57392">
        <w:t>implications</w:t>
      </w:r>
      <w:r w:rsidR="007E3F2D" w:rsidRPr="00F57392">
        <w:t xml:space="preserve"> spreadsheet as $</w:t>
      </w:r>
      <w:r w:rsidR="00556852" w:rsidRPr="00746083">
        <w:rPr>
          <w:color w:val="000000"/>
          <w:spacing w:val="40"/>
          <w:shd w:val="solid" w:color="000000" w:fill="000000"/>
          <w:fitText w:val="280" w:id="-629514230"/>
          <w14:textFill>
            <w14:solidFill>
              <w14:srgbClr w14:val="000000">
                <w14:alpha w14:val="100000"/>
              </w14:srgbClr>
            </w14:solidFill>
          </w14:textFill>
        </w:rPr>
        <w:t xml:space="preserve">|  </w:t>
      </w:r>
      <w:r w:rsidR="00556852" w:rsidRPr="00746083">
        <w:rPr>
          <w:color w:val="000000"/>
          <w:spacing w:val="2"/>
          <w:shd w:val="solid" w:color="000000" w:fill="000000"/>
          <w:fitText w:val="280" w:id="-629514230"/>
          <w14:textFill>
            <w14:solidFill>
              <w14:srgbClr w14:val="000000">
                <w14:alpha w14:val="100000"/>
              </w14:srgbClr>
            </w14:solidFill>
          </w14:textFill>
        </w:rPr>
        <w:t>|</w:t>
      </w:r>
      <w:r w:rsidR="007E3F2D" w:rsidRPr="00F57392">
        <w:t xml:space="preserve"> and </w:t>
      </w:r>
      <w:r w:rsidR="007E3F2D" w:rsidRPr="001F0798">
        <w:t>$6,885.67, respectively</w:t>
      </w:r>
      <w:r w:rsidR="007E3F2D" w:rsidRPr="00F57392">
        <w:t>.</w:t>
      </w:r>
    </w:p>
    <w:p w14:paraId="4CED20AC" w14:textId="0C950E31" w:rsidR="00197BB3" w:rsidRDefault="00197BB3" w:rsidP="001902D2">
      <w:pPr>
        <w:pStyle w:val="COMTablefooter"/>
        <w:spacing w:after="0"/>
      </w:pPr>
      <w:r>
        <w:rPr>
          <w:vertAlign w:val="superscript"/>
        </w:rPr>
        <w:t>c</w:t>
      </w:r>
      <w:r w:rsidRPr="005E2C51">
        <w:rPr>
          <w:vertAlign w:val="superscript"/>
        </w:rPr>
        <w:t xml:space="preserve"> </w:t>
      </w:r>
      <w:r w:rsidRPr="005E2C51">
        <w:t>Corrected so that persistence rates are applied to initial prevalent pool and not previous year.</w:t>
      </w:r>
    </w:p>
    <w:p w14:paraId="2018ED3E" w14:textId="77777777" w:rsidR="001902D2" w:rsidRPr="001902D2" w:rsidRDefault="001902D2" w:rsidP="001902D2">
      <w:pPr>
        <w:rPr>
          <w:rFonts w:ascii="Arial Narrow" w:hAnsi="Arial Narrow"/>
          <w:i/>
          <w:iCs/>
          <w:snapToGrid w:val="0"/>
          <w:sz w:val="18"/>
          <w:szCs w:val="22"/>
        </w:rPr>
      </w:pPr>
      <w:r w:rsidRPr="001902D2">
        <w:rPr>
          <w:rFonts w:ascii="Arial Narrow" w:hAnsi="Arial Narrow"/>
          <w:i/>
          <w:iCs/>
          <w:snapToGrid w:val="0"/>
          <w:sz w:val="18"/>
          <w:szCs w:val="22"/>
        </w:rPr>
        <w:t xml:space="preserve">The redacted values correspond to the following ranges: </w:t>
      </w:r>
    </w:p>
    <w:p w14:paraId="77522DC6" w14:textId="01832461" w:rsidR="001902D2" w:rsidRPr="005D7964" w:rsidRDefault="001902D2" w:rsidP="001902D2">
      <w:pPr>
        <w:rPr>
          <w:rFonts w:ascii="Arial Narrow" w:hAnsi="Arial Narrow"/>
          <w:i/>
          <w:iCs/>
          <w:snapToGrid w:val="0"/>
          <w:sz w:val="18"/>
          <w:szCs w:val="22"/>
        </w:rPr>
      </w:pPr>
      <w:r w:rsidRPr="001902D2">
        <w:rPr>
          <w:rFonts w:ascii="Arial Narrow" w:hAnsi="Arial Narrow"/>
          <w:i/>
          <w:iCs/>
          <w:snapToGrid w:val="0"/>
          <w:sz w:val="18"/>
          <w:szCs w:val="22"/>
          <w:vertAlign w:val="superscript"/>
        </w:rPr>
        <w:t xml:space="preserve">1 </w:t>
      </w:r>
      <w:r w:rsidR="005D7964" w:rsidRPr="005D7964">
        <w:rPr>
          <w:rFonts w:ascii="Arial Narrow" w:hAnsi="Arial Narrow"/>
          <w:i/>
          <w:iCs/>
          <w:snapToGrid w:val="0"/>
          <w:sz w:val="18"/>
          <w:szCs w:val="22"/>
        </w:rPr>
        <w:t>500 to &lt; 5,000</w:t>
      </w:r>
    </w:p>
    <w:p w14:paraId="26B3055C" w14:textId="34E16B48" w:rsidR="001902D2" w:rsidRPr="00314DC2" w:rsidRDefault="001902D2" w:rsidP="001902D2">
      <w:pPr>
        <w:rPr>
          <w:rFonts w:ascii="Arial Narrow" w:hAnsi="Arial Narrow"/>
          <w:i/>
          <w:iCs/>
          <w:snapToGrid w:val="0"/>
          <w:sz w:val="18"/>
          <w:szCs w:val="22"/>
        </w:rPr>
      </w:pPr>
      <w:r w:rsidRPr="001902D2">
        <w:rPr>
          <w:rFonts w:ascii="Arial Narrow" w:hAnsi="Arial Narrow"/>
          <w:i/>
          <w:iCs/>
          <w:snapToGrid w:val="0"/>
          <w:sz w:val="18"/>
          <w:szCs w:val="22"/>
          <w:vertAlign w:val="superscript"/>
        </w:rPr>
        <w:t xml:space="preserve">2 </w:t>
      </w:r>
      <w:r w:rsidR="004C2DF8" w:rsidRPr="004C2DF8">
        <w:rPr>
          <w:rFonts w:ascii="Arial Narrow" w:hAnsi="Arial Narrow"/>
          <w:i/>
          <w:iCs/>
          <w:snapToGrid w:val="0"/>
          <w:sz w:val="18"/>
          <w:szCs w:val="22"/>
        </w:rPr>
        <w:t>5,000 to &lt; 10,000</w:t>
      </w:r>
    </w:p>
    <w:p w14:paraId="3CE15AC9" w14:textId="6E7FEA9F" w:rsidR="001902D2" w:rsidRPr="00297947" w:rsidRDefault="001902D2" w:rsidP="001902D2">
      <w:pPr>
        <w:rPr>
          <w:rFonts w:ascii="Arial Narrow" w:hAnsi="Arial Narrow"/>
          <w:i/>
          <w:iCs/>
          <w:snapToGrid w:val="0"/>
          <w:sz w:val="18"/>
          <w:szCs w:val="22"/>
        </w:rPr>
      </w:pPr>
      <w:r w:rsidRPr="001902D2">
        <w:rPr>
          <w:rFonts w:ascii="Arial Narrow" w:hAnsi="Arial Narrow"/>
          <w:i/>
          <w:iCs/>
          <w:snapToGrid w:val="0"/>
          <w:sz w:val="18"/>
          <w:szCs w:val="22"/>
          <w:vertAlign w:val="superscript"/>
        </w:rPr>
        <w:t xml:space="preserve">3 </w:t>
      </w:r>
      <w:r w:rsidR="00297947" w:rsidRPr="00297947">
        <w:rPr>
          <w:rFonts w:ascii="Arial Narrow" w:hAnsi="Arial Narrow"/>
          <w:i/>
          <w:iCs/>
          <w:snapToGrid w:val="0"/>
          <w:sz w:val="18"/>
          <w:szCs w:val="22"/>
        </w:rPr>
        <w:t>&lt; 500</w:t>
      </w:r>
    </w:p>
    <w:p w14:paraId="2C64ABFC" w14:textId="08888E67" w:rsidR="001902D2" w:rsidRPr="00382AA3" w:rsidRDefault="001902D2" w:rsidP="001902D2">
      <w:pPr>
        <w:rPr>
          <w:rFonts w:ascii="Arial Narrow" w:hAnsi="Arial Narrow"/>
          <w:i/>
          <w:iCs/>
          <w:snapToGrid w:val="0"/>
          <w:sz w:val="18"/>
          <w:szCs w:val="22"/>
        </w:rPr>
      </w:pPr>
      <w:r w:rsidRPr="001902D2">
        <w:rPr>
          <w:rFonts w:ascii="Arial Narrow" w:hAnsi="Arial Narrow"/>
          <w:i/>
          <w:iCs/>
          <w:snapToGrid w:val="0"/>
          <w:sz w:val="18"/>
          <w:szCs w:val="22"/>
          <w:vertAlign w:val="superscript"/>
        </w:rPr>
        <w:t xml:space="preserve">4 </w:t>
      </w:r>
      <w:r w:rsidR="00382AA3" w:rsidRPr="00382AA3">
        <w:rPr>
          <w:rFonts w:ascii="Arial Narrow" w:hAnsi="Arial Narrow"/>
          <w:i/>
          <w:iCs/>
          <w:snapToGrid w:val="0"/>
          <w:sz w:val="18"/>
          <w:szCs w:val="22"/>
        </w:rPr>
        <w:t>$40 million to &lt; $50 million</w:t>
      </w:r>
    </w:p>
    <w:p w14:paraId="0DDF9BA2" w14:textId="57829B26" w:rsidR="001902D2" w:rsidRPr="001902D2" w:rsidRDefault="001902D2" w:rsidP="001902D2">
      <w:pPr>
        <w:rPr>
          <w:rFonts w:ascii="Arial Narrow" w:hAnsi="Arial Narrow"/>
          <w:i/>
          <w:iCs/>
          <w:snapToGrid w:val="0"/>
          <w:sz w:val="18"/>
          <w:szCs w:val="22"/>
          <w:vertAlign w:val="superscript"/>
        </w:rPr>
      </w:pPr>
      <w:r w:rsidRPr="001902D2">
        <w:rPr>
          <w:rFonts w:ascii="Arial Narrow" w:hAnsi="Arial Narrow"/>
          <w:i/>
          <w:iCs/>
          <w:snapToGrid w:val="0"/>
          <w:sz w:val="18"/>
          <w:szCs w:val="22"/>
          <w:vertAlign w:val="superscript"/>
        </w:rPr>
        <w:t xml:space="preserve">5 </w:t>
      </w:r>
      <w:r w:rsidR="006B007B" w:rsidRPr="006B007B">
        <w:rPr>
          <w:rFonts w:ascii="Arial Narrow" w:hAnsi="Arial Narrow"/>
          <w:i/>
          <w:iCs/>
          <w:snapToGrid w:val="0"/>
          <w:sz w:val="18"/>
          <w:szCs w:val="22"/>
        </w:rPr>
        <w:t>$0 to &lt; $10 million</w:t>
      </w:r>
    </w:p>
    <w:p w14:paraId="7BC99A5B" w14:textId="075A876C" w:rsidR="007E3F2D" w:rsidRPr="00037E3B" w:rsidRDefault="007E3F2D" w:rsidP="007E3F2D">
      <w:pPr>
        <w:pStyle w:val="COMexecsummnumbered"/>
      </w:pPr>
      <w:r w:rsidRPr="00037E3B">
        <w:t>The estimated net cost to the PBS/RPBS after correction of error</w:t>
      </w:r>
      <w:r w:rsidR="00197BB3">
        <w:t>s</w:t>
      </w:r>
      <w:r w:rsidRPr="00037E3B">
        <w:t xml:space="preserve"> in the financial implications spreadsheet was </w:t>
      </w:r>
      <w:r w:rsidR="00E64D67" w:rsidRPr="00E64D67">
        <w:t>$40 million to &lt; $50 million</w:t>
      </w:r>
      <w:r w:rsidRPr="00037E3B">
        <w:t xml:space="preserve"> in Year 1, increasing to </w:t>
      </w:r>
      <w:r w:rsidR="00E64D67" w:rsidRPr="00E64D67">
        <w:t>$40 million to &lt; $50 million</w:t>
      </w:r>
      <w:r w:rsidRPr="00037E3B">
        <w:t xml:space="preserve"> in Year 6, a total cost of </w:t>
      </w:r>
      <w:r w:rsidR="00325057" w:rsidRPr="00325057">
        <w:t>$200 million to &lt; $300 million</w:t>
      </w:r>
      <w:r w:rsidRPr="00037E3B">
        <w:t xml:space="preserve"> over the first 6 years of listing.</w:t>
      </w:r>
    </w:p>
    <w:p w14:paraId="1B9F77D4" w14:textId="46A672CA" w:rsidR="007E3F2D" w:rsidRPr="009872A8" w:rsidRDefault="007E3F2D" w:rsidP="007E3F2D">
      <w:pPr>
        <w:pStyle w:val="COMexecsummnumbered"/>
      </w:pPr>
      <w:r w:rsidRPr="009872A8">
        <w:t xml:space="preserve">The </w:t>
      </w:r>
      <w:r w:rsidR="006A2F99" w:rsidRPr="009872A8">
        <w:t>Sub-Committees</w:t>
      </w:r>
      <w:r w:rsidR="00E8543A" w:rsidRPr="009872A8">
        <w:t xml:space="preserve"> considered the </w:t>
      </w:r>
      <w:r w:rsidRPr="009872A8">
        <w:t>estimated cost to the PBS/RPBS</w:t>
      </w:r>
      <w:r w:rsidR="00E8543A" w:rsidRPr="009872A8">
        <w:t xml:space="preserve"> proposed by the submission to be reasonable</w:t>
      </w:r>
      <w:r w:rsidR="007060C1" w:rsidRPr="009872A8">
        <w:t xml:space="preserve"> overall</w:t>
      </w:r>
      <w:r w:rsidR="00337DB1" w:rsidRPr="009872A8">
        <w:t>, noting that</w:t>
      </w:r>
      <w:r w:rsidR="00E8543A" w:rsidRPr="009872A8">
        <w:t>:</w:t>
      </w:r>
      <w:r w:rsidRPr="009872A8">
        <w:t xml:space="preserve"> </w:t>
      </w:r>
    </w:p>
    <w:p w14:paraId="4B8513A6" w14:textId="54E06B47" w:rsidR="007E3F2D" w:rsidRPr="009872A8" w:rsidRDefault="007E3F2D" w:rsidP="00A2499F">
      <w:pPr>
        <w:pStyle w:val="COMexecsummbulletlist"/>
        <w:spacing w:after="0"/>
        <w:ind w:hanging="357"/>
      </w:pPr>
      <w:r w:rsidRPr="009872A8">
        <w:t xml:space="preserve">Costs associated with vorasidenib may be </w:t>
      </w:r>
      <w:r w:rsidR="00337DB1" w:rsidRPr="009872A8">
        <w:t>overestimated</w:t>
      </w:r>
      <w:r w:rsidRPr="009872A8">
        <w:t xml:space="preserve"> due to </w:t>
      </w:r>
      <w:r w:rsidR="00C32325" w:rsidRPr="009872A8">
        <w:t>the</w:t>
      </w:r>
      <w:r w:rsidR="00C32325" w:rsidRPr="009872A8" w:rsidDel="00337DB1">
        <w:t xml:space="preserve"> </w:t>
      </w:r>
      <w:r w:rsidR="000E402E" w:rsidRPr="009872A8">
        <w:t>inclusion of</w:t>
      </w:r>
      <w:r w:rsidR="00ED04EB" w:rsidRPr="009872A8">
        <w:t xml:space="preserve"> patients with </w:t>
      </w:r>
      <w:r w:rsidRPr="009872A8">
        <w:t>non-Grade 2 disease</w:t>
      </w:r>
      <w:r w:rsidR="00746689" w:rsidRPr="009872A8">
        <w:t>.</w:t>
      </w:r>
    </w:p>
    <w:p w14:paraId="665DDEBF" w14:textId="29665F6B" w:rsidR="00C44F7F" w:rsidRPr="009872A8" w:rsidRDefault="002E06BC" w:rsidP="297A0DD7">
      <w:pPr>
        <w:pStyle w:val="COMexecsummbulletlist"/>
        <w:spacing w:after="0"/>
        <w:ind w:hanging="357"/>
      </w:pPr>
      <w:r w:rsidRPr="009872A8">
        <w:t xml:space="preserve">Costs associated with vorasidenib may be </w:t>
      </w:r>
      <w:r w:rsidR="00337DB1" w:rsidRPr="009872A8">
        <w:t>underestimated</w:t>
      </w:r>
      <w:r w:rsidRPr="009872A8">
        <w:t xml:space="preserve"> due to</w:t>
      </w:r>
      <w:r w:rsidR="00C46F96" w:rsidRPr="009872A8">
        <w:t xml:space="preserve"> the potential for use outside the restriction</w:t>
      </w:r>
      <w:r w:rsidR="00E41021" w:rsidRPr="009872A8">
        <w:t xml:space="preserve"> </w:t>
      </w:r>
      <w:r w:rsidR="00616387" w:rsidRPr="009872A8">
        <w:t xml:space="preserve">in patients in immediate need of </w:t>
      </w:r>
      <w:r w:rsidR="003A0C46" w:rsidRPr="009872A8">
        <w:t>radiotherapy/chemotherapy</w:t>
      </w:r>
      <w:r w:rsidR="00BD40EF">
        <w:t xml:space="preserve">, </w:t>
      </w:r>
      <w:r w:rsidR="00E1672B" w:rsidRPr="009872A8">
        <w:t xml:space="preserve">patients </w:t>
      </w:r>
      <w:r w:rsidR="00ED63FD" w:rsidRPr="009872A8">
        <w:t xml:space="preserve">with previous </w:t>
      </w:r>
      <w:r w:rsidR="00843BFA" w:rsidRPr="009872A8">
        <w:t>anticancer therapy use</w:t>
      </w:r>
      <w:r w:rsidR="00BD40EF">
        <w:t>,</w:t>
      </w:r>
      <w:r w:rsidR="00843BFA" w:rsidRPr="009872A8">
        <w:t xml:space="preserve"> and those with an ECOG&gt;1</w:t>
      </w:r>
      <w:r w:rsidR="00C46F96" w:rsidRPr="009872A8">
        <w:t xml:space="preserve">; the </w:t>
      </w:r>
      <w:r w:rsidR="003A7F1F">
        <w:t>under</w:t>
      </w:r>
      <w:r w:rsidR="00C46F96" w:rsidRPr="009872A8">
        <w:t xml:space="preserve">estimation </w:t>
      </w:r>
      <w:r w:rsidR="004F6E6C" w:rsidRPr="009872A8">
        <w:t xml:space="preserve">of treatment persistence which </w:t>
      </w:r>
      <w:r w:rsidR="003A5AF9" w:rsidRPr="009872A8">
        <w:lastRenderedPageBreak/>
        <w:t>assumed the same rate of</w:t>
      </w:r>
      <w:r w:rsidR="00C44F7F" w:rsidRPr="009872A8">
        <w:t xml:space="preserve"> detection of radiographic disease progression</w:t>
      </w:r>
      <w:r w:rsidR="003A5AF9" w:rsidRPr="009872A8">
        <w:t xml:space="preserve"> in the clinical trial as in clinical practice</w:t>
      </w:r>
      <w:r w:rsidR="00210810" w:rsidRPr="009872A8">
        <w:t xml:space="preserve"> which would not be the case and may result in a longer duration of treatment in practice; </w:t>
      </w:r>
      <w:r w:rsidR="00222AC6" w:rsidRPr="009872A8">
        <w:t xml:space="preserve">exclusion of prevalent patients </w:t>
      </w:r>
      <w:r w:rsidR="008928C2" w:rsidRPr="009872A8">
        <w:t>arising prior to 2020; an error in the costs per pack for 10</w:t>
      </w:r>
      <w:r w:rsidR="58F5AFE9" w:rsidRPr="009872A8">
        <w:t xml:space="preserve"> </w:t>
      </w:r>
      <w:r w:rsidR="008928C2" w:rsidRPr="009872A8">
        <w:t>mg tablets</w:t>
      </w:r>
      <w:r w:rsidR="005B0B62">
        <w:t>.</w:t>
      </w:r>
    </w:p>
    <w:p w14:paraId="7D9C2BB3" w14:textId="32ECD961" w:rsidR="00424AE2" w:rsidRPr="00037E3B" w:rsidRDefault="00424AE2" w:rsidP="00424AE2">
      <w:pPr>
        <w:pStyle w:val="COMexecsummbulletlist"/>
        <w:spacing w:after="0"/>
        <w:ind w:hanging="357"/>
      </w:pPr>
      <w:r w:rsidRPr="00037E3B">
        <w:t xml:space="preserve">Treatment adherence was derived based on the planned daily dose of 40 mg daily in the </w:t>
      </w:r>
      <w:r w:rsidR="00CA550C" w:rsidRPr="00037E3B">
        <w:t>trial and</w:t>
      </w:r>
      <w:r w:rsidRPr="00037E3B">
        <w:t xml:space="preserve"> assumed that patients receiving a 10 mg or 20 mg </w:t>
      </w:r>
      <w:r w:rsidR="007937D6" w:rsidRPr="00037E3B">
        <w:t xml:space="preserve">dose </w:t>
      </w:r>
      <w:r w:rsidRPr="00037E3B">
        <w:t>were not fully adherent to treatment. Given the proposed availability of 10 mg and 20 mg tablets, this assumption was likely to underestimate treatment adherence, as only 2.1% of administrations were recorded as 0 mg. However, treatment adherence in clinical practice may be lower than in the clinical trial environment.</w:t>
      </w:r>
    </w:p>
    <w:p w14:paraId="5D517F1E" w14:textId="4736E867" w:rsidR="00A6734E" w:rsidRPr="00037E3B" w:rsidRDefault="00A6734E" w:rsidP="00424AE2">
      <w:pPr>
        <w:pStyle w:val="COMexecsummbulletlist"/>
        <w:spacing w:after="0"/>
        <w:ind w:hanging="357"/>
      </w:pPr>
      <w:r w:rsidRPr="00037E3B">
        <w:t>The proposed restriction limit</w:t>
      </w:r>
      <w:r w:rsidR="00606C76" w:rsidRPr="00037E3B">
        <w:t>s treatment</w:t>
      </w:r>
      <w:r w:rsidRPr="00037E3B">
        <w:t xml:space="preserve"> to patients with an ECOG </w:t>
      </w:r>
      <w:r w:rsidRPr="00037E3B">
        <w:rPr>
          <w:rFonts w:cstheme="minorHAnsi"/>
        </w:rPr>
        <w:t xml:space="preserve">≤1. </w:t>
      </w:r>
      <w:r w:rsidR="00606C76" w:rsidRPr="00037E3B">
        <w:rPr>
          <w:rFonts w:cstheme="minorHAnsi"/>
        </w:rPr>
        <w:t>However, n</w:t>
      </w:r>
      <w:r w:rsidRPr="00037E3B">
        <w:rPr>
          <w:rFonts w:cstheme="minorHAnsi"/>
        </w:rPr>
        <w:t>o adjustment to the eligible population was applied to remove patients with an ECOG &gt;1.</w:t>
      </w:r>
      <w:r w:rsidRPr="00037E3B">
        <w:t xml:space="preserve"> </w:t>
      </w:r>
    </w:p>
    <w:p w14:paraId="6FEA76AD" w14:textId="0285070D" w:rsidR="006122E2" w:rsidRDefault="006122E2" w:rsidP="00A2499F">
      <w:pPr>
        <w:pStyle w:val="COMexecsummbulletlist"/>
      </w:pPr>
      <w:r w:rsidRPr="00037E3B">
        <w:t xml:space="preserve">Costs associated with liver function test monitoring were not included in the financial estimates. This </w:t>
      </w:r>
      <w:r w:rsidR="00A54892" w:rsidRPr="00037E3B">
        <w:t>was not</w:t>
      </w:r>
      <w:r w:rsidRPr="00037E3B">
        <w:t xml:space="preserve"> appropriate and differed from the economic model, which included costs associated with monitoring of liver function tests (and costs of associated general practitioner and telehealth consultations) while on treatment with vorasidenib.</w:t>
      </w:r>
    </w:p>
    <w:p w14:paraId="2DFA5215" w14:textId="224B9885" w:rsidR="00E222DE" w:rsidRDefault="00E222DE" w:rsidP="00A531BD">
      <w:pPr>
        <w:pStyle w:val="3-BodyText"/>
        <w:numPr>
          <w:ilvl w:val="1"/>
          <w:numId w:val="1"/>
        </w:numPr>
        <w:spacing w:before="0" w:after="120"/>
      </w:pPr>
      <w:bookmarkStart w:id="56" w:name="_Toc22897648"/>
      <w:bookmarkStart w:id="57" w:name="_Toc198628235"/>
      <w:r w:rsidRPr="009872A8">
        <w:t>The Sub-Committees considered it possible that vorasidenib would have minimal utilisation outside of the proposed restriction as clinicians would likely prefer to use radiotherapy/chemotherapy where required rather than trial vorasidenib.</w:t>
      </w:r>
      <w:r w:rsidR="00A531BD">
        <w:t xml:space="preserve"> </w:t>
      </w:r>
      <w:r w:rsidRPr="009872A8">
        <w:t>The Sub-Committees considered it unlikely that vorasidenib would be used beyond expectations.</w:t>
      </w:r>
      <w:r w:rsidR="00A531BD">
        <w:t xml:space="preserve"> The PBAC considered it was likely that many patients would stay on treatment beyond </w:t>
      </w:r>
      <w:r w:rsidR="00A11C5D">
        <w:t xml:space="preserve">progression </w:t>
      </w:r>
      <w:r w:rsidR="000E2681">
        <w:t>where</w:t>
      </w:r>
      <w:r w:rsidR="00A11C5D">
        <w:t xml:space="preserve"> there is a perceived continuing benefit</w:t>
      </w:r>
      <w:r w:rsidR="00CE1CAE">
        <w:t>, and that some patients may be treated for an extended period due to the indolent nature of the disease.</w:t>
      </w:r>
      <w:r w:rsidR="008726C5">
        <w:t xml:space="preserve"> However, the duration of </w:t>
      </w:r>
      <w:r w:rsidR="00622A7A">
        <w:t xml:space="preserve">treatment based on extrapolated </w:t>
      </w:r>
      <w:r w:rsidR="008726C5">
        <w:t>PFS is uncertain</w:t>
      </w:r>
      <w:r w:rsidR="00622A7A">
        <w:t>.</w:t>
      </w:r>
    </w:p>
    <w:p w14:paraId="2238DEE9" w14:textId="0719C90D" w:rsidR="00576972" w:rsidRPr="00F57392" w:rsidRDefault="00576972" w:rsidP="003D5DE7">
      <w:pPr>
        <w:pStyle w:val="COMH2-non-numbered"/>
      </w:pPr>
      <w:r w:rsidRPr="00F57392">
        <w:t>Quality Use of Medicines</w:t>
      </w:r>
      <w:bookmarkEnd w:id="56"/>
      <w:bookmarkEnd w:id="57"/>
    </w:p>
    <w:p w14:paraId="28C83ABA" w14:textId="2E0C6366" w:rsidR="005C7339" w:rsidRDefault="005C7339" w:rsidP="005C7339">
      <w:pPr>
        <w:pStyle w:val="3-BodyText"/>
        <w:numPr>
          <w:ilvl w:val="1"/>
          <w:numId w:val="1"/>
        </w:numPr>
        <w:spacing w:before="0" w:after="120"/>
      </w:pPr>
      <w:r>
        <w:t>The pre-PBAC response indicated the sponsor</w:t>
      </w:r>
      <w:r w:rsidRPr="007D3DEF">
        <w:t xml:space="preserve"> is committed </w:t>
      </w:r>
      <w:r>
        <w:t xml:space="preserve">to supporting </w:t>
      </w:r>
      <w:r w:rsidRPr="007D3DEF">
        <w:t xml:space="preserve">clinicians and </w:t>
      </w:r>
      <w:r>
        <w:t xml:space="preserve">patients </w:t>
      </w:r>
      <w:r w:rsidRPr="007D3DEF">
        <w:t xml:space="preserve">to ensure that vorasidenib is used </w:t>
      </w:r>
      <w:r>
        <w:t xml:space="preserve">appropriately, and is currently developing a range of </w:t>
      </w:r>
      <w:r w:rsidRPr="007D3DEF">
        <w:t xml:space="preserve">materials to support the appropriate and evidence-based use of vorasidenib in clinical practice. </w:t>
      </w:r>
      <w:r>
        <w:t>M</w:t>
      </w:r>
      <w:r w:rsidRPr="007D3DEF">
        <w:t xml:space="preserve">aterials </w:t>
      </w:r>
      <w:r>
        <w:t>are being prepared</w:t>
      </w:r>
      <w:r w:rsidRPr="007D3DEF">
        <w:t xml:space="preserve"> to assist prescribers in identifying suitable patients</w:t>
      </w:r>
      <w:r>
        <w:t xml:space="preserve"> and managing</w:t>
      </w:r>
      <w:r w:rsidRPr="007D3DEF">
        <w:t xml:space="preserve"> safety, particularly in relation to liver function and seizure control. </w:t>
      </w:r>
      <w:r>
        <w:t>For patients,</w:t>
      </w:r>
      <w:r w:rsidRPr="00AB47C3">
        <w:t xml:space="preserve"> resources </w:t>
      </w:r>
      <w:r>
        <w:t>in development</w:t>
      </w:r>
      <w:r w:rsidRPr="00AB47C3">
        <w:t xml:space="preserve"> include educational content on IDH-mutant glioma, guidance on treatment expectations, and tools to support adherence</w:t>
      </w:r>
      <w:r>
        <w:t xml:space="preserve"> to treatment, management of symptoms</w:t>
      </w:r>
      <w:r w:rsidRPr="00AB47C3">
        <w:t xml:space="preserve"> and monitorin</w:t>
      </w:r>
      <w:r>
        <w:t>g for potential adverse effects</w:t>
      </w:r>
      <w:r w:rsidRPr="00AB47C3">
        <w:t>.</w:t>
      </w:r>
    </w:p>
    <w:p w14:paraId="7BD00DAE" w14:textId="77777777" w:rsidR="00CE36FD" w:rsidRDefault="00CE36FD" w:rsidP="00CE36FD">
      <w:pPr>
        <w:pStyle w:val="3-BodyText"/>
        <w:spacing w:before="0" w:after="120"/>
        <w:ind w:firstLine="0"/>
      </w:pPr>
    </w:p>
    <w:p w14:paraId="4EE8C553" w14:textId="77777777" w:rsidR="00CE36FD" w:rsidRDefault="00CE36FD" w:rsidP="00CE36FD">
      <w:pPr>
        <w:ind w:firstLine="720"/>
        <w:rPr>
          <w:i/>
          <w:iCs/>
        </w:rPr>
      </w:pPr>
      <w:r w:rsidRPr="0072208D">
        <w:rPr>
          <w:i/>
          <w:iCs/>
        </w:rPr>
        <w:t>For more detail on PBAC’s view, see section 7 PBAC outcome.</w:t>
      </w:r>
    </w:p>
    <w:p w14:paraId="588EB4A3" w14:textId="77777777" w:rsidR="00303D2B" w:rsidRPr="0090150D" w:rsidRDefault="00303D2B" w:rsidP="00874BF9">
      <w:pPr>
        <w:pStyle w:val="COMH1-numbered"/>
      </w:pPr>
      <w:bookmarkStart w:id="58" w:name="_Hlk76381249"/>
      <w:r w:rsidRPr="0090150D">
        <w:lastRenderedPageBreak/>
        <w:t>PBAC Outcome</w:t>
      </w:r>
    </w:p>
    <w:p w14:paraId="320D0A5F" w14:textId="0FC66C51" w:rsidR="00303D2B" w:rsidRPr="00CE42B4" w:rsidRDefault="003D59F9" w:rsidP="00303D2B">
      <w:pPr>
        <w:widowControl w:val="0"/>
        <w:numPr>
          <w:ilvl w:val="1"/>
          <w:numId w:val="1"/>
        </w:numPr>
        <w:spacing w:after="120"/>
        <w:rPr>
          <w:rFonts w:asciiTheme="minorHAnsi" w:hAnsiTheme="minorHAnsi"/>
          <w:snapToGrid w:val="0"/>
          <w:lang w:val="en-GB"/>
        </w:rPr>
      </w:pPr>
      <w:r w:rsidRPr="003D59F9">
        <w:rPr>
          <w:rFonts w:asciiTheme="minorHAnsi" w:hAnsiTheme="minorHAnsi"/>
          <w:snapToGrid w:val="0"/>
          <w:lang w:val="en-GB"/>
        </w:rPr>
        <w:t xml:space="preserve">The PBAC did not recommend the listing of vorasidenib for the treatment of </w:t>
      </w:r>
      <w:r>
        <w:rPr>
          <w:rFonts w:asciiTheme="minorHAnsi" w:hAnsiTheme="minorHAnsi"/>
          <w:snapToGrid w:val="0"/>
          <w:lang w:val="en-GB"/>
        </w:rPr>
        <w:t>IDH</w:t>
      </w:r>
      <w:r w:rsidRPr="003D59F9">
        <w:rPr>
          <w:rFonts w:asciiTheme="minorHAnsi" w:hAnsiTheme="minorHAnsi"/>
          <w:snapToGrid w:val="0"/>
          <w:lang w:val="en-GB"/>
        </w:rPr>
        <w:t xml:space="preserve">-mutant astrocytoma or oligodendroglioma. The PBAC </w:t>
      </w:r>
      <w:r w:rsidR="00C87DF8">
        <w:rPr>
          <w:rFonts w:asciiTheme="minorHAnsi" w:hAnsiTheme="minorHAnsi"/>
          <w:snapToGrid w:val="0"/>
          <w:lang w:val="en-GB"/>
        </w:rPr>
        <w:t>acknowled</w:t>
      </w:r>
      <w:r w:rsidR="00CD445A">
        <w:rPr>
          <w:rFonts w:asciiTheme="minorHAnsi" w:hAnsiTheme="minorHAnsi"/>
          <w:snapToGrid w:val="0"/>
          <w:lang w:val="en-GB"/>
        </w:rPr>
        <w:t>ged</w:t>
      </w:r>
      <w:r w:rsidR="0024446A" w:rsidRPr="003D59F9">
        <w:rPr>
          <w:rFonts w:asciiTheme="minorHAnsi" w:hAnsiTheme="minorHAnsi"/>
          <w:snapToGrid w:val="0"/>
          <w:lang w:val="en-GB"/>
        </w:rPr>
        <w:t xml:space="preserve"> </w:t>
      </w:r>
      <w:r w:rsidRPr="003D59F9">
        <w:rPr>
          <w:rFonts w:asciiTheme="minorHAnsi" w:hAnsiTheme="minorHAnsi"/>
          <w:snapToGrid w:val="0"/>
          <w:lang w:val="en-GB"/>
        </w:rPr>
        <w:t xml:space="preserve">the high unmet clinical need for treatments for astrocytoma </w:t>
      </w:r>
      <w:r w:rsidR="008157AB">
        <w:rPr>
          <w:rFonts w:asciiTheme="minorHAnsi" w:hAnsiTheme="minorHAnsi"/>
          <w:snapToGrid w:val="0"/>
          <w:lang w:val="en-GB"/>
        </w:rPr>
        <w:t>or</w:t>
      </w:r>
      <w:r w:rsidRPr="003D59F9">
        <w:rPr>
          <w:rFonts w:asciiTheme="minorHAnsi" w:hAnsiTheme="minorHAnsi"/>
          <w:snapToGrid w:val="0"/>
          <w:lang w:val="en-GB"/>
        </w:rPr>
        <w:t xml:space="preserve"> oligodendroglioma. The PBAC accepted the clinical claim of superior efficacy compared to active surveillance in terms of radio</w:t>
      </w:r>
      <w:r w:rsidR="00140F7F">
        <w:rPr>
          <w:rFonts w:asciiTheme="minorHAnsi" w:hAnsiTheme="minorHAnsi"/>
          <w:snapToGrid w:val="0"/>
          <w:lang w:val="en-GB"/>
        </w:rPr>
        <w:t>graphic</w:t>
      </w:r>
      <w:r w:rsidRPr="003D59F9">
        <w:rPr>
          <w:rFonts w:asciiTheme="minorHAnsi" w:hAnsiTheme="minorHAnsi"/>
          <w:snapToGrid w:val="0"/>
          <w:lang w:val="en-GB"/>
        </w:rPr>
        <w:t xml:space="preserve"> progression and acknowledged that delaying the need for chemotherapy and radi</w:t>
      </w:r>
      <w:r w:rsidR="007F220F">
        <w:rPr>
          <w:rFonts w:asciiTheme="minorHAnsi" w:hAnsiTheme="minorHAnsi"/>
          <w:snapToGrid w:val="0"/>
          <w:lang w:val="en-GB"/>
        </w:rPr>
        <w:t>o</w:t>
      </w:r>
      <w:r w:rsidRPr="003D59F9">
        <w:rPr>
          <w:rFonts w:asciiTheme="minorHAnsi" w:hAnsiTheme="minorHAnsi"/>
          <w:snapToGrid w:val="0"/>
          <w:lang w:val="en-GB"/>
        </w:rPr>
        <w:t>therapy is a clinically meaningful outcome that is likely to impact on patient quality of life (QoL). The PBAC noted that due to the indolent nature of the disease it was not possible to demonstrate a difference in overall survival or QoL within the trial</w:t>
      </w:r>
      <w:r w:rsidR="00B12BA9">
        <w:rPr>
          <w:rFonts w:asciiTheme="minorHAnsi" w:hAnsiTheme="minorHAnsi"/>
          <w:snapToGrid w:val="0"/>
          <w:lang w:val="en-GB"/>
        </w:rPr>
        <w:t>, and the associated</w:t>
      </w:r>
      <w:r w:rsidRPr="003D59F9">
        <w:rPr>
          <w:rFonts w:asciiTheme="minorHAnsi" w:hAnsiTheme="minorHAnsi"/>
          <w:snapToGrid w:val="0"/>
          <w:lang w:val="en-GB"/>
        </w:rPr>
        <w:t xml:space="preserve"> limitations of the clinical evidence</w:t>
      </w:r>
      <w:r w:rsidR="002D20D9">
        <w:rPr>
          <w:rFonts w:asciiTheme="minorHAnsi" w:hAnsiTheme="minorHAnsi"/>
          <w:snapToGrid w:val="0"/>
          <w:lang w:val="en-GB"/>
        </w:rPr>
        <w:t xml:space="preserve"> resulted in</w:t>
      </w:r>
      <w:r w:rsidRPr="003D59F9">
        <w:rPr>
          <w:rFonts w:asciiTheme="minorHAnsi" w:hAnsiTheme="minorHAnsi"/>
          <w:snapToGrid w:val="0"/>
          <w:lang w:val="en-GB"/>
        </w:rPr>
        <w:t xml:space="preserve"> a high level of uncertainty </w:t>
      </w:r>
      <w:r w:rsidR="00384196">
        <w:rPr>
          <w:rFonts w:asciiTheme="minorHAnsi" w:hAnsiTheme="minorHAnsi"/>
          <w:snapToGrid w:val="0"/>
          <w:lang w:val="en-GB"/>
        </w:rPr>
        <w:t>in</w:t>
      </w:r>
      <w:r w:rsidR="00384196" w:rsidRPr="003D59F9">
        <w:rPr>
          <w:rFonts w:asciiTheme="minorHAnsi" w:hAnsiTheme="minorHAnsi"/>
          <w:snapToGrid w:val="0"/>
          <w:lang w:val="en-GB"/>
        </w:rPr>
        <w:t xml:space="preserve"> </w:t>
      </w:r>
      <w:r w:rsidRPr="003D59F9">
        <w:rPr>
          <w:rFonts w:asciiTheme="minorHAnsi" w:hAnsiTheme="minorHAnsi"/>
          <w:snapToGrid w:val="0"/>
          <w:lang w:val="en-GB"/>
        </w:rPr>
        <w:t xml:space="preserve">the </w:t>
      </w:r>
      <w:r w:rsidR="00FE7401">
        <w:rPr>
          <w:rFonts w:asciiTheme="minorHAnsi" w:hAnsiTheme="minorHAnsi"/>
          <w:snapToGrid w:val="0"/>
          <w:lang w:val="en-GB"/>
        </w:rPr>
        <w:t>incremental cost</w:t>
      </w:r>
      <w:r w:rsidR="006D77C0">
        <w:rPr>
          <w:rFonts w:asciiTheme="minorHAnsi" w:hAnsiTheme="minorHAnsi"/>
          <w:snapToGrid w:val="0"/>
          <w:lang w:val="en-GB"/>
        </w:rPr>
        <w:t xml:space="preserve"> effectiveness ratio (</w:t>
      </w:r>
      <w:r w:rsidRPr="003D59F9">
        <w:rPr>
          <w:rFonts w:asciiTheme="minorHAnsi" w:hAnsiTheme="minorHAnsi"/>
          <w:snapToGrid w:val="0"/>
          <w:lang w:val="en-GB"/>
        </w:rPr>
        <w:t>ICER</w:t>
      </w:r>
      <w:r w:rsidR="006D77C0">
        <w:rPr>
          <w:rFonts w:asciiTheme="minorHAnsi" w:hAnsiTheme="minorHAnsi"/>
          <w:snapToGrid w:val="0"/>
          <w:lang w:val="en-GB"/>
        </w:rPr>
        <w:t>)</w:t>
      </w:r>
      <w:r w:rsidR="00EF607C">
        <w:rPr>
          <w:rFonts w:asciiTheme="minorHAnsi" w:hAnsiTheme="minorHAnsi"/>
          <w:snapToGrid w:val="0"/>
          <w:lang w:val="en-GB"/>
        </w:rPr>
        <w:t>. Overall</w:t>
      </w:r>
      <w:r w:rsidR="00152FE9">
        <w:rPr>
          <w:rFonts w:asciiTheme="minorHAnsi" w:hAnsiTheme="minorHAnsi"/>
          <w:snapToGrid w:val="0"/>
          <w:lang w:val="en-GB"/>
        </w:rPr>
        <w:t>,</w:t>
      </w:r>
      <w:r w:rsidR="00EF607C">
        <w:rPr>
          <w:rFonts w:asciiTheme="minorHAnsi" w:hAnsiTheme="minorHAnsi"/>
          <w:snapToGrid w:val="0"/>
          <w:lang w:val="en-GB"/>
        </w:rPr>
        <w:t xml:space="preserve"> the PBAC considered</w:t>
      </w:r>
      <w:r w:rsidR="00562C5D">
        <w:rPr>
          <w:rFonts w:asciiTheme="minorHAnsi" w:hAnsiTheme="minorHAnsi"/>
          <w:snapToGrid w:val="0"/>
          <w:lang w:val="en-GB"/>
        </w:rPr>
        <w:t xml:space="preserve"> the ICER</w:t>
      </w:r>
      <w:r w:rsidRPr="003D59F9">
        <w:rPr>
          <w:rFonts w:asciiTheme="minorHAnsi" w:hAnsiTheme="minorHAnsi"/>
          <w:snapToGrid w:val="0"/>
          <w:lang w:val="en-GB"/>
        </w:rPr>
        <w:t xml:space="preserve"> was likely to be underestimated and was high at the proposed price. The PBAC considered the duration of treatment </w:t>
      </w:r>
      <w:r w:rsidR="00430588">
        <w:rPr>
          <w:rFonts w:asciiTheme="minorHAnsi" w:hAnsiTheme="minorHAnsi"/>
          <w:snapToGrid w:val="0"/>
          <w:lang w:val="en-GB"/>
        </w:rPr>
        <w:t xml:space="preserve">in clinical practice </w:t>
      </w:r>
      <w:r w:rsidRPr="003D59F9">
        <w:rPr>
          <w:rFonts w:asciiTheme="minorHAnsi" w:hAnsiTheme="minorHAnsi"/>
          <w:snapToGrid w:val="0"/>
          <w:lang w:val="en-GB"/>
        </w:rPr>
        <w:t>may be substantially longer than was assumed in the</w:t>
      </w:r>
      <w:r w:rsidR="001E289F">
        <w:rPr>
          <w:rFonts w:asciiTheme="minorHAnsi" w:hAnsiTheme="minorHAnsi"/>
          <w:snapToGrid w:val="0"/>
          <w:lang w:val="en-GB"/>
        </w:rPr>
        <w:t xml:space="preserve"> economic</w:t>
      </w:r>
      <w:r w:rsidRPr="003D59F9">
        <w:rPr>
          <w:rFonts w:asciiTheme="minorHAnsi" w:hAnsiTheme="minorHAnsi"/>
          <w:snapToGrid w:val="0"/>
          <w:lang w:val="en-GB"/>
        </w:rPr>
        <w:t xml:space="preserve"> model and financial estimates and a risk-sharing arrangement (RSA) would be required to address the potential for use beyond progression. The PBAC considered these issues could be resolved in a resubmission using the early re-entry pathway.</w:t>
      </w:r>
      <w:r w:rsidR="008A65EB">
        <w:rPr>
          <w:rFonts w:asciiTheme="minorHAnsi" w:hAnsiTheme="minorHAnsi"/>
          <w:snapToGrid w:val="0"/>
          <w:lang w:val="en-GB"/>
        </w:rPr>
        <w:t xml:space="preserve"> </w:t>
      </w:r>
    </w:p>
    <w:p w14:paraId="3953A5FE" w14:textId="75274DC8" w:rsidR="00303D2B" w:rsidRPr="00182F21" w:rsidRDefault="0074034E" w:rsidP="00903311">
      <w:pPr>
        <w:widowControl w:val="0"/>
        <w:numPr>
          <w:ilvl w:val="1"/>
          <w:numId w:val="1"/>
        </w:numPr>
        <w:spacing w:after="120"/>
        <w:rPr>
          <w:rFonts w:asciiTheme="minorHAnsi" w:hAnsiTheme="minorHAnsi"/>
          <w:snapToGrid w:val="0"/>
          <w:lang w:val="en-GB"/>
        </w:rPr>
      </w:pPr>
      <w:r w:rsidRPr="00182F21">
        <w:rPr>
          <w:rFonts w:asciiTheme="minorHAnsi" w:hAnsiTheme="minorHAnsi"/>
          <w:snapToGrid w:val="0"/>
          <w:lang w:val="en-GB"/>
        </w:rPr>
        <w:t xml:space="preserve">The PBAC acknowledged the high unmet clinical need for effective treatments for </w:t>
      </w:r>
      <w:r w:rsidR="006C740F" w:rsidRPr="00182F21">
        <w:rPr>
          <w:rFonts w:asciiTheme="minorHAnsi" w:hAnsiTheme="minorHAnsi"/>
          <w:snapToGrid w:val="0"/>
          <w:lang w:val="en-GB"/>
        </w:rPr>
        <w:t xml:space="preserve">IDH-mutant astrocytoma or oligodendroglioma, noting that there are currently no other effective treatments available </w:t>
      </w:r>
      <w:r w:rsidR="005F38CE" w:rsidRPr="00182F21">
        <w:rPr>
          <w:rFonts w:asciiTheme="minorHAnsi" w:hAnsiTheme="minorHAnsi"/>
          <w:snapToGrid w:val="0"/>
          <w:lang w:val="en-GB"/>
        </w:rPr>
        <w:t>for patients not in immediate need of chemotherapy/radiotherapy</w:t>
      </w:r>
      <w:r w:rsidR="00140F7F" w:rsidRPr="00182F21">
        <w:rPr>
          <w:rFonts w:asciiTheme="minorHAnsi" w:hAnsiTheme="minorHAnsi"/>
          <w:snapToGrid w:val="0"/>
          <w:lang w:val="en-GB"/>
        </w:rPr>
        <w:t xml:space="preserve">. </w:t>
      </w:r>
      <w:r w:rsidR="00ED1BE7" w:rsidRPr="00182F21">
        <w:rPr>
          <w:rFonts w:asciiTheme="minorHAnsi" w:hAnsiTheme="minorHAnsi"/>
          <w:snapToGrid w:val="0"/>
          <w:lang w:val="en-GB"/>
        </w:rPr>
        <w:t xml:space="preserve">The PBAC noted that </w:t>
      </w:r>
      <w:r w:rsidR="000105CB">
        <w:rPr>
          <w:rFonts w:asciiTheme="minorHAnsi" w:hAnsiTheme="minorHAnsi"/>
          <w:snapToGrid w:val="0"/>
          <w:lang w:val="en-GB"/>
        </w:rPr>
        <w:t xml:space="preserve">as the disease progresses </w:t>
      </w:r>
      <w:r w:rsidR="00182F21" w:rsidRPr="00182F21">
        <w:rPr>
          <w:rFonts w:asciiTheme="minorHAnsi" w:hAnsiTheme="minorHAnsi"/>
          <w:snapToGrid w:val="0"/>
          <w:lang w:val="en-GB"/>
        </w:rPr>
        <w:t xml:space="preserve">patients experience </w:t>
      </w:r>
      <w:r w:rsidR="00182F21" w:rsidRPr="00182F21">
        <w:rPr>
          <w:rFonts w:asciiTheme="minorHAnsi" w:hAnsiTheme="minorHAnsi"/>
          <w:snapToGrid w:val="0"/>
        </w:rPr>
        <w:t xml:space="preserve">headaches, nausea/vomiting, seizures, drowsiness, visual disturbance, speech/language problems, sensory loss, motor deficits and changes in cognitive and/or functional ability. </w:t>
      </w:r>
      <w:r w:rsidR="00A2537A">
        <w:rPr>
          <w:rFonts w:asciiTheme="minorHAnsi" w:hAnsiTheme="minorHAnsi"/>
          <w:snapToGrid w:val="0"/>
        </w:rPr>
        <w:t>Th</w:t>
      </w:r>
      <w:r w:rsidR="00F5431E">
        <w:rPr>
          <w:rFonts w:asciiTheme="minorHAnsi" w:hAnsiTheme="minorHAnsi"/>
          <w:snapToGrid w:val="0"/>
        </w:rPr>
        <w:t>ese symptoms</w:t>
      </w:r>
      <w:r w:rsidR="00A2537A">
        <w:rPr>
          <w:rFonts w:asciiTheme="minorHAnsi" w:hAnsiTheme="minorHAnsi"/>
          <w:snapToGrid w:val="0"/>
        </w:rPr>
        <w:t xml:space="preserve"> ha</w:t>
      </w:r>
      <w:r w:rsidR="00F5431E">
        <w:rPr>
          <w:rFonts w:asciiTheme="minorHAnsi" w:hAnsiTheme="minorHAnsi"/>
          <w:snapToGrid w:val="0"/>
        </w:rPr>
        <w:t>ve</w:t>
      </w:r>
      <w:r w:rsidR="00A2537A">
        <w:rPr>
          <w:rFonts w:asciiTheme="minorHAnsi" w:hAnsiTheme="minorHAnsi"/>
          <w:snapToGrid w:val="0"/>
        </w:rPr>
        <w:t xml:space="preserve"> a significant impact on QoL</w:t>
      </w:r>
      <w:r w:rsidR="00F91F86">
        <w:rPr>
          <w:rFonts w:asciiTheme="minorHAnsi" w:hAnsiTheme="minorHAnsi"/>
          <w:snapToGrid w:val="0"/>
        </w:rPr>
        <w:t xml:space="preserve">, including </w:t>
      </w:r>
      <w:r w:rsidR="00F91F86" w:rsidRPr="00F91F86">
        <w:rPr>
          <w:rFonts w:asciiTheme="minorHAnsi" w:hAnsiTheme="minorHAnsi"/>
          <w:snapToGrid w:val="0"/>
        </w:rPr>
        <w:t xml:space="preserve">inability to work, drive, remain independent, </w:t>
      </w:r>
      <w:r w:rsidR="00F91F86">
        <w:rPr>
          <w:rFonts w:asciiTheme="minorHAnsi" w:hAnsiTheme="minorHAnsi"/>
          <w:snapToGrid w:val="0"/>
        </w:rPr>
        <w:t xml:space="preserve">and </w:t>
      </w:r>
      <w:r w:rsidR="00F91F86" w:rsidRPr="00F91F86">
        <w:rPr>
          <w:rFonts w:asciiTheme="minorHAnsi" w:hAnsiTheme="minorHAnsi"/>
          <w:snapToGrid w:val="0"/>
        </w:rPr>
        <w:t xml:space="preserve">anxiety </w:t>
      </w:r>
      <w:r w:rsidR="00F91F86">
        <w:rPr>
          <w:rFonts w:asciiTheme="minorHAnsi" w:hAnsiTheme="minorHAnsi"/>
          <w:snapToGrid w:val="0"/>
        </w:rPr>
        <w:t xml:space="preserve">is associated with </w:t>
      </w:r>
      <w:r w:rsidR="00F91F86" w:rsidRPr="00F91F86">
        <w:rPr>
          <w:rFonts w:asciiTheme="minorHAnsi" w:hAnsiTheme="minorHAnsi"/>
          <w:snapToGrid w:val="0"/>
        </w:rPr>
        <w:t>surveillance only</w:t>
      </w:r>
      <w:r w:rsidR="0033748C">
        <w:rPr>
          <w:rFonts w:asciiTheme="minorHAnsi" w:hAnsiTheme="minorHAnsi"/>
          <w:snapToGrid w:val="0"/>
        </w:rPr>
        <w:t xml:space="preserve">, knowing that the condition will inevitably progress. </w:t>
      </w:r>
      <w:r w:rsidR="007A76F2" w:rsidRPr="00182F21">
        <w:rPr>
          <w:rFonts w:asciiTheme="minorHAnsi" w:hAnsiTheme="minorHAnsi"/>
          <w:snapToGrid w:val="0"/>
          <w:lang w:val="en-GB"/>
        </w:rPr>
        <w:t xml:space="preserve">The PBAC also acknowledged that </w:t>
      </w:r>
      <w:r w:rsidR="004C6B28" w:rsidRPr="00182F21">
        <w:rPr>
          <w:rFonts w:asciiTheme="minorHAnsi" w:hAnsiTheme="minorHAnsi"/>
          <w:snapToGrid w:val="0"/>
          <w:lang w:val="en-GB"/>
        </w:rPr>
        <w:t xml:space="preserve">chemotherapy/radiotherapy is associated with </w:t>
      </w:r>
      <w:r w:rsidR="00836053" w:rsidRPr="00182F21">
        <w:rPr>
          <w:rFonts w:asciiTheme="minorHAnsi" w:hAnsiTheme="minorHAnsi"/>
          <w:snapToGrid w:val="0"/>
          <w:lang w:val="en-GB"/>
        </w:rPr>
        <w:t>substantial toxicity and worsening of neurological deficits</w:t>
      </w:r>
      <w:r w:rsidR="00BB70FC">
        <w:rPr>
          <w:rFonts w:asciiTheme="minorHAnsi" w:hAnsiTheme="minorHAnsi"/>
          <w:snapToGrid w:val="0"/>
          <w:lang w:val="en-GB"/>
        </w:rPr>
        <w:t xml:space="preserve">. </w:t>
      </w:r>
      <w:r w:rsidR="0008207C">
        <w:rPr>
          <w:rFonts w:asciiTheme="minorHAnsi" w:hAnsiTheme="minorHAnsi"/>
          <w:snapToGrid w:val="0"/>
          <w:lang w:val="en-GB"/>
        </w:rPr>
        <w:t>Therefore</w:t>
      </w:r>
      <w:r w:rsidR="00DE2DF0">
        <w:rPr>
          <w:rFonts w:asciiTheme="minorHAnsi" w:hAnsiTheme="minorHAnsi"/>
          <w:snapToGrid w:val="0"/>
          <w:lang w:val="en-GB"/>
        </w:rPr>
        <w:t>,</w:t>
      </w:r>
      <w:r w:rsidR="0008207C">
        <w:rPr>
          <w:rFonts w:asciiTheme="minorHAnsi" w:hAnsiTheme="minorHAnsi"/>
          <w:snapToGrid w:val="0"/>
          <w:lang w:val="en-GB"/>
        </w:rPr>
        <w:t xml:space="preserve"> d</w:t>
      </w:r>
      <w:r w:rsidR="00BB70FC">
        <w:rPr>
          <w:rFonts w:asciiTheme="minorHAnsi" w:hAnsiTheme="minorHAnsi"/>
          <w:snapToGrid w:val="0"/>
          <w:lang w:val="en-GB"/>
        </w:rPr>
        <w:t>e</w:t>
      </w:r>
      <w:r w:rsidR="00975052" w:rsidRPr="00182F21">
        <w:rPr>
          <w:rFonts w:asciiTheme="minorHAnsi" w:hAnsiTheme="minorHAnsi"/>
          <w:snapToGrid w:val="0"/>
          <w:lang w:val="en-GB"/>
        </w:rPr>
        <w:t>laying</w:t>
      </w:r>
      <w:r w:rsidR="00BD31DC">
        <w:rPr>
          <w:rFonts w:asciiTheme="minorHAnsi" w:hAnsiTheme="minorHAnsi"/>
          <w:snapToGrid w:val="0"/>
          <w:lang w:val="en-GB"/>
        </w:rPr>
        <w:t xml:space="preserve"> progression and</w:t>
      </w:r>
      <w:r w:rsidR="00975052" w:rsidRPr="00182F21">
        <w:rPr>
          <w:rFonts w:asciiTheme="minorHAnsi" w:hAnsiTheme="minorHAnsi"/>
          <w:snapToGrid w:val="0"/>
          <w:lang w:val="en-GB"/>
        </w:rPr>
        <w:t xml:space="preserve"> the need for chemotherapy/radiotherapy </w:t>
      </w:r>
      <w:r w:rsidR="00F00A61" w:rsidRPr="00182F21">
        <w:rPr>
          <w:rFonts w:asciiTheme="minorHAnsi" w:hAnsiTheme="minorHAnsi"/>
          <w:snapToGrid w:val="0"/>
          <w:lang w:val="en-GB"/>
        </w:rPr>
        <w:t>is valuable to patients and likely to result in improved quality of life</w:t>
      </w:r>
      <w:r w:rsidR="00947763" w:rsidRPr="00182F21">
        <w:rPr>
          <w:rFonts w:asciiTheme="minorHAnsi" w:hAnsiTheme="minorHAnsi"/>
          <w:snapToGrid w:val="0"/>
          <w:lang w:val="en-GB"/>
        </w:rPr>
        <w:t xml:space="preserve">. </w:t>
      </w:r>
      <w:r w:rsidR="006C740F" w:rsidRPr="00182F21">
        <w:rPr>
          <w:rFonts w:asciiTheme="minorHAnsi" w:hAnsiTheme="minorHAnsi"/>
          <w:snapToGrid w:val="0"/>
          <w:lang w:val="en-GB"/>
        </w:rPr>
        <w:t xml:space="preserve"> </w:t>
      </w:r>
    </w:p>
    <w:p w14:paraId="60873D4D" w14:textId="59F203EC" w:rsidR="00F27175" w:rsidRPr="00F27175" w:rsidRDefault="00E01FF3" w:rsidP="00A32E25">
      <w:pPr>
        <w:pStyle w:val="COMexecsummnumbered"/>
        <w:rPr>
          <w:i/>
          <w:iCs/>
        </w:rPr>
      </w:pPr>
      <w:r>
        <w:t xml:space="preserve">The PBAC noted that the proposed </w:t>
      </w:r>
      <w:r w:rsidR="00226FA9">
        <w:t xml:space="preserve">restriction criteria were generally consistent with the TGA indication for vorasidenib. </w:t>
      </w:r>
      <w:r w:rsidR="004B05A3">
        <w:t>The PBAC consi</w:t>
      </w:r>
      <w:r w:rsidR="008E6E95">
        <w:t xml:space="preserve">dered the criterion limiting treatment to patients not in immediate need of radiotherapy or chemotherapy was appropriate and consistent with </w:t>
      </w:r>
      <w:r w:rsidR="00F40EC0">
        <w:t xml:space="preserve">guidelines. Although </w:t>
      </w:r>
      <w:r w:rsidR="00FC13EC">
        <w:t xml:space="preserve">it is </w:t>
      </w:r>
      <w:r w:rsidR="00F40EC0">
        <w:t xml:space="preserve">possible that some patients </w:t>
      </w:r>
      <w:r w:rsidR="00AE2712" w:rsidRPr="00AE2712">
        <w:rPr>
          <w:lang w:val="en-US"/>
        </w:rPr>
        <w:t>with sympto</w:t>
      </w:r>
      <w:r w:rsidR="008B48D4">
        <w:rPr>
          <w:lang w:val="en-US"/>
        </w:rPr>
        <w:t>ms</w:t>
      </w:r>
      <w:r w:rsidR="00AE2712" w:rsidRPr="00AE2712">
        <w:rPr>
          <w:lang w:val="en-US"/>
        </w:rPr>
        <w:t>/impending symptoms</w:t>
      </w:r>
      <w:r w:rsidR="008B48D4">
        <w:rPr>
          <w:lang w:val="en-US"/>
        </w:rPr>
        <w:t xml:space="preserve"> or </w:t>
      </w:r>
      <w:r w:rsidR="00AE2712" w:rsidRPr="00AE2712">
        <w:rPr>
          <w:lang w:val="en-US"/>
        </w:rPr>
        <w:t>high</w:t>
      </w:r>
      <w:r w:rsidR="00F27175">
        <w:rPr>
          <w:lang w:val="en-US"/>
        </w:rPr>
        <w:t>-</w:t>
      </w:r>
      <w:r w:rsidR="00AE2712" w:rsidRPr="00AE2712">
        <w:rPr>
          <w:lang w:val="en-US"/>
        </w:rPr>
        <w:t xml:space="preserve">risk features </w:t>
      </w:r>
      <w:r w:rsidR="00F27175">
        <w:rPr>
          <w:lang w:val="en-US"/>
        </w:rPr>
        <w:t>who</w:t>
      </w:r>
      <w:r w:rsidR="00AE2712" w:rsidRPr="00AE2712">
        <w:rPr>
          <w:lang w:val="en-US"/>
        </w:rPr>
        <w:t xml:space="preserve"> </w:t>
      </w:r>
      <w:r w:rsidR="00F27175">
        <w:rPr>
          <w:lang w:val="en-US"/>
        </w:rPr>
        <w:t>sh</w:t>
      </w:r>
      <w:r w:rsidR="00AE2712" w:rsidRPr="00AE2712">
        <w:rPr>
          <w:lang w:val="en-US"/>
        </w:rPr>
        <w:t xml:space="preserve">ould </w:t>
      </w:r>
      <w:r w:rsidR="00F27175">
        <w:rPr>
          <w:lang w:val="en-US"/>
        </w:rPr>
        <w:t>receive</w:t>
      </w:r>
      <w:r w:rsidR="00AE2712" w:rsidRPr="00AE2712">
        <w:rPr>
          <w:lang w:val="en-US"/>
        </w:rPr>
        <w:t xml:space="preserve"> chemo</w:t>
      </w:r>
      <w:r w:rsidR="008B48D4">
        <w:rPr>
          <w:lang w:val="en-US"/>
        </w:rPr>
        <w:t>therapy/</w:t>
      </w:r>
      <w:r w:rsidR="00AE2712" w:rsidRPr="00AE2712">
        <w:rPr>
          <w:lang w:val="en-US"/>
        </w:rPr>
        <w:t>radiotherapy</w:t>
      </w:r>
      <w:r w:rsidR="008B48D4">
        <w:rPr>
          <w:lang w:val="en-US"/>
        </w:rPr>
        <w:t xml:space="preserve"> </w:t>
      </w:r>
      <w:r w:rsidR="00F40EC0">
        <w:t>may be</w:t>
      </w:r>
      <w:r w:rsidR="00C5552A">
        <w:t xml:space="preserve"> initially</w:t>
      </w:r>
      <w:r w:rsidR="00F40EC0">
        <w:t xml:space="preserve"> tre</w:t>
      </w:r>
      <w:r w:rsidR="008B48D4">
        <w:t>ated with vorasidenib</w:t>
      </w:r>
      <w:r w:rsidR="00AD5C0B">
        <w:t xml:space="preserve"> </w:t>
      </w:r>
      <w:r w:rsidR="00FC13EC">
        <w:t>(</w:t>
      </w:r>
      <w:r w:rsidR="00AD5C0B">
        <w:t xml:space="preserve">as the </w:t>
      </w:r>
      <w:r w:rsidR="000E31FA">
        <w:t>criterion is not tightly defined</w:t>
      </w:r>
      <w:r w:rsidR="00FC13EC">
        <w:t>)</w:t>
      </w:r>
      <w:r w:rsidR="008B48D4">
        <w:t xml:space="preserve">, the PBAC considered that </w:t>
      </w:r>
      <w:r w:rsidR="009B16FC">
        <w:t xml:space="preserve">clinicians are unlikely to </w:t>
      </w:r>
      <w:r w:rsidR="003F64FC">
        <w:t xml:space="preserve">delay radiotherapy/chemotherapy as </w:t>
      </w:r>
      <w:r w:rsidR="009B16FC">
        <w:t xml:space="preserve">vorasidenib </w:t>
      </w:r>
      <w:r w:rsidR="003F64FC">
        <w:t>d</w:t>
      </w:r>
      <w:r w:rsidR="009B16FC">
        <w:t xml:space="preserve">oes not appear to reduce tumour size. </w:t>
      </w:r>
      <w:r w:rsidR="00EC3B59">
        <w:t xml:space="preserve">The PBAC considered that </w:t>
      </w:r>
      <w:r w:rsidR="00FF1687">
        <w:t>there is likely to be treatment beyond</w:t>
      </w:r>
      <w:r w:rsidR="00FD606D">
        <w:t xml:space="preserve"> radiographic</w:t>
      </w:r>
      <w:r w:rsidR="00FF1687">
        <w:t xml:space="preserve"> progression despite the criterion addressing this</w:t>
      </w:r>
      <w:r w:rsidR="006A3668">
        <w:t>,</w:t>
      </w:r>
      <w:r w:rsidR="00FF1687">
        <w:t xml:space="preserve"> as clinicians</w:t>
      </w:r>
      <w:r w:rsidR="00A14102">
        <w:t xml:space="preserve"> and patients</w:t>
      </w:r>
      <w:r w:rsidR="00FF1687">
        <w:t xml:space="preserve"> </w:t>
      </w:r>
      <w:r w:rsidR="00850E94">
        <w:t xml:space="preserve">may </w:t>
      </w:r>
      <w:r w:rsidR="004A272A">
        <w:t xml:space="preserve">delay radiotherapy/chemotherapy until worsening </w:t>
      </w:r>
      <w:r w:rsidR="00F27175">
        <w:t xml:space="preserve">of symptoms even if </w:t>
      </w:r>
      <w:r w:rsidR="005C7CF8">
        <w:t>patients have</w:t>
      </w:r>
      <w:r w:rsidR="00F27175">
        <w:t xml:space="preserve"> radiographic progression. </w:t>
      </w:r>
      <w:r w:rsidR="003B4B4D">
        <w:t xml:space="preserve">The PBAC noted that the cost-effectiveness of ongoing </w:t>
      </w:r>
      <w:r w:rsidR="003B4B4D">
        <w:lastRenderedPageBreak/>
        <w:t xml:space="preserve">treatment beyond </w:t>
      </w:r>
      <w:r w:rsidR="00847AE4">
        <w:t xml:space="preserve">radiographic </w:t>
      </w:r>
      <w:r w:rsidR="003B4B4D">
        <w:t>progression was uncertain and could not be assessed</w:t>
      </w:r>
      <w:r w:rsidR="00DD49CD">
        <w:t xml:space="preserve"> as patients in INDIGO discontinued treatment at radiographic progression</w:t>
      </w:r>
      <w:r w:rsidR="003B4B4D">
        <w:t>.</w:t>
      </w:r>
    </w:p>
    <w:p w14:paraId="7A41CCF1" w14:textId="2B85AFA0" w:rsidR="00A32E25" w:rsidRPr="009552D7" w:rsidRDefault="00A32E25" w:rsidP="00903311">
      <w:pPr>
        <w:pStyle w:val="COMexecsummnumbered"/>
        <w:rPr>
          <w:i/>
          <w:iCs/>
        </w:rPr>
      </w:pPr>
      <w:r w:rsidRPr="00847870">
        <w:t xml:space="preserve">The proposed listing is broader than the TGA indication with respect to age, as the TGA indication limits treatment to patients aged 12 years and older. </w:t>
      </w:r>
      <w:r w:rsidR="005C7CF8">
        <w:t>H</w:t>
      </w:r>
      <w:r>
        <w:t>owever the PBAC considered it was appropriate for the listing to be silent on age</w:t>
      </w:r>
      <w:r w:rsidR="00DF5189">
        <w:t xml:space="preserve"> to ensure </w:t>
      </w:r>
      <w:r w:rsidR="00714032">
        <w:t>t</w:t>
      </w:r>
      <w:r w:rsidR="00F41768">
        <w:t xml:space="preserve">he very small number of </w:t>
      </w:r>
      <w:r w:rsidR="00714032">
        <w:t xml:space="preserve">younger </w:t>
      </w:r>
      <w:r w:rsidR="00DF5189">
        <w:t>patients</w:t>
      </w:r>
      <w:r w:rsidR="00714032">
        <w:t>, who are</w:t>
      </w:r>
      <w:r w:rsidR="00DF5189">
        <w:t xml:space="preserve"> likely to benefit</w:t>
      </w:r>
      <w:r w:rsidR="00F41768">
        <w:t xml:space="preserve"> from treatment</w:t>
      </w:r>
      <w:r w:rsidR="00714032">
        <w:t>,</w:t>
      </w:r>
      <w:r w:rsidR="00DF5189">
        <w:t xml:space="preserve"> are not excluded</w:t>
      </w:r>
      <w:r w:rsidRPr="00531A03">
        <w:t>.</w:t>
      </w:r>
      <w:r w:rsidRPr="00014E52">
        <w:t xml:space="preserve"> </w:t>
      </w:r>
      <w:r w:rsidRPr="00847870">
        <w:t>The proposed listing is narrower than the TGA indication, which does not limit treatment on the basis of previous anticancer therapy, performance status, the presence of residual or recurrent diseas</w:t>
      </w:r>
      <w:r w:rsidR="00276C1B">
        <w:t>e</w:t>
      </w:r>
      <w:r w:rsidRPr="00847870">
        <w:t>.</w:t>
      </w:r>
      <w:r>
        <w:t xml:space="preserve"> The PBAC considered these differences between the TGA indication and proposed listing were appropriate</w:t>
      </w:r>
      <w:r w:rsidR="00342EDA">
        <w:t xml:space="preserve"> to align with the population</w:t>
      </w:r>
      <w:r w:rsidR="004B6D33">
        <w:t xml:space="preserve"> in the pivotal trial (INDIGO)</w:t>
      </w:r>
      <w:r>
        <w:t>.</w:t>
      </w:r>
    </w:p>
    <w:p w14:paraId="473C6280" w14:textId="4072F322" w:rsidR="00A32E25" w:rsidRPr="002D08C9" w:rsidRDefault="00A32E25" w:rsidP="00903311">
      <w:pPr>
        <w:pStyle w:val="COMexecsummnumbered"/>
        <w:rPr>
          <w:i/>
          <w:iCs/>
        </w:rPr>
      </w:pPr>
      <w:r w:rsidRPr="00847870">
        <w:t xml:space="preserve">The submission noted that the proposed restriction does not specify a duration of time since surgery, whereas the INDIGO trial enrolled patients whose most recent surgery was at least one year (and not more than 5 years) prior to randomisation. </w:t>
      </w:r>
      <w:r>
        <w:t>T</w:t>
      </w:r>
      <w:r w:rsidRPr="00531A03">
        <w:t xml:space="preserve">he sponsor </w:t>
      </w:r>
      <w:r w:rsidR="00D42D2E">
        <w:t>argued</w:t>
      </w:r>
      <w:r w:rsidRPr="00531A03">
        <w:t xml:space="preserve"> that it </w:t>
      </w:r>
      <w:r>
        <w:t>would be</w:t>
      </w:r>
      <w:r w:rsidRPr="00531A03">
        <w:t xml:space="preserve"> reasonable for the restriction to </w:t>
      </w:r>
      <w:r w:rsidR="00E94BBF">
        <w:t>not</w:t>
      </w:r>
      <w:r w:rsidR="00E94BBF" w:rsidRPr="00531A03">
        <w:t xml:space="preserve"> </w:t>
      </w:r>
      <w:r w:rsidRPr="00531A03">
        <w:t xml:space="preserve">specify a fixed time window for initiation of vorasidenib </w:t>
      </w:r>
      <w:r w:rsidR="00D42D2E">
        <w:t>as</w:t>
      </w:r>
      <w:r w:rsidRPr="00531A03">
        <w:t xml:space="preserve"> subgroup analyses indicate that treatment outcomes did not vary meaningfully with earlier or later initiation. </w:t>
      </w:r>
      <w:r>
        <w:t>The PBAC considered it was appropriate to allow flexibility with regard to the time since surgery, as proposed in the restrictions.</w:t>
      </w:r>
    </w:p>
    <w:p w14:paraId="6CF5AD3B" w14:textId="4D266656" w:rsidR="00303D2B" w:rsidRPr="00772237" w:rsidRDefault="00C50014" w:rsidP="00772237">
      <w:pPr>
        <w:pStyle w:val="COMexecsummnumbered"/>
      </w:pPr>
      <w:r w:rsidRPr="005C73D6">
        <w:t xml:space="preserve">The </w:t>
      </w:r>
      <w:r w:rsidR="004C0ACC">
        <w:t>PBAC</w:t>
      </w:r>
      <w:r w:rsidR="00D92B28">
        <w:t xml:space="preserve"> considered that the proposed clinical place for vorasidenib in patients </w:t>
      </w:r>
      <w:r w:rsidR="008157AB">
        <w:t xml:space="preserve">with </w:t>
      </w:r>
      <w:r w:rsidR="0072684B" w:rsidRPr="00F57392">
        <w:t>WHO Grade 2 IDH-mutant astrocytoma or oligodendroglioma who have residual or recurrent disease after at least one prior surgery for glioma, and who are not in immediate need of radiotherapy or chemotherapy</w:t>
      </w:r>
      <w:r w:rsidR="00BE0349">
        <w:t xml:space="preserve"> was appropriate and consistent with </w:t>
      </w:r>
      <w:r w:rsidR="00960A29">
        <w:t xml:space="preserve">guidelines and </w:t>
      </w:r>
      <w:r w:rsidR="00BE0349">
        <w:t>the clinical evidence</w:t>
      </w:r>
      <w:r w:rsidR="00960A29">
        <w:t xml:space="preserve"> available</w:t>
      </w:r>
      <w:r w:rsidR="0072684B" w:rsidRPr="00F57392">
        <w:t>.</w:t>
      </w:r>
      <w:r w:rsidR="0072684B">
        <w:t xml:space="preserve"> The </w:t>
      </w:r>
      <w:r w:rsidR="009C26AC">
        <w:t>PBAC</w:t>
      </w:r>
      <w:r w:rsidRPr="00531A03">
        <w:t xml:space="preserve"> considered that clinicians are unlikely to use vorasidenib in patients with high</w:t>
      </w:r>
      <w:r w:rsidR="00960A29">
        <w:t>-</w:t>
      </w:r>
      <w:r w:rsidRPr="00531A03">
        <w:t xml:space="preserve">risk disease (including Grade 3 or 4) or with progression on radiotherapy/chemotherapy as there is no evidence to suggest it would be effective. </w:t>
      </w:r>
      <w:r>
        <w:t>The PBAC noted that there may be trials in other treatment settings in the future (e.g. after prior chemotherapy), however the appropriate clinical place based on the INDIGO trial is clear and effectiveness has not been demonstrated for use outside the proposed population.</w:t>
      </w:r>
    </w:p>
    <w:p w14:paraId="2803A493" w14:textId="7E355B86" w:rsidR="00303D2B" w:rsidRPr="00CE42B4" w:rsidRDefault="00772237" w:rsidP="00303D2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w:t>
      </w:r>
      <w:r>
        <w:t>nominated comparator of active surveillance was appropriate as no other treatments are available for patients not in</w:t>
      </w:r>
      <w:r w:rsidR="0022097A">
        <w:t xml:space="preserve"> immediate need of radiotherapy/chemotherapy. </w:t>
      </w:r>
    </w:p>
    <w:p w14:paraId="6DA35DDF" w14:textId="1F312B5A" w:rsidR="00222E23" w:rsidRDefault="008F131A" w:rsidP="008C15AE">
      <w:pPr>
        <w:widowControl w:val="0"/>
        <w:numPr>
          <w:ilvl w:val="1"/>
          <w:numId w:val="1"/>
        </w:numPr>
        <w:spacing w:after="120"/>
        <w:rPr>
          <w:rFonts w:asciiTheme="minorHAnsi" w:hAnsiTheme="minorHAnsi"/>
          <w:snapToGrid w:val="0"/>
        </w:rPr>
      </w:pPr>
      <w:r w:rsidRPr="008F131A">
        <w:rPr>
          <w:rFonts w:asciiTheme="minorHAnsi" w:hAnsiTheme="minorHAnsi"/>
          <w:snapToGrid w:val="0"/>
        </w:rPr>
        <w:t xml:space="preserve">The </w:t>
      </w:r>
      <w:r>
        <w:rPr>
          <w:rFonts w:asciiTheme="minorHAnsi" w:hAnsiTheme="minorHAnsi"/>
          <w:snapToGrid w:val="0"/>
        </w:rPr>
        <w:t xml:space="preserve">PBAC noted the </w:t>
      </w:r>
      <w:r w:rsidRPr="008F131A">
        <w:rPr>
          <w:rFonts w:asciiTheme="minorHAnsi" w:hAnsiTheme="minorHAnsi"/>
          <w:snapToGrid w:val="0"/>
        </w:rPr>
        <w:t xml:space="preserve">submission was based on one head-to-head randomised trial comparing vorasidenib to placebo in patients with Grade 2 IDH-mutant astrocytoma or oligodendroglioma (INDIGO). </w:t>
      </w:r>
      <w:r w:rsidR="005A1257" w:rsidRPr="005A1257">
        <w:rPr>
          <w:rFonts w:asciiTheme="minorHAnsi" w:hAnsiTheme="minorHAnsi"/>
          <w:snapToGrid w:val="0"/>
        </w:rPr>
        <w:t>The trial was unblinded after the second interim analysis based due to early demonstration of efficacy</w:t>
      </w:r>
      <w:r w:rsidR="00EE6971">
        <w:rPr>
          <w:rFonts w:asciiTheme="minorHAnsi" w:hAnsiTheme="minorHAnsi"/>
          <w:snapToGrid w:val="0"/>
        </w:rPr>
        <w:t xml:space="preserve"> and </w:t>
      </w:r>
      <w:r w:rsidR="005A1257" w:rsidRPr="005A1257">
        <w:rPr>
          <w:rFonts w:asciiTheme="minorHAnsi" w:hAnsiTheme="minorHAnsi"/>
          <w:snapToGrid w:val="0"/>
        </w:rPr>
        <w:t>patients in the placebo arm</w:t>
      </w:r>
      <w:r w:rsidR="00F35BC6">
        <w:rPr>
          <w:rFonts w:asciiTheme="minorHAnsi" w:hAnsiTheme="minorHAnsi"/>
          <w:snapToGrid w:val="0"/>
        </w:rPr>
        <w:t xml:space="preserve">, </w:t>
      </w:r>
      <w:r w:rsidR="005A1257" w:rsidRPr="005A1257">
        <w:rPr>
          <w:rFonts w:asciiTheme="minorHAnsi" w:hAnsiTheme="minorHAnsi"/>
          <w:snapToGrid w:val="0"/>
        </w:rPr>
        <w:t>including patients who had not yet experienced disease progression</w:t>
      </w:r>
      <w:r w:rsidR="00F35BC6">
        <w:rPr>
          <w:rFonts w:asciiTheme="minorHAnsi" w:hAnsiTheme="minorHAnsi"/>
          <w:snapToGrid w:val="0"/>
        </w:rPr>
        <w:t>,</w:t>
      </w:r>
      <w:r w:rsidR="005A1257" w:rsidRPr="005A1257">
        <w:rPr>
          <w:rFonts w:asciiTheme="minorHAnsi" w:hAnsiTheme="minorHAnsi"/>
          <w:snapToGrid w:val="0"/>
        </w:rPr>
        <w:t xml:space="preserve"> were able to cross over to receive vorasidenib treatment.</w:t>
      </w:r>
      <w:r w:rsidR="00EE6971">
        <w:rPr>
          <w:rFonts w:asciiTheme="minorHAnsi" w:hAnsiTheme="minorHAnsi"/>
          <w:snapToGrid w:val="0"/>
        </w:rPr>
        <w:t xml:space="preserve"> </w:t>
      </w:r>
      <w:r w:rsidR="007D614F">
        <w:rPr>
          <w:rFonts w:asciiTheme="minorHAnsi" w:hAnsiTheme="minorHAnsi"/>
          <w:snapToGrid w:val="0"/>
        </w:rPr>
        <w:t xml:space="preserve">The PBAC noted that no comparative data were available beyond the </w:t>
      </w:r>
      <w:r w:rsidR="008C15AE" w:rsidRPr="008C15AE">
        <w:rPr>
          <w:rFonts w:asciiTheme="minorHAnsi" w:hAnsiTheme="minorHAnsi"/>
          <w:snapToGrid w:val="0"/>
        </w:rPr>
        <w:t>extended follow-up analysis</w:t>
      </w:r>
      <w:r w:rsidR="008C15AE">
        <w:rPr>
          <w:rFonts w:asciiTheme="minorHAnsi" w:hAnsiTheme="minorHAnsi"/>
          <w:snapToGrid w:val="0"/>
        </w:rPr>
        <w:t xml:space="preserve">, with a </w:t>
      </w:r>
      <w:r w:rsidR="008C15AE" w:rsidRPr="008C15AE">
        <w:rPr>
          <w:rFonts w:asciiTheme="minorHAnsi" w:hAnsiTheme="minorHAnsi"/>
          <w:snapToGrid w:val="0"/>
        </w:rPr>
        <w:t>median follow-up of 17.3 months</w:t>
      </w:r>
      <w:r w:rsidR="00850860">
        <w:rPr>
          <w:rFonts w:asciiTheme="minorHAnsi" w:hAnsiTheme="minorHAnsi"/>
          <w:snapToGrid w:val="0"/>
        </w:rPr>
        <w:t xml:space="preserve"> for PFS</w:t>
      </w:r>
      <w:r w:rsidR="008C15AE">
        <w:rPr>
          <w:rFonts w:asciiTheme="minorHAnsi" w:hAnsiTheme="minorHAnsi"/>
          <w:snapToGrid w:val="0"/>
        </w:rPr>
        <w:t xml:space="preserve">. </w:t>
      </w:r>
    </w:p>
    <w:p w14:paraId="014F2A80" w14:textId="1B103C28" w:rsidR="00D713F6" w:rsidRPr="00D713F6" w:rsidRDefault="00CB49B5" w:rsidP="00222E23">
      <w:pPr>
        <w:widowControl w:val="0"/>
        <w:numPr>
          <w:ilvl w:val="1"/>
          <w:numId w:val="1"/>
        </w:numPr>
        <w:spacing w:after="120"/>
        <w:rPr>
          <w:rFonts w:asciiTheme="minorHAnsi" w:hAnsiTheme="minorHAnsi"/>
          <w:snapToGrid w:val="0"/>
        </w:rPr>
      </w:pPr>
      <w:r>
        <w:rPr>
          <w:rFonts w:asciiTheme="minorHAnsi" w:hAnsiTheme="minorHAnsi"/>
          <w:snapToGrid w:val="0"/>
        </w:rPr>
        <w:t>The PBAC noted that f</w:t>
      </w:r>
      <w:r w:rsidR="00CB5ED3">
        <w:rPr>
          <w:rFonts w:asciiTheme="minorHAnsi" w:hAnsiTheme="minorHAnsi"/>
          <w:snapToGrid w:val="0"/>
        </w:rPr>
        <w:t xml:space="preserve">or the </w:t>
      </w:r>
      <w:r w:rsidR="008C7D9F">
        <w:rPr>
          <w:rFonts w:asciiTheme="minorHAnsi" w:hAnsiTheme="minorHAnsi"/>
          <w:snapToGrid w:val="0"/>
        </w:rPr>
        <w:t xml:space="preserve">primary </w:t>
      </w:r>
      <w:r w:rsidR="00CB5ED3">
        <w:rPr>
          <w:rFonts w:asciiTheme="minorHAnsi" w:hAnsiTheme="minorHAnsi"/>
          <w:snapToGrid w:val="0"/>
        </w:rPr>
        <w:t xml:space="preserve">outcome of </w:t>
      </w:r>
      <w:r w:rsidR="00990450">
        <w:rPr>
          <w:rFonts w:asciiTheme="minorHAnsi" w:hAnsiTheme="minorHAnsi"/>
          <w:snapToGrid w:val="0"/>
        </w:rPr>
        <w:t>radiographic PFS</w:t>
      </w:r>
      <w:r>
        <w:rPr>
          <w:rFonts w:asciiTheme="minorHAnsi" w:hAnsiTheme="minorHAnsi"/>
          <w:snapToGrid w:val="0"/>
        </w:rPr>
        <w:t>,</w:t>
      </w:r>
      <w:r w:rsidR="00990450">
        <w:rPr>
          <w:rFonts w:asciiTheme="minorHAnsi" w:hAnsiTheme="minorHAnsi"/>
          <w:snapToGrid w:val="0"/>
        </w:rPr>
        <w:t xml:space="preserve"> </w:t>
      </w:r>
      <w:r w:rsidR="008C7D9F" w:rsidRPr="008C7D9F">
        <w:rPr>
          <w:rFonts w:asciiTheme="minorHAnsi" w:hAnsiTheme="minorHAnsi"/>
          <w:snapToGrid w:val="0"/>
        </w:rPr>
        <w:t xml:space="preserve">treatment with </w:t>
      </w:r>
      <w:r w:rsidR="008C7D9F" w:rsidRPr="008C7D9F">
        <w:rPr>
          <w:rFonts w:asciiTheme="minorHAnsi" w:hAnsiTheme="minorHAnsi"/>
          <w:snapToGrid w:val="0"/>
        </w:rPr>
        <w:lastRenderedPageBreak/>
        <w:t xml:space="preserve">vorasidenib was associated with a statistically significant improvement in PFS compared to placebo (hazard ratio: 0.35; 95% CI: 0.25, 0.49). </w:t>
      </w:r>
      <w:r w:rsidR="008C7D9F">
        <w:rPr>
          <w:rFonts w:asciiTheme="minorHAnsi" w:hAnsiTheme="minorHAnsi"/>
          <w:snapToGrid w:val="0"/>
        </w:rPr>
        <w:t xml:space="preserve">For the secondary outcome of </w:t>
      </w:r>
      <w:r w:rsidR="008C7D9F" w:rsidRPr="008C7D9F">
        <w:rPr>
          <w:rFonts w:asciiTheme="minorHAnsi" w:hAnsiTheme="minorHAnsi"/>
          <w:snapToGrid w:val="0"/>
        </w:rPr>
        <w:t>time to next intervention treatment</w:t>
      </w:r>
      <w:r w:rsidR="0069454E">
        <w:rPr>
          <w:rFonts w:asciiTheme="minorHAnsi" w:hAnsiTheme="minorHAnsi"/>
          <w:snapToGrid w:val="0"/>
        </w:rPr>
        <w:t>,</w:t>
      </w:r>
      <w:r w:rsidR="008C7D9F" w:rsidRPr="008C7D9F">
        <w:rPr>
          <w:rFonts w:asciiTheme="minorHAnsi" w:hAnsiTheme="minorHAnsi"/>
          <w:snapToGrid w:val="0"/>
        </w:rPr>
        <w:t xml:space="preserve"> vorasidenib was associated with a statistically significant </w:t>
      </w:r>
      <w:r w:rsidR="00057FBD">
        <w:rPr>
          <w:rFonts w:asciiTheme="minorHAnsi" w:hAnsiTheme="minorHAnsi"/>
          <w:snapToGrid w:val="0"/>
        </w:rPr>
        <w:t>delay</w:t>
      </w:r>
      <w:r w:rsidR="00057FBD" w:rsidRPr="008C7D9F">
        <w:rPr>
          <w:rFonts w:asciiTheme="minorHAnsi" w:hAnsiTheme="minorHAnsi"/>
          <w:snapToGrid w:val="0"/>
        </w:rPr>
        <w:t xml:space="preserve"> </w:t>
      </w:r>
      <w:r w:rsidR="008C7D9F" w:rsidRPr="008C7D9F">
        <w:rPr>
          <w:rFonts w:asciiTheme="minorHAnsi" w:hAnsiTheme="minorHAnsi"/>
          <w:snapToGrid w:val="0"/>
        </w:rPr>
        <w:t xml:space="preserve">compared to placebo (hazard ratio: 0.25; 95% CI: 0.16, 0.40). </w:t>
      </w:r>
      <w:r w:rsidR="001F6B8A">
        <w:rPr>
          <w:rFonts w:asciiTheme="minorHAnsi" w:hAnsiTheme="minorHAnsi"/>
          <w:snapToGrid w:val="0"/>
        </w:rPr>
        <w:t>There w</w:t>
      </w:r>
      <w:r w:rsidR="001D5357">
        <w:rPr>
          <w:rFonts w:asciiTheme="minorHAnsi" w:hAnsiTheme="minorHAnsi"/>
          <w:snapToGrid w:val="0"/>
        </w:rPr>
        <w:t>ere</w:t>
      </w:r>
      <w:r w:rsidR="001F6B8A">
        <w:rPr>
          <w:rFonts w:asciiTheme="minorHAnsi" w:hAnsiTheme="minorHAnsi"/>
          <w:snapToGrid w:val="0"/>
        </w:rPr>
        <w:t xml:space="preserve"> no meaningful </w:t>
      </w:r>
      <w:r w:rsidR="00222E23">
        <w:rPr>
          <w:rFonts w:asciiTheme="minorHAnsi" w:hAnsiTheme="minorHAnsi"/>
          <w:snapToGrid w:val="0"/>
        </w:rPr>
        <w:t xml:space="preserve">OS data </w:t>
      </w:r>
      <w:r w:rsidR="001F6B8A">
        <w:rPr>
          <w:rFonts w:asciiTheme="minorHAnsi" w:hAnsiTheme="minorHAnsi"/>
          <w:snapToGrid w:val="0"/>
        </w:rPr>
        <w:t>from the</w:t>
      </w:r>
      <w:r w:rsidR="00E30386">
        <w:rPr>
          <w:rFonts w:asciiTheme="minorHAnsi" w:hAnsiTheme="minorHAnsi"/>
          <w:snapToGrid w:val="0"/>
        </w:rPr>
        <w:t xml:space="preserve"> INDIGO trial</w:t>
      </w:r>
      <w:r w:rsidR="001F6B8A">
        <w:rPr>
          <w:rFonts w:asciiTheme="minorHAnsi" w:hAnsiTheme="minorHAnsi"/>
          <w:snapToGrid w:val="0"/>
        </w:rPr>
        <w:t>. W</w:t>
      </w:r>
      <w:r w:rsidR="00FA622C">
        <w:rPr>
          <w:rFonts w:asciiTheme="minorHAnsi" w:hAnsiTheme="minorHAnsi"/>
          <w:snapToGrid w:val="0"/>
        </w:rPr>
        <w:t xml:space="preserve">ith </w:t>
      </w:r>
      <w:r w:rsidR="00222E23" w:rsidRPr="00222E23">
        <w:rPr>
          <w:rFonts w:asciiTheme="minorHAnsi" w:hAnsiTheme="minorHAnsi"/>
          <w:snapToGrid w:val="0"/>
        </w:rPr>
        <w:t xml:space="preserve">follow-up for OS </w:t>
      </w:r>
      <w:r w:rsidR="00FA622C">
        <w:rPr>
          <w:rFonts w:asciiTheme="minorHAnsi" w:hAnsiTheme="minorHAnsi"/>
          <w:snapToGrid w:val="0"/>
        </w:rPr>
        <w:t xml:space="preserve">of </w:t>
      </w:r>
      <w:r w:rsidR="00477AD8">
        <w:rPr>
          <w:rFonts w:asciiTheme="minorHAnsi" w:hAnsiTheme="minorHAnsi"/>
          <w:snapToGrid w:val="0"/>
        </w:rPr>
        <w:t>~20 months</w:t>
      </w:r>
      <w:r w:rsidR="001F6B8A">
        <w:t xml:space="preserve"> on</w:t>
      </w:r>
      <w:r w:rsidR="00E30386">
        <w:t>e patient in the vorasidenib arm had died due to disease progression, and no patients in the placebo arm had died</w:t>
      </w:r>
      <w:r w:rsidR="00E30386" w:rsidRPr="7BC319D9">
        <w:rPr>
          <w:i/>
          <w:iCs/>
        </w:rPr>
        <w:t xml:space="preserve"> </w:t>
      </w:r>
      <w:r w:rsidR="00E30386" w:rsidRPr="00531A03">
        <w:t>at the time of extended follow-up analysis</w:t>
      </w:r>
      <w:r w:rsidR="009D5094">
        <w:t xml:space="preserve">. </w:t>
      </w:r>
      <w:r w:rsidR="007F3E67" w:rsidRPr="00531A03">
        <w:t xml:space="preserve">The PSCR </w:t>
      </w:r>
      <w:r w:rsidR="007F3E67">
        <w:t xml:space="preserve">and pre-PBAC response </w:t>
      </w:r>
      <w:r w:rsidR="007F3E67" w:rsidRPr="00531A03">
        <w:t>noted evidence from trials in similar tumour types</w:t>
      </w:r>
      <w:r w:rsidR="000C79E1">
        <w:t xml:space="preserve"> (R</w:t>
      </w:r>
      <w:r w:rsidR="007F3E67" w:rsidRPr="00531A03">
        <w:t xml:space="preserve">TOG 9802 </w:t>
      </w:r>
      <w:r w:rsidR="000C79E1">
        <w:t>study</w:t>
      </w:r>
      <w:r w:rsidR="007F3E67" w:rsidRPr="00531A03">
        <w:t xml:space="preserve"> in patients with high risk grade 2 glioma and </w:t>
      </w:r>
      <w:r w:rsidR="00C20914">
        <w:t>a meta-analysis of trials</w:t>
      </w:r>
      <w:r w:rsidR="007F3E67" w:rsidRPr="00531A03">
        <w:t xml:space="preserve"> in patients with glioblastoma</w:t>
      </w:r>
      <w:r w:rsidR="00C20914">
        <w:t xml:space="preserve"> (Han et al 2014))</w:t>
      </w:r>
      <w:r w:rsidR="007F3E67" w:rsidRPr="00531A03">
        <w:t xml:space="preserve"> demonstrate</w:t>
      </w:r>
      <w:r w:rsidR="007F3E67">
        <w:t>d</w:t>
      </w:r>
      <w:r w:rsidR="007F3E67" w:rsidRPr="00531A03">
        <w:t xml:space="preserve"> a delay in progression that translated to an improvement in OS. The </w:t>
      </w:r>
      <w:r w:rsidR="00DB5F92">
        <w:t>PBAC c</w:t>
      </w:r>
      <w:r w:rsidR="007F3E67" w:rsidRPr="00531A03">
        <w:t xml:space="preserve">onsidered it is unclear </w:t>
      </w:r>
      <w:r w:rsidR="00DB5F92">
        <w:t>to what extent</w:t>
      </w:r>
      <w:r w:rsidR="007F3E67" w:rsidRPr="00531A03">
        <w:t xml:space="preserve"> the improvements in radiographic </w:t>
      </w:r>
      <w:r w:rsidR="00FF0E9D">
        <w:t>PFS</w:t>
      </w:r>
      <w:r w:rsidR="007F3E67" w:rsidRPr="00531A03">
        <w:t xml:space="preserve"> associated with vorasidenib treatment will translate into improvements in OS, and noted further analyses </w:t>
      </w:r>
      <w:r w:rsidR="00FB6947">
        <w:t xml:space="preserve">of the INDIGO trial </w:t>
      </w:r>
      <w:r w:rsidR="007F3E67" w:rsidRPr="00531A03">
        <w:t xml:space="preserve">will not be informative due to the large number of patients who crossed over </w:t>
      </w:r>
      <w:r w:rsidR="00AD4560">
        <w:t xml:space="preserve">from </w:t>
      </w:r>
      <w:r w:rsidR="000C6412">
        <w:t xml:space="preserve">the </w:t>
      </w:r>
      <w:r w:rsidR="00AD4560">
        <w:t>placebo</w:t>
      </w:r>
      <w:r w:rsidR="00FB6947">
        <w:t xml:space="preserve"> arm</w:t>
      </w:r>
      <w:r w:rsidR="00AD4560">
        <w:t xml:space="preserve"> </w:t>
      </w:r>
      <w:r w:rsidR="007F3E67" w:rsidRPr="00531A03">
        <w:t xml:space="preserve">to receive vorasidenib. </w:t>
      </w:r>
      <w:r w:rsidR="002E7A93" w:rsidRPr="00252DB4">
        <w:t xml:space="preserve">The PBAC noted that due to the indolent nature of the disease it was not possible to demonstrate a difference in </w:t>
      </w:r>
      <w:r w:rsidR="002E7A93">
        <w:t>OS</w:t>
      </w:r>
      <w:r w:rsidR="002E7A93" w:rsidRPr="00252DB4">
        <w:t xml:space="preserve"> within the trial.</w:t>
      </w:r>
    </w:p>
    <w:p w14:paraId="399EECAE" w14:textId="73C833C6" w:rsidR="005A1257" w:rsidRPr="00222E23" w:rsidRDefault="00633C7F" w:rsidP="00222E23">
      <w:pPr>
        <w:widowControl w:val="0"/>
        <w:numPr>
          <w:ilvl w:val="1"/>
          <w:numId w:val="1"/>
        </w:numPr>
        <w:spacing w:after="120"/>
        <w:rPr>
          <w:rFonts w:asciiTheme="minorHAnsi" w:hAnsiTheme="minorHAnsi"/>
          <w:snapToGrid w:val="0"/>
        </w:rPr>
      </w:pPr>
      <w:r w:rsidRPr="00633C7F">
        <w:t xml:space="preserve">The PBAC noted there was limited collection of </w:t>
      </w:r>
      <w:r w:rsidR="00926397">
        <w:t>QoL</w:t>
      </w:r>
      <w:r w:rsidRPr="00633C7F">
        <w:t xml:space="preserve"> data following radiographic disease progression in the INDIGO trial, and no differences in </w:t>
      </w:r>
      <w:r w:rsidR="00891848">
        <w:t>QoL</w:t>
      </w:r>
      <w:r w:rsidRPr="00633C7F">
        <w:t xml:space="preserve"> outcomes between vorasidenib and placebo were demonstrated. </w:t>
      </w:r>
      <w:r w:rsidR="00765D48" w:rsidRPr="00633C7F">
        <w:t>The</w:t>
      </w:r>
      <w:r w:rsidR="00F25EA5">
        <w:t xml:space="preserve"> </w:t>
      </w:r>
      <w:r w:rsidR="00765D48" w:rsidRPr="000D1741">
        <w:t xml:space="preserve">PBAC noted that </w:t>
      </w:r>
      <w:r w:rsidR="00765D48">
        <w:t>substantial differences in QoL would not be expected to occur</w:t>
      </w:r>
      <w:r w:rsidR="00765D48" w:rsidRPr="000D1741">
        <w:t xml:space="preserve"> within the trial</w:t>
      </w:r>
      <w:r w:rsidR="00765D48">
        <w:t xml:space="preserve"> as the most significant impacts are experienced later in the disease course due to symptomatic progression</w:t>
      </w:r>
      <w:r w:rsidR="00765D48" w:rsidRPr="000D1741">
        <w:t>.</w:t>
      </w:r>
      <w:r w:rsidR="00765D48">
        <w:t xml:space="preserve"> </w:t>
      </w:r>
      <w:r w:rsidR="007F3E67" w:rsidRPr="00531A03">
        <w:t>The</w:t>
      </w:r>
      <w:r w:rsidR="00051783">
        <w:t xml:space="preserve"> PBAC</w:t>
      </w:r>
      <w:r w:rsidR="007F3E67" w:rsidRPr="00531A03">
        <w:t xml:space="preserve"> </w:t>
      </w:r>
      <w:r w:rsidR="005A43C1">
        <w:t>agreed with the Sub-Committees</w:t>
      </w:r>
      <w:r w:rsidR="007F3E67" w:rsidRPr="00531A03">
        <w:t xml:space="preserve"> that despite the trial’s inability to demonstrate an effect on OS, the PFS benefit shown was substantial</w:t>
      </w:r>
      <w:r w:rsidR="00E016A4">
        <w:t xml:space="preserve">, </w:t>
      </w:r>
      <w:r w:rsidR="007F3E67" w:rsidRPr="00531A03">
        <w:t>likely to be highly clinically relevant for patients</w:t>
      </w:r>
      <w:r w:rsidR="00E016A4">
        <w:t xml:space="preserve"> and to result in</w:t>
      </w:r>
      <w:r w:rsidR="00C7434F">
        <w:t xml:space="preserve"> </w:t>
      </w:r>
      <w:r w:rsidR="00926397">
        <w:t>QoL</w:t>
      </w:r>
      <w:r w:rsidR="00945AEF">
        <w:t xml:space="preserve"> benefits</w:t>
      </w:r>
      <w:r w:rsidR="007F3E67" w:rsidRPr="00531A03">
        <w:t xml:space="preserve">. </w:t>
      </w:r>
      <w:r w:rsidR="003B7A80">
        <w:t xml:space="preserve">Overall the PBAC considered the claim of superior clinical efficacy was </w:t>
      </w:r>
      <w:r w:rsidR="00680E13">
        <w:t>supported by the data based on radiographic PFS, however longer</w:t>
      </w:r>
      <w:r w:rsidR="00051783">
        <w:t>-</w:t>
      </w:r>
      <w:r w:rsidR="00680E13">
        <w:t>term benefits are unknown.</w:t>
      </w:r>
    </w:p>
    <w:p w14:paraId="1E792407" w14:textId="4503DD16" w:rsidR="008F131A" w:rsidRPr="008F131A" w:rsidRDefault="00E529E3" w:rsidP="008F131A">
      <w:pPr>
        <w:widowControl w:val="0"/>
        <w:numPr>
          <w:ilvl w:val="1"/>
          <w:numId w:val="1"/>
        </w:numPr>
        <w:spacing w:after="120"/>
        <w:rPr>
          <w:rFonts w:asciiTheme="minorHAnsi" w:hAnsiTheme="minorHAnsi"/>
          <w:snapToGrid w:val="0"/>
        </w:rPr>
      </w:pPr>
      <w:r>
        <w:rPr>
          <w:rFonts w:asciiTheme="minorHAnsi" w:hAnsiTheme="minorHAnsi"/>
          <w:snapToGrid w:val="0"/>
        </w:rPr>
        <w:t xml:space="preserve">The PBAC noted that </w:t>
      </w:r>
      <w:r w:rsidR="005830D8">
        <w:rPr>
          <w:rFonts w:asciiTheme="minorHAnsi" w:hAnsiTheme="minorHAnsi"/>
          <w:snapToGrid w:val="0"/>
        </w:rPr>
        <w:t xml:space="preserve">a higher proportion of patients treated with vorasidenib experienced </w:t>
      </w:r>
      <w:r w:rsidR="0003069E">
        <w:rPr>
          <w:rFonts w:asciiTheme="minorHAnsi" w:hAnsiTheme="minorHAnsi"/>
          <w:snapToGrid w:val="0"/>
        </w:rPr>
        <w:t xml:space="preserve">AEs, including Grade </w:t>
      </w:r>
      <w:r w:rsidR="00BC23F8">
        <w:rPr>
          <w:rFonts w:asciiTheme="minorHAnsi" w:hAnsiTheme="minorHAnsi" w:cstheme="minorHAnsi"/>
          <w:snapToGrid w:val="0"/>
        </w:rPr>
        <w:t>≥</w:t>
      </w:r>
      <w:r w:rsidR="00BC23F8">
        <w:rPr>
          <w:rFonts w:asciiTheme="minorHAnsi" w:hAnsiTheme="minorHAnsi"/>
          <w:snapToGrid w:val="0"/>
        </w:rPr>
        <w:t xml:space="preserve">3 AEs. The PBAC considered the claim in inferior safety compared with active surveillance was reasonable, </w:t>
      </w:r>
      <w:r w:rsidR="00A35351">
        <w:rPr>
          <w:rFonts w:asciiTheme="minorHAnsi" w:hAnsiTheme="minorHAnsi"/>
          <w:snapToGrid w:val="0"/>
        </w:rPr>
        <w:t>and that there were no major safety concerns</w:t>
      </w:r>
      <w:r w:rsidR="005F7C57">
        <w:rPr>
          <w:rFonts w:asciiTheme="minorHAnsi" w:hAnsiTheme="minorHAnsi"/>
          <w:snapToGrid w:val="0"/>
        </w:rPr>
        <w:t>, though long term safety data</w:t>
      </w:r>
      <w:r w:rsidR="00A21A59">
        <w:rPr>
          <w:rFonts w:asciiTheme="minorHAnsi" w:hAnsiTheme="minorHAnsi"/>
          <w:snapToGrid w:val="0"/>
        </w:rPr>
        <w:t xml:space="preserve"> are not available</w:t>
      </w:r>
      <w:r w:rsidR="005F7C57">
        <w:rPr>
          <w:rFonts w:asciiTheme="minorHAnsi" w:hAnsiTheme="minorHAnsi"/>
          <w:snapToGrid w:val="0"/>
        </w:rPr>
        <w:t>.</w:t>
      </w:r>
    </w:p>
    <w:p w14:paraId="50BA46C5" w14:textId="41DDA2C1" w:rsidR="00303D2B" w:rsidRPr="00CE42B4" w:rsidRDefault="000A3785" w:rsidP="00303D2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w:t>
      </w:r>
      <w:r w:rsidR="0017774D" w:rsidRPr="00F57392">
        <w:t xml:space="preserve">a </w:t>
      </w:r>
      <w:r w:rsidR="00987F5F">
        <w:t xml:space="preserve">modelled </w:t>
      </w:r>
      <w:r w:rsidR="0017774D" w:rsidRPr="00F57392">
        <w:t>cost-effectiveness</w:t>
      </w:r>
      <w:r w:rsidR="00941AE9" w:rsidRPr="00F57392">
        <w:t xml:space="preserve"> </w:t>
      </w:r>
      <w:r w:rsidR="00987F5F">
        <w:t xml:space="preserve">analysis </w:t>
      </w:r>
      <w:r w:rsidR="00941AE9" w:rsidRPr="00F57392">
        <w:t xml:space="preserve">based on the results of the INDIGO trial, with additional </w:t>
      </w:r>
      <w:r w:rsidR="001D580D">
        <w:t xml:space="preserve">data </w:t>
      </w:r>
      <w:r w:rsidR="001D580D" w:rsidRPr="0084014B">
        <w:t xml:space="preserve">from an analysis of Australian brain tumour registry data </w:t>
      </w:r>
      <w:r w:rsidR="001D580D">
        <w:t>to model OS</w:t>
      </w:r>
      <w:r w:rsidR="0017774D">
        <w:t>. The PBAC considered that the limited duration of follow up in the trial</w:t>
      </w:r>
      <w:r w:rsidR="004A193E">
        <w:t xml:space="preserve"> and </w:t>
      </w:r>
      <w:r w:rsidR="006C349E">
        <w:t xml:space="preserve">the lack </w:t>
      </w:r>
      <w:r w:rsidR="004A193E">
        <w:t xml:space="preserve">of </w:t>
      </w:r>
      <w:r w:rsidR="00987F5F">
        <w:t xml:space="preserve">OS </w:t>
      </w:r>
      <w:r w:rsidR="004A193E">
        <w:t>data</w:t>
      </w:r>
      <w:r w:rsidR="0017774D">
        <w:t xml:space="preserve"> </w:t>
      </w:r>
      <w:r w:rsidR="000A031C">
        <w:t>resulted in a high level of uncertainty in the modelled outcomes. The PBAC considered the main area of uncertainty w</w:t>
      </w:r>
      <w:r w:rsidR="00E66C81">
        <w:t>as</w:t>
      </w:r>
      <w:r w:rsidR="000A031C">
        <w:t xml:space="preserve"> the </w:t>
      </w:r>
      <w:r w:rsidR="004C11F7">
        <w:t>extrapolation of PFS for patients treated with vorasidenib</w:t>
      </w:r>
      <w:r w:rsidR="00F95AA1">
        <w:t>, which also resulted in a</w:t>
      </w:r>
      <w:r w:rsidR="004C11F7">
        <w:t xml:space="preserve"> </w:t>
      </w:r>
      <w:r w:rsidR="00F95AA1">
        <w:t xml:space="preserve">large OS difference because </w:t>
      </w:r>
      <w:r w:rsidR="004C11F7">
        <w:t>post-progression survival</w:t>
      </w:r>
      <w:r w:rsidR="00F95AA1">
        <w:t xml:space="preserve"> </w:t>
      </w:r>
      <w:r w:rsidR="006A1FF2">
        <w:t xml:space="preserve">was </w:t>
      </w:r>
      <w:r w:rsidR="00333ABC">
        <w:t>assumed to be the same in both arms</w:t>
      </w:r>
      <w:r w:rsidR="00397BF7">
        <w:t xml:space="preserve">. </w:t>
      </w:r>
      <w:r w:rsidR="00AC127D">
        <w:t xml:space="preserve">The PBAC noted </w:t>
      </w:r>
      <w:r w:rsidR="00525E89">
        <w:t xml:space="preserve">the Weibull function was more conservative than lognormal, but </w:t>
      </w:r>
      <w:r w:rsidR="0074432B">
        <w:t xml:space="preserve">was </w:t>
      </w:r>
      <w:r w:rsidR="00525E89">
        <w:t>still a good fit for the KM data</w:t>
      </w:r>
      <w:r w:rsidR="0089140D">
        <w:t>. Application of the Weibull function</w:t>
      </w:r>
      <w:r w:rsidR="00AC127D">
        <w:t xml:space="preserve"> </w:t>
      </w:r>
      <w:r w:rsidR="006C6543">
        <w:t xml:space="preserve">for extrapolation of PFS for the vorasidenib arm </w:t>
      </w:r>
      <w:r w:rsidR="00837173">
        <w:t>increased the ICER from $</w:t>
      </w:r>
      <w:r w:rsidR="00DD70E7" w:rsidRPr="00DD70E7">
        <w:t>155,000 to &lt; $255,000</w:t>
      </w:r>
      <w:r w:rsidR="00837173">
        <w:t xml:space="preserve">/QALY </w:t>
      </w:r>
      <w:r w:rsidR="0089140D">
        <w:t xml:space="preserve">gained </w:t>
      </w:r>
      <w:r w:rsidR="00837173">
        <w:t>to $</w:t>
      </w:r>
      <w:r w:rsidR="00DD70E7" w:rsidRPr="00DD70E7">
        <w:t>155,000 to &lt; $255,000</w:t>
      </w:r>
      <w:r w:rsidR="002F4238">
        <w:t>/QALY</w:t>
      </w:r>
      <w:r w:rsidR="0089140D">
        <w:t xml:space="preserve"> </w:t>
      </w:r>
      <w:r w:rsidR="0089140D">
        <w:lastRenderedPageBreak/>
        <w:t>gained</w:t>
      </w:r>
      <w:r w:rsidR="002F4238">
        <w:t>. In addition, the PBAC noted that the health state utilities, though based on the available QoL</w:t>
      </w:r>
      <w:r w:rsidR="00026981">
        <w:t xml:space="preserve"> </w:t>
      </w:r>
      <w:r w:rsidR="002F4238">
        <w:t xml:space="preserve">data from INDIGO, appeared high given the symptom burden for </w:t>
      </w:r>
      <w:r w:rsidR="00AA38A6">
        <w:t xml:space="preserve">patients with glioma. </w:t>
      </w:r>
      <w:r w:rsidR="00C50A30">
        <w:t xml:space="preserve">Application of </w:t>
      </w:r>
      <w:r w:rsidR="00900FF6">
        <w:t xml:space="preserve">alternative </w:t>
      </w:r>
      <w:r w:rsidR="00C50A30">
        <w:t>uti</w:t>
      </w:r>
      <w:r w:rsidR="00900FF6">
        <w:t>lity values</w:t>
      </w:r>
      <w:r w:rsidR="00941AE9" w:rsidRPr="00CE42B4">
        <w:rPr>
          <w:rFonts w:asciiTheme="minorHAnsi" w:hAnsiTheme="minorHAnsi"/>
          <w:snapToGrid w:val="0"/>
          <w:lang w:val="en-GB"/>
        </w:rPr>
        <w:t xml:space="preserve"> </w:t>
      </w:r>
      <w:r w:rsidR="00900FF6">
        <w:rPr>
          <w:rFonts w:asciiTheme="minorHAnsi" w:hAnsiTheme="minorHAnsi"/>
          <w:snapToGrid w:val="0"/>
          <w:lang w:val="en-GB"/>
        </w:rPr>
        <w:t>from the submission for dabrafenib</w:t>
      </w:r>
      <w:r w:rsidR="00711C92">
        <w:rPr>
          <w:rFonts w:asciiTheme="minorHAnsi" w:hAnsiTheme="minorHAnsi"/>
          <w:snapToGrid w:val="0"/>
          <w:lang w:val="en-GB"/>
        </w:rPr>
        <w:t xml:space="preserve"> + trametinib</w:t>
      </w:r>
      <w:r w:rsidR="00E74159">
        <w:rPr>
          <w:rFonts w:asciiTheme="minorHAnsi" w:hAnsiTheme="minorHAnsi"/>
          <w:snapToGrid w:val="0"/>
          <w:lang w:val="en-GB"/>
        </w:rPr>
        <w:t xml:space="preserve"> </w:t>
      </w:r>
      <w:r w:rsidR="00FE60C3">
        <w:rPr>
          <w:rFonts w:asciiTheme="minorHAnsi" w:hAnsiTheme="minorHAnsi"/>
          <w:snapToGrid w:val="0"/>
          <w:lang w:val="en-GB"/>
        </w:rPr>
        <w:t xml:space="preserve">for low grade glioma </w:t>
      </w:r>
      <w:r w:rsidR="00E74159">
        <w:rPr>
          <w:rFonts w:asciiTheme="minorHAnsi" w:hAnsiTheme="minorHAnsi"/>
          <w:snapToGrid w:val="0"/>
          <w:lang w:val="en-GB"/>
        </w:rPr>
        <w:t xml:space="preserve">from </w:t>
      </w:r>
      <w:r w:rsidR="003A245F">
        <w:rPr>
          <w:rFonts w:asciiTheme="minorHAnsi" w:hAnsiTheme="minorHAnsi"/>
          <w:snapToGrid w:val="0"/>
          <w:lang w:val="en-GB"/>
        </w:rPr>
        <w:t>Garside (2007</w:t>
      </w:r>
      <w:r w:rsidR="00A67389">
        <w:rPr>
          <w:rFonts w:asciiTheme="minorHAnsi" w:hAnsiTheme="minorHAnsi"/>
          <w:snapToGrid w:val="0"/>
          <w:lang w:val="en-GB"/>
        </w:rPr>
        <w:t>) (</w:t>
      </w:r>
      <w:r w:rsidR="00FE60C3">
        <w:rPr>
          <w:rFonts w:asciiTheme="minorHAnsi" w:hAnsiTheme="minorHAnsi"/>
          <w:snapToGrid w:val="0"/>
          <w:lang w:val="en-GB"/>
        </w:rPr>
        <w:t xml:space="preserve">Table 19, </w:t>
      </w:r>
      <w:r w:rsidR="0048655B">
        <w:rPr>
          <w:rFonts w:asciiTheme="minorHAnsi" w:hAnsiTheme="minorHAnsi"/>
          <w:snapToGrid w:val="0"/>
          <w:lang w:val="en-GB"/>
        </w:rPr>
        <w:t xml:space="preserve">dabrafenib + trametinib </w:t>
      </w:r>
      <w:r w:rsidR="00EA4817">
        <w:rPr>
          <w:rFonts w:asciiTheme="minorHAnsi" w:hAnsiTheme="minorHAnsi"/>
          <w:snapToGrid w:val="0"/>
          <w:lang w:val="en-GB"/>
        </w:rPr>
        <w:t>Public Summary Document</w:t>
      </w:r>
      <w:r w:rsidR="0048655B">
        <w:rPr>
          <w:rFonts w:asciiTheme="minorHAnsi" w:hAnsiTheme="minorHAnsi"/>
          <w:snapToGrid w:val="0"/>
          <w:lang w:val="en-GB"/>
        </w:rPr>
        <w:t xml:space="preserve">, March 2024 PBAC meeting) </w:t>
      </w:r>
      <w:r w:rsidR="006651AD">
        <w:rPr>
          <w:rFonts w:asciiTheme="minorHAnsi" w:hAnsiTheme="minorHAnsi"/>
          <w:snapToGrid w:val="0"/>
          <w:lang w:val="en-GB"/>
        </w:rPr>
        <w:t xml:space="preserve">and correction of </w:t>
      </w:r>
      <w:r w:rsidR="00704870">
        <w:rPr>
          <w:rFonts w:asciiTheme="minorHAnsi" w:hAnsiTheme="minorHAnsi"/>
          <w:snapToGrid w:val="0"/>
          <w:lang w:val="en-GB"/>
        </w:rPr>
        <w:t xml:space="preserve">drug cost calculations </w:t>
      </w:r>
      <w:r w:rsidR="0048655B">
        <w:rPr>
          <w:rFonts w:asciiTheme="minorHAnsi" w:hAnsiTheme="minorHAnsi"/>
          <w:snapToGrid w:val="0"/>
          <w:lang w:val="en-GB"/>
        </w:rPr>
        <w:t xml:space="preserve">resulted in </w:t>
      </w:r>
      <w:r w:rsidR="00361C07">
        <w:rPr>
          <w:rFonts w:asciiTheme="minorHAnsi" w:hAnsiTheme="minorHAnsi"/>
          <w:snapToGrid w:val="0"/>
          <w:lang w:val="en-GB"/>
        </w:rPr>
        <w:t xml:space="preserve">a further increase in the ICER to </w:t>
      </w:r>
      <w:r w:rsidR="00DD70E7" w:rsidRPr="00DD70E7">
        <w:rPr>
          <w:rFonts w:asciiTheme="minorHAnsi" w:hAnsiTheme="minorHAnsi"/>
          <w:snapToGrid w:val="0"/>
          <w:lang w:val="en-GB"/>
        </w:rPr>
        <w:t>$155,000 to &lt; $255,000</w:t>
      </w:r>
      <w:r w:rsidR="00704870">
        <w:rPr>
          <w:rFonts w:asciiTheme="minorHAnsi" w:hAnsiTheme="minorHAnsi"/>
          <w:snapToGrid w:val="0"/>
          <w:lang w:val="en-GB"/>
        </w:rPr>
        <w:t>/QALY</w:t>
      </w:r>
      <w:r w:rsidR="0048655B">
        <w:rPr>
          <w:rFonts w:asciiTheme="minorHAnsi" w:hAnsiTheme="minorHAnsi"/>
          <w:snapToGrid w:val="0"/>
          <w:lang w:val="en-GB"/>
        </w:rPr>
        <w:t>.</w:t>
      </w:r>
      <w:r w:rsidR="00704870">
        <w:rPr>
          <w:rFonts w:asciiTheme="minorHAnsi" w:hAnsiTheme="minorHAnsi"/>
          <w:snapToGrid w:val="0"/>
          <w:lang w:val="en-GB"/>
        </w:rPr>
        <w:t xml:space="preserve"> The PBAC considered that these sensitivity analyses suggested that the </w:t>
      </w:r>
      <w:r w:rsidR="00812FCC">
        <w:rPr>
          <w:rFonts w:asciiTheme="minorHAnsi" w:hAnsiTheme="minorHAnsi"/>
          <w:snapToGrid w:val="0"/>
          <w:lang w:val="en-GB"/>
        </w:rPr>
        <w:t>ICER presented in the submission is likely underestimate</w:t>
      </w:r>
      <w:r w:rsidR="00027B5A">
        <w:rPr>
          <w:rFonts w:asciiTheme="minorHAnsi" w:hAnsiTheme="minorHAnsi"/>
          <w:snapToGrid w:val="0"/>
          <w:lang w:val="en-GB"/>
        </w:rPr>
        <w:t>d</w:t>
      </w:r>
      <w:r w:rsidR="00812FCC">
        <w:rPr>
          <w:rFonts w:asciiTheme="minorHAnsi" w:hAnsiTheme="minorHAnsi"/>
          <w:snapToGrid w:val="0"/>
          <w:lang w:val="en-GB"/>
        </w:rPr>
        <w:t xml:space="preserve">. Further, </w:t>
      </w:r>
      <w:r w:rsidR="000F76C7">
        <w:rPr>
          <w:rFonts w:asciiTheme="minorHAnsi" w:hAnsiTheme="minorHAnsi"/>
          <w:snapToGrid w:val="0"/>
          <w:lang w:val="en-GB"/>
        </w:rPr>
        <w:t xml:space="preserve">the PBAC noted </w:t>
      </w:r>
      <w:r w:rsidR="003E267A">
        <w:rPr>
          <w:rFonts w:asciiTheme="minorHAnsi" w:hAnsiTheme="minorHAnsi"/>
          <w:snapToGrid w:val="0"/>
          <w:lang w:val="en-GB"/>
        </w:rPr>
        <w:t>the modelled treatment duration was based on extrapolated radiographic PFS</w:t>
      </w:r>
      <w:r w:rsidR="000F76C7">
        <w:rPr>
          <w:rFonts w:asciiTheme="minorHAnsi" w:hAnsiTheme="minorHAnsi"/>
          <w:snapToGrid w:val="0"/>
          <w:lang w:val="en-GB"/>
        </w:rPr>
        <w:t>, however</w:t>
      </w:r>
      <w:r w:rsidR="003E267A">
        <w:rPr>
          <w:rFonts w:asciiTheme="minorHAnsi" w:hAnsiTheme="minorHAnsi"/>
          <w:snapToGrid w:val="0"/>
          <w:lang w:val="en-GB"/>
        </w:rPr>
        <w:t xml:space="preserve"> </w:t>
      </w:r>
      <w:r w:rsidR="00812FCC">
        <w:rPr>
          <w:rFonts w:asciiTheme="minorHAnsi" w:hAnsiTheme="minorHAnsi"/>
          <w:snapToGrid w:val="0"/>
          <w:lang w:val="en-GB"/>
        </w:rPr>
        <w:t xml:space="preserve">the PBAC considered that treatment beyond </w:t>
      </w:r>
      <w:r w:rsidR="00383B26">
        <w:rPr>
          <w:rFonts w:asciiTheme="minorHAnsi" w:hAnsiTheme="minorHAnsi"/>
          <w:snapToGrid w:val="0"/>
          <w:lang w:val="en-GB"/>
        </w:rPr>
        <w:t>radiographic progression is likely</w:t>
      </w:r>
      <w:r w:rsidR="0069347A">
        <w:rPr>
          <w:rFonts w:asciiTheme="minorHAnsi" w:hAnsiTheme="minorHAnsi"/>
          <w:snapToGrid w:val="0"/>
          <w:lang w:val="en-GB"/>
        </w:rPr>
        <w:t xml:space="preserve"> </w:t>
      </w:r>
      <w:r w:rsidR="0032789B">
        <w:rPr>
          <w:rFonts w:asciiTheme="minorHAnsi" w:hAnsiTheme="minorHAnsi"/>
          <w:snapToGrid w:val="0"/>
          <w:lang w:val="en-GB"/>
        </w:rPr>
        <w:t>t</w:t>
      </w:r>
      <w:r w:rsidR="00133ED0">
        <w:rPr>
          <w:rFonts w:asciiTheme="minorHAnsi" w:hAnsiTheme="minorHAnsi"/>
          <w:snapToGrid w:val="0"/>
          <w:lang w:val="en-GB"/>
        </w:rPr>
        <w:t xml:space="preserve">o be common </w:t>
      </w:r>
      <w:r w:rsidR="0069347A">
        <w:rPr>
          <w:rFonts w:asciiTheme="minorHAnsi" w:hAnsiTheme="minorHAnsi"/>
          <w:snapToGrid w:val="0"/>
          <w:lang w:val="en-GB"/>
        </w:rPr>
        <w:t xml:space="preserve">and some patients may be treated for </w:t>
      </w:r>
      <w:r w:rsidR="00C42824">
        <w:rPr>
          <w:rFonts w:asciiTheme="minorHAnsi" w:hAnsiTheme="minorHAnsi"/>
          <w:snapToGrid w:val="0"/>
          <w:lang w:val="en-GB"/>
        </w:rPr>
        <w:t>many years</w:t>
      </w:r>
      <w:r w:rsidR="00A9347F">
        <w:rPr>
          <w:rFonts w:asciiTheme="minorHAnsi" w:hAnsiTheme="minorHAnsi"/>
          <w:snapToGrid w:val="0"/>
          <w:lang w:val="en-GB"/>
        </w:rPr>
        <w:t xml:space="preserve">. Although </w:t>
      </w:r>
      <w:r w:rsidR="00DF4B21">
        <w:rPr>
          <w:rFonts w:asciiTheme="minorHAnsi" w:hAnsiTheme="minorHAnsi"/>
          <w:snapToGrid w:val="0"/>
          <w:lang w:val="en-GB"/>
        </w:rPr>
        <w:t xml:space="preserve">treatment discontinuation </w:t>
      </w:r>
      <w:r w:rsidR="008E31C9">
        <w:rPr>
          <w:rFonts w:asciiTheme="minorHAnsi" w:hAnsiTheme="minorHAnsi"/>
          <w:snapToGrid w:val="0"/>
          <w:lang w:val="en-GB"/>
        </w:rPr>
        <w:t>upon</w:t>
      </w:r>
      <w:r w:rsidR="00DF4B21">
        <w:rPr>
          <w:rFonts w:asciiTheme="minorHAnsi" w:hAnsiTheme="minorHAnsi"/>
          <w:snapToGrid w:val="0"/>
          <w:lang w:val="en-GB"/>
        </w:rPr>
        <w:t xml:space="preserve"> radiographic progression </w:t>
      </w:r>
      <w:r w:rsidR="00A9347F">
        <w:rPr>
          <w:rFonts w:asciiTheme="minorHAnsi" w:hAnsiTheme="minorHAnsi"/>
          <w:snapToGrid w:val="0"/>
          <w:lang w:val="en-GB"/>
        </w:rPr>
        <w:t>was consistent with the INDIGO trial</w:t>
      </w:r>
      <w:r w:rsidR="0069347A">
        <w:rPr>
          <w:rFonts w:asciiTheme="minorHAnsi" w:hAnsiTheme="minorHAnsi"/>
          <w:snapToGrid w:val="0"/>
          <w:lang w:val="en-GB"/>
        </w:rPr>
        <w:t xml:space="preserve">, the PBAC considered that it is likely to underestimate the </w:t>
      </w:r>
      <w:r w:rsidR="00252893">
        <w:rPr>
          <w:rFonts w:asciiTheme="minorHAnsi" w:hAnsiTheme="minorHAnsi"/>
          <w:snapToGrid w:val="0"/>
          <w:lang w:val="en-GB"/>
        </w:rPr>
        <w:t xml:space="preserve">true </w:t>
      </w:r>
      <w:r w:rsidR="0069347A">
        <w:rPr>
          <w:rFonts w:asciiTheme="minorHAnsi" w:hAnsiTheme="minorHAnsi"/>
          <w:snapToGrid w:val="0"/>
          <w:lang w:val="en-GB"/>
        </w:rPr>
        <w:t xml:space="preserve">cost of vorasidenib treatment, </w:t>
      </w:r>
      <w:r w:rsidR="00A5036B">
        <w:rPr>
          <w:rFonts w:asciiTheme="minorHAnsi" w:hAnsiTheme="minorHAnsi"/>
          <w:snapToGrid w:val="0"/>
          <w:lang w:val="en-GB"/>
        </w:rPr>
        <w:t>which would further underestimate the ICER</w:t>
      </w:r>
      <w:r w:rsidR="00360122">
        <w:rPr>
          <w:rFonts w:asciiTheme="minorHAnsi" w:hAnsiTheme="minorHAnsi"/>
          <w:snapToGrid w:val="0"/>
          <w:lang w:val="en-GB"/>
        </w:rPr>
        <w:t xml:space="preserve">. Given these areas of uncertainty, </w:t>
      </w:r>
      <w:r w:rsidR="009B3077">
        <w:rPr>
          <w:rFonts w:asciiTheme="minorHAnsi" w:hAnsiTheme="minorHAnsi"/>
          <w:snapToGrid w:val="0"/>
          <w:lang w:val="en-GB"/>
        </w:rPr>
        <w:t xml:space="preserve">the PBAC considered that the ICER was </w:t>
      </w:r>
      <w:r w:rsidR="005D3799">
        <w:rPr>
          <w:rFonts w:asciiTheme="minorHAnsi" w:hAnsiTheme="minorHAnsi"/>
          <w:snapToGrid w:val="0"/>
          <w:lang w:val="en-GB"/>
        </w:rPr>
        <w:t xml:space="preserve">likely to be </w:t>
      </w:r>
      <w:r w:rsidR="00360F04">
        <w:rPr>
          <w:rFonts w:asciiTheme="minorHAnsi" w:hAnsiTheme="minorHAnsi"/>
          <w:snapToGrid w:val="0"/>
          <w:lang w:val="en-GB"/>
        </w:rPr>
        <w:t>underestimated</w:t>
      </w:r>
      <w:r w:rsidR="004423DB">
        <w:rPr>
          <w:rFonts w:asciiTheme="minorHAnsi" w:hAnsiTheme="minorHAnsi"/>
          <w:snapToGrid w:val="0"/>
          <w:lang w:val="en-GB"/>
        </w:rPr>
        <w:t xml:space="preserve"> and was </w:t>
      </w:r>
      <w:r w:rsidR="009B3077">
        <w:rPr>
          <w:rFonts w:asciiTheme="minorHAnsi" w:hAnsiTheme="minorHAnsi"/>
          <w:snapToGrid w:val="0"/>
          <w:lang w:val="en-GB"/>
        </w:rPr>
        <w:t xml:space="preserve">unacceptably high </w:t>
      </w:r>
      <w:r w:rsidR="004423DB">
        <w:rPr>
          <w:rFonts w:asciiTheme="minorHAnsi" w:hAnsiTheme="minorHAnsi"/>
          <w:snapToGrid w:val="0"/>
          <w:lang w:val="en-GB"/>
        </w:rPr>
        <w:t xml:space="preserve">at the proposed price for vorasidenib. </w:t>
      </w:r>
    </w:p>
    <w:p w14:paraId="6F9A7985" w14:textId="7852CA23" w:rsidR="00084B28" w:rsidRDefault="00DB2882" w:rsidP="00084B28">
      <w:pPr>
        <w:widowControl w:val="0"/>
        <w:numPr>
          <w:ilvl w:val="1"/>
          <w:numId w:val="1"/>
        </w:numPr>
        <w:spacing w:after="120"/>
        <w:rPr>
          <w:rFonts w:asciiTheme="minorHAnsi" w:hAnsiTheme="minorHAnsi"/>
          <w:snapToGrid w:val="0"/>
        </w:rPr>
      </w:pPr>
      <w:bookmarkStart w:id="59" w:name="_Ref203734777"/>
      <w:r>
        <w:rPr>
          <w:rFonts w:asciiTheme="minorHAnsi" w:hAnsiTheme="minorHAnsi"/>
          <w:snapToGrid w:val="0"/>
          <w:lang w:val="en-GB"/>
        </w:rPr>
        <w:t xml:space="preserve">The PBAC noted that the </w:t>
      </w:r>
      <w:r w:rsidR="00794ADE" w:rsidRPr="00794ADE">
        <w:rPr>
          <w:rFonts w:asciiTheme="minorHAnsi" w:hAnsiTheme="minorHAnsi"/>
          <w:snapToGrid w:val="0"/>
        </w:rPr>
        <w:t>submission used an epidemiological approach to estimate the utilisation and financial implications of listing vorasidenib</w:t>
      </w:r>
      <w:r w:rsidR="00794ADE">
        <w:rPr>
          <w:rFonts w:asciiTheme="minorHAnsi" w:hAnsiTheme="minorHAnsi"/>
          <w:snapToGrid w:val="0"/>
        </w:rPr>
        <w:t xml:space="preserve">. The PBAC considered that the approach was </w:t>
      </w:r>
      <w:r w:rsidR="0055059B">
        <w:rPr>
          <w:rFonts w:asciiTheme="minorHAnsi" w:hAnsiTheme="minorHAnsi"/>
          <w:snapToGrid w:val="0"/>
        </w:rPr>
        <w:t xml:space="preserve">generally </w:t>
      </w:r>
      <w:r w:rsidR="00794ADE">
        <w:rPr>
          <w:rFonts w:asciiTheme="minorHAnsi" w:hAnsiTheme="minorHAnsi"/>
          <w:snapToGrid w:val="0"/>
        </w:rPr>
        <w:t>reasonable</w:t>
      </w:r>
      <w:r w:rsidR="008D658F">
        <w:rPr>
          <w:rFonts w:asciiTheme="minorHAnsi" w:hAnsiTheme="minorHAnsi"/>
          <w:snapToGrid w:val="0"/>
        </w:rPr>
        <w:t xml:space="preserve"> after corrections to the </w:t>
      </w:r>
      <w:r w:rsidR="004770E0">
        <w:rPr>
          <w:rFonts w:asciiTheme="minorHAnsi" w:hAnsiTheme="minorHAnsi"/>
          <w:snapToGrid w:val="0"/>
        </w:rPr>
        <w:t xml:space="preserve">cost and persistence rate calculations. However, the PBAC </w:t>
      </w:r>
      <w:r w:rsidR="00794ADE">
        <w:rPr>
          <w:rFonts w:asciiTheme="minorHAnsi" w:hAnsiTheme="minorHAnsi"/>
          <w:snapToGrid w:val="0"/>
        </w:rPr>
        <w:t xml:space="preserve">considered that </w:t>
      </w:r>
      <w:r w:rsidR="0055059B">
        <w:rPr>
          <w:rFonts w:asciiTheme="minorHAnsi" w:hAnsiTheme="minorHAnsi"/>
          <w:snapToGrid w:val="0"/>
        </w:rPr>
        <w:t xml:space="preserve">prevalent patients </w:t>
      </w:r>
      <w:r w:rsidR="003B5C9E">
        <w:rPr>
          <w:rFonts w:asciiTheme="minorHAnsi" w:hAnsiTheme="minorHAnsi"/>
          <w:snapToGrid w:val="0"/>
        </w:rPr>
        <w:t>were likely to be underestimated and patients from before 2020 should</w:t>
      </w:r>
      <w:r w:rsidR="00303D2B" w:rsidRPr="00CE42B4">
        <w:rPr>
          <w:rFonts w:asciiTheme="minorHAnsi" w:hAnsiTheme="minorHAnsi"/>
          <w:snapToGrid w:val="0"/>
          <w:lang w:val="en-GB"/>
        </w:rPr>
        <w:t xml:space="preserve"> </w:t>
      </w:r>
      <w:r w:rsidR="003B5C9E">
        <w:rPr>
          <w:rFonts w:asciiTheme="minorHAnsi" w:hAnsiTheme="minorHAnsi"/>
          <w:snapToGrid w:val="0"/>
          <w:lang w:val="en-GB"/>
        </w:rPr>
        <w:t xml:space="preserve">be included in the estimates given the long natural history </w:t>
      </w:r>
      <w:r w:rsidR="008D658F">
        <w:rPr>
          <w:rFonts w:asciiTheme="minorHAnsi" w:hAnsiTheme="minorHAnsi"/>
          <w:snapToGrid w:val="0"/>
          <w:lang w:val="en-GB"/>
        </w:rPr>
        <w:t xml:space="preserve">of the condition. </w:t>
      </w:r>
      <w:r w:rsidR="009A772F">
        <w:rPr>
          <w:rFonts w:asciiTheme="minorHAnsi" w:hAnsiTheme="minorHAnsi"/>
          <w:snapToGrid w:val="0"/>
          <w:lang w:val="en-GB"/>
        </w:rPr>
        <w:t xml:space="preserve">In addition, </w:t>
      </w:r>
      <w:r w:rsidR="007065D1">
        <w:rPr>
          <w:rFonts w:asciiTheme="minorHAnsi" w:hAnsiTheme="minorHAnsi"/>
          <w:snapToGrid w:val="0"/>
        </w:rPr>
        <w:t>t</w:t>
      </w:r>
      <w:r w:rsidR="00084B28" w:rsidRPr="00084B28">
        <w:rPr>
          <w:rFonts w:asciiTheme="minorHAnsi" w:hAnsiTheme="minorHAnsi"/>
          <w:snapToGrid w:val="0"/>
        </w:rPr>
        <w:t xml:space="preserve">he PBAC </w:t>
      </w:r>
      <w:r w:rsidR="00084B28">
        <w:rPr>
          <w:rFonts w:asciiTheme="minorHAnsi" w:hAnsiTheme="minorHAnsi"/>
          <w:snapToGrid w:val="0"/>
        </w:rPr>
        <w:t>considered</w:t>
      </w:r>
      <w:r w:rsidR="00084B28" w:rsidRPr="00084B28">
        <w:rPr>
          <w:rFonts w:asciiTheme="minorHAnsi" w:hAnsiTheme="minorHAnsi"/>
          <w:snapToGrid w:val="0"/>
        </w:rPr>
        <w:t xml:space="preserve"> that the treatment duration for vorasidenib </w:t>
      </w:r>
      <w:r w:rsidR="00276DD1">
        <w:rPr>
          <w:rFonts w:asciiTheme="minorHAnsi" w:hAnsiTheme="minorHAnsi"/>
          <w:snapToGrid w:val="0"/>
        </w:rPr>
        <w:t xml:space="preserve">(64.5 months) </w:t>
      </w:r>
      <w:r w:rsidR="00084B28" w:rsidRPr="00084B28">
        <w:rPr>
          <w:rFonts w:asciiTheme="minorHAnsi" w:hAnsiTheme="minorHAnsi"/>
          <w:snapToGrid w:val="0"/>
        </w:rPr>
        <w:t xml:space="preserve">was </w:t>
      </w:r>
      <w:r w:rsidR="004251EA">
        <w:rPr>
          <w:rFonts w:asciiTheme="minorHAnsi" w:hAnsiTheme="minorHAnsi"/>
          <w:snapToGrid w:val="0"/>
        </w:rPr>
        <w:t xml:space="preserve">highly </w:t>
      </w:r>
      <w:r w:rsidR="00084B28" w:rsidRPr="00084B28">
        <w:rPr>
          <w:rFonts w:asciiTheme="minorHAnsi" w:hAnsiTheme="minorHAnsi"/>
          <w:snapToGrid w:val="0"/>
        </w:rPr>
        <w:t xml:space="preserve">uncertain as it was based on </w:t>
      </w:r>
      <w:r w:rsidR="00100599">
        <w:rPr>
          <w:rFonts w:asciiTheme="minorHAnsi" w:hAnsiTheme="minorHAnsi"/>
          <w:snapToGrid w:val="0"/>
        </w:rPr>
        <w:t xml:space="preserve">extensive </w:t>
      </w:r>
      <w:r w:rsidR="00084B28" w:rsidRPr="00084B28">
        <w:rPr>
          <w:rFonts w:asciiTheme="minorHAnsi" w:hAnsiTheme="minorHAnsi"/>
          <w:snapToGrid w:val="0"/>
        </w:rPr>
        <w:t xml:space="preserve">extrapolation of </w:t>
      </w:r>
      <w:r w:rsidR="00084B28">
        <w:rPr>
          <w:rFonts w:asciiTheme="minorHAnsi" w:hAnsiTheme="minorHAnsi"/>
          <w:snapToGrid w:val="0"/>
        </w:rPr>
        <w:t xml:space="preserve">radiographic </w:t>
      </w:r>
      <w:r w:rsidR="00084B28" w:rsidRPr="00084B28">
        <w:rPr>
          <w:rFonts w:asciiTheme="minorHAnsi" w:hAnsiTheme="minorHAnsi"/>
          <w:snapToGrid w:val="0"/>
        </w:rPr>
        <w:t>PFS for the vorasidenib arm in the INDIGO trial</w:t>
      </w:r>
      <w:r w:rsidR="00DA0944">
        <w:rPr>
          <w:rFonts w:asciiTheme="minorHAnsi" w:hAnsiTheme="minorHAnsi"/>
          <w:snapToGrid w:val="0"/>
        </w:rPr>
        <w:t xml:space="preserve"> and was driven by the extrapolation function chosen</w:t>
      </w:r>
      <w:r w:rsidR="00AD4064">
        <w:rPr>
          <w:rFonts w:asciiTheme="minorHAnsi" w:hAnsiTheme="minorHAnsi"/>
          <w:snapToGrid w:val="0"/>
        </w:rPr>
        <w:t xml:space="preserve"> (see paragraph </w:t>
      </w:r>
      <w:r w:rsidR="00AD4064">
        <w:rPr>
          <w:rFonts w:asciiTheme="minorHAnsi" w:hAnsiTheme="minorHAnsi"/>
          <w:snapToGrid w:val="0"/>
        </w:rPr>
        <w:fldChar w:fldCharType="begin"/>
      </w:r>
      <w:r w:rsidR="00AD4064">
        <w:rPr>
          <w:rFonts w:asciiTheme="minorHAnsi" w:hAnsiTheme="minorHAnsi"/>
          <w:snapToGrid w:val="0"/>
        </w:rPr>
        <w:instrText xml:space="preserve"> REF _Ref205376943 \r \h </w:instrText>
      </w:r>
      <w:r w:rsidR="00AD4064">
        <w:rPr>
          <w:rFonts w:asciiTheme="minorHAnsi" w:hAnsiTheme="minorHAnsi"/>
          <w:snapToGrid w:val="0"/>
        </w:rPr>
      </w:r>
      <w:r w:rsidR="00AD4064">
        <w:rPr>
          <w:rFonts w:asciiTheme="minorHAnsi" w:hAnsiTheme="minorHAnsi"/>
          <w:snapToGrid w:val="0"/>
        </w:rPr>
        <w:fldChar w:fldCharType="separate"/>
      </w:r>
      <w:r w:rsidR="003C0757">
        <w:rPr>
          <w:rFonts w:asciiTheme="minorHAnsi" w:hAnsiTheme="minorHAnsi"/>
          <w:snapToGrid w:val="0"/>
        </w:rPr>
        <w:t>6.59</w:t>
      </w:r>
      <w:r w:rsidR="00AD4064">
        <w:rPr>
          <w:rFonts w:asciiTheme="minorHAnsi" w:hAnsiTheme="minorHAnsi"/>
          <w:snapToGrid w:val="0"/>
        </w:rPr>
        <w:fldChar w:fldCharType="end"/>
      </w:r>
      <w:r w:rsidR="00AD4064">
        <w:rPr>
          <w:rFonts w:asciiTheme="minorHAnsi" w:hAnsiTheme="minorHAnsi"/>
          <w:snapToGrid w:val="0"/>
        </w:rPr>
        <w:t>)</w:t>
      </w:r>
      <w:r w:rsidR="00084B28" w:rsidRPr="00084B28">
        <w:rPr>
          <w:rFonts w:asciiTheme="minorHAnsi" w:hAnsiTheme="minorHAnsi"/>
          <w:snapToGrid w:val="0"/>
        </w:rPr>
        <w:t xml:space="preserve">. </w:t>
      </w:r>
      <w:r w:rsidR="00D44C01">
        <w:rPr>
          <w:rFonts w:asciiTheme="minorHAnsi" w:hAnsiTheme="minorHAnsi"/>
          <w:snapToGrid w:val="0"/>
        </w:rPr>
        <w:t>In addition, t</w:t>
      </w:r>
      <w:r w:rsidR="00084B28" w:rsidRPr="00084B28">
        <w:rPr>
          <w:rFonts w:asciiTheme="minorHAnsi" w:hAnsiTheme="minorHAnsi"/>
          <w:snapToGrid w:val="0"/>
        </w:rPr>
        <w:t xml:space="preserve">he PBAC considered that treatment duration in clinical practice is likely to extend beyond the radiographic progression (despite the restrictions) and therefore the </w:t>
      </w:r>
      <w:r w:rsidR="006B7EC2">
        <w:rPr>
          <w:rFonts w:asciiTheme="minorHAnsi" w:hAnsiTheme="minorHAnsi"/>
          <w:snapToGrid w:val="0"/>
        </w:rPr>
        <w:t xml:space="preserve">extrapolated </w:t>
      </w:r>
      <w:r w:rsidR="00084B28" w:rsidRPr="00084B28">
        <w:rPr>
          <w:rFonts w:asciiTheme="minorHAnsi" w:hAnsiTheme="minorHAnsi"/>
          <w:snapToGrid w:val="0"/>
        </w:rPr>
        <w:t xml:space="preserve">trial PFS may </w:t>
      </w:r>
      <w:r w:rsidR="00A764B4">
        <w:rPr>
          <w:rFonts w:asciiTheme="minorHAnsi" w:hAnsiTheme="minorHAnsi"/>
          <w:snapToGrid w:val="0"/>
        </w:rPr>
        <w:t xml:space="preserve">also </w:t>
      </w:r>
      <w:r w:rsidR="00084B28" w:rsidRPr="00084B28">
        <w:rPr>
          <w:rFonts w:asciiTheme="minorHAnsi" w:hAnsiTheme="minorHAnsi"/>
          <w:snapToGrid w:val="0"/>
        </w:rPr>
        <w:t xml:space="preserve">underestimate the true treatment duration. The PBAC considered that the time to next treatment may be a better indicator of the likely </w:t>
      </w:r>
      <w:r w:rsidR="00014EF1">
        <w:rPr>
          <w:rFonts w:asciiTheme="minorHAnsi" w:hAnsiTheme="minorHAnsi"/>
          <w:snapToGrid w:val="0"/>
        </w:rPr>
        <w:t xml:space="preserve">actual </w:t>
      </w:r>
      <w:r w:rsidR="00084B28" w:rsidRPr="00084B28">
        <w:rPr>
          <w:rFonts w:asciiTheme="minorHAnsi" w:hAnsiTheme="minorHAnsi"/>
          <w:snapToGrid w:val="0"/>
        </w:rPr>
        <w:t>treatment duration for vorasidenib</w:t>
      </w:r>
      <w:r w:rsidR="00A60D4C">
        <w:rPr>
          <w:rFonts w:asciiTheme="minorHAnsi" w:hAnsiTheme="minorHAnsi"/>
          <w:snapToGrid w:val="0"/>
        </w:rPr>
        <w:t xml:space="preserve">, though </w:t>
      </w:r>
      <w:r w:rsidR="00DE6D3B">
        <w:rPr>
          <w:rFonts w:asciiTheme="minorHAnsi" w:hAnsiTheme="minorHAnsi"/>
          <w:snapToGrid w:val="0"/>
        </w:rPr>
        <w:t xml:space="preserve">it would still be impacted by </w:t>
      </w:r>
      <w:r w:rsidR="00A60D4C">
        <w:rPr>
          <w:rFonts w:asciiTheme="minorHAnsi" w:hAnsiTheme="minorHAnsi"/>
          <w:snapToGrid w:val="0"/>
        </w:rPr>
        <w:t>the immaturity of th</w:t>
      </w:r>
      <w:r w:rsidR="00DE6D3B">
        <w:rPr>
          <w:rFonts w:asciiTheme="minorHAnsi" w:hAnsiTheme="minorHAnsi"/>
          <w:snapToGrid w:val="0"/>
        </w:rPr>
        <w:t xml:space="preserve">e </w:t>
      </w:r>
      <w:r w:rsidR="00A764B4">
        <w:rPr>
          <w:rFonts w:asciiTheme="minorHAnsi" w:hAnsiTheme="minorHAnsi"/>
          <w:snapToGrid w:val="0"/>
        </w:rPr>
        <w:t>INDIGO trial data</w:t>
      </w:r>
      <w:r w:rsidR="00084B28" w:rsidRPr="00084B28">
        <w:rPr>
          <w:rFonts w:asciiTheme="minorHAnsi" w:hAnsiTheme="minorHAnsi"/>
          <w:snapToGrid w:val="0"/>
        </w:rPr>
        <w:t>.</w:t>
      </w:r>
      <w:bookmarkEnd w:id="59"/>
      <w:r w:rsidR="00084B28" w:rsidRPr="00084B28">
        <w:rPr>
          <w:rFonts w:asciiTheme="minorHAnsi" w:hAnsiTheme="minorHAnsi"/>
          <w:snapToGrid w:val="0"/>
        </w:rPr>
        <w:t xml:space="preserve"> </w:t>
      </w:r>
    </w:p>
    <w:p w14:paraId="35D7FEB5" w14:textId="6C765A53" w:rsidR="008F5488" w:rsidRPr="00084B28" w:rsidRDefault="004F0CE9" w:rsidP="00084B28">
      <w:pPr>
        <w:widowControl w:val="0"/>
        <w:numPr>
          <w:ilvl w:val="1"/>
          <w:numId w:val="1"/>
        </w:numPr>
        <w:spacing w:after="120"/>
        <w:rPr>
          <w:rFonts w:asciiTheme="minorHAnsi" w:hAnsiTheme="minorHAnsi"/>
          <w:snapToGrid w:val="0"/>
        </w:rPr>
      </w:pPr>
      <w:bookmarkStart w:id="60" w:name="_Ref203734817"/>
      <w:r>
        <w:rPr>
          <w:rFonts w:asciiTheme="minorHAnsi" w:hAnsiTheme="minorHAnsi"/>
          <w:snapToGrid w:val="0"/>
        </w:rPr>
        <w:t xml:space="preserve">The PBAC considered that at the proposed price for vorasidenib the cost </w:t>
      </w:r>
      <w:r w:rsidR="00AA1AC8">
        <w:rPr>
          <w:rFonts w:asciiTheme="minorHAnsi" w:hAnsiTheme="minorHAnsi"/>
          <w:snapToGrid w:val="0"/>
        </w:rPr>
        <w:t xml:space="preserve">per </w:t>
      </w:r>
      <w:r w:rsidR="00762991">
        <w:rPr>
          <w:rFonts w:asciiTheme="minorHAnsi" w:hAnsiTheme="minorHAnsi"/>
          <w:snapToGrid w:val="0"/>
        </w:rPr>
        <w:t xml:space="preserve">patient per </w:t>
      </w:r>
      <w:r w:rsidR="00AA1AC8">
        <w:rPr>
          <w:rFonts w:asciiTheme="minorHAnsi" w:hAnsiTheme="minorHAnsi"/>
          <w:snapToGrid w:val="0"/>
        </w:rPr>
        <w:t xml:space="preserve">month for treatment was very high, particularly in the context of </w:t>
      </w:r>
      <w:r w:rsidR="00762991">
        <w:rPr>
          <w:rFonts w:asciiTheme="minorHAnsi" w:hAnsiTheme="minorHAnsi"/>
          <w:snapToGrid w:val="0"/>
        </w:rPr>
        <w:t>a treatment that may continue for m</w:t>
      </w:r>
      <w:r w:rsidR="009836D2">
        <w:rPr>
          <w:rFonts w:asciiTheme="minorHAnsi" w:hAnsiTheme="minorHAnsi"/>
          <w:snapToGrid w:val="0"/>
        </w:rPr>
        <w:t xml:space="preserve">any years, due to the </w:t>
      </w:r>
      <w:r w:rsidR="000C132E">
        <w:rPr>
          <w:rFonts w:asciiTheme="minorHAnsi" w:hAnsiTheme="minorHAnsi"/>
          <w:snapToGrid w:val="0"/>
        </w:rPr>
        <w:t xml:space="preserve">variable </w:t>
      </w:r>
      <w:r w:rsidR="004954AE">
        <w:rPr>
          <w:rFonts w:asciiTheme="minorHAnsi" w:hAnsiTheme="minorHAnsi"/>
          <w:snapToGrid w:val="0"/>
        </w:rPr>
        <w:t xml:space="preserve">and </w:t>
      </w:r>
      <w:r w:rsidR="0087223B">
        <w:rPr>
          <w:rFonts w:asciiTheme="minorHAnsi" w:hAnsiTheme="minorHAnsi"/>
          <w:snapToGrid w:val="0"/>
        </w:rPr>
        <w:t>often</w:t>
      </w:r>
      <w:r w:rsidR="004954AE">
        <w:rPr>
          <w:rFonts w:asciiTheme="minorHAnsi" w:hAnsiTheme="minorHAnsi"/>
          <w:snapToGrid w:val="0"/>
        </w:rPr>
        <w:t xml:space="preserve"> </w:t>
      </w:r>
      <w:r w:rsidR="0087223B">
        <w:rPr>
          <w:rFonts w:asciiTheme="minorHAnsi" w:hAnsiTheme="minorHAnsi"/>
          <w:snapToGrid w:val="0"/>
        </w:rPr>
        <w:t>extended time</w:t>
      </w:r>
      <w:r w:rsidR="004954AE">
        <w:rPr>
          <w:rFonts w:asciiTheme="minorHAnsi" w:hAnsiTheme="minorHAnsi"/>
          <w:snapToGrid w:val="0"/>
        </w:rPr>
        <w:t xml:space="preserve"> </w:t>
      </w:r>
      <w:r w:rsidR="00CE4188">
        <w:rPr>
          <w:rFonts w:asciiTheme="minorHAnsi" w:hAnsiTheme="minorHAnsi"/>
          <w:snapToGrid w:val="0"/>
        </w:rPr>
        <w:t xml:space="preserve">period between surgery and </w:t>
      </w:r>
      <w:r w:rsidR="004954AE">
        <w:rPr>
          <w:rFonts w:asciiTheme="minorHAnsi" w:hAnsiTheme="minorHAnsi"/>
          <w:snapToGrid w:val="0"/>
        </w:rPr>
        <w:t xml:space="preserve">symptomatic progression. </w:t>
      </w:r>
      <w:r w:rsidR="008F5488">
        <w:rPr>
          <w:rFonts w:asciiTheme="minorHAnsi" w:hAnsiTheme="minorHAnsi"/>
          <w:snapToGrid w:val="0"/>
        </w:rPr>
        <w:t>The PBAC considered that</w:t>
      </w:r>
      <w:r w:rsidR="009F6AEC">
        <w:rPr>
          <w:rFonts w:asciiTheme="minorHAnsi" w:hAnsiTheme="minorHAnsi"/>
          <w:snapToGrid w:val="0"/>
        </w:rPr>
        <w:t>,</w:t>
      </w:r>
      <w:r w:rsidR="008F5488">
        <w:rPr>
          <w:rFonts w:asciiTheme="minorHAnsi" w:hAnsiTheme="minorHAnsi"/>
          <w:snapToGrid w:val="0"/>
        </w:rPr>
        <w:t xml:space="preserve"> given the high level of uncertainty regarding the duration of treatment</w:t>
      </w:r>
      <w:r w:rsidR="00E53FB7">
        <w:rPr>
          <w:rFonts w:asciiTheme="minorHAnsi" w:hAnsiTheme="minorHAnsi"/>
          <w:snapToGrid w:val="0"/>
        </w:rPr>
        <w:t xml:space="preserve">, </w:t>
      </w:r>
      <w:r w:rsidR="008F5488">
        <w:rPr>
          <w:rFonts w:asciiTheme="minorHAnsi" w:hAnsiTheme="minorHAnsi"/>
          <w:snapToGrid w:val="0"/>
        </w:rPr>
        <w:t>the uncertain benefit of treatment beyond radiographic progression</w:t>
      </w:r>
      <w:r w:rsidR="000640DB">
        <w:rPr>
          <w:rFonts w:asciiTheme="minorHAnsi" w:hAnsiTheme="minorHAnsi"/>
          <w:snapToGrid w:val="0"/>
        </w:rPr>
        <w:t>, the high cost for vorasidenib</w:t>
      </w:r>
      <w:r w:rsidR="00E53FB7">
        <w:rPr>
          <w:rFonts w:asciiTheme="minorHAnsi" w:hAnsiTheme="minorHAnsi"/>
          <w:snapToGrid w:val="0"/>
        </w:rPr>
        <w:t>,</w:t>
      </w:r>
      <w:r w:rsidR="000640DB">
        <w:rPr>
          <w:rFonts w:asciiTheme="minorHAnsi" w:hAnsiTheme="minorHAnsi"/>
          <w:snapToGrid w:val="0"/>
        </w:rPr>
        <w:t xml:space="preserve"> </w:t>
      </w:r>
      <w:r w:rsidR="00C968D6">
        <w:rPr>
          <w:rFonts w:asciiTheme="minorHAnsi" w:hAnsiTheme="minorHAnsi"/>
          <w:snapToGrid w:val="0"/>
        </w:rPr>
        <w:t xml:space="preserve">and uncertainty regarding the extent of </w:t>
      </w:r>
      <w:r w:rsidR="00622ACA">
        <w:rPr>
          <w:rFonts w:asciiTheme="minorHAnsi" w:hAnsiTheme="minorHAnsi"/>
          <w:snapToGrid w:val="0"/>
        </w:rPr>
        <w:t>overall gain in health outcomes</w:t>
      </w:r>
      <w:r w:rsidR="009F6AEC">
        <w:rPr>
          <w:rFonts w:asciiTheme="minorHAnsi" w:hAnsiTheme="minorHAnsi"/>
          <w:snapToGrid w:val="0"/>
        </w:rPr>
        <w:t>,</w:t>
      </w:r>
      <w:r w:rsidR="00622ACA">
        <w:rPr>
          <w:rFonts w:asciiTheme="minorHAnsi" w:hAnsiTheme="minorHAnsi"/>
          <w:snapToGrid w:val="0"/>
        </w:rPr>
        <w:t xml:space="preserve"> </w:t>
      </w:r>
      <w:r w:rsidR="000640DB">
        <w:rPr>
          <w:rFonts w:asciiTheme="minorHAnsi" w:hAnsiTheme="minorHAnsi"/>
          <w:snapToGrid w:val="0"/>
        </w:rPr>
        <w:t xml:space="preserve">a risk-sharing </w:t>
      </w:r>
      <w:r w:rsidR="00622ACA">
        <w:rPr>
          <w:rFonts w:asciiTheme="minorHAnsi" w:hAnsiTheme="minorHAnsi"/>
          <w:snapToGrid w:val="0"/>
        </w:rPr>
        <w:t xml:space="preserve">arrangement would </w:t>
      </w:r>
      <w:r w:rsidR="00EE12AB">
        <w:rPr>
          <w:rFonts w:asciiTheme="minorHAnsi" w:hAnsiTheme="minorHAnsi"/>
          <w:snapToGrid w:val="0"/>
        </w:rPr>
        <w:t xml:space="preserve">give the committee confidence that the </w:t>
      </w:r>
      <w:r w:rsidR="00000B62">
        <w:rPr>
          <w:rFonts w:asciiTheme="minorHAnsi" w:hAnsiTheme="minorHAnsi"/>
          <w:snapToGrid w:val="0"/>
        </w:rPr>
        <w:t xml:space="preserve">cost for vorasidenib treatment would be contained and acceptably cost-effective. </w:t>
      </w:r>
      <w:r w:rsidR="000F448D">
        <w:rPr>
          <w:rFonts w:asciiTheme="minorHAnsi" w:hAnsiTheme="minorHAnsi"/>
          <w:snapToGrid w:val="0"/>
        </w:rPr>
        <w:t xml:space="preserve">The PBAC considered it would be appropriate for financial caps for vorasidenib to be </w:t>
      </w:r>
      <w:r w:rsidR="00B7694F">
        <w:rPr>
          <w:rFonts w:asciiTheme="minorHAnsi" w:hAnsiTheme="minorHAnsi"/>
          <w:snapToGrid w:val="0"/>
        </w:rPr>
        <w:t xml:space="preserve">calculated </w:t>
      </w:r>
      <w:r w:rsidR="000F448D">
        <w:rPr>
          <w:rFonts w:asciiTheme="minorHAnsi" w:hAnsiTheme="minorHAnsi"/>
          <w:snapToGrid w:val="0"/>
        </w:rPr>
        <w:t xml:space="preserve">based on a </w:t>
      </w:r>
      <w:r w:rsidR="000F448D">
        <w:rPr>
          <w:rFonts w:asciiTheme="minorHAnsi" w:hAnsiTheme="minorHAnsi"/>
          <w:snapToGrid w:val="0"/>
        </w:rPr>
        <w:lastRenderedPageBreak/>
        <w:t>duration of treatment</w:t>
      </w:r>
      <w:r w:rsidR="00B7694F">
        <w:rPr>
          <w:rFonts w:asciiTheme="minorHAnsi" w:hAnsiTheme="minorHAnsi"/>
          <w:snapToGrid w:val="0"/>
        </w:rPr>
        <w:t xml:space="preserve"> reflecting radiographic PFS</w:t>
      </w:r>
      <w:r w:rsidR="00667C86">
        <w:rPr>
          <w:rFonts w:asciiTheme="minorHAnsi" w:hAnsiTheme="minorHAnsi"/>
          <w:snapToGrid w:val="0"/>
        </w:rPr>
        <w:t xml:space="preserve"> </w:t>
      </w:r>
      <w:r w:rsidR="00745A3F">
        <w:rPr>
          <w:rFonts w:asciiTheme="minorHAnsi" w:hAnsiTheme="minorHAnsi"/>
          <w:snapToGrid w:val="0"/>
        </w:rPr>
        <w:t>consistent with the evidence from INDIGO</w:t>
      </w:r>
      <w:r w:rsidR="00490248">
        <w:rPr>
          <w:rFonts w:asciiTheme="minorHAnsi" w:hAnsiTheme="minorHAnsi"/>
          <w:snapToGrid w:val="0"/>
        </w:rPr>
        <w:t xml:space="preserve"> </w:t>
      </w:r>
      <w:r w:rsidR="00AD39FA">
        <w:rPr>
          <w:rFonts w:asciiTheme="minorHAnsi" w:hAnsiTheme="minorHAnsi"/>
          <w:snapToGrid w:val="0"/>
        </w:rPr>
        <w:t>(</w:t>
      </w:r>
      <w:r w:rsidR="00B226DC">
        <w:rPr>
          <w:rFonts w:asciiTheme="minorHAnsi" w:hAnsiTheme="minorHAnsi"/>
          <w:snapToGrid w:val="0"/>
        </w:rPr>
        <w:t xml:space="preserve">and </w:t>
      </w:r>
      <w:r w:rsidR="00AD39FA">
        <w:rPr>
          <w:rFonts w:asciiTheme="minorHAnsi" w:hAnsiTheme="minorHAnsi"/>
          <w:snapToGrid w:val="0"/>
        </w:rPr>
        <w:t>extrapolat</w:t>
      </w:r>
      <w:r w:rsidR="00B226DC">
        <w:rPr>
          <w:rFonts w:asciiTheme="minorHAnsi" w:hAnsiTheme="minorHAnsi"/>
          <w:snapToGrid w:val="0"/>
        </w:rPr>
        <w:t xml:space="preserve">ed consistent with the revised model) </w:t>
      </w:r>
      <w:r w:rsidR="004D1FCA">
        <w:rPr>
          <w:rFonts w:asciiTheme="minorHAnsi" w:hAnsiTheme="minorHAnsi"/>
          <w:snapToGrid w:val="0"/>
        </w:rPr>
        <w:t>and costs for</w:t>
      </w:r>
      <w:r w:rsidR="00490248">
        <w:rPr>
          <w:rFonts w:asciiTheme="minorHAnsi" w:hAnsiTheme="minorHAnsi"/>
          <w:snapToGrid w:val="0"/>
        </w:rPr>
        <w:t xml:space="preserve"> use beyond progression </w:t>
      </w:r>
      <w:r w:rsidR="004D1FCA">
        <w:rPr>
          <w:rFonts w:asciiTheme="minorHAnsi" w:hAnsiTheme="minorHAnsi"/>
          <w:snapToGrid w:val="0"/>
        </w:rPr>
        <w:t xml:space="preserve">should be rebated as </w:t>
      </w:r>
      <w:r w:rsidR="00A64B65">
        <w:rPr>
          <w:rFonts w:asciiTheme="minorHAnsi" w:hAnsiTheme="minorHAnsi"/>
          <w:snapToGrid w:val="0"/>
        </w:rPr>
        <w:t xml:space="preserve">such use </w:t>
      </w:r>
      <w:r w:rsidR="004A6546">
        <w:rPr>
          <w:rFonts w:asciiTheme="minorHAnsi" w:hAnsiTheme="minorHAnsi"/>
          <w:snapToGrid w:val="0"/>
        </w:rPr>
        <w:t xml:space="preserve">is </w:t>
      </w:r>
      <w:r w:rsidR="00490248">
        <w:rPr>
          <w:rFonts w:asciiTheme="minorHAnsi" w:hAnsiTheme="minorHAnsi"/>
          <w:snapToGrid w:val="0"/>
        </w:rPr>
        <w:t>unlikely to be cost</w:t>
      </w:r>
      <w:r w:rsidR="000B5D8C">
        <w:rPr>
          <w:rFonts w:asciiTheme="minorHAnsi" w:hAnsiTheme="minorHAnsi"/>
          <w:snapToGrid w:val="0"/>
        </w:rPr>
        <w:t>-effective</w:t>
      </w:r>
      <w:r w:rsidR="00014EF1">
        <w:rPr>
          <w:rFonts w:asciiTheme="minorHAnsi" w:hAnsiTheme="minorHAnsi"/>
          <w:snapToGrid w:val="0"/>
        </w:rPr>
        <w:t>.</w:t>
      </w:r>
      <w:bookmarkEnd w:id="60"/>
      <w:r w:rsidR="00014EF1">
        <w:rPr>
          <w:rFonts w:asciiTheme="minorHAnsi" w:hAnsiTheme="minorHAnsi"/>
          <w:snapToGrid w:val="0"/>
        </w:rPr>
        <w:t xml:space="preserve"> </w:t>
      </w:r>
    </w:p>
    <w:p w14:paraId="6B7E2DF0" w14:textId="77777777" w:rsidR="00DE61E1" w:rsidRDefault="00303D2B" w:rsidP="00190930">
      <w:pPr>
        <w:pStyle w:val="COMexecsummnumbered"/>
        <w:rPr>
          <w:snapToGrid w:val="0"/>
          <w:lang w:val="en-GB"/>
        </w:rPr>
      </w:pPr>
      <w:r w:rsidRPr="00783D74">
        <w:rPr>
          <w:snapToGrid w:val="0"/>
          <w:lang w:val="en-GB"/>
        </w:rPr>
        <w:t xml:space="preserve">The PBAC considered the outstanding issues could be easily resolved in a simple resubmission for </w:t>
      </w:r>
      <w:r w:rsidR="00190930">
        <w:rPr>
          <w:snapToGrid w:val="0"/>
          <w:lang w:val="en-GB"/>
        </w:rPr>
        <w:t>vorasidenib</w:t>
      </w:r>
      <w:r w:rsidRPr="00783D74">
        <w:rPr>
          <w:snapToGrid w:val="0"/>
          <w:lang w:val="en-GB"/>
        </w:rPr>
        <w:t xml:space="preserve"> using the early re-entry pathway. If the sponsor accepts this pathway, the following changes may address these outstanding issues without requiring further re-evaluation</w:t>
      </w:r>
      <w:r w:rsidR="00DE61E1">
        <w:rPr>
          <w:snapToGrid w:val="0"/>
          <w:lang w:val="en-GB"/>
        </w:rPr>
        <w:t>:</w:t>
      </w:r>
    </w:p>
    <w:p w14:paraId="7D4124A4" w14:textId="77777777" w:rsidR="00414C71" w:rsidRDefault="00732632" w:rsidP="00DE61E1">
      <w:pPr>
        <w:pStyle w:val="COMexecsummbulletlist"/>
        <w:rPr>
          <w:lang w:val="en-GB"/>
        </w:rPr>
      </w:pPr>
      <w:r>
        <w:rPr>
          <w:lang w:val="en-GB"/>
        </w:rPr>
        <w:t xml:space="preserve">Revision of the economic model to incorporate more conservative assumptions regarding PFS/OS </w:t>
      </w:r>
      <w:r w:rsidR="003A2005">
        <w:rPr>
          <w:lang w:val="en-GB"/>
        </w:rPr>
        <w:t>(Weibull extrapolation function</w:t>
      </w:r>
      <w:r w:rsidR="00B050E2">
        <w:rPr>
          <w:lang w:val="en-GB"/>
        </w:rPr>
        <w:t xml:space="preserve"> for PFS</w:t>
      </w:r>
      <w:r w:rsidR="003A2005">
        <w:rPr>
          <w:lang w:val="en-GB"/>
        </w:rPr>
        <w:t xml:space="preserve">) </w:t>
      </w:r>
      <w:r>
        <w:rPr>
          <w:lang w:val="en-GB"/>
        </w:rPr>
        <w:t>and utility values</w:t>
      </w:r>
      <w:r w:rsidR="003A2005">
        <w:rPr>
          <w:lang w:val="en-GB"/>
        </w:rPr>
        <w:t xml:space="preserve"> </w:t>
      </w:r>
      <w:r w:rsidR="00A77C3A">
        <w:rPr>
          <w:lang w:val="en-GB"/>
        </w:rPr>
        <w:t>(</w:t>
      </w:r>
      <w:r w:rsidR="00B050E2">
        <w:rPr>
          <w:lang w:val="en-GB"/>
        </w:rPr>
        <w:t xml:space="preserve">as per Dabrafenib + trametinib submission, </w:t>
      </w:r>
      <w:r w:rsidR="00414C71">
        <w:rPr>
          <w:lang w:val="en-GB"/>
        </w:rPr>
        <w:t>March 2024 PBAC meeting)</w:t>
      </w:r>
      <w:r w:rsidR="00303D2B" w:rsidRPr="00783D74">
        <w:rPr>
          <w:lang w:val="en-GB"/>
        </w:rPr>
        <w:t>.</w:t>
      </w:r>
    </w:p>
    <w:p w14:paraId="40E83E21" w14:textId="6EB99DC7" w:rsidR="00064026" w:rsidRDefault="00DE2DF0" w:rsidP="00DE61E1">
      <w:pPr>
        <w:pStyle w:val="COMexecsummbulletlist"/>
        <w:rPr>
          <w:lang w:val="en-GB"/>
        </w:rPr>
      </w:pPr>
      <w:r>
        <w:rPr>
          <w:lang w:val="en-GB"/>
        </w:rPr>
        <w:t xml:space="preserve">Including the revisions of the economic model as proposed, the resultant </w:t>
      </w:r>
      <w:r w:rsidR="00064026">
        <w:rPr>
          <w:lang w:val="en-GB"/>
        </w:rPr>
        <w:t xml:space="preserve">ICER </w:t>
      </w:r>
      <w:r>
        <w:rPr>
          <w:lang w:val="en-GB"/>
        </w:rPr>
        <w:t xml:space="preserve">should be </w:t>
      </w:r>
      <w:r w:rsidR="00064026">
        <w:rPr>
          <w:lang w:val="en-GB"/>
        </w:rPr>
        <w:t xml:space="preserve">of </w:t>
      </w:r>
      <w:r w:rsidR="00CA5D62" w:rsidRPr="00CA5D62">
        <w:rPr>
          <w:lang w:val="en-GB"/>
        </w:rPr>
        <w:t>$75,000 to &lt; $95,000</w:t>
      </w:r>
      <w:r w:rsidR="00064026">
        <w:rPr>
          <w:lang w:val="en-GB"/>
        </w:rPr>
        <w:t>/QALY or less</w:t>
      </w:r>
      <w:r w:rsidR="00787EA9">
        <w:rPr>
          <w:lang w:val="en-GB"/>
        </w:rPr>
        <w:t xml:space="preserve">, </w:t>
      </w:r>
      <w:r w:rsidR="00FC28F1">
        <w:rPr>
          <w:lang w:val="en-GB"/>
        </w:rPr>
        <w:t xml:space="preserve">reflecting </w:t>
      </w:r>
      <w:r w:rsidR="00901543">
        <w:rPr>
          <w:lang w:val="en-GB"/>
        </w:rPr>
        <w:t xml:space="preserve">the </w:t>
      </w:r>
      <w:r w:rsidR="004572BF">
        <w:rPr>
          <w:lang w:val="en-GB"/>
        </w:rPr>
        <w:t xml:space="preserve">high level of uncertainty regarding the </w:t>
      </w:r>
      <w:r w:rsidR="00FC28F1">
        <w:rPr>
          <w:lang w:val="en-GB"/>
        </w:rPr>
        <w:t>magnitude of long</w:t>
      </w:r>
      <w:r w:rsidR="00E06722">
        <w:rPr>
          <w:lang w:val="en-GB"/>
        </w:rPr>
        <w:t>-</w:t>
      </w:r>
      <w:r w:rsidR="00FC28F1">
        <w:rPr>
          <w:lang w:val="en-GB"/>
        </w:rPr>
        <w:t>term benefits of treatment</w:t>
      </w:r>
      <w:r w:rsidR="00064026">
        <w:rPr>
          <w:lang w:val="en-GB"/>
        </w:rPr>
        <w:t xml:space="preserve">. </w:t>
      </w:r>
    </w:p>
    <w:p w14:paraId="6CB64FC9" w14:textId="3B755510" w:rsidR="00E06722" w:rsidRDefault="00E06722" w:rsidP="00E06722">
      <w:pPr>
        <w:pStyle w:val="COMexecsummbulletlist"/>
        <w:rPr>
          <w:lang w:val="en-GB"/>
        </w:rPr>
      </w:pPr>
      <w:r>
        <w:rPr>
          <w:lang w:val="en-GB"/>
        </w:rPr>
        <w:t xml:space="preserve">Revised financial estimates with corrections to </w:t>
      </w:r>
      <w:r w:rsidRPr="00316AA9">
        <w:t>cost and persistence rate calculations</w:t>
      </w:r>
      <w:r w:rsidR="002C6510">
        <w:t xml:space="preserve">, </w:t>
      </w:r>
      <w:r>
        <w:t xml:space="preserve">inclusion of prevalent patients from before 2020 (as per paragraph </w:t>
      </w:r>
      <w:r>
        <w:fldChar w:fldCharType="begin"/>
      </w:r>
      <w:r>
        <w:instrText xml:space="preserve"> REF _Ref203734777 \r \h </w:instrText>
      </w:r>
      <w:r>
        <w:fldChar w:fldCharType="separate"/>
      </w:r>
      <w:r w:rsidR="003C0757">
        <w:t>7.13</w:t>
      </w:r>
      <w:r>
        <w:fldChar w:fldCharType="end"/>
      </w:r>
      <w:r>
        <w:t>)</w:t>
      </w:r>
      <w:r w:rsidR="002C6510">
        <w:t xml:space="preserve"> and </w:t>
      </w:r>
      <w:r w:rsidR="009D0FF8">
        <w:t>revised</w:t>
      </w:r>
      <w:r w:rsidR="00C650CF">
        <w:t xml:space="preserve"> mean</w:t>
      </w:r>
      <w:r w:rsidR="009D0FF8">
        <w:t xml:space="preserve"> treatment duration (as per paragraph </w:t>
      </w:r>
      <w:r w:rsidR="009D0FF8">
        <w:fldChar w:fldCharType="begin"/>
      </w:r>
      <w:r w:rsidR="009D0FF8">
        <w:instrText xml:space="preserve"> REF _Ref203734817 \r \h </w:instrText>
      </w:r>
      <w:r w:rsidR="009D0FF8">
        <w:fldChar w:fldCharType="separate"/>
      </w:r>
      <w:r w:rsidR="003C0757">
        <w:t>7.14</w:t>
      </w:r>
      <w:r w:rsidR="009D0FF8">
        <w:fldChar w:fldCharType="end"/>
      </w:r>
      <w:r w:rsidR="009D0FF8">
        <w:t>)</w:t>
      </w:r>
      <w:r>
        <w:t>.</w:t>
      </w:r>
    </w:p>
    <w:p w14:paraId="7D7991D7" w14:textId="6B552A93" w:rsidR="00303D2B" w:rsidRPr="00783D74" w:rsidRDefault="004F0CE9" w:rsidP="00DE61E1">
      <w:pPr>
        <w:pStyle w:val="COMexecsummbulletlist"/>
        <w:rPr>
          <w:lang w:val="en-GB"/>
        </w:rPr>
      </w:pPr>
      <w:r>
        <w:rPr>
          <w:lang w:val="en-GB"/>
        </w:rPr>
        <w:t>Proposal of a risk-sharing arrangement t</w:t>
      </w:r>
      <w:r w:rsidR="00044CA1">
        <w:rPr>
          <w:lang w:val="en-GB"/>
        </w:rPr>
        <w:t>hat</w:t>
      </w:r>
      <w:r>
        <w:rPr>
          <w:lang w:val="en-GB"/>
        </w:rPr>
        <w:t xml:space="preserve"> address</w:t>
      </w:r>
      <w:r w:rsidR="00044CA1">
        <w:rPr>
          <w:lang w:val="en-GB"/>
        </w:rPr>
        <w:t>es</w:t>
      </w:r>
      <w:r>
        <w:rPr>
          <w:lang w:val="en-GB"/>
        </w:rPr>
        <w:t xml:space="preserve"> the potential for </w:t>
      </w:r>
      <w:r w:rsidR="00044CA1">
        <w:rPr>
          <w:lang w:val="en-GB"/>
        </w:rPr>
        <w:t>use beyond</w:t>
      </w:r>
      <w:r w:rsidR="00303D2B" w:rsidRPr="00783D74">
        <w:rPr>
          <w:lang w:val="en-GB"/>
        </w:rPr>
        <w:t xml:space="preserve"> </w:t>
      </w:r>
      <w:r w:rsidR="00901543">
        <w:rPr>
          <w:lang w:val="en-GB"/>
        </w:rPr>
        <w:t>radiographic progression</w:t>
      </w:r>
      <w:r w:rsidR="00E06722">
        <w:rPr>
          <w:lang w:val="en-GB"/>
        </w:rPr>
        <w:t xml:space="preserve"> (as per paragraph </w:t>
      </w:r>
      <w:r w:rsidR="00E06722">
        <w:rPr>
          <w:lang w:val="en-GB"/>
        </w:rPr>
        <w:fldChar w:fldCharType="begin"/>
      </w:r>
      <w:r w:rsidR="00E06722">
        <w:rPr>
          <w:lang w:val="en-GB"/>
        </w:rPr>
        <w:instrText xml:space="preserve"> REF _Ref203734817 \r \h </w:instrText>
      </w:r>
      <w:r w:rsidR="00E06722">
        <w:rPr>
          <w:lang w:val="en-GB"/>
        </w:rPr>
      </w:r>
      <w:r w:rsidR="00E06722">
        <w:rPr>
          <w:lang w:val="en-GB"/>
        </w:rPr>
        <w:fldChar w:fldCharType="separate"/>
      </w:r>
      <w:r w:rsidR="003C0757">
        <w:rPr>
          <w:lang w:val="en-GB"/>
        </w:rPr>
        <w:t>7.14</w:t>
      </w:r>
      <w:r w:rsidR="00E06722">
        <w:rPr>
          <w:lang w:val="en-GB"/>
        </w:rPr>
        <w:fldChar w:fldCharType="end"/>
      </w:r>
      <w:r w:rsidR="00E06722">
        <w:rPr>
          <w:lang w:val="en-GB"/>
        </w:rPr>
        <w:t>)</w:t>
      </w:r>
      <w:r w:rsidR="00901543">
        <w:rPr>
          <w:lang w:val="en-GB"/>
        </w:rPr>
        <w:t>.</w:t>
      </w:r>
    </w:p>
    <w:p w14:paraId="0BB4977C" w14:textId="1A53AF62" w:rsidR="00303D2B" w:rsidRPr="009C0206" w:rsidRDefault="00303D2B" w:rsidP="009C0206">
      <w:pPr>
        <w:widowControl w:val="0"/>
        <w:numPr>
          <w:ilvl w:val="1"/>
          <w:numId w:val="1"/>
        </w:numPr>
        <w:spacing w:after="120"/>
        <w:rPr>
          <w:rFonts w:asciiTheme="minorHAnsi" w:hAnsiTheme="minorHAnsi"/>
          <w:snapToGrid w:val="0"/>
        </w:rPr>
      </w:pPr>
      <w:r w:rsidRPr="00783D74">
        <w:rPr>
          <w:rFonts w:asciiTheme="minorHAnsi" w:hAnsiTheme="minorHAnsi"/>
          <w:snapToGrid w:val="0"/>
          <w:lang w:val="en-GB"/>
        </w:rPr>
        <w:t xml:space="preserve">The early re-entry resubmission must be lodged by week 7 of the current PBAC cycle or the next cycle. If the issues cannot be addressed by the sponsor in a simple </w:t>
      </w:r>
      <w:r w:rsidRPr="009C0206">
        <w:rPr>
          <w:rFonts w:asciiTheme="minorHAnsi" w:hAnsiTheme="minorHAnsi"/>
          <w:snapToGrid w:val="0"/>
        </w:rPr>
        <w:t>resubmission and the early re-entry timing is not acceptable, a standard re-entry pathway is available.</w:t>
      </w:r>
    </w:p>
    <w:p w14:paraId="68A17024" w14:textId="5C160E19" w:rsidR="00303D2B" w:rsidRDefault="00303D2B" w:rsidP="009C0206">
      <w:pPr>
        <w:widowControl w:val="0"/>
        <w:numPr>
          <w:ilvl w:val="1"/>
          <w:numId w:val="1"/>
        </w:numPr>
        <w:spacing w:after="120"/>
        <w:rPr>
          <w:rFonts w:asciiTheme="minorHAnsi" w:hAnsiTheme="minorHAnsi"/>
          <w:bCs/>
          <w:i/>
          <w:snapToGrid w:val="0"/>
          <w:lang w:val="en-GB"/>
        </w:rPr>
      </w:pPr>
      <w:r w:rsidRPr="009C0206">
        <w:rPr>
          <w:rFonts w:asciiTheme="minorHAnsi" w:hAnsiTheme="minorHAnsi"/>
          <w:snapToGrid w:val="0"/>
        </w:rPr>
        <w:t xml:space="preserve">The PBAC noted that this submission is eligible for an Independent Review. </w:t>
      </w:r>
    </w:p>
    <w:p w14:paraId="0E2E48BA" w14:textId="77777777" w:rsidR="00303D2B" w:rsidRPr="007D4707" w:rsidRDefault="00303D2B" w:rsidP="00303D2B">
      <w:pPr>
        <w:widowControl w:val="0"/>
        <w:contextualSpacing/>
        <w:rPr>
          <w:rFonts w:asciiTheme="minorHAnsi" w:hAnsiTheme="minorHAnsi"/>
          <w:bCs/>
          <w:snapToGrid w:val="0"/>
          <w:lang w:val="en-GB"/>
        </w:rPr>
      </w:pPr>
    </w:p>
    <w:p w14:paraId="20A8C17E" w14:textId="77777777" w:rsidR="00303D2B" w:rsidRPr="00525B39" w:rsidRDefault="00303D2B" w:rsidP="00303D2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2213446" w14:textId="3A3FDAB8" w:rsidR="00303D2B" w:rsidRDefault="00303D2B" w:rsidP="004F5370">
      <w:pPr>
        <w:rPr>
          <w:rFonts w:asciiTheme="minorHAnsi" w:hAnsiTheme="minorHAnsi"/>
          <w:bCs/>
          <w:snapToGrid w:val="0"/>
          <w:lang w:val="en-GB"/>
        </w:rPr>
      </w:pPr>
      <w:r>
        <w:rPr>
          <w:rFonts w:asciiTheme="minorHAnsi" w:hAnsiTheme="minorHAnsi"/>
          <w:bCs/>
          <w:snapToGrid w:val="0"/>
          <w:lang w:val="en-GB"/>
        </w:rPr>
        <w:t>Not recommended</w:t>
      </w:r>
    </w:p>
    <w:p w14:paraId="37870C57" w14:textId="77777777" w:rsidR="00A4369E" w:rsidRDefault="00A4369E" w:rsidP="004F5370">
      <w:pPr>
        <w:rPr>
          <w:rFonts w:asciiTheme="minorHAnsi" w:hAnsiTheme="minorHAnsi"/>
          <w:bCs/>
          <w:snapToGrid w:val="0"/>
          <w:lang w:val="en-GB"/>
        </w:rPr>
      </w:pPr>
    </w:p>
    <w:p w14:paraId="65654A72" w14:textId="77777777" w:rsidR="00A4369E" w:rsidRPr="00A4369E" w:rsidRDefault="00A4369E" w:rsidP="00A4369E">
      <w:pPr>
        <w:pStyle w:val="COMH1-numbered"/>
      </w:pPr>
      <w:r w:rsidRPr="00A4369E">
        <w:t>Context for Decision</w:t>
      </w:r>
    </w:p>
    <w:p w14:paraId="79E5E2A2" w14:textId="77777777" w:rsidR="00A4369E" w:rsidRDefault="00A4369E" w:rsidP="00A4369E">
      <w:pPr>
        <w:spacing w:after="120"/>
        <w:ind w:left="720"/>
        <w:rPr>
          <w:rFonts w:asciiTheme="minorHAnsi" w:hAnsiTheme="minorHAnsi"/>
          <w:bCs/>
          <w:lang w:val="en-GB"/>
        </w:rPr>
      </w:pPr>
      <w:r w:rsidRPr="00A4369E">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8ACE8FD" w14:textId="77777777" w:rsidR="001A6E35" w:rsidRPr="001A6E35" w:rsidRDefault="001A6E35" w:rsidP="001A6E35">
      <w:pPr>
        <w:keepNext/>
        <w:spacing w:before="240" w:after="120"/>
        <w:ind w:left="720" w:hanging="720"/>
        <w:jc w:val="left"/>
        <w:outlineLvl w:val="0"/>
        <w:rPr>
          <w:rFonts w:asciiTheme="minorHAnsi" w:hAnsiTheme="minorHAnsi"/>
          <w:b/>
          <w:snapToGrid w:val="0"/>
          <w:sz w:val="32"/>
          <w:szCs w:val="32"/>
        </w:rPr>
      </w:pPr>
      <w:r w:rsidRPr="001A6E35">
        <w:rPr>
          <w:rFonts w:asciiTheme="minorHAnsi" w:hAnsiTheme="minorHAnsi"/>
          <w:b/>
          <w:snapToGrid w:val="0"/>
          <w:sz w:val="32"/>
          <w:szCs w:val="32"/>
        </w:rPr>
        <w:lastRenderedPageBreak/>
        <w:t>10</w:t>
      </w:r>
      <w:r w:rsidRPr="001A6E35">
        <w:rPr>
          <w:rFonts w:asciiTheme="minorHAnsi" w:hAnsiTheme="minorHAnsi"/>
          <w:b/>
          <w:snapToGrid w:val="0"/>
          <w:sz w:val="32"/>
          <w:szCs w:val="32"/>
        </w:rPr>
        <w:tab/>
        <w:t>Sponsor’s Comment</w:t>
      </w:r>
    </w:p>
    <w:p w14:paraId="578138C0" w14:textId="23608718" w:rsidR="002B593B" w:rsidRPr="00A4369E" w:rsidRDefault="00397BAE" w:rsidP="001A6E35">
      <w:pPr>
        <w:spacing w:after="120"/>
        <w:ind w:left="720"/>
        <w:rPr>
          <w:rFonts w:asciiTheme="minorHAnsi" w:hAnsiTheme="minorHAnsi"/>
          <w:bCs/>
          <w:lang w:val="en-GB"/>
        </w:rPr>
      </w:pPr>
      <w:r w:rsidRPr="00397BAE">
        <w:rPr>
          <w:rFonts w:asciiTheme="minorHAnsi" w:hAnsiTheme="minorHAnsi"/>
          <w:bCs/>
        </w:rPr>
        <w:t>Servier is disappointed that the PBAC did not recommend the listing of vorasidenib for the treatment of isocitrate dehydrogenase (IDH)-mutant astrocytoma or oligodendroglioma. However, Servier is pleased that the PBAC has acknowledged the high unmet clinical need for effective treatments for IDH-mutant astrocytoma or oligodendroglioma and that treatment with vorasidenib is likely to have a meaningful impact on patient quality of life by delaying the need for chemotherapy and radiotherapy. Servier thanks the IDH-mutant astrocytoma and oligodendroglioma clinical and patient community for their valuable input to help inform the PBAC's decision making. Servier is committed to working with the Department to facilitate equitable patient access to vorasidenib as soon as possible</w:t>
      </w:r>
    </w:p>
    <w:bookmarkEnd w:id="58"/>
    <w:p w14:paraId="3808DEA7" w14:textId="77777777" w:rsidR="00A4369E" w:rsidRPr="004F5370" w:rsidRDefault="00A4369E" w:rsidP="004F5370">
      <w:pPr>
        <w:rPr>
          <w:rFonts w:asciiTheme="minorHAnsi" w:hAnsiTheme="minorHAnsi"/>
          <w:bCs/>
          <w:snapToGrid w:val="0"/>
          <w:lang w:val="en-GB"/>
        </w:rPr>
      </w:pPr>
    </w:p>
    <w:sectPr w:rsidR="00A4369E" w:rsidRPr="004F5370"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EF88" w14:textId="77777777" w:rsidR="005B79EA" w:rsidRDefault="005B79EA" w:rsidP="00124A51">
      <w:r>
        <w:separator/>
      </w:r>
    </w:p>
    <w:p w14:paraId="69EC2000" w14:textId="77777777" w:rsidR="005B79EA" w:rsidRDefault="005B79EA"/>
    <w:p w14:paraId="229499E9" w14:textId="77777777" w:rsidR="005B79EA" w:rsidRDefault="005B79EA"/>
    <w:p w14:paraId="39E1476D" w14:textId="77777777" w:rsidR="005B79EA" w:rsidRDefault="005B79EA"/>
  </w:endnote>
  <w:endnote w:type="continuationSeparator" w:id="0">
    <w:p w14:paraId="060EAB96" w14:textId="77777777" w:rsidR="005B79EA" w:rsidRDefault="005B79EA" w:rsidP="00124A51">
      <w:r>
        <w:continuationSeparator/>
      </w:r>
    </w:p>
    <w:p w14:paraId="7BD95A27" w14:textId="77777777" w:rsidR="005B79EA" w:rsidRDefault="005B79EA"/>
    <w:p w14:paraId="5C648101" w14:textId="77777777" w:rsidR="005B79EA" w:rsidRDefault="005B79EA"/>
    <w:p w14:paraId="16B5E081" w14:textId="77777777" w:rsidR="005B79EA" w:rsidRDefault="005B79EA"/>
  </w:endnote>
  <w:endnote w:type="continuationNotice" w:id="1">
    <w:p w14:paraId="70D4D1E3" w14:textId="77777777" w:rsidR="005B79EA" w:rsidRDefault="005B7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6CEF" w14:textId="77777777" w:rsidR="00556852" w:rsidRDefault="00556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565B71D" w:rsidR="00D843F2" w:rsidRDefault="00D843F2" w:rsidP="00753B29">
    <w:pPr>
      <w:jc w:val="center"/>
    </w:pPr>
  </w:p>
  <w:p w14:paraId="37484CD3" w14:textId="63D5B2FB" w:rsidR="00D843F2" w:rsidRPr="007C1CD9" w:rsidRDefault="00000000" w:rsidP="00AB5410">
    <w:pPr>
      <w:pStyle w:val="PageFooter"/>
    </w:pPr>
    <w:sdt>
      <w:sdtPr>
        <w:id w:val="1036156457"/>
        <w:docPartObj>
          <w:docPartGallery w:val="Page Numbers (Bottom of Page)"/>
          <w:docPartUnique/>
        </w:docPartObj>
      </w:sdtPr>
      <w:sdtContent>
        <w:r w:rsidR="00D843F2">
          <w:fldChar w:fldCharType="begin"/>
        </w:r>
        <w:r w:rsidR="00D843F2">
          <w:instrText xml:space="preserve"> PAGE   \* MERGEFORMAT </w:instrText>
        </w:r>
        <w:r w:rsidR="00D843F2">
          <w:fldChar w:fldCharType="separate"/>
        </w:r>
        <w:r w:rsidR="00D843F2">
          <w:t>2</w:t>
        </w:r>
        <w:r w:rsidR="00D843F2">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91C1" w14:textId="77777777" w:rsidR="00556852" w:rsidRDefault="00556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8DE3" w14:textId="77777777" w:rsidR="005B79EA" w:rsidRDefault="005B79EA" w:rsidP="00124A51">
      <w:r>
        <w:separator/>
      </w:r>
    </w:p>
    <w:p w14:paraId="0FE31AC1" w14:textId="77777777" w:rsidR="005B79EA" w:rsidRDefault="005B79EA"/>
    <w:p w14:paraId="16861710" w14:textId="77777777" w:rsidR="005B79EA" w:rsidRDefault="005B79EA"/>
    <w:p w14:paraId="312F7616" w14:textId="77777777" w:rsidR="005B79EA" w:rsidRDefault="005B79EA"/>
  </w:footnote>
  <w:footnote w:type="continuationSeparator" w:id="0">
    <w:p w14:paraId="08C16A5B" w14:textId="77777777" w:rsidR="005B79EA" w:rsidRDefault="005B79EA" w:rsidP="00124A51">
      <w:r>
        <w:continuationSeparator/>
      </w:r>
    </w:p>
    <w:p w14:paraId="7F19D5E9" w14:textId="77777777" w:rsidR="005B79EA" w:rsidRDefault="005B79EA"/>
    <w:p w14:paraId="1D3035F8" w14:textId="77777777" w:rsidR="005B79EA" w:rsidRDefault="005B79EA"/>
    <w:p w14:paraId="5D933B57" w14:textId="77777777" w:rsidR="005B79EA" w:rsidRDefault="005B79EA"/>
  </w:footnote>
  <w:footnote w:type="continuationNotice" w:id="1">
    <w:p w14:paraId="7E762D85" w14:textId="77777777" w:rsidR="005B79EA" w:rsidRDefault="005B79EA"/>
  </w:footnote>
  <w:footnote w:id="2">
    <w:p w14:paraId="69B42A11" w14:textId="3BEEEBCF" w:rsidR="00BE3235" w:rsidRDefault="00BE3235">
      <w:pPr>
        <w:pStyle w:val="FootnoteText"/>
      </w:pPr>
      <w:r>
        <w:rPr>
          <w:rStyle w:val="FootnoteReference"/>
        </w:rPr>
        <w:footnoteRef/>
      </w:r>
      <w:r>
        <w:t xml:space="preserve"> </w:t>
      </w:r>
      <w:r w:rsidRPr="00DB455C">
        <w:rPr>
          <w:rFonts w:asciiTheme="minorHAnsi" w:hAnsiTheme="minorHAnsi"/>
          <w:bCs/>
          <w:snapToGrid w:val="0"/>
        </w:rPr>
        <w:t>Cherny NI, Dafni U, Bogaerts J, et al: ESMO-Magnitude of Clinical Benefit Scale version 1.1. Annals of Oncology 28:2340-2366, 2017]</w:t>
      </w:r>
    </w:p>
  </w:footnote>
  <w:footnote w:id="3">
    <w:p w14:paraId="16B3BB1E" w14:textId="77777777" w:rsidR="00940D6A" w:rsidRPr="0011617D" w:rsidRDefault="00940D6A" w:rsidP="00940D6A">
      <w:pPr>
        <w:pStyle w:val="EndnoteText"/>
      </w:pPr>
      <w:r w:rsidRPr="0011617D">
        <w:rPr>
          <w:rStyle w:val="FootnoteReference"/>
        </w:rPr>
        <w:footnoteRef/>
      </w:r>
      <w:r w:rsidRPr="0011617D">
        <w:t xml:space="preserve"> Buckner J.C., Shaw E.G., et al. Radiation plus Procarbazine, CCNU, and Vincristine in Low-Grade Glioma. N Engl J Med. 2016;374(14):1344-55 </w:t>
      </w:r>
      <w:hyperlink r:id="rId1" w:history="1">
        <w:r w:rsidRPr="0011617D">
          <w:t>https://doi.org/10.1056/nejmoa1500925</w:t>
        </w:r>
      </w:hyperlink>
      <w:r w:rsidRPr="0011617D">
        <w:t xml:space="preserve"> </w:t>
      </w:r>
    </w:p>
  </w:footnote>
  <w:footnote w:id="4">
    <w:p w14:paraId="0E96CC4A" w14:textId="77777777" w:rsidR="00940D6A" w:rsidRDefault="00940D6A" w:rsidP="00940D6A">
      <w:pPr>
        <w:pStyle w:val="FootnoteText"/>
      </w:pPr>
      <w:r w:rsidRPr="0011617D">
        <w:rPr>
          <w:rStyle w:val="FootnoteReference"/>
        </w:rPr>
        <w:footnoteRef/>
      </w:r>
      <w:r w:rsidRPr="0011617D">
        <w:t xml:space="preserve"> Han, K., Ren M., et al. Progression-free survival as a surrogate endpoint for overall survival in glioblastoma: a literature-based meta-analysis from 91 trials. Neuro Oncol. 2014;16(5):696-706 </w:t>
      </w:r>
      <w:hyperlink r:id="rId2" w:history="1">
        <w:r w:rsidRPr="0011617D">
          <w:t>https://doi.org/10.1093/neuonc/not236</w:t>
        </w:r>
      </w:hyperlink>
    </w:p>
  </w:footnote>
  <w:footnote w:id="5">
    <w:p w14:paraId="2CF12183" w14:textId="6B3DC55B" w:rsidR="00525440" w:rsidRDefault="00525440">
      <w:pPr>
        <w:pStyle w:val="FootnoteText"/>
      </w:pPr>
      <w:r>
        <w:rPr>
          <w:rStyle w:val="FootnoteReference"/>
        </w:rPr>
        <w:footnoteRef/>
      </w:r>
      <w:r>
        <w:t xml:space="preserve"> </w:t>
      </w:r>
      <w:r w:rsidR="009D1A71">
        <w:t xml:space="preserve">Durvalumab </w:t>
      </w:r>
      <w:r w:rsidR="00EA4817">
        <w:t>Public Summary Document</w:t>
      </w:r>
      <w:r w:rsidR="009D1A71">
        <w:t>, July 2023 PBAC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55CA" w14:textId="77777777" w:rsidR="00556852" w:rsidRDefault="00556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6DBC48B2" w:rsidR="00D843F2" w:rsidRPr="00A51C91" w:rsidRDefault="00FF5706" w:rsidP="00A51C91">
    <w:pPr>
      <w:pStyle w:val="Header"/>
      <w:rPr>
        <w:rFonts w:asciiTheme="minorHAnsi" w:hAnsiTheme="minorHAnsi"/>
        <w:color w:val="808080"/>
      </w:rPr>
    </w:pPr>
    <w:r>
      <w:rPr>
        <w:rFonts w:asciiTheme="minorHAnsi" w:hAnsiTheme="minorHAnsi"/>
        <w:color w:val="808080"/>
      </w:rPr>
      <w:t>Public Summary Document</w:t>
    </w:r>
    <w:r w:rsidR="005B2634">
      <w:rPr>
        <w:rFonts w:asciiTheme="minorHAnsi" w:hAnsiTheme="minorHAnsi"/>
        <w:color w:val="808080"/>
      </w:rPr>
      <w:t xml:space="preserve"> </w:t>
    </w:r>
    <w:r w:rsidR="00ED586A">
      <w:rPr>
        <w:rFonts w:asciiTheme="minorHAnsi" w:hAnsiTheme="minorHAnsi"/>
        <w:color w:val="808080"/>
      </w:rPr>
      <w:t xml:space="preserve">– </w:t>
    </w:r>
    <w:r w:rsidR="006618CC">
      <w:rPr>
        <w:rFonts w:asciiTheme="minorHAnsi" w:hAnsiTheme="minorHAnsi"/>
        <w:color w:val="808080"/>
      </w:rPr>
      <w:t>July</w:t>
    </w:r>
    <w:r w:rsidR="00ED586A">
      <w:rPr>
        <w:rFonts w:asciiTheme="minorHAnsi" w:hAnsiTheme="minorHAnsi"/>
        <w:color w:val="808080"/>
      </w:rPr>
      <w:t xml:space="preserve"> </w:t>
    </w:r>
    <w:r w:rsidR="006618CC">
      <w:rPr>
        <w:rFonts w:asciiTheme="minorHAnsi" w:hAnsiTheme="minorHAnsi"/>
        <w:color w:val="808080"/>
      </w:rPr>
      <w:t>2025</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AAC3" w14:textId="77777777" w:rsidR="00556852" w:rsidRDefault="00556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16F74C"/>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7E0B09"/>
    <w:multiLevelType w:val="hybridMultilevel"/>
    <w:tmpl w:val="DE447A64"/>
    <w:lvl w:ilvl="0" w:tplc="91444D4A">
      <w:start w:val="4"/>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D05FE0"/>
    <w:multiLevelType w:val="hybridMultilevel"/>
    <w:tmpl w:val="B7143324"/>
    <w:lvl w:ilvl="0" w:tplc="0C09000F">
      <w:start w:val="1"/>
      <w:numFmt w:val="decimal"/>
      <w:lvlText w:val="%1."/>
      <w:lvlJc w:val="left"/>
      <w:pPr>
        <w:ind w:left="720" w:hanging="360"/>
      </w:pPr>
    </w:lvl>
    <w:lvl w:ilvl="1" w:tplc="BFCEBA0A">
      <w:numFmt w:val="bullet"/>
      <w:lvlText w:val="•"/>
      <w:lvlJc w:val="left"/>
      <w:pPr>
        <w:ind w:left="1670" w:hanging="59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AF075F"/>
    <w:multiLevelType w:val="hybridMultilevel"/>
    <w:tmpl w:val="F760E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6CA0CEB4"/>
    <w:lvl w:ilvl="0" w:tplc="4F38898A">
      <w:start w:val="1"/>
      <w:numFmt w:val="bullet"/>
      <w:pStyle w:val="COMexecsummmainissuesbullets"/>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E4DF6"/>
    <w:multiLevelType w:val="hybridMultilevel"/>
    <w:tmpl w:val="11D45BF8"/>
    <w:lvl w:ilvl="0" w:tplc="38127E4E">
      <w:start w:val="114"/>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DF2097"/>
    <w:multiLevelType w:val="hybridMultilevel"/>
    <w:tmpl w:val="DEDC36BE"/>
    <w:lvl w:ilvl="0" w:tplc="7C7E836A">
      <w:start w:val="1"/>
      <w:numFmt w:val="bullet"/>
      <w:lvlText w:val="•"/>
      <w:lvlJc w:val="left"/>
      <w:pPr>
        <w:tabs>
          <w:tab w:val="num" w:pos="720"/>
        </w:tabs>
        <w:ind w:left="720" w:hanging="360"/>
      </w:pPr>
      <w:rPr>
        <w:rFonts w:ascii="Arial" w:hAnsi="Arial" w:hint="default"/>
      </w:rPr>
    </w:lvl>
    <w:lvl w:ilvl="1" w:tplc="0FD0F194">
      <w:start w:val="1"/>
      <w:numFmt w:val="bullet"/>
      <w:lvlText w:val="•"/>
      <w:lvlJc w:val="left"/>
      <w:pPr>
        <w:tabs>
          <w:tab w:val="num" w:pos="1440"/>
        </w:tabs>
        <w:ind w:left="1440" w:hanging="360"/>
      </w:pPr>
      <w:rPr>
        <w:rFonts w:ascii="Arial" w:hAnsi="Arial" w:hint="default"/>
      </w:rPr>
    </w:lvl>
    <w:lvl w:ilvl="2" w:tplc="550E95DC" w:tentative="1">
      <w:start w:val="1"/>
      <w:numFmt w:val="bullet"/>
      <w:lvlText w:val="•"/>
      <w:lvlJc w:val="left"/>
      <w:pPr>
        <w:tabs>
          <w:tab w:val="num" w:pos="2160"/>
        </w:tabs>
        <w:ind w:left="2160" w:hanging="360"/>
      </w:pPr>
      <w:rPr>
        <w:rFonts w:ascii="Arial" w:hAnsi="Arial" w:hint="default"/>
      </w:rPr>
    </w:lvl>
    <w:lvl w:ilvl="3" w:tplc="A82AD66A" w:tentative="1">
      <w:start w:val="1"/>
      <w:numFmt w:val="bullet"/>
      <w:lvlText w:val="•"/>
      <w:lvlJc w:val="left"/>
      <w:pPr>
        <w:tabs>
          <w:tab w:val="num" w:pos="2880"/>
        </w:tabs>
        <w:ind w:left="2880" w:hanging="360"/>
      </w:pPr>
      <w:rPr>
        <w:rFonts w:ascii="Arial" w:hAnsi="Arial" w:hint="default"/>
      </w:rPr>
    </w:lvl>
    <w:lvl w:ilvl="4" w:tplc="41D87B1E" w:tentative="1">
      <w:start w:val="1"/>
      <w:numFmt w:val="bullet"/>
      <w:lvlText w:val="•"/>
      <w:lvlJc w:val="left"/>
      <w:pPr>
        <w:tabs>
          <w:tab w:val="num" w:pos="3600"/>
        </w:tabs>
        <w:ind w:left="3600" w:hanging="360"/>
      </w:pPr>
      <w:rPr>
        <w:rFonts w:ascii="Arial" w:hAnsi="Arial" w:hint="default"/>
      </w:rPr>
    </w:lvl>
    <w:lvl w:ilvl="5" w:tplc="A308D3C8" w:tentative="1">
      <w:start w:val="1"/>
      <w:numFmt w:val="bullet"/>
      <w:lvlText w:val="•"/>
      <w:lvlJc w:val="left"/>
      <w:pPr>
        <w:tabs>
          <w:tab w:val="num" w:pos="4320"/>
        </w:tabs>
        <w:ind w:left="4320" w:hanging="360"/>
      </w:pPr>
      <w:rPr>
        <w:rFonts w:ascii="Arial" w:hAnsi="Arial" w:hint="default"/>
      </w:rPr>
    </w:lvl>
    <w:lvl w:ilvl="6" w:tplc="5B764ECE" w:tentative="1">
      <w:start w:val="1"/>
      <w:numFmt w:val="bullet"/>
      <w:lvlText w:val="•"/>
      <w:lvlJc w:val="left"/>
      <w:pPr>
        <w:tabs>
          <w:tab w:val="num" w:pos="5040"/>
        </w:tabs>
        <w:ind w:left="5040" w:hanging="360"/>
      </w:pPr>
      <w:rPr>
        <w:rFonts w:ascii="Arial" w:hAnsi="Arial" w:hint="default"/>
      </w:rPr>
    </w:lvl>
    <w:lvl w:ilvl="7" w:tplc="CBA2C546" w:tentative="1">
      <w:start w:val="1"/>
      <w:numFmt w:val="bullet"/>
      <w:lvlText w:val="•"/>
      <w:lvlJc w:val="left"/>
      <w:pPr>
        <w:tabs>
          <w:tab w:val="num" w:pos="5760"/>
        </w:tabs>
        <w:ind w:left="5760" w:hanging="360"/>
      </w:pPr>
      <w:rPr>
        <w:rFonts w:ascii="Arial" w:hAnsi="Arial" w:hint="default"/>
      </w:rPr>
    </w:lvl>
    <w:lvl w:ilvl="8" w:tplc="919A5B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65223FD"/>
    <w:multiLevelType w:val="hybridMultilevel"/>
    <w:tmpl w:val="B61A7264"/>
    <w:lvl w:ilvl="0" w:tplc="B8F8931C">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C153F4A"/>
    <w:multiLevelType w:val="hybridMultilevel"/>
    <w:tmpl w:val="C5AE1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84D033C"/>
    <w:multiLevelType w:val="multilevel"/>
    <w:tmpl w:val="E32EE152"/>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21"/>
  </w:num>
  <w:num w:numId="2" w16cid:durableId="917793048">
    <w:abstractNumId w:val="11"/>
  </w:num>
  <w:num w:numId="3" w16cid:durableId="1048839230">
    <w:abstractNumId w:val="21"/>
  </w:num>
  <w:num w:numId="4" w16cid:durableId="521091235">
    <w:abstractNumId w:val="0"/>
  </w:num>
  <w:num w:numId="5" w16cid:durableId="2123836775">
    <w:abstractNumId w:val="12"/>
  </w:num>
  <w:num w:numId="6" w16cid:durableId="690643893">
    <w:abstractNumId w:val="7"/>
  </w:num>
  <w:num w:numId="7" w16cid:durableId="529300049">
    <w:abstractNumId w:val="2"/>
  </w:num>
  <w:num w:numId="8" w16cid:durableId="1453358371">
    <w:abstractNumId w:val="5"/>
  </w:num>
  <w:num w:numId="9" w16cid:durableId="1083842380">
    <w:abstractNumId w:val="17"/>
  </w:num>
  <w:num w:numId="10" w16cid:durableId="126240624">
    <w:abstractNumId w:val="18"/>
  </w:num>
  <w:num w:numId="11" w16cid:durableId="1686707224">
    <w:abstractNumId w:val="19"/>
  </w:num>
  <w:num w:numId="12" w16cid:durableId="1041320915">
    <w:abstractNumId w:val="6"/>
  </w:num>
  <w:num w:numId="13" w16cid:durableId="559636085">
    <w:abstractNumId w:val="21"/>
  </w:num>
  <w:num w:numId="14" w16cid:durableId="1660116426">
    <w:abstractNumId w:val="3"/>
  </w:num>
  <w:num w:numId="15" w16cid:durableId="408699874">
    <w:abstractNumId w:val="14"/>
  </w:num>
  <w:num w:numId="16" w16cid:durableId="1569418770">
    <w:abstractNumId w:val="4"/>
  </w:num>
  <w:num w:numId="17" w16cid:durableId="705176722">
    <w:abstractNumId w:val="1"/>
  </w:num>
  <w:num w:numId="18" w16cid:durableId="1926569401">
    <w:abstractNumId w:val="9"/>
  </w:num>
  <w:num w:numId="19" w16cid:durableId="1979457665">
    <w:abstractNumId w:val="10"/>
  </w:num>
  <w:num w:numId="20" w16cid:durableId="2038313566">
    <w:abstractNumId w:val="8"/>
  </w:num>
  <w:num w:numId="21" w16cid:durableId="12974431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97201">
    <w:abstractNumId w:val="20"/>
  </w:num>
  <w:num w:numId="23" w16cid:durableId="740715032">
    <w:abstractNumId w:val="21"/>
  </w:num>
  <w:num w:numId="24" w16cid:durableId="2146965915">
    <w:abstractNumId w:val="21"/>
  </w:num>
  <w:num w:numId="25" w16cid:durableId="651255036">
    <w:abstractNumId w:val="13"/>
  </w:num>
  <w:num w:numId="26" w16cid:durableId="1152678227">
    <w:abstractNumId w:val="15"/>
  </w:num>
  <w:num w:numId="27" w16cid:durableId="183463691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29A"/>
    <w:rsid w:val="00000790"/>
    <w:rsid w:val="00000B62"/>
    <w:rsid w:val="0000110B"/>
    <w:rsid w:val="0000202F"/>
    <w:rsid w:val="00003332"/>
    <w:rsid w:val="00003391"/>
    <w:rsid w:val="00003499"/>
    <w:rsid w:val="000039B7"/>
    <w:rsid w:val="00003BB7"/>
    <w:rsid w:val="00003DFE"/>
    <w:rsid w:val="000041D8"/>
    <w:rsid w:val="00004AF3"/>
    <w:rsid w:val="00004DCC"/>
    <w:rsid w:val="000056B9"/>
    <w:rsid w:val="000056EC"/>
    <w:rsid w:val="000058BD"/>
    <w:rsid w:val="00005EE0"/>
    <w:rsid w:val="00006132"/>
    <w:rsid w:val="0000639A"/>
    <w:rsid w:val="00006472"/>
    <w:rsid w:val="000064A1"/>
    <w:rsid w:val="00006BFE"/>
    <w:rsid w:val="00007CB3"/>
    <w:rsid w:val="0001040D"/>
    <w:rsid w:val="000105CB"/>
    <w:rsid w:val="00010852"/>
    <w:rsid w:val="00010C3F"/>
    <w:rsid w:val="000126A6"/>
    <w:rsid w:val="00012EB9"/>
    <w:rsid w:val="00013247"/>
    <w:rsid w:val="00013316"/>
    <w:rsid w:val="00014AE1"/>
    <w:rsid w:val="00014E52"/>
    <w:rsid w:val="00014EF1"/>
    <w:rsid w:val="00015886"/>
    <w:rsid w:val="00016126"/>
    <w:rsid w:val="000162EF"/>
    <w:rsid w:val="00016B2D"/>
    <w:rsid w:val="000170E1"/>
    <w:rsid w:val="00017E67"/>
    <w:rsid w:val="000207C9"/>
    <w:rsid w:val="00021C7B"/>
    <w:rsid w:val="000221A7"/>
    <w:rsid w:val="0002225F"/>
    <w:rsid w:val="00022405"/>
    <w:rsid w:val="000225BB"/>
    <w:rsid w:val="00022B44"/>
    <w:rsid w:val="00023763"/>
    <w:rsid w:val="00023CC2"/>
    <w:rsid w:val="00023DD4"/>
    <w:rsid w:val="000248B2"/>
    <w:rsid w:val="00024EB5"/>
    <w:rsid w:val="00026981"/>
    <w:rsid w:val="000269B9"/>
    <w:rsid w:val="000274B8"/>
    <w:rsid w:val="00027B5A"/>
    <w:rsid w:val="00030081"/>
    <w:rsid w:val="0003069E"/>
    <w:rsid w:val="00030FD0"/>
    <w:rsid w:val="000312EE"/>
    <w:rsid w:val="00031B7C"/>
    <w:rsid w:val="00033863"/>
    <w:rsid w:val="000339F6"/>
    <w:rsid w:val="00033B7B"/>
    <w:rsid w:val="000340BD"/>
    <w:rsid w:val="00034206"/>
    <w:rsid w:val="00034255"/>
    <w:rsid w:val="00034AA6"/>
    <w:rsid w:val="00035035"/>
    <w:rsid w:val="0003576F"/>
    <w:rsid w:val="00035DC0"/>
    <w:rsid w:val="000364D1"/>
    <w:rsid w:val="000364DE"/>
    <w:rsid w:val="00036829"/>
    <w:rsid w:val="00037056"/>
    <w:rsid w:val="000376B5"/>
    <w:rsid w:val="00037E3B"/>
    <w:rsid w:val="00040895"/>
    <w:rsid w:val="000410A0"/>
    <w:rsid w:val="000430D7"/>
    <w:rsid w:val="000435EE"/>
    <w:rsid w:val="00043899"/>
    <w:rsid w:val="00043C37"/>
    <w:rsid w:val="0004408F"/>
    <w:rsid w:val="0004456C"/>
    <w:rsid w:val="00044CA1"/>
    <w:rsid w:val="00044DEB"/>
    <w:rsid w:val="00045017"/>
    <w:rsid w:val="00045617"/>
    <w:rsid w:val="00045A2B"/>
    <w:rsid w:val="00045B03"/>
    <w:rsid w:val="0004698F"/>
    <w:rsid w:val="00046ABD"/>
    <w:rsid w:val="00046D64"/>
    <w:rsid w:val="00047504"/>
    <w:rsid w:val="000475CB"/>
    <w:rsid w:val="0004796F"/>
    <w:rsid w:val="000502EA"/>
    <w:rsid w:val="00050398"/>
    <w:rsid w:val="000508C2"/>
    <w:rsid w:val="00051070"/>
    <w:rsid w:val="000515AE"/>
    <w:rsid w:val="00051783"/>
    <w:rsid w:val="00051BC2"/>
    <w:rsid w:val="00052289"/>
    <w:rsid w:val="0005245F"/>
    <w:rsid w:val="00052547"/>
    <w:rsid w:val="000527A3"/>
    <w:rsid w:val="00052B1E"/>
    <w:rsid w:val="00052EDC"/>
    <w:rsid w:val="00053724"/>
    <w:rsid w:val="00053911"/>
    <w:rsid w:val="000539D0"/>
    <w:rsid w:val="00054133"/>
    <w:rsid w:val="000542B3"/>
    <w:rsid w:val="000545F8"/>
    <w:rsid w:val="00054621"/>
    <w:rsid w:val="000546D7"/>
    <w:rsid w:val="00054A8D"/>
    <w:rsid w:val="00056646"/>
    <w:rsid w:val="0005682F"/>
    <w:rsid w:val="00056CBB"/>
    <w:rsid w:val="00056ECF"/>
    <w:rsid w:val="00057131"/>
    <w:rsid w:val="00057E49"/>
    <w:rsid w:val="00057F5F"/>
    <w:rsid w:val="00057F60"/>
    <w:rsid w:val="00057FBD"/>
    <w:rsid w:val="000604DF"/>
    <w:rsid w:val="00062324"/>
    <w:rsid w:val="00063DD4"/>
    <w:rsid w:val="00064026"/>
    <w:rsid w:val="000640DB"/>
    <w:rsid w:val="0006490C"/>
    <w:rsid w:val="00064F50"/>
    <w:rsid w:val="000653B5"/>
    <w:rsid w:val="00065F48"/>
    <w:rsid w:val="00066360"/>
    <w:rsid w:val="00066AF8"/>
    <w:rsid w:val="00066BD1"/>
    <w:rsid w:val="0006728B"/>
    <w:rsid w:val="00070229"/>
    <w:rsid w:val="0007084C"/>
    <w:rsid w:val="00070949"/>
    <w:rsid w:val="00070982"/>
    <w:rsid w:val="00070C9D"/>
    <w:rsid w:val="00071248"/>
    <w:rsid w:val="00071310"/>
    <w:rsid w:val="00071A57"/>
    <w:rsid w:val="000720B9"/>
    <w:rsid w:val="000737F7"/>
    <w:rsid w:val="0007519D"/>
    <w:rsid w:val="00075497"/>
    <w:rsid w:val="000758AC"/>
    <w:rsid w:val="0007672F"/>
    <w:rsid w:val="00076B54"/>
    <w:rsid w:val="00076DD0"/>
    <w:rsid w:val="000774F0"/>
    <w:rsid w:val="000777E3"/>
    <w:rsid w:val="00080067"/>
    <w:rsid w:val="000807CB"/>
    <w:rsid w:val="00080909"/>
    <w:rsid w:val="000812CA"/>
    <w:rsid w:val="000815F6"/>
    <w:rsid w:val="0008187A"/>
    <w:rsid w:val="00081C03"/>
    <w:rsid w:val="00081D98"/>
    <w:rsid w:val="00081E63"/>
    <w:rsid w:val="0008203F"/>
    <w:rsid w:val="0008207C"/>
    <w:rsid w:val="0008216C"/>
    <w:rsid w:val="0008258D"/>
    <w:rsid w:val="000829DB"/>
    <w:rsid w:val="00082DCA"/>
    <w:rsid w:val="00082F47"/>
    <w:rsid w:val="000837C4"/>
    <w:rsid w:val="00083843"/>
    <w:rsid w:val="00083E99"/>
    <w:rsid w:val="00084B28"/>
    <w:rsid w:val="00084D8C"/>
    <w:rsid w:val="00084EFC"/>
    <w:rsid w:val="00084FA8"/>
    <w:rsid w:val="00085156"/>
    <w:rsid w:val="000856C5"/>
    <w:rsid w:val="00085C31"/>
    <w:rsid w:val="000860CA"/>
    <w:rsid w:val="000860FE"/>
    <w:rsid w:val="00086814"/>
    <w:rsid w:val="0008702F"/>
    <w:rsid w:val="000874F1"/>
    <w:rsid w:val="00087814"/>
    <w:rsid w:val="000902D9"/>
    <w:rsid w:val="00090C7E"/>
    <w:rsid w:val="000911AC"/>
    <w:rsid w:val="000912B0"/>
    <w:rsid w:val="00092600"/>
    <w:rsid w:val="0009262B"/>
    <w:rsid w:val="00093310"/>
    <w:rsid w:val="000942DD"/>
    <w:rsid w:val="0009445C"/>
    <w:rsid w:val="00095200"/>
    <w:rsid w:val="00095281"/>
    <w:rsid w:val="0009539A"/>
    <w:rsid w:val="00095FE5"/>
    <w:rsid w:val="00096284"/>
    <w:rsid w:val="00096884"/>
    <w:rsid w:val="00096917"/>
    <w:rsid w:val="00097135"/>
    <w:rsid w:val="000971C8"/>
    <w:rsid w:val="00097273"/>
    <w:rsid w:val="00097911"/>
    <w:rsid w:val="00097B12"/>
    <w:rsid w:val="000A031C"/>
    <w:rsid w:val="000A03C1"/>
    <w:rsid w:val="000A0BF5"/>
    <w:rsid w:val="000A0D3F"/>
    <w:rsid w:val="000A13F4"/>
    <w:rsid w:val="000A1BC0"/>
    <w:rsid w:val="000A2BE5"/>
    <w:rsid w:val="000A2F9E"/>
    <w:rsid w:val="000A3785"/>
    <w:rsid w:val="000A38E5"/>
    <w:rsid w:val="000A3E47"/>
    <w:rsid w:val="000A3F2F"/>
    <w:rsid w:val="000A4823"/>
    <w:rsid w:val="000A4ED5"/>
    <w:rsid w:val="000A5159"/>
    <w:rsid w:val="000A522B"/>
    <w:rsid w:val="000A54F6"/>
    <w:rsid w:val="000A58D5"/>
    <w:rsid w:val="000A5BAE"/>
    <w:rsid w:val="000A5EA7"/>
    <w:rsid w:val="000A5F49"/>
    <w:rsid w:val="000A6039"/>
    <w:rsid w:val="000A6081"/>
    <w:rsid w:val="000A6118"/>
    <w:rsid w:val="000A69D9"/>
    <w:rsid w:val="000A6F31"/>
    <w:rsid w:val="000A6FE1"/>
    <w:rsid w:val="000A70F5"/>
    <w:rsid w:val="000A7453"/>
    <w:rsid w:val="000A74C5"/>
    <w:rsid w:val="000A7D08"/>
    <w:rsid w:val="000B0121"/>
    <w:rsid w:val="000B01ED"/>
    <w:rsid w:val="000B0670"/>
    <w:rsid w:val="000B0E75"/>
    <w:rsid w:val="000B137A"/>
    <w:rsid w:val="000B2DCB"/>
    <w:rsid w:val="000B41CC"/>
    <w:rsid w:val="000B5CE0"/>
    <w:rsid w:val="000B5D8C"/>
    <w:rsid w:val="000B6784"/>
    <w:rsid w:val="000B683E"/>
    <w:rsid w:val="000B6CAC"/>
    <w:rsid w:val="000B6E5C"/>
    <w:rsid w:val="000B70EE"/>
    <w:rsid w:val="000B7612"/>
    <w:rsid w:val="000B78AE"/>
    <w:rsid w:val="000B7C07"/>
    <w:rsid w:val="000C132E"/>
    <w:rsid w:val="000C186A"/>
    <w:rsid w:val="000C19C0"/>
    <w:rsid w:val="000C2478"/>
    <w:rsid w:val="000C2623"/>
    <w:rsid w:val="000C34C6"/>
    <w:rsid w:val="000C3DF9"/>
    <w:rsid w:val="000C4501"/>
    <w:rsid w:val="000C4C76"/>
    <w:rsid w:val="000C4CF2"/>
    <w:rsid w:val="000C4F21"/>
    <w:rsid w:val="000C6412"/>
    <w:rsid w:val="000C6701"/>
    <w:rsid w:val="000C6713"/>
    <w:rsid w:val="000C69D4"/>
    <w:rsid w:val="000C6E8D"/>
    <w:rsid w:val="000C7364"/>
    <w:rsid w:val="000C7581"/>
    <w:rsid w:val="000C777A"/>
    <w:rsid w:val="000C79E1"/>
    <w:rsid w:val="000C7C51"/>
    <w:rsid w:val="000D018E"/>
    <w:rsid w:val="000D06CB"/>
    <w:rsid w:val="000D073F"/>
    <w:rsid w:val="000D0C82"/>
    <w:rsid w:val="000D1741"/>
    <w:rsid w:val="000D1BFC"/>
    <w:rsid w:val="000D1D5D"/>
    <w:rsid w:val="000D2787"/>
    <w:rsid w:val="000D281A"/>
    <w:rsid w:val="000D2848"/>
    <w:rsid w:val="000D2C2E"/>
    <w:rsid w:val="000D326A"/>
    <w:rsid w:val="000D3A53"/>
    <w:rsid w:val="000D4245"/>
    <w:rsid w:val="000D51FB"/>
    <w:rsid w:val="000D5428"/>
    <w:rsid w:val="000D54C6"/>
    <w:rsid w:val="000D58EA"/>
    <w:rsid w:val="000D6209"/>
    <w:rsid w:val="000D6F06"/>
    <w:rsid w:val="000D7938"/>
    <w:rsid w:val="000E0263"/>
    <w:rsid w:val="000E0640"/>
    <w:rsid w:val="000E135D"/>
    <w:rsid w:val="000E2050"/>
    <w:rsid w:val="000E2385"/>
    <w:rsid w:val="000E2681"/>
    <w:rsid w:val="000E2C0C"/>
    <w:rsid w:val="000E2FCD"/>
    <w:rsid w:val="000E317D"/>
    <w:rsid w:val="000E31FA"/>
    <w:rsid w:val="000E35F4"/>
    <w:rsid w:val="000E402E"/>
    <w:rsid w:val="000E4131"/>
    <w:rsid w:val="000E4218"/>
    <w:rsid w:val="000E4581"/>
    <w:rsid w:val="000E5636"/>
    <w:rsid w:val="000E58A5"/>
    <w:rsid w:val="000E5D3C"/>
    <w:rsid w:val="000E606A"/>
    <w:rsid w:val="000E6FBD"/>
    <w:rsid w:val="000F00BA"/>
    <w:rsid w:val="000F0443"/>
    <w:rsid w:val="000F0A34"/>
    <w:rsid w:val="000F13A6"/>
    <w:rsid w:val="000F156C"/>
    <w:rsid w:val="000F17D6"/>
    <w:rsid w:val="000F18CD"/>
    <w:rsid w:val="000F2D4D"/>
    <w:rsid w:val="000F316A"/>
    <w:rsid w:val="000F3324"/>
    <w:rsid w:val="000F3478"/>
    <w:rsid w:val="000F370C"/>
    <w:rsid w:val="000F3C74"/>
    <w:rsid w:val="000F405A"/>
    <w:rsid w:val="000F40F6"/>
    <w:rsid w:val="000F448D"/>
    <w:rsid w:val="000F483D"/>
    <w:rsid w:val="000F4BB8"/>
    <w:rsid w:val="000F4FA9"/>
    <w:rsid w:val="000F53FB"/>
    <w:rsid w:val="000F5C2C"/>
    <w:rsid w:val="000F60D1"/>
    <w:rsid w:val="000F6288"/>
    <w:rsid w:val="000F68A4"/>
    <w:rsid w:val="000F7127"/>
    <w:rsid w:val="000F76C7"/>
    <w:rsid w:val="000F790F"/>
    <w:rsid w:val="000F7B54"/>
    <w:rsid w:val="000F7F9D"/>
    <w:rsid w:val="00100063"/>
    <w:rsid w:val="0010007C"/>
    <w:rsid w:val="001000B3"/>
    <w:rsid w:val="00100599"/>
    <w:rsid w:val="00100BBF"/>
    <w:rsid w:val="00100DB4"/>
    <w:rsid w:val="00100DF8"/>
    <w:rsid w:val="00100F8A"/>
    <w:rsid w:val="00102183"/>
    <w:rsid w:val="00102623"/>
    <w:rsid w:val="00103709"/>
    <w:rsid w:val="00103C74"/>
    <w:rsid w:val="00103CB8"/>
    <w:rsid w:val="00103FA2"/>
    <w:rsid w:val="001042D5"/>
    <w:rsid w:val="0010452E"/>
    <w:rsid w:val="00104615"/>
    <w:rsid w:val="00105363"/>
    <w:rsid w:val="00105585"/>
    <w:rsid w:val="00105AE2"/>
    <w:rsid w:val="00105B44"/>
    <w:rsid w:val="00105DC0"/>
    <w:rsid w:val="00105FA9"/>
    <w:rsid w:val="00105FE8"/>
    <w:rsid w:val="001060C6"/>
    <w:rsid w:val="001062D5"/>
    <w:rsid w:val="00106B80"/>
    <w:rsid w:val="00107220"/>
    <w:rsid w:val="00107ED5"/>
    <w:rsid w:val="0011032E"/>
    <w:rsid w:val="00110558"/>
    <w:rsid w:val="00110A7A"/>
    <w:rsid w:val="001123FB"/>
    <w:rsid w:val="00112C2F"/>
    <w:rsid w:val="00113364"/>
    <w:rsid w:val="0011348B"/>
    <w:rsid w:val="0011386B"/>
    <w:rsid w:val="00114892"/>
    <w:rsid w:val="0011492E"/>
    <w:rsid w:val="00115982"/>
    <w:rsid w:val="0011617D"/>
    <w:rsid w:val="00116C53"/>
    <w:rsid w:val="00117148"/>
    <w:rsid w:val="00117876"/>
    <w:rsid w:val="00117FA7"/>
    <w:rsid w:val="00120D98"/>
    <w:rsid w:val="00121374"/>
    <w:rsid w:val="0012161C"/>
    <w:rsid w:val="00121799"/>
    <w:rsid w:val="00121B14"/>
    <w:rsid w:val="00121F6F"/>
    <w:rsid w:val="001221B9"/>
    <w:rsid w:val="001222FC"/>
    <w:rsid w:val="001229B2"/>
    <w:rsid w:val="00123902"/>
    <w:rsid w:val="00123C54"/>
    <w:rsid w:val="00124A51"/>
    <w:rsid w:val="0012530D"/>
    <w:rsid w:val="00125569"/>
    <w:rsid w:val="001265D3"/>
    <w:rsid w:val="00126621"/>
    <w:rsid w:val="00126B1D"/>
    <w:rsid w:val="00126F6B"/>
    <w:rsid w:val="001279F5"/>
    <w:rsid w:val="00127A5C"/>
    <w:rsid w:val="001301E9"/>
    <w:rsid w:val="00130E01"/>
    <w:rsid w:val="00131827"/>
    <w:rsid w:val="00131BBA"/>
    <w:rsid w:val="00131C98"/>
    <w:rsid w:val="00131D82"/>
    <w:rsid w:val="00132B22"/>
    <w:rsid w:val="00133332"/>
    <w:rsid w:val="00133AD1"/>
    <w:rsid w:val="00133BDB"/>
    <w:rsid w:val="00133D36"/>
    <w:rsid w:val="00133DD3"/>
    <w:rsid w:val="00133ED0"/>
    <w:rsid w:val="00134846"/>
    <w:rsid w:val="00134868"/>
    <w:rsid w:val="00135762"/>
    <w:rsid w:val="00135C12"/>
    <w:rsid w:val="00135C50"/>
    <w:rsid w:val="00136454"/>
    <w:rsid w:val="0013658F"/>
    <w:rsid w:val="0013675C"/>
    <w:rsid w:val="001375E9"/>
    <w:rsid w:val="00137645"/>
    <w:rsid w:val="00137AEB"/>
    <w:rsid w:val="00137FD9"/>
    <w:rsid w:val="00137FF4"/>
    <w:rsid w:val="0014015A"/>
    <w:rsid w:val="001404E7"/>
    <w:rsid w:val="0014051B"/>
    <w:rsid w:val="00140E99"/>
    <w:rsid w:val="00140F7F"/>
    <w:rsid w:val="00141AE2"/>
    <w:rsid w:val="00141B15"/>
    <w:rsid w:val="001421F6"/>
    <w:rsid w:val="00143F67"/>
    <w:rsid w:val="00144042"/>
    <w:rsid w:val="0014408C"/>
    <w:rsid w:val="00144258"/>
    <w:rsid w:val="00144BC8"/>
    <w:rsid w:val="00145234"/>
    <w:rsid w:val="00145540"/>
    <w:rsid w:val="001456B0"/>
    <w:rsid w:val="00146460"/>
    <w:rsid w:val="00146470"/>
    <w:rsid w:val="00147017"/>
    <w:rsid w:val="0014764F"/>
    <w:rsid w:val="00147A9C"/>
    <w:rsid w:val="00147ABF"/>
    <w:rsid w:val="00150B3C"/>
    <w:rsid w:val="00150CDB"/>
    <w:rsid w:val="001510F8"/>
    <w:rsid w:val="00151A34"/>
    <w:rsid w:val="001525BD"/>
    <w:rsid w:val="0015273E"/>
    <w:rsid w:val="00152FE9"/>
    <w:rsid w:val="00153604"/>
    <w:rsid w:val="00153864"/>
    <w:rsid w:val="001547AB"/>
    <w:rsid w:val="001548C7"/>
    <w:rsid w:val="00154B63"/>
    <w:rsid w:val="00155EFD"/>
    <w:rsid w:val="0015645A"/>
    <w:rsid w:val="00156C97"/>
    <w:rsid w:val="00156F8F"/>
    <w:rsid w:val="00157130"/>
    <w:rsid w:val="001576B1"/>
    <w:rsid w:val="0016047B"/>
    <w:rsid w:val="00160A4C"/>
    <w:rsid w:val="00161BDB"/>
    <w:rsid w:val="00161CB6"/>
    <w:rsid w:val="00162499"/>
    <w:rsid w:val="00162913"/>
    <w:rsid w:val="00162917"/>
    <w:rsid w:val="001639F8"/>
    <w:rsid w:val="00163B1C"/>
    <w:rsid w:val="00163EFF"/>
    <w:rsid w:val="00163F66"/>
    <w:rsid w:val="0016478E"/>
    <w:rsid w:val="00165028"/>
    <w:rsid w:val="001654DD"/>
    <w:rsid w:val="00165EC4"/>
    <w:rsid w:val="001661FB"/>
    <w:rsid w:val="0016628C"/>
    <w:rsid w:val="001668E1"/>
    <w:rsid w:val="001671A0"/>
    <w:rsid w:val="0016767F"/>
    <w:rsid w:val="00167E31"/>
    <w:rsid w:val="00170268"/>
    <w:rsid w:val="00170580"/>
    <w:rsid w:val="0017074B"/>
    <w:rsid w:val="00171179"/>
    <w:rsid w:val="00171A88"/>
    <w:rsid w:val="00171AF1"/>
    <w:rsid w:val="00172A99"/>
    <w:rsid w:val="00172AB4"/>
    <w:rsid w:val="00172D16"/>
    <w:rsid w:val="00173175"/>
    <w:rsid w:val="00173565"/>
    <w:rsid w:val="001736A9"/>
    <w:rsid w:val="00173B07"/>
    <w:rsid w:val="00174429"/>
    <w:rsid w:val="001747EB"/>
    <w:rsid w:val="0017493B"/>
    <w:rsid w:val="00174CA7"/>
    <w:rsid w:val="00174F84"/>
    <w:rsid w:val="001751FA"/>
    <w:rsid w:val="00175298"/>
    <w:rsid w:val="001752F0"/>
    <w:rsid w:val="0017543F"/>
    <w:rsid w:val="00175483"/>
    <w:rsid w:val="001754BB"/>
    <w:rsid w:val="0017550E"/>
    <w:rsid w:val="001758D6"/>
    <w:rsid w:val="001760FB"/>
    <w:rsid w:val="0017675E"/>
    <w:rsid w:val="00176A90"/>
    <w:rsid w:val="00176CEB"/>
    <w:rsid w:val="0017774D"/>
    <w:rsid w:val="001805FC"/>
    <w:rsid w:val="0018070B"/>
    <w:rsid w:val="00181766"/>
    <w:rsid w:val="0018189C"/>
    <w:rsid w:val="00181C10"/>
    <w:rsid w:val="00181D92"/>
    <w:rsid w:val="00181D9C"/>
    <w:rsid w:val="00181F68"/>
    <w:rsid w:val="0018278C"/>
    <w:rsid w:val="00182F21"/>
    <w:rsid w:val="001835F1"/>
    <w:rsid w:val="001837FF"/>
    <w:rsid w:val="00184A18"/>
    <w:rsid w:val="00184B0E"/>
    <w:rsid w:val="00184F16"/>
    <w:rsid w:val="00185842"/>
    <w:rsid w:val="00185E6A"/>
    <w:rsid w:val="00186B7F"/>
    <w:rsid w:val="00187457"/>
    <w:rsid w:val="0018752F"/>
    <w:rsid w:val="00187575"/>
    <w:rsid w:val="00187806"/>
    <w:rsid w:val="001900C9"/>
    <w:rsid w:val="001902D2"/>
    <w:rsid w:val="001906B5"/>
    <w:rsid w:val="00190930"/>
    <w:rsid w:val="001909D7"/>
    <w:rsid w:val="00190DAC"/>
    <w:rsid w:val="00190FA9"/>
    <w:rsid w:val="001912AF"/>
    <w:rsid w:val="00191A33"/>
    <w:rsid w:val="00191B2B"/>
    <w:rsid w:val="0019258D"/>
    <w:rsid w:val="00192615"/>
    <w:rsid w:val="00193838"/>
    <w:rsid w:val="00193D26"/>
    <w:rsid w:val="00194AD8"/>
    <w:rsid w:val="00195222"/>
    <w:rsid w:val="00195300"/>
    <w:rsid w:val="00195452"/>
    <w:rsid w:val="0019549A"/>
    <w:rsid w:val="001958FF"/>
    <w:rsid w:val="00195D6D"/>
    <w:rsid w:val="001975D8"/>
    <w:rsid w:val="00197BB3"/>
    <w:rsid w:val="00197E6F"/>
    <w:rsid w:val="001A088A"/>
    <w:rsid w:val="001A089F"/>
    <w:rsid w:val="001A08EA"/>
    <w:rsid w:val="001A137C"/>
    <w:rsid w:val="001A178E"/>
    <w:rsid w:val="001A28B9"/>
    <w:rsid w:val="001A406E"/>
    <w:rsid w:val="001A43FA"/>
    <w:rsid w:val="001A47C5"/>
    <w:rsid w:val="001A4D9A"/>
    <w:rsid w:val="001A5807"/>
    <w:rsid w:val="001A59FB"/>
    <w:rsid w:val="001A5E9E"/>
    <w:rsid w:val="001A62EA"/>
    <w:rsid w:val="001A632D"/>
    <w:rsid w:val="001A6354"/>
    <w:rsid w:val="001A6366"/>
    <w:rsid w:val="001A6E35"/>
    <w:rsid w:val="001A7AE8"/>
    <w:rsid w:val="001A7BBD"/>
    <w:rsid w:val="001A7D84"/>
    <w:rsid w:val="001B00EA"/>
    <w:rsid w:val="001B0686"/>
    <w:rsid w:val="001B0E3C"/>
    <w:rsid w:val="001B0F40"/>
    <w:rsid w:val="001B10E5"/>
    <w:rsid w:val="001B1441"/>
    <w:rsid w:val="001B1900"/>
    <w:rsid w:val="001B201C"/>
    <w:rsid w:val="001B204E"/>
    <w:rsid w:val="001B2372"/>
    <w:rsid w:val="001B263C"/>
    <w:rsid w:val="001B2703"/>
    <w:rsid w:val="001B30E0"/>
    <w:rsid w:val="001B3443"/>
    <w:rsid w:val="001B34FE"/>
    <w:rsid w:val="001B3630"/>
    <w:rsid w:val="001B3974"/>
    <w:rsid w:val="001B40AF"/>
    <w:rsid w:val="001B42B6"/>
    <w:rsid w:val="001B45C9"/>
    <w:rsid w:val="001B4D20"/>
    <w:rsid w:val="001B4D98"/>
    <w:rsid w:val="001B56E1"/>
    <w:rsid w:val="001B5E83"/>
    <w:rsid w:val="001B6288"/>
    <w:rsid w:val="001B7044"/>
    <w:rsid w:val="001B73E6"/>
    <w:rsid w:val="001B7711"/>
    <w:rsid w:val="001B7F48"/>
    <w:rsid w:val="001B7F84"/>
    <w:rsid w:val="001C002E"/>
    <w:rsid w:val="001C18BC"/>
    <w:rsid w:val="001C19BA"/>
    <w:rsid w:val="001C2A9B"/>
    <w:rsid w:val="001C32BD"/>
    <w:rsid w:val="001C38AA"/>
    <w:rsid w:val="001C3DD6"/>
    <w:rsid w:val="001C4299"/>
    <w:rsid w:val="001C4874"/>
    <w:rsid w:val="001C5F94"/>
    <w:rsid w:val="001C6932"/>
    <w:rsid w:val="001C6B82"/>
    <w:rsid w:val="001C6E66"/>
    <w:rsid w:val="001C78E1"/>
    <w:rsid w:val="001C7BEB"/>
    <w:rsid w:val="001C7CBE"/>
    <w:rsid w:val="001D0626"/>
    <w:rsid w:val="001D1100"/>
    <w:rsid w:val="001D1391"/>
    <w:rsid w:val="001D1793"/>
    <w:rsid w:val="001D25D7"/>
    <w:rsid w:val="001D3CBC"/>
    <w:rsid w:val="001D40DB"/>
    <w:rsid w:val="001D4662"/>
    <w:rsid w:val="001D4997"/>
    <w:rsid w:val="001D4EC7"/>
    <w:rsid w:val="001D4FC3"/>
    <w:rsid w:val="001D50B2"/>
    <w:rsid w:val="001D5357"/>
    <w:rsid w:val="001D580D"/>
    <w:rsid w:val="001D63BC"/>
    <w:rsid w:val="001D71F4"/>
    <w:rsid w:val="001D7645"/>
    <w:rsid w:val="001E015A"/>
    <w:rsid w:val="001E0423"/>
    <w:rsid w:val="001E0C3E"/>
    <w:rsid w:val="001E13B1"/>
    <w:rsid w:val="001E1DB6"/>
    <w:rsid w:val="001E1E86"/>
    <w:rsid w:val="001E238E"/>
    <w:rsid w:val="001E2483"/>
    <w:rsid w:val="001E289F"/>
    <w:rsid w:val="001E2B1E"/>
    <w:rsid w:val="001E2CFF"/>
    <w:rsid w:val="001E2F24"/>
    <w:rsid w:val="001E30BF"/>
    <w:rsid w:val="001E30D4"/>
    <w:rsid w:val="001E34CD"/>
    <w:rsid w:val="001E34DF"/>
    <w:rsid w:val="001E4DD2"/>
    <w:rsid w:val="001E52EB"/>
    <w:rsid w:val="001E609C"/>
    <w:rsid w:val="001E61D2"/>
    <w:rsid w:val="001E643F"/>
    <w:rsid w:val="001E68EE"/>
    <w:rsid w:val="001E6BD1"/>
    <w:rsid w:val="001E740C"/>
    <w:rsid w:val="001E7EF9"/>
    <w:rsid w:val="001F061D"/>
    <w:rsid w:val="001F0798"/>
    <w:rsid w:val="001F0A43"/>
    <w:rsid w:val="001F0B2B"/>
    <w:rsid w:val="001F0C9B"/>
    <w:rsid w:val="001F11F6"/>
    <w:rsid w:val="001F1235"/>
    <w:rsid w:val="001F123A"/>
    <w:rsid w:val="001F15FD"/>
    <w:rsid w:val="001F1CB3"/>
    <w:rsid w:val="001F22E3"/>
    <w:rsid w:val="001F2542"/>
    <w:rsid w:val="001F2C0D"/>
    <w:rsid w:val="001F3860"/>
    <w:rsid w:val="001F38B5"/>
    <w:rsid w:val="001F4081"/>
    <w:rsid w:val="001F4170"/>
    <w:rsid w:val="001F4592"/>
    <w:rsid w:val="001F4BAB"/>
    <w:rsid w:val="001F4E11"/>
    <w:rsid w:val="001F558F"/>
    <w:rsid w:val="001F56C6"/>
    <w:rsid w:val="001F5EB1"/>
    <w:rsid w:val="001F67AE"/>
    <w:rsid w:val="001F6B8A"/>
    <w:rsid w:val="001F6CB7"/>
    <w:rsid w:val="001F6D80"/>
    <w:rsid w:val="001F6F35"/>
    <w:rsid w:val="001F6F3C"/>
    <w:rsid w:val="001F7361"/>
    <w:rsid w:val="001F7377"/>
    <w:rsid w:val="001F777B"/>
    <w:rsid w:val="001F78EC"/>
    <w:rsid w:val="001F7AD6"/>
    <w:rsid w:val="0020093C"/>
    <w:rsid w:val="002011B0"/>
    <w:rsid w:val="00201421"/>
    <w:rsid w:val="00203181"/>
    <w:rsid w:val="002035F0"/>
    <w:rsid w:val="00203698"/>
    <w:rsid w:val="00203783"/>
    <w:rsid w:val="0020385F"/>
    <w:rsid w:val="002039D3"/>
    <w:rsid w:val="00203C00"/>
    <w:rsid w:val="00204036"/>
    <w:rsid w:val="002041B7"/>
    <w:rsid w:val="00204855"/>
    <w:rsid w:val="00205433"/>
    <w:rsid w:val="002056A4"/>
    <w:rsid w:val="002068A0"/>
    <w:rsid w:val="00207021"/>
    <w:rsid w:val="0020732F"/>
    <w:rsid w:val="00207754"/>
    <w:rsid w:val="0020782B"/>
    <w:rsid w:val="00207B03"/>
    <w:rsid w:val="00207B54"/>
    <w:rsid w:val="00207D00"/>
    <w:rsid w:val="002105C1"/>
    <w:rsid w:val="00210810"/>
    <w:rsid w:val="002109FB"/>
    <w:rsid w:val="0021114D"/>
    <w:rsid w:val="002116FD"/>
    <w:rsid w:val="00211C22"/>
    <w:rsid w:val="0021218F"/>
    <w:rsid w:val="0021297A"/>
    <w:rsid w:val="0021331E"/>
    <w:rsid w:val="00213574"/>
    <w:rsid w:val="002138FE"/>
    <w:rsid w:val="0021391A"/>
    <w:rsid w:val="00213DD4"/>
    <w:rsid w:val="00213EF5"/>
    <w:rsid w:val="002145B6"/>
    <w:rsid w:val="00214A1E"/>
    <w:rsid w:val="00215892"/>
    <w:rsid w:val="00216BF5"/>
    <w:rsid w:val="002177A1"/>
    <w:rsid w:val="0022008F"/>
    <w:rsid w:val="0022097A"/>
    <w:rsid w:val="00220ECA"/>
    <w:rsid w:val="00222077"/>
    <w:rsid w:val="00222227"/>
    <w:rsid w:val="00222AC6"/>
    <w:rsid w:val="00222E23"/>
    <w:rsid w:val="0022344B"/>
    <w:rsid w:val="00223B49"/>
    <w:rsid w:val="00223D5A"/>
    <w:rsid w:val="00224132"/>
    <w:rsid w:val="00224B13"/>
    <w:rsid w:val="00224DD4"/>
    <w:rsid w:val="002253E3"/>
    <w:rsid w:val="00225518"/>
    <w:rsid w:val="0022569C"/>
    <w:rsid w:val="00226B4B"/>
    <w:rsid w:val="00226FA9"/>
    <w:rsid w:val="00227418"/>
    <w:rsid w:val="002278A0"/>
    <w:rsid w:val="00227AC6"/>
    <w:rsid w:val="002309CC"/>
    <w:rsid w:val="0023111D"/>
    <w:rsid w:val="002314BC"/>
    <w:rsid w:val="00231BA9"/>
    <w:rsid w:val="0023209F"/>
    <w:rsid w:val="00232D33"/>
    <w:rsid w:val="0023326C"/>
    <w:rsid w:val="00233C01"/>
    <w:rsid w:val="0023413C"/>
    <w:rsid w:val="002346F0"/>
    <w:rsid w:val="00234976"/>
    <w:rsid w:val="002352EB"/>
    <w:rsid w:val="002358CA"/>
    <w:rsid w:val="00235C5A"/>
    <w:rsid w:val="0023620C"/>
    <w:rsid w:val="0023629D"/>
    <w:rsid w:val="00237255"/>
    <w:rsid w:val="002375DD"/>
    <w:rsid w:val="00240694"/>
    <w:rsid w:val="0024135D"/>
    <w:rsid w:val="00241C6C"/>
    <w:rsid w:val="00241D79"/>
    <w:rsid w:val="002424AF"/>
    <w:rsid w:val="00242664"/>
    <w:rsid w:val="00242775"/>
    <w:rsid w:val="002431C1"/>
    <w:rsid w:val="002439DC"/>
    <w:rsid w:val="002441D2"/>
    <w:rsid w:val="002443FC"/>
    <w:rsid w:val="0024446A"/>
    <w:rsid w:val="00244DC8"/>
    <w:rsid w:val="0024547A"/>
    <w:rsid w:val="002458BA"/>
    <w:rsid w:val="00245CE9"/>
    <w:rsid w:val="0024636C"/>
    <w:rsid w:val="00246C1B"/>
    <w:rsid w:val="002471FA"/>
    <w:rsid w:val="00247508"/>
    <w:rsid w:val="0024778A"/>
    <w:rsid w:val="00247925"/>
    <w:rsid w:val="0024792C"/>
    <w:rsid w:val="0024794E"/>
    <w:rsid w:val="0025078F"/>
    <w:rsid w:val="00251006"/>
    <w:rsid w:val="00251315"/>
    <w:rsid w:val="0025138E"/>
    <w:rsid w:val="002517AA"/>
    <w:rsid w:val="0025202A"/>
    <w:rsid w:val="00252317"/>
    <w:rsid w:val="002524D5"/>
    <w:rsid w:val="00252893"/>
    <w:rsid w:val="00252969"/>
    <w:rsid w:val="00252DB4"/>
    <w:rsid w:val="00252DC8"/>
    <w:rsid w:val="00253AA8"/>
    <w:rsid w:val="00253AC4"/>
    <w:rsid w:val="00253B1D"/>
    <w:rsid w:val="00253C19"/>
    <w:rsid w:val="0025408D"/>
    <w:rsid w:val="00254D3B"/>
    <w:rsid w:val="00254DA7"/>
    <w:rsid w:val="00254DCF"/>
    <w:rsid w:val="0025534B"/>
    <w:rsid w:val="00255BB7"/>
    <w:rsid w:val="00256707"/>
    <w:rsid w:val="002568D5"/>
    <w:rsid w:val="00257541"/>
    <w:rsid w:val="00257A39"/>
    <w:rsid w:val="00257AC4"/>
    <w:rsid w:val="00257B59"/>
    <w:rsid w:val="00257BBE"/>
    <w:rsid w:val="00257C3C"/>
    <w:rsid w:val="00257EC4"/>
    <w:rsid w:val="00260ADD"/>
    <w:rsid w:val="00260EE7"/>
    <w:rsid w:val="00261A0A"/>
    <w:rsid w:val="00261EEF"/>
    <w:rsid w:val="0026261B"/>
    <w:rsid w:val="00262A13"/>
    <w:rsid w:val="00262A1A"/>
    <w:rsid w:val="00262A87"/>
    <w:rsid w:val="00263098"/>
    <w:rsid w:val="00263357"/>
    <w:rsid w:val="00264C74"/>
    <w:rsid w:val="00264D26"/>
    <w:rsid w:val="00265B91"/>
    <w:rsid w:val="00266DBB"/>
    <w:rsid w:val="0026735E"/>
    <w:rsid w:val="00267642"/>
    <w:rsid w:val="00267AEA"/>
    <w:rsid w:val="002700E6"/>
    <w:rsid w:val="00271221"/>
    <w:rsid w:val="0027215D"/>
    <w:rsid w:val="0027294B"/>
    <w:rsid w:val="00272E19"/>
    <w:rsid w:val="00272EC0"/>
    <w:rsid w:val="00273607"/>
    <w:rsid w:val="0027383B"/>
    <w:rsid w:val="00273EB4"/>
    <w:rsid w:val="00274242"/>
    <w:rsid w:val="002745CB"/>
    <w:rsid w:val="00274682"/>
    <w:rsid w:val="0027470E"/>
    <w:rsid w:val="00274B44"/>
    <w:rsid w:val="00274D84"/>
    <w:rsid w:val="00275158"/>
    <w:rsid w:val="00275667"/>
    <w:rsid w:val="00275C5A"/>
    <w:rsid w:val="00276327"/>
    <w:rsid w:val="0027643C"/>
    <w:rsid w:val="00276C1B"/>
    <w:rsid w:val="00276DD1"/>
    <w:rsid w:val="00276EF8"/>
    <w:rsid w:val="00277EB7"/>
    <w:rsid w:val="00280378"/>
    <w:rsid w:val="00281014"/>
    <w:rsid w:val="002812CE"/>
    <w:rsid w:val="00281704"/>
    <w:rsid w:val="002827DA"/>
    <w:rsid w:val="00283609"/>
    <w:rsid w:val="002836AF"/>
    <w:rsid w:val="002839BD"/>
    <w:rsid w:val="00283A1B"/>
    <w:rsid w:val="00283C27"/>
    <w:rsid w:val="00284D9B"/>
    <w:rsid w:val="00285BCE"/>
    <w:rsid w:val="00286508"/>
    <w:rsid w:val="0028665D"/>
    <w:rsid w:val="00286835"/>
    <w:rsid w:val="00287412"/>
    <w:rsid w:val="00290228"/>
    <w:rsid w:val="00290EF8"/>
    <w:rsid w:val="00290F8A"/>
    <w:rsid w:val="00291472"/>
    <w:rsid w:val="002915B3"/>
    <w:rsid w:val="002918A6"/>
    <w:rsid w:val="00291FC1"/>
    <w:rsid w:val="00292028"/>
    <w:rsid w:val="00292450"/>
    <w:rsid w:val="00292AF0"/>
    <w:rsid w:val="00292B82"/>
    <w:rsid w:val="002932C7"/>
    <w:rsid w:val="00293668"/>
    <w:rsid w:val="00293B88"/>
    <w:rsid w:val="0029482D"/>
    <w:rsid w:val="00294F2F"/>
    <w:rsid w:val="002963D0"/>
    <w:rsid w:val="00296528"/>
    <w:rsid w:val="00296556"/>
    <w:rsid w:val="0029659B"/>
    <w:rsid w:val="00296612"/>
    <w:rsid w:val="00297947"/>
    <w:rsid w:val="002A0017"/>
    <w:rsid w:val="002A04E6"/>
    <w:rsid w:val="002A09B9"/>
    <w:rsid w:val="002A14AB"/>
    <w:rsid w:val="002A150C"/>
    <w:rsid w:val="002A1A77"/>
    <w:rsid w:val="002A21B2"/>
    <w:rsid w:val="002A2ADE"/>
    <w:rsid w:val="002A2F50"/>
    <w:rsid w:val="002A338C"/>
    <w:rsid w:val="002A3749"/>
    <w:rsid w:val="002A3B5B"/>
    <w:rsid w:val="002A65A3"/>
    <w:rsid w:val="002A6707"/>
    <w:rsid w:val="002A73D1"/>
    <w:rsid w:val="002A7751"/>
    <w:rsid w:val="002A7943"/>
    <w:rsid w:val="002A7C2D"/>
    <w:rsid w:val="002A7FB9"/>
    <w:rsid w:val="002B02AE"/>
    <w:rsid w:val="002B05A1"/>
    <w:rsid w:val="002B06AB"/>
    <w:rsid w:val="002B09A4"/>
    <w:rsid w:val="002B0DEC"/>
    <w:rsid w:val="002B1058"/>
    <w:rsid w:val="002B1099"/>
    <w:rsid w:val="002B1A59"/>
    <w:rsid w:val="002B1C1F"/>
    <w:rsid w:val="002B210F"/>
    <w:rsid w:val="002B23EB"/>
    <w:rsid w:val="002B2498"/>
    <w:rsid w:val="002B432F"/>
    <w:rsid w:val="002B48CB"/>
    <w:rsid w:val="002B49F5"/>
    <w:rsid w:val="002B4A57"/>
    <w:rsid w:val="002B593B"/>
    <w:rsid w:val="002B60FB"/>
    <w:rsid w:val="002B6228"/>
    <w:rsid w:val="002B62B3"/>
    <w:rsid w:val="002B6754"/>
    <w:rsid w:val="002B6808"/>
    <w:rsid w:val="002B6CCE"/>
    <w:rsid w:val="002B6E3E"/>
    <w:rsid w:val="002C001D"/>
    <w:rsid w:val="002C0977"/>
    <w:rsid w:val="002C0B88"/>
    <w:rsid w:val="002C1390"/>
    <w:rsid w:val="002C178D"/>
    <w:rsid w:val="002C1EC1"/>
    <w:rsid w:val="002C220E"/>
    <w:rsid w:val="002C2232"/>
    <w:rsid w:val="002C2510"/>
    <w:rsid w:val="002C2775"/>
    <w:rsid w:val="002C27C1"/>
    <w:rsid w:val="002C36E3"/>
    <w:rsid w:val="002C4ADB"/>
    <w:rsid w:val="002C4D91"/>
    <w:rsid w:val="002C4E85"/>
    <w:rsid w:val="002C5099"/>
    <w:rsid w:val="002C5889"/>
    <w:rsid w:val="002C58ED"/>
    <w:rsid w:val="002C5F83"/>
    <w:rsid w:val="002C6510"/>
    <w:rsid w:val="002C69E0"/>
    <w:rsid w:val="002C71CE"/>
    <w:rsid w:val="002C760A"/>
    <w:rsid w:val="002C7842"/>
    <w:rsid w:val="002C785C"/>
    <w:rsid w:val="002C7BC3"/>
    <w:rsid w:val="002D024D"/>
    <w:rsid w:val="002D08C9"/>
    <w:rsid w:val="002D08F8"/>
    <w:rsid w:val="002D0A69"/>
    <w:rsid w:val="002D1E69"/>
    <w:rsid w:val="002D2054"/>
    <w:rsid w:val="002D20D9"/>
    <w:rsid w:val="002D2635"/>
    <w:rsid w:val="002D26A6"/>
    <w:rsid w:val="002D2B7A"/>
    <w:rsid w:val="002D2C1A"/>
    <w:rsid w:val="002D4568"/>
    <w:rsid w:val="002D4738"/>
    <w:rsid w:val="002D577C"/>
    <w:rsid w:val="002D70B8"/>
    <w:rsid w:val="002D7832"/>
    <w:rsid w:val="002E0672"/>
    <w:rsid w:val="002E06BC"/>
    <w:rsid w:val="002E1071"/>
    <w:rsid w:val="002E15B9"/>
    <w:rsid w:val="002E1BD4"/>
    <w:rsid w:val="002E1DD4"/>
    <w:rsid w:val="002E2158"/>
    <w:rsid w:val="002E23AC"/>
    <w:rsid w:val="002E2C52"/>
    <w:rsid w:val="002E3EA4"/>
    <w:rsid w:val="002E452C"/>
    <w:rsid w:val="002E4E68"/>
    <w:rsid w:val="002E4F02"/>
    <w:rsid w:val="002E56AE"/>
    <w:rsid w:val="002E5FA4"/>
    <w:rsid w:val="002E6C56"/>
    <w:rsid w:val="002E6C92"/>
    <w:rsid w:val="002E7722"/>
    <w:rsid w:val="002E7A93"/>
    <w:rsid w:val="002F07BA"/>
    <w:rsid w:val="002F0DA9"/>
    <w:rsid w:val="002F1014"/>
    <w:rsid w:val="002F1268"/>
    <w:rsid w:val="002F1618"/>
    <w:rsid w:val="002F18E8"/>
    <w:rsid w:val="002F1E3B"/>
    <w:rsid w:val="002F2E2F"/>
    <w:rsid w:val="002F4238"/>
    <w:rsid w:val="002F4652"/>
    <w:rsid w:val="002F51F1"/>
    <w:rsid w:val="002F5E79"/>
    <w:rsid w:val="002F643C"/>
    <w:rsid w:val="002F6D45"/>
    <w:rsid w:val="002F71C0"/>
    <w:rsid w:val="002F7206"/>
    <w:rsid w:val="002F74F1"/>
    <w:rsid w:val="002F7A16"/>
    <w:rsid w:val="002F7C0D"/>
    <w:rsid w:val="00300030"/>
    <w:rsid w:val="0030003D"/>
    <w:rsid w:val="00301017"/>
    <w:rsid w:val="0030155F"/>
    <w:rsid w:val="003032AF"/>
    <w:rsid w:val="00303846"/>
    <w:rsid w:val="00303D2B"/>
    <w:rsid w:val="003043A8"/>
    <w:rsid w:val="00304EA7"/>
    <w:rsid w:val="0030587B"/>
    <w:rsid w:val="00306979"/>
    <w:rsid w:val="00306D98"/>
    <w:rsid w:val="0030786C"/>
    <w:rsid w:val="00307F8D"/>
    <w:rsid w:val="0031031A"/>
    <w:rsid w:val="00310981"/>
    <w:rsid w:val="003110A4"/>
    <w:rsid w:val="003111D7"/>
    <w:rsid w:val="00311D06"/>
    <w:rsid w:val="00311D30"/>
    <w:rsid w:val="00311D9B"/>
    <w:rsid w:val="003124D9"/>
    <w:rsid w:val="00312594"/>
    <w:rsid w:val="003130E3"/>
    <w:rsid w:val="00313460"/>
    <w:rsid w:val="00314303"/>
    <w:rsid w:val="00314DC2"/>
    <w:rsid w:val="00315498"/>
    <w:rsid w:val="00316474"/>
    <w:rsid w:val="00316AA9"/>
    <w:rsid w:val="0031789C"/>
    <w:rsid w:val="0032019A"/>
    <w:rsid w:val="00320A1F"/>
    <w:rsid w:val="0032191D"/>
    <w:rsid w:val="00322107"/>
    <w:rsid w:val="00322113"/>
    <w:rsid w:val="00322355"/>
    <w:rsid w:val="00322846"/>
    <w:rsid w:val="00322CAD"/>
    <w:rsid w:val="00323275"/>
    <w:rsid w:val="00323507"/>
    <w:rsid w:val="00323AE3"/>
    <w:rsid w:val="00324789"/>
    <w:rsid w:val="00325057"/>
    <w:rsid w:val="003251A1"/>
    <w:rsid w:val="003251D4"/>
    <w:rsid w:val="00325A67"/>
    <w:rsid w:val="00326DA7"/>
    <w:rsid w:val="003270E4"/>
    <w:rsid w:val="0032789B"/>
    <w:rsid w:val="00327B0A"/>
    <w:rsid w:val="00327E9F"/>
    <w:rsid w:val="00330151"/>
    <w:rsid w:val="00330DAA"/>
    <w:rsid w:val="00330F5C"/>
    <w:rsid w:val="00331456"/>
    <w:rsid w:val="0033156C"/>
    <w:rsid w:val="00332447"/>
    <w:rsid w:val="0033251C"/>
    <w:rsid w:val="003335E8"/>
    <w:rsid w:val="0033387F"/>
    <w:rsid w:val="00333ABC"/>
    <w:rsid w:val="00333D47"/>
    <w:rsid w:val="003341F0"/>
    <w:rsid w:val="00334217"/>
    <w:rsid w:val="0033475A"/>
    <w:rsid w:val="00334B1C"/>
    <w:rsid w:val="003354C0"/>
    <w:rsid w:val="003354F4"/>
    <w:rsid w:val="0033559E"/>
    <w:rsid w:val="00335A20"/>
    <w:rsid w:val="00335BBA"/>
    <w:rsid w:val="00335C36"/>
    <w:rsid w:val="003366C9"/>
    <w:rsid w:val="00336A9E"/>
    <w:rsid w:val="003371B0"/>
    <w:rsid w:val="0033748C"/>
    <w:rsid w:val="003379F0"/>
    <w:rsid w:val="00337A0C"/>
    <w:rsid w:val="00337C0D"/>
    <w:rsid w:val="00337DB1"/>
    <w:rsid w:val="003403C6"/>
    <w:rsid w:val="00340503"/>
    <w:rsid w:val="00340DF1"/>
    <w:rsid w:val="00341589"/>
    <w:rsid w:val="00341BE2"/>
    <w:rsid w:val="00341D86"/>
    <w:rsid w:val="0034270E"/>
    <w:rsid w:val="0034278C"/>
    <w:rsid w:val="00342EDA"/>
    <w:rsid w:val="0034306F"/>
    <w:rsid w:val="003441B4"/>
    <w:rsid w:val="00344BBB"/>
    <w:rsid w:val="0034551E"/>
    <w:rsid w:val="00345B55"/>
    <w:rsid w:val="00345CA8"/>
    <w:rsid w:val="00346204"/>
    <w:rsid w:val="00346345"/>
    <w:rsid w:val="0034663A"/>
    <w:rsid w:val="00347618"/>
    <w:rsid w:val="003478FE"/>
    <w:rsid w:val="00347958"/>
    <w:rsid w:val="003504B2"/>
    <w:rsid w:val="00350B5A"/>
    <w:rsid w:val="00350D3E"/>
    <w:rsid w:val="003517F9"/>
    <w:rsid w:val="00351BA9"/>
    <w:rsid w:val="00353495"/>
    <w:rsid w:val="0035361B"/>
    <w:rsid w:val="0035427D"/>
    <w:rsid w:val="00354ADA"/>
    <w:rsid w:val="00354F64"/>
    <w:rsid w:val="00355815"/>
    <w:rsid w:val="0035620E"/>
    <w:rsid w:val="003562A6"/>
    <w:rsid w:val="003575BE"/>
    <w:rsid w:val="003577E0"/>
    <w:rsid w:val="0035798D"/>
    <w:rsid w:val="00357A87"/>
    <w:rsid w:val="00360122"/>
    <w:rsid w:val="00360345"/>
    <w:rsid w:val="003608D1"/>
    <w:rsid w:val="00360BD1"/>
    <w:rsid w:val="00360F04"/>
    <w:rsid w:val="00361021"/>
    <w:rsid w:val="00361076"/>
    <w:rsid w:val="00361A05"/>
    <w:rsid w:val="00361A25"/>
    <w:rsid w:val="00361C07"/>
    <w:rsid w:val="0036241D"/>
    <w:rsid w:val="003624C4"/>
    <w:rsid w:val="00363B00"/>
    <w:rsid w:val="00364666"/>
    <w:rsid w:val="00364BA8"/>
    <w:rsid w:val="003654AC"/>
    <w:rsid w:val="003656BA"/>
    <w:rsid w:val="003657A8"/>
    <w:rsid w:val="003657F7"/>
    <w:rsid w:val="0036663E"/>
    <w:rsid w:val="00366F3D"/>
    <w:rsid w:val="003674F3"/>
    <w:rsid w:val="00367895"/>
    <w:rsid w:val="00370907"/>
    <w:rsid w:val="00371090"/>
    <w:rsid w:val="003710CF"/>
    <w:rsid w:val="0037125E"/>
    <w:rsid w:val="00371C4D"/>
    <w:rsid w:val="00372616"/>
    <w:rsid w:val="003727FA"/>
    <w:rsid w:val="00372AD3"/>
    <w:rsid w:val="00372DDF"/>
    <w:rsid w:val="003731EA"/>
    <w:rsid w:val="00373413"/>
    <w:rsid w:val="003734D0"/>
    <w:rsid w:val="0037358A"/>
    <w:rsid w:val="00374294"/>
    <w:rsid w:val="00374BB5"/>
    <w:rsid w:val="003750F6"/>
    <w:rsid w:val="00375552"/>
    <w:rsid w:val="00375E2A"/>
    <w:rsid w:val="003760FC"/>
    <w:rsid w:val="00376807"/>
    <w:rsid w:val="00376D90"/>
    <w:rsid w:val="00377540"/>
    <w:rsid w:val="00377EE0"/>
    <w:rsid w:val="003804A8"/>
    <w:rsid w:val="0038215D"/>
    <w:rsid w:val="0038225D"/>
    <w:rsid w:val="00382619"/>
    <w:rsid w:val="003829B3"/>
    <w:rsid w:val="00382AA3"/>
    <w:rsid w:val="00383585"/>
    <w:rsid w:val="0038365C"/>
    <w:rsid w:val="0038369B"/>
    <w:rsid w:val="0038378B"/>
    <w:rsid w:val="00383B26"/>
    <w:rsid w:val="00383B78"/>
    <w:rsid w:val="003840EF"/>
    <w:rsid w:val="00384196"/>
    <w:rsid w:val="00385248"/>
    <w:rsid w:val="0038565E"/>
    <w:rsid w:val="00385A9D"/>
    <w:rsid w:val="00385E01"/>
    <w:rsid w:val="00385E8B"/>
    <w:rsid w:val="0038689A"/>
    <w:rsid w:val="00386969"/>
    <w:rsid w:val="00386ABD"/>
    <w:rsid w:val="00387121"/>
    <w:rsid w:val="00387F00"/>
    <w:rsid w:val="003902B1"/>
    <w:rsid w:val="0039082F"/>
    <w:rsid w:val="00390855"/>
    <w:rsid w:val="0039179C"/>
    <w:rsid w:val="0039248F"/>
    <w:rsid w:val="00394A38"/>
    <w:rsid w:val="00395609"/>
    <w:rsid w:val="003957E5"/>
    <w:rsid w:val="00396896"/>
    <w:rsid w:val="00396A8E"/>
    <w:rsid w:val="00396FD0"/>
    <w:rsid w:val="00397946"/>
    <w:rsid w:val="00397969"/>
    <w:rsid w:val="003979A6"/>
    <w:rsid w:val="00397BAE"/>
    <w:rsid w:val="00397BF7"/>
    <w:rsid w:val="003A0C46"/>
    <w:rsid w:val="003A1A7A"/>
    <w:rsid w:val="003A1AAD"/>
    <w:rsid w:val="003A1E54"/>
    <w:rsid w:val="003A2005"/>
    <w:rsid w:val="003A2392"/>
    <w:rsid w:val="003A245F"/>
    <w:rsid w:val="003A2831"/>
    <w:rsid w:val="003A3CB6"/>
    <w:rsid w:val="003A3ED1"/>
    <w:rsid w:val="003A44DB"/>
    <w:rsid w:val="003A4C14"/>
    <w:rsid w:val="003A5AF9"/>
    <w:rsid w:val="003A614B"/>
    <w:rsid w:val="003A6DF7"/>
    <w:rsid w:val="003A6E85"/>
    <w:rsid w:val="003A74A5"/>
    <w:rsid w:val="003A7F1F"/>
    <w:rsid w:val="003B02A2"/>
    <w:rsid w:val="003B0C3A"/>
    <w:rsid w:val="003B1128"/>
    <w:rsid w:val="003B3511"/>
    <w:rsid w:val="003B3971"/>
    <w:rsid w:val="003B4B4D"/>
    <w:rsid w:val="003B4C89"/>
    <w:rsid w:val="003B55D1"/>
    <w:rsid w:val="003B5A51"/>
    <w:rsid w:val="003B5B61"/>
    <w:rsid w:val="003B5C9E"/>
    <w:rsid w:val="003B6006"/>
    <w:rsid w:val="003B631A"/>
    <w:rsid w:val="003B66F7"/>
    <w:rsid w:val="003B686A"/>
    <w:rsid w:val="003B7A80"/>
    <w:rsid w:val="003B7BE4"/>
    <w:rsid w:val="003C0757"/>
    <w:rsid w:val="003C0CFF"/>
    <w:rsid w:val="003C1415"/>
    <w:rsid w:val="003C1654"/>
    <w:rsid w:val="003C1D09"/>
    <w:rsid w:val="003C201F"/>
    <w:rsid w:val="003C26DD"/>
    <w:rsid w:val="003C2C5A"/>
    <w:rsid w:val="003C3FBB"/>
    <w:rsid w:val="003C4712"/>
    <w:rsid w:val="003C5542"/>
    <w:rsid w:val="003C6380"/>
    <w:rsid w:val="003C67F7"/>
    <w:rsid w:val="003C793F"/>
    <w:rsid w:val="003C7C15"/>
    <w:rsid w:val="003C7C81"/>
    <w:rsid w:val="003C7D19"/>
    <w:rsid w:val="003C7D2F"/>
    <w:rsid w:val="003D0A95"/>
    <w:rsid w:val="003D0C5A"/>
    <w:rsid w:val="003D1828"/>
    <w:rsid w:val="003D1DE4"/>
    <w:rsid w:val="003D1E9A"/>
    <w:rsid w:val="003D2422"/>
    <w:rsid w:val="003D2EC0"/>
    <w:rsid w:val="003D31A7"/>
    <w:rsid w:val="003D32EA"/>
    <w:rsid w:val="003D3776"/>
    <w:rsid w:val="003D39A1"/>
    <w:rsid w:val="003D3DF0"/>
    <w:rsid w:val="003D3ED6"/>
    <w:rsid w:val="003D3FBF"/>
    <w:rsid w:val="003D47AF"/>
    <w:rsid w:val="003D47C0"/>
    <w:rsid w:val="003D4A30"/>
    <w:rsid w:val="003D4B26"/>
    <w:rsid w:val="003D59D7"/>
    <w:rsid w:val="003D59F9"/>
    <w:rsid w:val="003D5DE7"/>
    <w:rsid w:val="003D740E"/>
    <w:rsid w:val="003D7452"/>
    <w:rsid w:val="003D74EB"/>
    <w:rsid w:val="003D79BB"/>
    <w:rsid w:val="003D7C98"/>
    <w:rsid w:val="003D7D9D"/>
    <w:rsid w:val="003D7EDA"/>
    <w:rsid w:val="003D7FD6"/>
    <w:rsid w:val="003E0543"/>
    <w:rsid w:val="003E0A17"/>
    <w:rsid w:val="003E0A46"/>
    <w:rsid w:val="003E0C59"/>
    <w:rsid w:val="003E12CA"/>
    <w:rsid w:val="003E2230"/>
    <w:rsid w:val="003E267A"/>
    <w:rsid w:val="003E289C"/>
    <w:rsid w:val="003E2E1C"/>
    <w:rsid w:val="003E3834"/>
    <w:rsid w:val="003E38F1"/>
    <w:rsid w:val="003E45A7"/>
    <w:rsid w:val="003E49D5"/>
    <w:rsid w:val="003E4F58"/>
    <w:rsid w:val="003E5357"/>
    <w:rsid w:val="003E53B1"/>
    <w:rsid w:val="003E5603"/>
    <w:rsid w:val="003E5A57"/>
    <w:rsid w:val="003E6D3C"/>
    <w:rsid w:val="003E749E"/>
    <w:rsid w:val="003E762E"/>
    <w:rsid w:val="003E783D"/>
    <w:rsid w:val="003F066D"/>
    <w:rsid w:val="003F1C95"/>
    <w:rsid w:val="003F1F80"/>
    <w:rsid w:val="003F220C"/>
    <w:rsid w:val="003F2AF3"/>
    <w:rsid w:val="003F2FC0"/>
    <w:rsid w:val="003F3780"/>
    <w:rsid w:val="003F4156"/>
    <w:rsid w:val="003F48A9"/>
    <w:rsid w:val="003F5ADF"/>
    <w:rsid w:val="003F6133"/>
    <w:rsid w:val="003F64FC"/>
    <w:rsid w:val="003F6F57"/>
    <w:rsid w:val="003F72F4"/>
    <w:rsid w:val="004007B3"/>
    <w:rsid w:val="00400B29"/>
    <w:rsid w:val="0040271E"/>
    <w:rsid w:val="00402812"/>
    <w:rsid w:val="0040413D"/>
    <w:rsid w:val="004043AE"/>
    <w:rsid w:val="00404AB9"/>
    <w:rsid w:val="00404FC9"/>
    <w:rsid w:val="0040504B"/>
    <w:rsid w:val="0040546B"/>
    <w:rsid w:val="0040599D"/>
    <w:rsid w:val="004059F4"/>
    <w:rsid w:val="00406EDC"/>
    <w:rsid w:val="00407181"/>
    <w:rsid w:val="00407FE5"/>
    <w:rsid w:val="004101B0"/>
    <w:rsid w:val="00410326"/>
    <w:rsid w:val="00410708"/>
    <w:rsid w:val="00410986"/>
    <w:rsid w:val="00410EC7"/>
    <w:rsid w:val="00410FF3"/>
    <w:rsid w:val="00411B39"/>
    <w:rsid w:val="0041252E"/>
    <w:rsid w:val="00412793"/>
    <w:rsid w:val="004127A7"/>
    <w:rsid w:val="00413A1E"/>
    <w:rsid w:val="00414476"/>
    <w:rsid w:val="00414C2E"/>
    <w:rsid w:val="00414C71"/>
    <w:rsid w:val="004151CF"/>
    <w:rsid w:val="00416364"/>
    <w:rsid w:val="004164CF"/>
    <w:rsid w:val="00416F61"/>
    <w:rsid w:val="0042047F"/>
    <w:rsid w:val="00420AA6"/>
    <w:rsid w:val="00420B30"/>
    <w:rsid w:val="00420B9F"/>
    <w:rsid w:val="00421018"/>
    <w:rsid w:val="0042192C"/>
    <w:rsid w:val="00421BCF"/>
    <w:rsid w:val="00421CD3"/>
    <w:rsid w:val="00422260"/>
    <w:rsid w:val="00422493"/>
    <w:rsid w:val="00422700"/>
    <w:rsid w:val="00422B44"/>
    <w:rsid w:val="00422B96"/>
    <w:rsid w:val="00422D87"/>
    <w:rsid w:val="0042413F"/>
    <w:rsid w:val="00424930"/>
    <w:rsid w:val="00424AE2"/>
    <w:rsid w:val="004251EA"/>
    <w:rsid w:val="004261B7"/>
    <w:rsid w:val="00426683"/>
    <w:rsid w:val="0042668F"/>
    <w:rsid w:val="00426B27"/>
    <w:rsid w:val="0042755B"/>
    <w:rsid w:val="00427657"/>
    <w:rsid w:val="00427B3E"/>
    <w:rsid w:val="00427B69"/>
    <w:rsid w:val="00430588"/>
    <w:rsid w:val="00430B74"/>
    <w:rsid w:val="004319F8"/>
    <w:rsid w:val="00431E55"/>
    <w:rsid w:val="004321F6"/>
    <w:rsid w:val="00433044"/>
    <w:rsid w:val="004330BB"/>
    <w:rsid w:val="0043335A"/>
    <w:rsid w:val="00433764"/>
    <w:rsid w:val="00433D34"/>
    <w:rsid w:val="00434022"/>
    <w:rsid w:val="00434088"/>
    <w:rsid w:val="004341CC"/>
    <w:rsid w:val="00434A03"/>
    <w:rsid w:val="00434A8C"/>
    <w:rsid w:val="004350C3"/>
    <w:rsid w:val="004357E2"/>
    <w:rsid w:val="00435BD3"/>
    <w:rsid w:val="0043611A"/>
    <w:rsid w:val="00436194"/>
    <w:rsid w:val="00436698"/>
    <w:rsid w:val="00436DE1"/>
    <w:rsid w:val="004375B9"/>
    <w:rsid w:val="004423DB"/>
    <w:rsid w:val="00442647"/>
    <w:rsid w:val="004428D0"/>
    <w:rsid w:val="00442978"/>
    <w:rsid w:val="00442D27"/>
    <w:rsid w:val="00443581"/>
    <w:rsid w:val="00444185"/>
    <w:rsid w:val="004442D7"/>
    <w:rsid w:val="004443A7"/>
    <w:rsid w:val="0044442C"/>
    <w:rsid w:val="00444D84"/>
    <w:rsid w:val="00444EE8"/>
    <w:rsid w:val="00444FD7"/>
    <w:rsid w:val="004458DB"/>
    <w:rsid w:val="00445941"/>
    <w:rsid w:val="00445ED9"/>
    <w:rsid w:val="004464EB"/>
    <w:rsid w:val="004471C2"/>
    <w:rsid w:val="0044735C"/>
    <w:rsid w:val="00447D26"/>
    <w:rsid w:val="00447DFC"/>
    <w:rsid w:val="00450B41"/>
    <w:rsid w:val="00450FF4"/>
    <w:rsid w:val="00451504"/>
    <w:rsid w:val="00451756"/>
    <w:rsid w:val="0045275F"/>
    <w:rsid w:val="00452E4E"/>
    <w:rsid w:val="004547D9"/>
    <w:rsid w:val="004552F9"/>
    <w:rsid w:val="0045587F"/>
    <w:rsid w:val="00455D45"/>
    <w:rsid w:val="00456C50"/>
    <w:rsid w:val="00456E6B"/>
    <w:rsid w:val="004572BF"/>
    <w:rsid w:val="00457E08"/>
    <w:rsid w:val="00457E57"/>
    <w:rsid w:val="0046014C"/>
    <w:rsid w:val="00460DD2"/>
    <w:rsid w:val="00461074"/>
    <w:rsid w:val="00461542"/>
    <w:rsid w:val="004615E1"/>
    <w:rsid w:val="0046160B"/>
    <w:rsid w:val="00461A29"/>
    <w:rsid w:val="00462798"/>
    <w:rsid w:val="00464595"/>
    <w:rsid w:val="004647F8"/>
    <w:rsid w:val="00464856"/>
    <w:rsid w:val="00464A57"/>
    <w:rsid w:val="00464BE2"/>
    <w:rsid w:val="004656AD"/>
    <w:rsid w:val="004658B5"/>
    <w:rsid w:val="004664A2"/>
    <w:rsid w:val="00466858"/>
    <w:rsid w:val="004673BF"/>
    <w:rsid w:val="00467738"/>
    <w:rsid w:val="00467A64"/>
    <w:rsid w:val="004700E6"/>
    <w:rsid w:val="00470BA6"/>
    <w:rsid w:val="00471A8B"/>
    <w:rsid w:val="00471D68"/>
    <w:rsid w:val="00471EA5"/>
    <w:rsid w:val="004721EB"/>
    <w:rsid w:val="00472A79"/>
    <w:rsid w:val="00473F19"/>
    <w:rsid w:val="00474A72"/>
    <w:rsid w:val="00474C62"/>
    <w:rsid w:val="004750BE"/>
    <w:rsid w:val="00475E22"/>
    <w:rsid w:val="004769B4"/>
    <w:rsid w:val="004770E0"/>
    <w:rsid w:val="004774B9"/>
    <w:rsid w:val="00477AD8"/>
    <w:rsid w:val="004803D9"/>
    <w:rsid w:val="0048073D"/>
    <w:rsid w:val="0048088E"/>
    <w:rsid w:val="00480F2B"/>
    <w:rsid w:val="004810EE"/>
    <w:rsid w:val="004811B0"/>
    <w:rsid w:val="00482720"/>
    <w:rsid w:val="00482BB0"/>
    <w:rsid w:val="004835E7"/>
    <w:rsid w:val="004841F9"/>
    <w:rsid w:val="00484901"/>
    <w:rsid w:val="0048504C"/>
    <w:rsid w:val="004852F0"/>
    <w:rsid w:val="004859E1"/>
    <w:rsid w:val="00485AA5"/>
    <w:rsid w:val="00485D7A"/>
    <w:rsid w:val="004862D4"/>
    <w:rsid w:val="0048655B"/>
    <w:rsid w:val="0048675A"/>
    <w:rsid w:val="004867E2"/>
    <w:rsid w:val="00487250"/>
    <w:rsid w:val="00487E6D"/>
    <w:rsid w:val="00490248"/>
    <w:rsid w:val="00490B17"/>
    <w:rsid w:val="0049157F"/>
    <w:rsid w:val="0049181E"/>
    <w:rsid w:val="00491B3A"/>
    <w:rsid w:val="00492CA3"/>
    <w:rsid w:val="00492CFD"/>
    <w:rsid w:val="00493100"/>
    <w:rsid w:val="00493582"/>
    <w:rsid w:val="00493C89"/>
    <w:rsid w:val="00494207"/>
    <w:rsid w:val="0049456B"/>
    <w:rsid w:val="00494DD5"/>
    <w:rsid w:val="00495344"/>
    <w:rsid w:val="004954AE"/>
    <w:rsid w:val="00495A48"/>
    <w:rsid w:val="004962D2"/>
    <w:rsid w:val="00496DC6"/>
    <w:rsid w:val="00497200"/>
    <w:rsid w:val="00497B26"/>
    <w:rsid w:val="00497CB6"/>
    <w:rsid w:val="00497F77"/>
    <w:rsid w:val="004A014D"/>
    <w:rsid w:val="004A0867"/>
    <w:rsid w:val="004A0DA1"/>
    <w:rsid w:val="004A13D6"/>
    <w:rsid w:val="004A144F"/>
    <w:rsid w:val="004A193E"/>
    <w:rsid w:val="004A218C"/>
    <w:rsid w:val="004A23E6"/>
    <w:rsid w:val="004A272A"/>
    <w:rsid w:val="004A2794"/>
    <w:rsid w:val="004A27CB"/>
    <w:rsid w:val="004A2E94"/>
    <w:rsid w:val="004A3753"/>
    <w:rsid w:val="004A393B"/>
    <w:rsid w:val="004A4029"/>
    <w:rsid w:val="004A456A"/>
    <w:rsid w:val="004A4BDD"/>
    <w:rsid w:val="004A4E66"/>
    <w:rsid w:val="004A5050"/>
    <w:rsid w:val="004A52E9"/>
    <w:rsid w:val="004A58A9"/>
    <w:rsid w:val="004A5EC9"/>
    <w:rsid w:val="004A6040"/>
    <w:rsid w:val="004A604B"/>
    <w:rsid w:val="004A6546"/>
    <w:rsid w:val="004A6597"/>
    <w:rsid w:val="004A757D"/>
    <w:rsid w:val="004A7848"/>
    <w:rsid w:val="004A793B"/>
    <w:rsid w:val="004B05A3"/>
    <w:rsid w:val="004B1CB4"/>
    <w:rsid w:val="004B2181"/>
    <w:rsid w:val="004B2C87"/>
    <w:rsid w:val="004B2F18"/>
    <w:rsid w:val="004B3DDB"/>
    <w:rsid w:val="004B4379"/>
    <w:rsid w:val="004B44FD"/>
    <w:rsid w:val="004B45D2"/>
    <w:rsid w:val="004B47AA"/>
    <w:rsid w:val="004B4BE0"/>
    <w:rsid w:val="004B5186"/>
    <w:rsid w:val="004B5634"/>
    <w:rsid w:val="004B57A9"/>
    <w:rsid w:val="004B5CFC"/>
    <w:rsid w:val="004B5D98"/>
    <w:rsid w:val="004B69EB"/>
    <w:rsid w:val="004B6B63"/>
    <w:rsid w:val="004B6D33"/>
    <w:rsid w:val="004B6F79"/>
    <w:rsid w:val="004B774D"/>
    <w:rsid w:val="004C022C"/>
    <w:rsid w:val="004C0282"/>
    <w:rsid w:val="004C0ACC"/>
    <w:rsid w:val="004C0CE9"/>
    <w:rsid w:val="004C11F7"/>
    <w:rsid w:val="004C12CA"/>
    <w:rsid w:val="004C1C4D"/>
    <w:rsid w:val="004C2AC2"/>
    <w:rsid w:val="004C2DF8"/>
    <w:rsid w:val="004C33F7"/>
    <w:rsid w:val="004C3435"/>
    <w:rsid w:val="004C3A45"/>
    <w:rsid w:val="004C3B02"/>
    <w:rsid w:val="004C3D41"/>
    <w:rsid w:val="004C4346"/>
    <w:rsid w:val="004C43C9"/>
    <w:rsid w:val="004C4AED"/>
    <w:rsid w:val="004C5928"/>
    <w:rsid w:val="004C5B81"/>
    <w:rsid w:val="004C5DBB"/>
    <w:rsid w:val="004C60BE"/>
    <w:rsid w:val="004C613E"/>
    <w:rsid w:val="004C6B28"/>
    <w:rsid w:val="004C6CA1"/>
    <w:rsid w:val="004C700C"/>
    <w:rsid w:val="004C736B"/>
    <w:rsid w:val="004C73A5"/>
    <w:rsid w:val="004C7468"/>
    <w:rsid w:val="004C7A20"/>
    <w:rsid w:val="004C7F32"/>
    <w:rsid w:val="004D0546"/>
    <w:rsid w:val="004D0ECA"/>
    <w:rsid w:val="004D1C03"/>
    <w:rsid w:val="004D1DDC"/>
    <w:rsid w:val="004D1FCA"/>
    <w:rsid w:val="004D22DC"/>
    <w:rsid w:val="004D26B8"/>
    <w:rsid w:val="004D2A54"/>
    <w:rsid w:val="004D2B15"/>
    <w:rsid w:val="004D2C2D"/>
    <w:rsid w:val="004D4A3E"/>
    <w:rsid w:val="004D5A03"/>
    <w:rsid w:val="004D61D1"/>
    <w:rsid w:val="004D66DD"/>
    <w:rsid w:val="004D69B5"/>
    <w:rsid w:val="004D6FBA"/>
    <w:rsid w:val="004D7227"/>
    <w:rsid w:val="004D7B5E"/>
    <w:rsid w:val="004D7DF5"/>
    <w:rsid w:val="004E019C"/>
    <w:rsid w:val="004E0745"/>
    <w:rsid w:val="004E0E7F"/>
    <w:rsid w:val="004E0EB8"/>
    <w:rsid w:val="004E17E5"/>
    <w:rsid w:val="004E18E9"/>
    <w:rsid w:val="004E20A2"/>
    <w:rsid w:val="004E2A3A"/>
    <w:rsid w:val="004E2ADC"/>
    <w:rsid w:val="004E2B12"/>
    <w:rsid w:val="004E38CE"/>
    <w:rsid w:val="004E406D"/>
    <w:rsid w:val="004E43B2"/>
    <w:rsid w:val="004E4FB6"/>
    <w:rsid w:val="004E521B"/>
    <w:rsid w:val="004E6155"/>
    <w:rsid w:val="004E7597"/>
    <w:rsid w:val="004E7ABE"/>
    <w:rsid w:val="004F0C5F"/>
    <w:rsid w:val="004F0CE9"/>
    <w:rsid w:val="004F1633"/>
    <w:rsid w:val="004F1D02"/>
    <w:rsid w:val="004F1F51"/>
    <w:rsid w:val="004F2679"/>
    <w:rsid w:val="004F2F21"/>
    <w:rsid w:val="004F350F"/>
    <w:rsid w:val="004F3DE5"/>
    <w:rsid w:val="004F3EC4"/>
    <w:rsid w:val="004F42FA"/>
    <w:rsid w:val="004F444F"/>
    <w:rsid w:val="004F44C4"/>
    <w:rsid w:val="004F4714"/>
    <w:rsid w:val="004F4C1E"/>
    <w:rsid w:val="004F5370"/>
    <w:rsid w:val="004F6085"/>
    <w:rsid w:val="004F6913"/>
    <w:rsid w:val="004F6E6C"/>
    <w:rsid w:val="004F7599"/>
    <w:rsid w:val="004F7865"/>
    <w:rsid w:val="00500BE8"/>
    <w:rsid w:val="00500C46"/>
    <w:rsid w:val="0050145F"/>
    <w:rsid w:val="00501658"/>
    <w:rsid w:val="0050174E"/>
    <w:rsid w:val="00501853"/>
    <w:rsid w:val="00501854"/>
    <w:rsid w:val="00501B5C"/>
    <w:rsid w:val="00501D97"/>
    <w:rsid w:val="0050219B"/>
    <w:rsid w:val="005029FC"/>
    <w:rsid w:val="00502B2D"/>
    <w:rsid w:val="00503503"/>
    <w:rsid w:val="00503F17"/>
    <w:rsid w:val="00503F3A"/>
    <w:rsid w:val="005043AC"/>
    <w:rsid w:val="00504FFC"/>
    <w:rsid w:val="005056C1"/>
    <w:rsid w:val="00505E70"/>
    <w:rsid w:val="005066AA"/>
    <w:rsid w:val="00506928"/>
    <w:rsid w:val="005077EF"/>
    <w:rsid w:val="00507CD7"/>
    <w:rsid w:val="00510E37"/>
    <w:rsid w:val="00511AD5"/>
    <w:rsid w:val="00511DC7"/>
    <w:rsid w:val="00512309"/>
    <w:rsid w:val="00512719"/>
    <w:rsid w:val="00513566"/>
    <w:rsid w:val="0051381D"/>
    <w:rsid w:val="005139ED"/>
    <w:rsid w:val="005142C5"/>
    <w:rsid w:val="00514691"/>
    <w:rsid w:val="00514953"/>
    <w:rsid w:val="0051501B"/>
    <w:rsid w:val="00515084"/>
    <w:rsid w:val="005152B5"/>
    <w:rsid w:val="00515547"/>
    <w:rsid w:val="00515886"/>
    <w:rsid w:val="00515AAD"/>
    <w:rsid w:val="005166B7"/>
    <w:rsid w:val="00516D2C"/>
    <w:rsid w:val="0051732A"/>
    <w:rsid w:val="0051749E"/>
    <w:rsid w:val="005175C1"/>
    <w:rsid w:val="0052123C"/>
    <w:rsid w:val="005212FA"/>
    <w:rsid w:val="00521319"/>
    <w:rsid w:val="00521CF5"/>
    <w:rsid w:val="005224D6"/>
    <w:rsid w:val="00522BC8"/>
    <w:rsid w:val="00522BFF"/>
    <w:rsid w:val="005237D8"/>
    <w:rsid w:val="00523C28"/>
    <w:rsid w:val="00523F2C"/>
    <w:rsid w:val="0052483F"/>
    <w:rsid w:val="00525440"/>
    <w:rsid w:val="00525973"/>
    <w:rsid w:val="00525BB9"/>
    <w:rsid w:val="00525E89"/>
    <w:rsid w:val="0052603C"/>
    <w:rsid w:val="00526057"/>
    <w:rsid w:val="005270E2"/>
    <w:rsid w:val="00527183"/>
    <w:rsid w:val="00527D64"/>
    <w:rsid w:val="00527E6D"/>
    <w:rsid w:val="00530401"/>
    <w:rsid w:val="00531388"/>
    <w:rsid w:val="0053176B"/>
    <w:rsid w:val="00531A03"/>
    <w:rsid w:val="005322C3"/>
    <w:rsid w:val="00532E0A"/>
    <w:rsid w:val="00532F08"/>
    <w:rsid w:val="00533404"/>
    <w:rsid w:val="00533FD1"/>
    <w:rsid w:val="005341B3"/>
    <w:rsid w:val="00534692"/>
    <w:rsid w:val="00534FA0"/>
    <w:rsid w:val="005354DE"/>
    <w:rsid w:val="0053572E"/>
    <w:rsid w:val="0053588C"/>
    <w:rsid w:val="00535E6A"/>
    <w:rsid w:val="0053676C"/>
    <w:rsid w:val="00536896"/>
    <w:rsid w:val="005369AF"/>
    <w:rsid w:val="00536F42"/>
    <w:rsid w:val="00537182"/>
    <w:rsid w:val="0054060F"/>
    <w:rsid w:val="00540B5B"/>
    <w:rsid w:val="00540D81"/>
    <w:rsid w:val="005419C4"/>
    <w:rsid w:val="00541EDD"/>
    <w:rsid w:val="0054202F"/>
    <w:rsid w:val="00542743"/>
    <w:rsid w:val="00542C2D"/>
    <w:rsid w:val="00542EBF"/>
    <w:rsid w:val="00543632"/>
    <w:rsid w:val="0054553F"/>
    <w:rsid w:val="00545B45"/>
    <w:rsid w:val="00545F06"/>
    <w:rsid w:val="00546A9E"/>
    <w:rsid w:val="00546E36"/>
    <w:rsid w:val="00547537"/>
    <w:rsid w:val="005478BD"/>
    <w:rsid w:val="005479E3"/>
    <w:rsid w:val="00547E30"/>
    <w:rsid w:val="0055059B"/>
    <w:rsid w:val="00551659"/>
    <w:rsid w:val="00551985"/>
    <w:rsid w:val="00551C22"/>
    <w:rsid w:val="00552A49"/>
    <w:rsid w:val="00552BD3"/>
    <w:rsid w:val="005532A0"/>
    <w:rsid w:val="00553E67"/>
    <w:rsid w:val="00553E79"/>
    <w:rsid w:val="00554122"/>
    <w:rsid w:val="00554698"/>
    <w:rsid w:val="00554890"/>
    <w:rsid w:val="00555109"/>
    <w:rsid w:val="00555551"/>
    <w:rsid w:val="00555803"/>
    <w:rsid w:val="00556852"/>
    <w:rsid w:val="00556AF6"/>
    <w:rsid w:val="00556B35"/>
    <w:rsid w:val="00556CEB"/>
    <w:rsid w:val="0055712D"/>
    <w:rsid w:val="0055741A"/>
    <w:rsid w:val="0056056C"/>
    <w:rsid w:val="00560884"/>
    <w:rsid w:val="00560978"/>
    <w:rsid w:val="005609D6"/>
    <w:rsid w:val="005611B7"/>
    <w:rsid w:val="005618D4"/>
    <w:rsid w:val="00561E49"/>
    <w:rsid w:val="0056240C"/>
    <w:rsid w:val="00562C5D"/>
    <w:rsid w:val="0056305C"/>
    <w:rsid w:val="00563482"/>
    <w:rsid w:val="0056356A"/>
    <w:rsid w:val="005643C5"/>
    <w:rsid w:val="00564867"/>
    <w:rsid w:val="005649AC"/>
    <w:rsid w:val="005649CA"/>
    <w:rsid w:val="00565035"/>
    <w:rsid w:val="00565336"/>
    <w:rsid w:val="0056565A"/>
    <w:rsid w:val="00565C79"/>
    <w:rsid w:val="00565CBA"/>
    <w:rsid w:val="00565DF0"/>
    <w:rsid w:val="00566650"/>
    <w:rsid w:val="0056696F"/>
    <w:rsid w:val="00567318"/>
    <w:rsid w:val="0056782D"/>
    <w:rsid w:val="005678A4"/>
    <w:rsid w:val="00567A30"/>
    <w:rsid w:val="00567E99"/>
    <w:rsid w:val="005704A1"/>
    <w:rsid w:val="00570559"/>
    <w:rsid w:val="0057089A"/>
    <w:rsid w:val="0057119C"/>
    <w:rsid w:val="00572269"/>
    <w:rsid w:val="0057244A"/>
    <w:rsid w:val="00572A38"/>
    <w:rsid w:val="00572F26"/>
    <w:rsid w:val="005732F3"/>
    <w:rsid w:val="00574D09"/>
    <w:rsid w:val="005750C5"/>
    <w:rsid w:val="005752DE"/>
    <w:rsid w:val="005758EF"/>
    <w:rsid w:val="00575CC0"/>
    <w:rsid w:val="00575D60"/>
    <w:rsid w:val="00575D8D"/>
    <w:rsid w:val="00576232"/>
    <w:rsid w:val="00576818"/>
    <w:rsid w:val="00576972"/>
    <w:rsid w:val="00576A12"/>
    <w:rsid w:val="00576A7D"/>
    <w:rsid w:val="00576D1C"/>
    <w:rsid w:val="00577248"/>
    <w:rsid w:val="005802A5"/>
    <w:rsid w:val="005819A9"/>
    <w:rsid w:val="00581A80"/>
    <w:rsid w:val="00582504"/>
    <w:rsid w:val="00582E40"/>
    <w:rsid w:val="005830D8"/>
    <w:rsid w:val="0058347E"/>
    <w:rsid w:val="00583699"/>
    <w:rsid w:val="0058475B"/>
    <w:rsid w:val="00584814"/>
    <w:rsid w:val="00584AD2"/>
    <w:rsid w:val="00585109"/>
    <w:rsid w:val="005855E4"/>
    <w:rsid w:val="00585966"/>
    <w:rsid w:val="00585C1C"/>
    <w:rsid w:val="00585CDD"/>
    <w:rsid w:val="00586755"/>
    <w:rsid w:val="005867E2"/>
    <w:rsid w:val="00586A0B"/>
    <w:rsid w:val="00587058"/>
    <w:rsid w:val="005876CD"/>
    <w:rsid w:val="00587B63"/>
    <w:rsid w:val="005900FA"/>
    <w:rsid w:val="00590536"/>
    <w:rsid w:val="00590A9D"/>
    <w:rsid w:val="005913CE"/>
    <w:rsid w:val="005917C1"/>
    <w:rsid w:val="00591957"/>
    <w:rsid w:val="0059352E"/>
    <w:rsid w:val="0059456B"/>
    <w:rsid w:val="00594DCC"/>
    <w:rsid w:val="00594E00"/>
    <w:rsid w:val="00594F28"/>
    <w:rsid w:val="00595579"/>
    <w:rsid w:val="00595628"/>
    <w:rsid w:val="00595678"/>
    <w:rsid w:val="0059624A"/>
    <w:rsid w:val="00597BF9"/>
    <w:rsid w:val="00597CD1"/>
    <w:rsid w:val="005A0C11"/>
    <w:rsid w:val="005A1257"/>
    <w:rsid w:val="005A1FDF"/>
    <w:rsid w:val="005A20B2"/>
    <w:rsid w:val="005A2199"/>
    <w:rsid w:val="005A297E"/>
    <w:rsid w:val="005A309A"/>
    <w:rsid w:val="005A373D"/>
    <w:rsid w:val="005A3DB3"/>
    <w:rsid w:val="005A42FE"/>
    <w:rsid w:val="005A43C1"/>
    <w:rsid w:val="005A466E"/>
    <w:rsid w:val="005A5127"/>
    <w:rsid w:val="005A5878"/>
    <w:rsid w:val="005A6249"/>
    <w:rsid w:val="005A6802"/>
    <w:rsid w:val="005A6883"/>
    <w:rsid w:val="005A692F"/>
    <w:rsid w:val="005A6E29"/>
    <w:rsid w:val="005A6FA5"/>
    <w:rsid w:val="005A7D13"/>
    <w:rsid w:val="005A7F4F"/>
    <w:rsid w:val="005B0B58"/>
    <w:rsid w:val="005B0B62"/>
    <w:rsid w:val="005B0CB0"/>
    <w:rsid w:val="005B1471"/>
    <w:rsid w:val="005B1C69"/>
    <w:rsid w:val="005B1E2F"/>
    <w:rsid w:val="005B2634"/>
    <w:rsid w:val="005B2D37"/>
    <w:rsid w:val="005B30FA"/>
    <w:rsid w:val="005B3D23"/>
    <w:rsid w:val="005B3D7A"/>
    <w:rsid w:val="005B4E53"/>
    <w:rsid w:val="005B5857"/>
    <w:rsid w:val="005B5B36"/>
    <w:rsid w:val="005B674E"/>
    <w:rsid w:val="005B711A"/>
    <w:rsid w:val="005B737D"/>
    <w:rsid w:val="005B75F2"/>
    <w:rsid w:val="005B79EA"/>
    <w:rsid w:val="005C0226"/>
    <w:rsid w:val="005C0ABB"/>
    <w:rsid w:val="005C19C4"/>
    <w:rsid w:val="005C1B4E"/>
    <w:rsid w:val="005C1B83"/>
    <w:rsid w:val="005C2197"/>
    <w:rsid w:val="005C25FF"/>
    <w:rsid w:val="005C2C25"/>
    <w:rsid w:val="005C2D55"/>
    <w:rsid w:val="005C31AC"/>
    <w:rsid w:val="005C346B"/>
    <w:rsid w:val="005C3C2E"/>
    <w:rsid w:val="005C44C8"/>
    <w:rsid w:val="005C47B0"/>
    <w:rsid w:val="005C4AB3"/>
    <w:rsid w:val="005C4B68"/>
    <w:rsid w:val="005C4D95"/>
    <w:rsid w:val="005C56A5"/>
    <w:rsid w:val="005C56CE"/>
    <w:rsid w:val="005C5ABC"/>
    <w:rsid w:val="005C5D04"/>
    <w:rsid w:val="005C5DB8"/>
    <w:rsid w:val="005C61A6"/>
    <w:rsid w:val="005C684A"/>
    <w:rsid w:val="005C7339"/>
    <w:rsid w:val="005C73D6"/>
    <w:rsid w:val="005C79AF"/>
    <w:rsid w:val="005C7CF8"/>
    <w:rsid w:val="005D044D"/>
    <w:rsid w:val="005D0543"/>
    <w:rsid w:val="005D05EC"/>
    <w:rsid w:val="005D0716"/>
    <w:rsid w:val="005D0ABD"/>
    <w:rsid w:val="005D0D1E"/>
    <w:rsid w:val="005D0EB0"/>
    <w:rsid w:val="005D17EA"/>
    <w:rsid w:val="005D18AD"/>
    <w:rsid w:val="005D18E4"/>
    <w:rsid w:val="005D1C29"/>
    <w:rsid w:val="005D26B4"/>
    <w:rsid w:val="005D2C97"/>
    <w:rsid w:val="005D2CB0"/>
    <w:rsid w:val="005D322A"/>
    <w:rsid w:val="005D3799"/>
    <w:rsid w:val="005D3AFB"/>
    <w:rsid w:val="005D408F"/>
    <w:rsid w:val="005D439B"/>
    <w:rsid w:val="005D569F"/>
    <w:rsid w:val="005D7964"/>
    <w:rsid w:val="005E13B5"/>
    <w:rsid w:val="005E193C"/>
    <w:rsid w:val="005E1995"/>
    <w:rsid w:val="005E2123"/>
    <w:rsid w:val="005E2460"/>
    <w:rsid w:val="005E2C51"/>
    <w:rsid w:val="005E2F75"/>
    <w:rsid w:val="005E3417"/>
    <w:rsid w:val="005E343A"/>
    <w:rsid w:val="005E605A"/>
    <w:rsid w:val="005E60DE"/>
    <w:rsid w:val="005E6245"/>
    <w:rsid w:val="005E6AB8"/>
    <w:rsid w:val="005E6CBC"/>
    <w:rsid w:val="005E6EA3"/>
    <w:rsid w:val="005E7250"/>
    <w:rsid w:val="005E7295"/>
    <w:rsid w:val="005E72FF"/>
    <w:rsid w:val="005E73C0"/>
    <w:rsid w:val="005E766C"/>
    <w:rsid w:val="005F0501"/>
    <w:rsid w:val="005F07ED"/>
    <w:rsid w:val="005F0D62"/>
    <w:rsid w:val="005F0E4E"/>
    <w:rsid w:val="005F2706"/>
    <w:rsid w:val="005F38CE"/>
    <w:rsid w:val="005F3E4D"/>
    <w:rsid w:val="005F4CA0"/>
    <w:rsid w:val="005F571A"/>
    <w:rsid w:val="005F5726"/>
    <w:rsid w:val="005F5802"/>
    <w:rsid w:val="005F6A8F"/>
    <w:rsid w:val="005F6BB7"/>
    <w:rsid w:val="005F725F"/>
    <w:rsid w:val="005F7588"/>
    <w:rsid w:val="005F77B2"/>
    <w:rsid w:val="005F7C57"/>
    <w:rsid w:val="0060079D"/>
    <w:rsid w:val="00601D0A"/>
    <w:rsid w:val="006020EF"/>
    <w:rsid w:val="006027BB"/>
    <w:rsid w:val="006028D3"/>
    <w:rsid w:val="0060316E"/>
    <w:rsid w:val="00603BC2"/>
    <w:rsid w:val="00603DB9"/>
    <w:rsid w:val="00604D12"/>
    <w:rsid w:val="006062D1"/>
    <w:rsid w:val="006068B6"/>
    <w:rsid w:val="00606C76"/>
    <w:rsid w:val="00606EE0"/>
    <w:rsid w:val="00606FBA"/>
    <w:rsid w:val="006071EC"/>
    <w:rsid w:val="00607669"/>
    <w:rsid w:val="006076F4"/>
    <w:rsid w:val="00607AFD"/>
    <w:rsid w:val="00610780"/>
    <w:rsid w:val="006109BF"/>
    <w:rsid w:val="00611B12"/>
    <w:rsid w:val="006122E2"/>
    <w:rsid w:val="00612343"/>
    <w:rsid w:val="006124AD"/>
    <w:rsid w:val="00612F97"/>
    <w:rsid w:val="0061345D"/>
    <w:rsid w:val="00613E22"/>
    <w:rsid w:val="00614865"/>
    <w:rsid w:val="00614969"/>
    <w:rsid w:val="0061549B"/>
    <w:rsid w:val="00615CDC"/>
    <w:rsid w:val="00616387"/>
    <w:rsid w:val="00616802"/>
    <w:rsid w:val="00617C6F"/>
    <w:rsid w:val="00617E12"/>
    <w:rsid w:val="00620C25"/>
    <w:rsid w:val="00620CD6"/>
    <w:rsid w:val="006213F4"/>
    <w:rsid w:val="00621477"/>
    <w:rsid w:val="00621762"/>
    <w:rsid w:val="00621ADA"/>
    <w:rsid w:val="00621AF8"/>
    <w:rsid w:val="00621E4D"/>
    <w:rsid w:val="0062212A"/>
    <w:rsid w:val="00622397"/>
    <w:rsid w:val="0062268D"/>
    <w:rsid w:val="00622A7A"/>
    <w:rsid w:val="00622ACA"/>
    <w:rsid w:val="00622D2E"/>
    <w:rsid w:val="00623EF9"/>
    <w:rsid w:val="00623F7B"/>
    <w:rsid w:val="00624BC6"/>
    <w:rsid w:val="00624BD4"/>
    <w:rsid w:val="00624F9B"/>
    <w:rsid w:val="006255EC"/>
    <w:rsid w:val="006259F3"/>
    <w:rsid w:val="00626B23"/>
    <w:rsid w:val="006274D3"/>
    <w:rsid w:val="00630EDD"/>
    <w:rsid w:val="00630F2A"/>
    <w:rsid w:val="0063158F"/>
    <w:rsid w:val="00631D63"/>
    <w:rsid w:val="00631D6B"/>
    <w:rsid w:val="00632176"/>
    <w:rsid w:val="00632183"/>
    <w:rsid w:val="006323D0"/>
    <w:rsid w:val="006330A1"/>
    <w:rsid w:val="00633992"/>
    <w:rsid w:val="00633C7F"/>
    <w:rsid w:val="00634681"/>
    <w:rsid w:val="0063479F"/>
    <w:rsid w:val="00635113"/>
    <w:rsid w:val="006353F0"/>
    <w:rsid w:val="006357B5"/>
    <w:rsid w:val="00635960"/>
    <w:rsid w:val="00635AB8"/>
    <w:rsid w:val="00636138"/>
    <w:rsid w:val="00636349"/>
    <w:rsid w:val="006364A1"/>
    <w:rsid w:val="0063664F"/>
    <w:rsid w:val="006366B4"/>
    <w:rsid w:val="0063678E"/>
    <w:rsid w:val="00636E6F"/>
    <w:rsid w:val="00637BFD"/>
    <w:rsid w:val="00637C5C"/>
    <w:rsid w:val="00640567"/>
    <w:rsid w:val="00640A8A"/>
    <w:rsid w:val="006412CE"/>
    <w:rsid w:val="006417C2"/>
    <w:rsid w:val="00641903"/>
    <w:rsid w:val="00641B4D"/>
    <w:rsid w:val="00641C4E"/>
    <w:rsid w:val="00641FB3"/>
    <w:rsid w:val="00643A76"/>
    <w:rsid w:val="00643BEC"/>
    <w:rsid w:val="0064434C"/>
    <w:rsid w:val="00645079"/>
    <w:rsid w:val="00645F62"/>
    <w:rsid w:val="00646057"/>
    <w:rsid w:val="006460C1"/>
    <w:rsid w:val="00646B2B"/>
    <w:rsid w:val="006471CC"/>
    <w:rsid w:val="006472FE"/>
    <w:rsid w:val="006473D2"/>
    <w:rsid w:val="006476E8"/>
    <w:rsid w:val="00647A29"/>
    <w:rsid w:val="006501E0"/>
    <w:rsid w:val="0065079F"/>
    <w:rsid w:val="00651287"/>
    <w:rsid w:val="0065195E"/>
    <w:rsid w:val="00651E5B"/>
    <w:rsid w:val="0065211B"/>
    <w:rsid w:val="00652A28"/>
    <w:rsid w:val="00652DFC"/>
    <w:rsid w:val="0065305E"/>
    <w:rsid w:val="00653079"/>
    <w:rsid w:val="00653397"/>
    <w:rsid w:val="00653472"/>
    <w:rsid w:val="0065379F"/>
    <w:rsid w:val="00653E69"/>
    <w:rsid w:val="00654028"/>
    <w:rsid w:val="006542F9"/>
    <w:rsid w:val="006547BB"/>
    <w:rsid w:val="00654EDB"/>
    <w:rsid w:val="006551AF"/>
    <w:rsid w:val="00655DEC"/>
    <w:rsid w:val="00656188"/>
    <w:rsid w:val="00656222"/>
    <w:rsid w:val="0065645D"/>
    <w:rsid w:val="00656753"/>
    <w:rsid w:val="00656D57"/>
    <w:rsid w:val="0065715A"/>
    <w:rsid w:val="00657EA1"/>
    <w:rsid w:val="00660AF4"/>
    <w:rsid w:val="006610F1"/>
    <w:rsid w:val="006618CC"/>
    <w:rsid w:val="00661C3F"/>
    <w:rsid w:val="00661C6B"/>
    <w:rsid w:val="00662B78"/>
    <w:rsid w:val="00662D3E"/>
    <w:rsid w:val="00663005"/>
    <w:rsid w:val="006636FE"/>
    <w:rsid w:val="0066394C"/>
    <w:rsid w:val="006651AD"/>
    <w:rsid w:val="006657D7"/>
    <w:rsid w:val="00665B4A"/>
    <w:rsid w:val="006661DE"/>
    <w:rsid w:val="0066622D"/>
    <w:rsid w:val="006666F6"/>
    <w:rsid w:val="00666BCA"/>
    <w:rsid w:val="00666C2B"/>
    <w:rsid w:val="00666C79"/>
    <w:rsid w:val="00666EF9"/>
    <w:rsid w:val="00666F3B"/>
    <w:rsid w:val="00667217"/>
    <w:rsid w:val="0066759A"/>
    <w:rsid w:val="00667917"/>
    <w:rsid w:val="00667BE3"/>
    <w:rsid w:val="00667C86"/>
    <w:rsid w:val="00667D70"/>
    <w:rsid w:val="00667EE0"/>
    <w:rsid w:val="006701B6"/>
    <w:rsid w:val="00670591"/>
    <w:rsid w:val="00671004"/>
    <w:rsid w:val="006720AC"/>
    <w:rsid w:val="00672646"/>
    <w:rsid w:val="006731DA"/>
    <w:rsid w:val="006733F4"/>
    <w:rsid w:val="00673A87"/>
    <w:rsid w:val="006746F3"/>
    <w:rsid w:val="00674E42"/>
    <w:rsid w:val="006756B8"/>
    <w:rsid w:val="00675C20"/>
    <w:rsid w:val="006762D7"/>
    <w:rsid w:val="006764CA"/>
    <w:rsid w:val="00676563"/>
    <w:rsid w:val="00677276"/>
    <w:rsid w:val="0067756F"/>
    <w:rsid w:val="00680352"/>
    <w:rsid w:val="00680E13"/>
    <w:rsid w:val="00680EFF"/>
    <w:rsid w:val="00680FCE"/>
    <w:rsid w:val="006813F8"/>
    <w:rsid w:val="00681959"/>
    <w:rsid w:val="00681C4A"/>
    <w:rsid w:val="00682001"/>
    <w:rsid w:val="00682112"/>
    <w:rsid w:val="006828CF"/>
    <w:rsid w:val="00682BA6"/>
    <w:rsid w:val="006830A1"/>
    <w:rsid w:val="006836B3"/>
    <w:rsid w:val="00683B7E"/>
    <w:rsid w:val="00684163"/>
    <w:rsid w:val="006842DD"/>
    <w:rsid w:val="00684572"/>
    <w:rsid w:val="00684964"/>
    <w:rsid w:val="00684CE0"/>
    <w:rsid w:val="0068572B"/>
    <w:rsid w:val="00685993"/>
    <w:rsid w:val="006859F0"/>
    <w:rsid w:val="00685DE7"/>
    <w:rsid w:val="006861DA"/>
    <w:rsid w:val="00686957"/>
    <w:rsid w:val="006871DB"/>
    <w:rsid w:val="006872BA"/>
    <w:rsid w:val="00687F18"/>
    <w:rsid w:val="00690706"/>
    <w:rsid w:val="00690795"/>
    <w:rsid w:val="00690D2A"/>
    <w:rsid w:val="00691648"/>
    <w:rsid w:val="006917D7"/>
    <w:rsid w:val="0069180F"/>
    <w:rsid w:val="006922F5"/>
    <w:rsid w:val="006923DF"/>
    <w:rsid w:val="00692EFB"/>
    <w:rsid w:val="0069347A"/>
    <w:rsid w:val="006934F1"/>
    <w:rsid w:val="00693624"/>
    <w:rsid w:val="00693EC7"/>
    <w:rsid w:val="0069434C"/>
    <w:rsid w:val="0069454E"/>
    <w:rsid w:val="00694F44"/>
    <w:rsid w:val="0069503E"/>
    <w:rsid w:val="00695C8C"/>
    <w:rsid w:val="00696369"/>
    <w:rsid w:val="00696EF9"/>
    <w:rsid w:val="00696F51"/>
    <w:rsid w:val="00697533"/>
    <w:rsid w:val="006979A5"/>
    <w:rsid w:val="006A016F"/>
    <w:rsid w:val="006A07C8"/>
    <w:rsid w:val="006A0BCE"/>
    <w:rsid w:val="006A0D7B"/>
    <w:rsid w:val="006A0DF7"/>
    <w:rsid w:val="006A1052"/>
    <w:rsid w:val="006A1FF2"/>
    <w:rsid w:val="006A29FC"/>
    <w:rsid w:val="006A2F99"/>
    <w:rsid w:val="006A3668"/>
    <w:rsid w:val="006A3FB7"/>
    <w:rsid w:val="006A42F9"/>
    <w:rsid w:val="006A4321"/>
    <w:rsid w:val="006A4350"/>
    <w:rsid w:val="006A43D9"/>
    <w:rsid w:val="006A4636"/>
    <w:rsid w:val="006A4D01"/>
    <w:rsid w:val="006A6575"/>
    <w:rsid w:val="006A6B99"/>
    <w:rsid w:val="006A75CA"/>
    <w:rsid w:val="006A7A60"/>
    <w:rsid w:val="006A7E5F"/>
    <w:rsid w:val="006B007B"/>
    <w:rsid w:val="006B15B4"/>
    <w:rsid w:val="006B1841"/>
    <w:rsid w:val="006B1978"/>
    <w:rsid w:val="006B261B"/>
    <w:rsid w:val="006B2C90"/>
    <w:rsid w:val="006B35E6"/>
    <w:rsid w:val="006B3CDA"/>
    <w:rsid w:val="006B3D2E"/>
    <w:rsid w:val="006B465A"/>
    <w:rsid w:val="006B4A7B"/>
    <w:rsid w:val="006B50C5"/>
    <w:rsid w:val="006B5786"/>
    <w:rsid w:val="006B5B59"/>
    <w:rsid w:val="006B5DC2"/>
    <w:rsid w:val="006B6493"/>
    <w:rsid w:val="006B6DD0"/>
    <w:rsid w:val="006B7026"/>
    <w:rsid w:val="006B7DB9"/>
    <w:rsid w:val="006B7EC2"/>
    <w:rsid w:val="006C0399"/>
    <w:rsid w:val="006C03AC"/>
    <w:rsid w:val="006C12EC"/>
    <w:rsid w:val="006C1FC2"/>
    <w:rsid w:val="006C2178"/>
    <w:rsid w:val="006C2A8E"/>
    <w:rsid w:val="006C3255"/>
    <w:rsid w:val="006C349E"/>
    <w:rsid w:val="006C3F26"/>
    <w:rsid w:val="006C53C1"/>
    <w:rsid w:val="006C57F5"/>
    <w:rsid w:val="006C6543"/>
    <w:rsid w:val="006C670E"/>
    <w:rsid w:val="006C68F6"/>
    <w:rsid w:val="006C69B3"/>
    <w:rsid w:val="006C6C64"/>
    <w:rsid w:val="006C70F0"/>
    <w:rsid w:val="006C715D"/>
    <w:rsid w:val="006C740F"/>
    <w:rsid w:val="006D0AFA"/>
    <w:rsid w:val="006D0B67"/>
    <w:rsid w:val="006D0D17"/>
    <w:rsid w:val="006D1BCE"/>
    <w:rsid w:val="006D2422"/>
    <w:rsid w:val="006D242E"/>
    <w:rsid w:val="006D254B"/>
    <w:rsid w:val="006D31FE"/>
    <w:rsid w:val="006D3C7D"/>
    <w:rsid w:val="006D43AA"/>
    <w:rsid w:val="006D4659"/>
    <w:rsid w:val="006D47D8"/>
    <w:rsid w:val="006D4832"/>
    <w:rsid w:val="006D5D5F"/>
    <w:rsid w:val="006D616D"/>
    <w:rsid w:val="006D68FB"/>
    <w:rsid w:val="006D6B35"/>
    <w:rsid w:val="006D7409"/>
    <w:rsid w:val="006D773D"/>
    <w:rsid w:val="006D77C0"/>
    <w:rsid w:val="006D7C99"/>
    <w:rsid w:val="006E0B59"/>
    <w:rsid w:val="006E0DDD"/>
    <w:rsid w:val="006E0F1A"/>
    <w:rsid w:val="006E236F"/>
    <w:rsid w:val="006E2868"/>
    <w:rsid w:val="006E363B"/>
    <w:rsid w:val="006E3E4E"/>
    <w:rsid w:val="006E3ECA"/>
    <w:rsid w:val="006E4423"/>
    <w:rsid w:val="006E4E00"/>
    <w:rsid w:val="006E542A"/>
    <w:rsid w:val="006E5611"/>
    <w:rsid w:val="006E72C5"/>
    <w:rsid w:val="006F0166"/>
    <w:rsid w:val="006F0EE1"/>
    <w:rsid w:val="006F192C"/>
    <w:rsid w:val="006F306C"/>
    <w:rsid w:val="006F347A"/>
    <w:rsid w:val="006F42FB"/>
    <w:rsid w:val="006F50DD"/>
    <w:rsid w:val="006F5546"/>
    <w:rsid w:val="006F6011"/>
    <w:rsid w:val="006F6031"/>
    <w:rsid w:val="006F6342"/>
    <w:rsid w:val="006F63A5"/>
    <w:rsid w:val="006F66E4"/>
    <w:rsid w:val="006F7230"/>
    <w:rsid w:val="006F79E5"/>
    <w:rsid w:val="00700206"/>
    <w:rsid w:val="00700615"/>
    <w:rsid w:val="007009C2"/>
    <w:rsid w:val="00700F9D"/>
    <w:rsid w:val="0070142B"/>
    <w:rsid w:val="00701AAA"/>
    <w:rsid w:val="0070276E"/>
    <w:rsid w:val="00702F54"/>
    <w:rsid w:val="00702F8F"/>
    <w:rsid w:val="00703C93"/>
    <w:rsid w:val="00703CB5"/>
    <w:rsid w:val="00704870"/>
    <w:rsid w:val="007060C1"/>
    <w:rsid w:val="007062AB"/>
    <w:rsid w:val="007064A0"/>
    <w:rsid w:val="007065D1"/>
    <w:rsid w:val="00706823"/>
    <w:rsid w:val="00706EEE"/>
    <w:rsid w:val="00707480"/>
    <w:rsid w:val="007079FC"/>
    <w:rsid w:val="00707F97"/>
    <w:rsid w:val="00710360"/>
    <w:rsid w:val="0071079F"/>
    <w:rsid w:val="00710E40"/>
    <w:rsid w:val="00711602"/>
    <w:rsid w:val="00711A36"/>
    <w:rsid w:val="00711C92"/>
    <w:rsid w:val="007125D3"/>
    <w:rsid w:val="00712656"/>
    <w:rsid w:val="0071360D"/>
    <w:rsid w:val="00713870"/>
    <w:rsid w:val="00713B97"/>
    <w:rsid w:val="00714032"/>
    <w:rsid w:val="00714C26"/>
    <w:rsid w:val="0071529C"/>
    <w:rsid w:val="007152B8"/>
    <w:rsid w:val="00716210"/>
    <w:rsid w:val="00716AF8"/>
    <w:rsid w:val="007170DA"/>
    <w:rsid w:val="007172AD"/>
    <w:rsid w:val="00717546"/>
    <w:rsid w:val="007204F8"/>
    <w:rsid w:val="00720801"/>
    <w:rsid w:val="00720F6E"/>
    <w:rsid w:val="0072177E"/>
    <w:rsid w:val="00721838"/>
    <w:rsid w:val="00721941"/>
    <w:rsid w:val="00721C0C"/>
    <w:rsid w:val="0072208D"/>
    <w:rsid w:val="00722B1B"/>
    <w:rsid w:val="007239F2"/>
    <w:rsid w:val="00723C6A"/>
    <w:rsid w:val="0072416F"/>
    <w:rsid w:val="00724DA2"/>
    <w:rsid w:val="00725DDD"/>
    <w:rsid w:val="0072684B"/>
    <w:rsid w:val="00726F29"/>
    <w:rsid w:val="00727A09"/>
    <w:rsid w:val="00727C94"/>
    <w:rsid w:val="007308E5"/>
    <w:rsid w:val="00730A05"/>
    <w:rsid w:val="00731A27"/>
    <w:rsid w:val="00731B0A"/>
    <w:rsid w:val="00731EAE"/>
    <w:rsid w:val="007320FB"/>
    <w:rsid w:val="007320FC"/>
    <w:rsid w:val="00732632"/>
    <w:rsid w:val="0073282A"/>
    <w:rsid w:val="00733073"/>
    <w:rsid w:val="00733663"/>
    <w:rsid w:val="00733710"/>
    <w:rsid w:val="007344AE"/>
    <w:rsid w:val="00734549"/>
    <w:rsid w:val="00734B36"/>
    <w:rsid w:val="00734CFE"/>
    <w:rsid w:val="00734E5F"/>
    <w:rsid w:val="00735033"/>
    <w:rsid w:val="00735328"/>
    <w:rsid w:val="0073535C"/>
    <w:rsid w:val="0073546C"/>
    <w:rsid w:val="007357C3"/>
    <w:rsid w:val="0073625F"/>
    <w:rsid w:val="0073658F"/>
    <w:rsid w:val="0073685B"/>
    <w:rsid w:val="00736A48"/>
    <w:rsid w:val="00736BC5"/>
    <w:rsid w:val="00737274"/>
    <w:rsid w:val="0073774E"/>
    <w:rsid w:val="00737DD5"/>
    <w:rsid w:val="007400D7"/>
    <w:rsid w:val="0074034E"/>
    <w:rsid w:val="00742A93"/>
    <w:rsid w:val="00742E79"/>
    <w:rsid w:val="00743FA8"/>
    <w:rsid w:val="00744079"/>
    <w:rsid w:val="0074432B"/>
    <w:rsid w:val="007449BF"/>
    <w:rsid w:val="00745A3F"/>
    <w:rsid w:val="00745E20"/>
    <w:rsid w:val="00745FF9"/>
    <w:rsid w:val="00746083"/>
    <w:rsid w:val="007463FE"/>
    <w:rsid w:val="00746689"/>
    <w:rsid w:val="0074680C"/>
    <w:rsid w:val="007469BD"/>
    <w:rsid w:val="00746BC0"/>
    <w:rsid w:val="00747615"/>
    <w:rsid w:val="00747D1C"/>
    <w:rsid w:val="007510B4"/>
    <w:rsid w:val="00751795"/>
    <w:rsid w:val="00752071"/>
    <w:rsid w:val="00752142"/>
    <w:rsid w:val="00752217"/>
    <w:rsid w:val="007523F9"/>
    <w:rsid w:val="007526A4"/>
    <w:rsid w:val="007529E6"/>
    <w:rsid w:val="00752B13"/>
    <w:rsid w:val="0075357E"/>
    <w:rsid w:val="007537A3"/>
    <w:rsid w:val="00753B29"/>
    <w:rsid w:val="0075436F"/>
    <w:rsid w:val="007555AE"/>
    <w:rsid w:val="007565EB"/>
    <w:rsid w:val="00756821"/>
    <w:rsid w:val="007573E8"/>
    <w:rsid w:val="00760824"/>
    <w:rsid w:val="00760C4E"/>
    <w:rsid w:val="00760F9E"/>
    <w:rsid w:val="007616E6"/>
    <w:rsid w:val="00762564"/>
    <w:rsid w:val="00762757"/>
    <w:rsid w:val="007627BE"/>
    <w:rsid w:val="00762991"/>
    <w:rsid w:val="00762F9A"/>
    <w:rsid w:val="00763271"/>
    <w:rsid w:val="007640EF"/>
    <w:rsid w:val="00764260"/>
    <w:rsid w:val="0076434D"/>
    <w:rsid w:val="00764581"/>
    <w:rsid w:val="0076487B"/>
    <w:rsid w:val="00764F03"/>
    <w:rsid w:val="007650C9"/>
    <w:rsid w:val="00765B1A"/>
    <w:rsid w:val="00765D48"/>
    <w:rsid w:val="00765DC1"/>
    <w:rsid w:val="00765ECD"/>
    <w:rsid w:val="00765F1B"/>
    <w:rsid w:val="007668E3"/>
    <w:rsid w:val="00767708"/>
    <w:rsid w:val="007678BF"/>
    <w:rsid w:val="0077057E"/>
    <w:rsid w:val="0077183B"/>
    <w:rsid w:val="00771C75"/>
    <w:rsid w:val="00772237"/>
    <w:rsid w:val="0077283E"/>
    <w:rsid w:val="00773174"/>
    <w:rsid w:val="00773181"/>
    <w:rsid w:val="00773207"/>
    <w:rsid w:val="00774055"/>
    <w:rsid w:val="00774390"/>
    <w:rsid w:val="00774396"/>
    <w:rsid w:val="00774FA3"/>
    <w:rsid w:val="00775D1B"/>
    <w:rsid w:val="007764CD"/>
    <w:rsid w:val="007766C1"/>
    <w:rsid w:val="00776A29"/>
    <w:rsid w:val="00776CED"/>
    <w:rsid w:val="00777335"/>
    <w:rsid w:val="007778D7"/>
    <w:rsid w:val="00777BFF"/>
    <w:rsid w:val="00780536"/>
    <w:rsid w:val="0078125E"/>
    <w:rsid w:val="00781A45"/>
    <w:rsid w:val="0078214C"/>
    <w:rsid w:val="007821EB"/>
    <w:rsid w:val="00783AF6"/>
    <w:rsid w:val="007843F2"/>
    <w:rsid w:val="007846FA"/>
    <w:rsid w:val="00784974"/>
    <w:rsid w:val="00785A9F"/>
    <w:rsid w:val="00785B00"/>
    <w:rsid w:val="00785B2B"/>
    <w:rsid w:val="00786E76"/>
    <w:rsid w:val="00787136"/>
    <w:rsid w:val="007876B8"/>
    <w:rsid w:val="00787EA9"/>
    <w:rsid w:val="00790906"/>
    <w:rsid w:val="00790FD6"/>
    <w:rsid w:val="00791259"/>
    <w:rsid w:val="00791571"/>
    <w:rsid w:val="0079172B"/>
    <w:rsid w:val="00791AA9"/>
    <w:rsid w:val="00791AD4"/>
    <w:rsid w:val="007923E9"/>
    <w:rsid w:val="007925DF"/>
    <w:rsid w:val="0079347A"/>
    <w:rsid w:val="007937D6"/>
    <w:rsid w:val="00793F1C"/>
    <w:rsid w:val="00794040"/>
    <w:rsid w:val="00794881"/>
    <w:rsid w:val="007949E8"/>
    <w:rsid w:val="00794ADE"/>
    <w:rsid w:val="00794D2C"/>
    <w:rsid w:val="00794E40"/>
    <w:rsid w:val="00795134"/>
    <w:rsid w:val="00795FAA"/>
    <w:rsid w:val="007978F1"/>
    <w:rsid w:val="00797FCB"/>
    <w:rsid w:val="007A08AA"/>
    <w:rsid w:val="007A0A12"/>
    <w:rsid w:val="007A0AB8"/>
    <w:rsid w:val="007A132D"/>
    <w:rsid w:val="007A1345"/>
    <w:rsid w:val="007A166F"/>
    <w:rsid w:val="007A2DDB"/>
    <w:rsid w:val="007A3383"/>
    <w:rsid w:val="007A4D9C"/>
    <w:rsid w:val="007A591A"/>
    <w:rsid w:val="007A5B1C"/>
    <w:rsid w:val="007A5E2C"/>
    <w:rsid w:val="007A70BA"/>
    <w:rsid w:val="007A76D9"/>
    <w:rsid w:val="007A76F2"/>
    <w:rsid w:val="007A79EF"/>
    <w:rsid w:val="007B00F4"/>
    <w:rsid w:val="007B0B0B"/>
    <w:rsid w:val="007B0CB1"/>
    <w:rsid w:val="007B0D57"/>
    <w:rsid w:val="007B0D68"/>
    <w:rsid w:val="007B1D8C"/>
    <w:rsid w:val="007B1D9F"/>
    <w:rsid w:val="007B1F9D"/>
    <w:rsid w:val="007B251D"/>
    <w:rsid w:val="007B29F4"/>
    <w:rsid w:val="007B3289"/>
    <w:rsid w:val="007B3533"/>
    <w:rsid w:val="007B40BC"/>
    <w:rsid w:val="007B4C5C"/>
    <w:rsid w:val="007B4F58"/>
    <w:rsid w:val="007B528D"/>
    <w:rsid w:val="007B5777"/>
    <w:rsid w:val="007B5F02"/>
    <w:rsid w:val="007B63CA"/>
    <w:rsid w:val="007B6B7E"/>
    <w:rsid w:val="007B70B0"/>
    <w:rsid w:val="007B77D1"/>
    <w:rsid w:val="007B79E0"/>
    <w:rsid w:val="007B7D56"/>
    <w:rsid w:val="007B7E7D"/>
    <w:rsid w:val="007C07C7"/>
    <w:rsid w:val="007C0C40"/>
    <w:rsid w:val="007C0DAA"/>
    <w:rsid w:val="007C1345"/>
    <w:rsid w:val="007C13C0"/>
    <w:rsid w:val="007C1708"/>
    <w:rsid w:val="007C1CD9"/>
    <w:rsid w:val="007C1F8E"/>
    <w:rsid w:val="007C32EF"/>
    <w:rsid w:val="007C361D"/>
    <w:rsid w:val="007C4688"/>
    <w:rsid w:val="007C4B84"/>
    <w:rsid w:val="007C5651"/>
    <w:rsid w:val="007C5D18"/>
    <w:rsid w:val="007C6EE0"/>
    <w:rsid w:val="007C70FC"/>
    <w:rsid w:val="007C70FF"/>
    <w:rsid w:val="007C7523"/>
    <w:rsid w:val="007C7751"/>
    <w:rsid w:val="007C7782"/>
    <w:rsid w:val="007C7C25"/>
    <w:rsid w:val="007D002F"/>
    <w:rsid w:val="007D004F"/>
    <w:rsid w:val="007D035F"/>
    <w:rsid w:val="007D04B1"/>
    <w:rsid w:val="007D06B2"/>
    <w:rsid w:val="007D08B3"/>
    <w:rsid w:val="007D0B38"/>
    <w:rsid w:val="007D0B7E"/>
    <w:rsid w:val="007D0C5F"/>
    <w:rsid w:val="007D2520"/>
    <w:rsid w:val="007D38D9"/>
    <w:rsid w:val="007D3E81"/>
    <w:rsid w:val="007D3EA1"/>
    <w:rsid w:val="007D40C1"/>
    <w:rsid w:val="007D4407"/>
    <w:rsid w:val="007D4D47"/>
    <w:rsid w:val="007D5440"/>
    <w:rsid w:val="007D614F"/>
    <w:rsid w:val="007D643A"/>
    <w:rsid w:val="007D649B"/>
    <w:rsid w:val="007D69EB"/>
    <w:rsid w:val="007D6C40"/>
    <w:rsid w:val="007D7B29"/>
    <w:rsid w:val="007D7BDB"/>
    <w:rsid w:val="007E00D9"/>
    <w:rsid w:val="007E0CF0"/>
    <w:rsid w:val="007E0E6E"/>
    <w:rsid w:val="007E128F"/>
    <w:rsid w:val="007E1F83"/>
    <w:rsid w:val="007E360D"/>
    <w:rsid w:val="007E3F2D"/>
    <w:rsid w:val="007E47B9"/>
    <w:rsid w:val="007E4803"/>
    <w:rsid w:val="007E51D5"/>
    <w:rsid w:val="007E5215"/>
    <w:rsid w:val="007E5647"/>
    <w:rsid w:val="007E6135"/>
    <w:rsid w:val="007E63B8"/>
    <w:rsid w:val="007E6766"/>
    <w:rsid w:val="007F039B"/>
    <w:rsid w:val="007F1017"/>
    <w:rsid w:val="007F220F"/>
    <w:rsid w:val="007F227F"/>
    <w:rsid w:val="007F3197"/>
    <w:rsid w:val="007F32F5"/>
    <w:rsid w:val="007F32FB"/>
    <w:rsid w:val="007F3E67"/>
    <w:rsid w:val="007F406A"/>
    <w:rsid w:val="007F461B"/>
    <w:rsid w:val="007F47D6"/>
    <w:rsid w:val="007F4A3F"/>
    <w:rsid w:val="007F4A61"/>
    <w:rsid w:val="007F4E63"/>
    <w:rsid w:val="007F519D"/>
    <w:rsid w:val="007F5255"/>
    <w:rsid w:val="007F561A"/>
    <w:rsid w:val="007F56CC"/>
    <w:rsid w:val="007F5F6F"/>
    <w:rsid w:val="007F61C2"/>
    <w:rsid w:val="007F6410"/>
    <w:rsid w:val="007F78CC"/>
    <w:rsid w:val="008002A1"/>
    <w:rsid w:val="00800EB9"/>
    <w:rsid w:val="008015D7"/>
    <w:rsid w:val="00801FAE"/>
    <w:rsid w:val="008022D5"/>
    <w:rsid w:val="00802545"/>
    <w:rsid w:val="0080376A"/>
    <w:rsid w:val="00804FC9"/>
    <w:rsid w:val="00805142"/>
    <w:rsid w:val="0080566B"/>
    <w:rsid w:val="00805FCE"/>
    <w:rsid w:val="008060D0"/>
    <w:rsid w:val="00806A3A"/>
    <w:rsid w:val="008074B4"/>
    <w:rsid w:val="00807A8B"/>
    <w:rsid w:val="008108B6"/>
    <w:rsid w:val="00810C3D"/>
    <w:rsid w:val="00811383"/>
    <w:rsid w:val="00811E62"/>
    <w:rsid w:val="00812012"/>
    <w:rsid w:val="00812149"/>
    <w:rsid w:val="008123EF"/>
    <w:rsid w:val="008124D4"/>
    <w:rsid w:val="0081293B"/>
    <w:rsid w:val="00812A67"/>
    <w:rsid w:val="00812CAC"/>
    <w:rsid w:val="00812CC3"/>
    <w:rsid w:val="00812FCC"/>
    <w:rsid w:val="00813967"/>
    <w:rsid w:val="00813E9C"/>
    <w:rsid w:val="0081539E"/>
    <w:rsid w:val="0081572D"/>
    <w:rsid w:val="008157AB"/>
    <w:rsid w:val="00815C19"/>
    <w:rsid w:val="00816361"/>
    <w:rsid w:val="008163DE"/>
    <w:rsid w:val="008166EF"/>
    <w:rsid w:val="00816C67"/>
    <w:rsid w:val="00816FEF"/>
    <w:rsid w:val="0081705C"/>
    <w:rsid w:val="00817FC6"/>
    <w:rsid w:val="00820356"/>
    <w:rsid w:val="008208BA"/>
    <w:rsid w:val="00820A8C"/>
    <w:rsid w:val="008215FB"/>
    <w:rsid w:val="008220CC"/>
    <w:rsid w:val="008226E0"/>
    <w:rsid w:val="00822826"/>
    <w:rsid w:val="00822FD3"/>
    <w:rsid w:val="00823174"/>
    <w:rsid w:val="00823ACD"/>
    <w:rsid w:val="00823B45"/>
    <w:rsid w:val="00824D96"/>
    <w:rsid w:val="00825751"/>
    <w:rsid w:val="008264EB"/>
    <w:rsid w:val="008268CE"/>
    <w:rsid w:val="00826BDC"/>
    <w:rsid w:val="00827C23"/>
    <w:rsid w:val="00827F7D"/>
    <w:rsid w:val="00830ED7"/>
    <w:rsid w:val="00831301"/>
    <w:rsid w:val="008316A1"/>
    <w:rsid w:val="008316AA"/>
    <w:rsid w:val="00831E3E"/>
    <w:rsid w:val="0083238B"/>
    <w:rsid w:val="008327EA"/>
    <w:rsid w:val="0083354B"/>
    <w:rsid w:val="00833B05"/>
    <w:rsid w:val="00833F0D"/>
    <w:rsid w:val="0083522A"/>
    <w:rsid w:val="00835DC3"/>
    <w:rsid w:val="00836053"/>
    <w:rsid w:val="008362B4"/>
    <w:rsid w:val="00837173"/>
    <w:rsid w:val="00837262"/>
    <w:rsid w:val="0084014B"/>
    <w:rsid w:val="00840CA2"/>
    <w:rsid w:val="008413F7"/>
    <w:rsid w:val="00841BA3"/>
    <w:rsid w:val="00841D9A"/>
    <w:rsid w:val="008421B3"/>
    <w:rsid w:val="00842EF7"/>
    <w:rsid w:val="0084374F"/>
    <w:rsid w:val="00843BFA"/>
    <w:rsid w:val="00843F4A"/>
    <w:rsid w:val="00844A22"/>
    <w:rsid w:val="00845C92"/>
    <w:rsid w:val="008464D6"/>
    <w:rsid w:val="00846C42"/>
    <w:rsid w:val="00847703"/>
    <w:rsid w:val="00847870"/>
    <w:rsid w:val="00847A35"/>
    <w:rsid w:val="00847AE4"/>
    <w:rsid w:val="00847D7D"/>
    <w:rsid w:val="00847DF5"/>
    <w:rsid w:val="00850860"/>
    <w:rsid w:val="00850A1E"/>
    <w:rsid w:val="00850E94"/>
    <w:rsid w:val="0085129E"/>
    <w:rsid w:val="00851BEE"/>
    <w:rsid w:val="008520D9"/>
    <w:rsid w:val="00852BC6"/>
    <w:rsid w:val="00852BFE"/>
    <w:rsid w:val="0085309D"/>
    <w:rsid w:val="00854647"/>
    <w:rsid w:val="00854A6A"/>
    <w:rsid w:val="00854D07"/>
    <w:rsid w:val="00854F7B"/>
    <w:rsid w:val="00856566"/>
    <w:rsid w:val="00856897"/>
    <w:rsid w:val="00856B2B"/>
    <w:rsid w:val="00856E9A"/>
    <w:rsid w:val="00857D2E"/>
    <w:rsid w:val="0086075D"/>
    <w:rsid w:val="00860B16"/>
    <w:rsid w:val="00860C35"/>
    <w:rsid w:val="008611D7"/>
    <w:rsid w:val="00862502"/>
    <w:rsid w:val="00862921"/>
    <w:rsid w:val="00862CC1"/>
    <w:rsid w:val="00863206"/>
    <w:rsid w:val="008637C4"/>
    <w:rsid w:val="00863A24"/>
    <w:rsid w:val="00863F61"/>
    <w:rsid w:val="008642A7"/>
    <w:rsid w:val="00864DBC"/>
    <w:rsid w:val="00865380"/>
    <w:rsid w:val="008660C7"/>
    <w:rsid w:val="008660D4"/>
    <w:rsid w:val="00866437"/>
    <w:rsid w:val="00866511"/>
    <w:rsid w:val="00866600"/>
    <w:rsid w:val="0086766F"/>
    <w:rsid w:val="00867E73"/>
    <w:rsid w:val="008704E6"/>
    <w:rsid w:val="0087130D"/>
    <w:rsid w:val="00871FA9"/>
    <w:rsid w:val="008721B4"/>
    <w:rsid w:val="008721D3"/>
    <w:rsid w:val="0087223B"/>
    <w:rsid w:val="008726C5"/>
    <w:rsid w:val="008727C7"/>
    <w:rsid w:val="008728E9"/>
    <w:rsid w:val="0087367E"/>
    <w:rsid w:val="0087428A"/>
    <w:rsid w:val="00874BF9"/>
    <w:rsid w:val="008751F9"/>
    <w:rsid w:val="00875585"/>
    <w:rsid w:val="0087568C"/>
    <w:rsid w:val="00877F43"/>
    <w:rsid w:val="00877FF9"/>
    <w:rsid w:val="008801F3"/>
    <w:rsid w:val="00880BE9"/>
    <w:rsid w:val="008812F6"/>
    <w:rsid w:val="0088183F"/>
    <w:rsid w:val="00881B83"/>
    <w:rsid w:val="00882874"/>
    <w:rsid w:val="00882E3C"/>
    <w:rsid w:val="0088308A"/>
    <w:rsid w:val="00883787"/>
    <w:rsid w:val="008855E4"/>
    <w:rsid w:val="00885BEA"/>
    <w:rsid w:val="00885EA6"/>
    <w:rsid w:val="00885FB2"/>
    <w:rsid w:val="0088626E"/>
    <w:rsid w:val="00886CD2"/>
    <w:rsid w:val="00886CDF"/>
    <w:rsid w:val="0088722E"/>
    <w:rsid w:val="0089001F"/>
    <w:rsid w:val="00891224"/>
    <w:rsid w:val="0089140D"/>
    <w:rsid w:val="00891848"/>
    <w:rsid w:val="008918D2"/>
    <w:rsid w:val="00891E6F"/>
    <w:rsid w:val="00892137"/>
    <w:rsid w:val="0089230C"/>
    <w:rsid w:val="0089267A"/>
    <w:rsid w:val="0089275D"/>
    <w:rsid w:val="008928C2"/>
    <w:rsid w:val="00892A36"/>
    <w:rsid w:val="00893239"/>
    <w:rsid w:val="0089327A"/>
    <w:rsid w:val="0089370F"/>
    <w:rsid w:val="00893AAF"/>
    <w:rsid w:val="00893CDE"/>
    <w:rsid w:val="0089420E"/>
    <w:rsid w:val="00894489"/>
    <w:rsid w:val="00894804"/>
    <w:rsid w:val="00894CD6"/>
    <w:rsid w:val="00894EB1"/>
    <w:rsid w:val="00895F08"/>
    <w:rsid w:val="008963A5"/>
    <w:rsid w:val="00896D5D"/>
    <w:rsid w:val="00897719"/>
    <w:rsid w:val="008A0ED0"/>
    <w:rsid w:val="008A1762"/>
    <w:rsid w:val="008A3158"/>
    <w:rsid w:val="008A3363"/>
    <w:rsid w:val="008A3371"/>
    <w:rsid w:val="008A3C3E"/>
    <w:rsid w:val="008A52EB"/>
    <w:rsid w:val="008A5AAE"/>
    <w:rsid w:val="008A609D"/>
    <w:rsid w:val="008A65EB"/>
    <w:rsid w:val="008A7015"/>
    <w:rsid w:val="008A709D"/>
    <w:rsid w:val="008A79DE"/>
    <w:rsid w:val="008A7AE4"/>
    <w:rsid w:val="008A7B3A"/>
    <w:rsid w:val="008B0775"/>
    <w:rsid w:val="008B0A59"/>
    <w:rsid w:val="008B0D47"/>
    <w:rsid w:val="008B1757"/>
    <w:rsid w:val="008B1C33"/>
    <w:rsid w:val="008B2A49"/>
    <w:rsid w:val="008B35F1"/>
    <w:rsid w:val="008B48D4"/>
    <w:rsid w:val="008B4B6F"/>
    <w:rsid w:val="008B5564"/>
    <w:rsid w:val="008B6090"/>
    <w:rsid w:val="008B6B21"/>
    <w:rsid w:val="008B7447"/>
    <w:rsid w:val="008B7992"/>
    <w:rsid w:val="008B7D7E"/>
    <w:rsid w:val="008C05B1"/>
    <w:rsid w:val="008C0922"/>
    <w:rsid w:val="008C15AE"/>
    <w:rsid w:val="008C230C"/>
    <w:rsid w:val="008C237A"/>
    <w:rsid w:val="008C3E8D"/>
    <w:rsid w:val="008C448C"/>
    <w:rsid w:val="008C469A"/>
    <w:rsid w:val="008C51FD"/>
    <w:rsid w:val="008C5610"/>
    <w:rsid w:val="008C5739"/>
    <w:rsid w:val="008C5BC5"/>
    <w:rsid w:val="008C5D17"/>
    <w:rsid w:val="008C65A2"/>
    <w:rsid w:val="008C6A3A"/>
    <w:rsid w:val="008C6CA9"/>
    <w:rsid w:val="008C7282"/>
    <w:rsid w:val="008C78B1"/>
    <w:rsid w:val="008C7D9F"/>
    <w:rsid w:val="008C7ECB"/>
    <w:rsid w:val="008D03C4"/>
    <w:rsid w:val="008D0C01"/>
    <w:rsid w:val="008D13E9"/>
    <w:rsid w:val="008D1449"/>
    <w:rsid w:val="008D3B86"/>
    <w:rsid w:val="008D3D83"/>
    <w:rsid w:val="008D40E8"/>
    <w:rsid w:val="008D4194"/>
    <w:rsid w:val="008D43FD"/>
    <w:rsid w:val="008D4755"/>
    <w:rsid w:val="008D4C3D"/>
    <w:rsid w:val="008D5D7C"/>
    <w:rsid w:val="008D64B0"/>
    <w:rsid w:val="008D658F"/>
    <w:rsid w:val="008D743C"/>
    <w:rsid w:val="008E0D3C"/>
    <w:rsid w:val="008E1103"/>
    <w:rsid w:val="008E1B9E"/>
    <w:rsid w:val="008E27B2"/>
    <w:rsid w:val="008E28E2"/>
    <w:rsid w:val="008E3024"/>
    <w:rsid w:val="008E31C9"/>
    <w:rsid w:val="008E3204"/>
    <w:rsid w:val="008E3B97"/>
    <w:rsid w:val="008E3CDC"/>
    <w:rsid w:val="008E3F00"/>
    <w:rsid w:val="008E4E03"/>
    <w:rsid w:val="008E55AB"/>
    <w:rsid w:val="008E5707"/>
    <w:rsid w:val="008E5A33"/>
    <w:rsid w:val="008E5E0D"/>
    <w:rsid w:val="008E6335"/>
    <w:rsid w:val="008E6E95"/>
    <w:rsid w:val="008E701F"/>
    <w:rsid w:val="008E72CB"/>
    <w:rsid w:val="008E788F"/>
    <w:rsid w:val="008F0383"/>
    <w:rsid w:val="008F08CA"/>
    <w:rsid w:val="008F1118"/>
    <w:rsid w:val="008F120A"/>
    <w:rsid w:val="008F1253"/>
    <w:rsid w:val="008F131A"/>
    <w:rsid w:val="008F1D0E"/>
    <w:rsid w:val="008F1ED8"/>
    <w:rsid w:val="008F20C4"/>
    <w:rsid w:val="008F27E0"/>
    <w:rsid w:val="008F3B5C"/>
    <w:rsid w:val="008F44C3"/>
    <w:rsid w:val="008F48EB"/>
    <w:rsid w:val="008F4BA5"/>
    <w:rsid w:val="008F4F0B"/>
    <w:rsid w:val="008F52A6"/>
    <w:rsid w:val="008F5488"/>
    <w:rsid w:val="008F575D"/>
    <w:rsid w:val="008F5BBA"/>
    <w:rsid w:val="008F7D1F"/>
    <w:rsid w:val="00900013"/>
    <w:rsid w:val="00900FF6"/>
    <w:rsid w:val="00901543"/>
    <w:rsid w:val="00902AA2"/>
    <w:rsid w:val="00902C78"/>
    <w:rsid w:val="00902F9A"/>
    <w:rsid w:val="009032D7"/>
    <w:rsid w:val="00903311"/>
    <w:rsid w:val="0090363C"/>
    <w:rsid w:val="00903ABB"/>
    <w:rsid w:val="00903AC0"/>
    <w:rsid w:val="00904076"/>
    <w:rsid w:val="009046C4"/>
    <w:rsid w:val="009048F2"/>
    <w:rsid w:val="009049A4"/>
    <w:rsid w:val="00904ECB"/>
    <w:rsid w:val="009056FE"/>
    <w:rsid w:val="00905833"/>
    <w:rsid w:val="009062A5"/>
    <w:rsid w:val="00907699"/>
    <w:rsid w:val="009105E3"/>
    <w:rsid w:val="00910FA7"/>
    <w:rsid w:val="00911272"/>
    <w:rsid w:val="00911339"/>
    <w:rsid w:val="00911B00"/>
    <w:rsid w:val="009120F8"/>
    <w:rsid w:val="009135D6"/>
    <w:rsid w:val="0091451B"/>
    <w:rsid w:val="00914806"/>
    <w:rsid w:val="00914C77"/>
    <w:rsid w:val="00914F6D"/>
    <w:rsid w:val="0091574A"/>
    <w:rsid w:val="00915E3A"/>
    <w:rsid w:val="00915ED2"/>
    <w:rsid w:val="0091613D"/>
    <w:rsid w:val="009167D2"/>
    <w:rsid w:val="00916A01"/>
    <w:rsid w:val="009201D3"/>
    <w:rsid w:val="00920D05"/>
    <w:rsid w:val="0092108B"/>
    <w:rsid w:val="009211DB"/>
    <w:rsid w:val="009213B8"/>
    <w:rsid w:val="00921ACB"/>
    <w:rsid w:val="00921CDA"/>
    <w:rsid w:val="00922424"/>
    <w:rsid w:val="0092296A"/>
    <w:rsid w:val="0092369B"/>
    <w:rsid w:val="00923F78"/>
    <w:rsid w:val="009243D5"/>
    <w:rsid w:val="00924F75"/>
    <w:rsid w:val="009250E8"/>
    <w:rsid w:val="009254DD"/>
    <w:rsid w:val="00926200"/>
    <w:rsid w:val="009262E7"/>
    <w:rsid w:val="00926397"/>
    <w:rsid w:val="00926B9C"/>
    <w:rsid w:val="00927745"/>
    <w:rsid w:val="00927AD3"/>
    <w:rsid w:val="00927F56"/>
    <w:rsid w:val="00930D60"/>
    <w:rsid w:val="00930E91"/>
    <w:rsid w:val="00930FD5"/>
    <w:rsid w:val="00932EEC"/>
    <w:rsid w:val="00933A5A"/>
    <w:rsid w:val="009348E5"/>
    <w:rsid w:val="00934988"/>
    <w:rsid w:val="00934A80"/>
    <w:rsid w:val="0093510A"/>
    <w:rsid w:val="00936003"/>
    <w:rsid w:val="00936EAA"/>
    <w:rsid w:val="00937089"/>
    <w:rsid w:val="0093709D"/>
    <w:rsid w:val="00937F61"/>
    <w:rsid w:val="00940D6A"/>
    <w:rsid w:val="00940EAE"/>
    <w:rsid w:val="00940F2F"/>
    <w:rsid w:val="00941599"/>
    <w:rsid w:val="00941AE9"/>
    <w:rsid w:val="009421F8"/>
    <w:rsid w:val="00942559"/>
    <w:rsid w:val="00942726"/>
    <w:rsid w:val="00942799"/>
    <w:rsid w:val="00942A5E"/>
    <w:rsid w:val="009431BD"/>
    <w:rsid w:val="00943D37"/>
    <w:rsid w:val="00943F1F"/>
    <w:rsid w:val="00944F8A"/>
    <w:rsid w:val="009455B8"/>
    <w:rsid w:val="00945AEF"/>
    <w:rsid w:val="009462FA"/>
    <w:rsid w:val="00946C3F"/>
    <w:rsid w:val="00946EC2"/>
    <w:rsid w:val="00947763"/>
    <w:rsid w:val="0094791D"/>
    <w:rsid w:val="009479FE"/>
    <w:rsid w:val="009504D9"/>
    <w:rsid w:val="00950956"/>
    <w:rsid w:val="00951065"/>
    <w:rsid w:val="009510A2"/>
    <w:rsid w:val="00951179"/>
    <w:rsid w:val="0095199A"/>
    <w:rsid w:val="00952FA0"/>
    <w:rsid w:val="00953255"/>
    <w:rsid w:val="00953257"/>
    <w:rsid w:val="0095474C"/>
    <w:rsid w:val="00954C03"/>
    <w:rsid w:val="00954F0F"/>
    <w:rsid w:val="009552D7"/>
    <w:rsid w:val="00955A03"/>
    <w:rsid w:val="009564FE"/>
    <w:rsid w:val="009568BD"/>
    <w:rsid w:val="00956CCE"/>
    <w:rsid w:val="00956D45"/>
    <w:rsid w:val="00956EBE"/>
    <w:rsid w:val="009572B5"/>
    <w:rsid w:val="00957988"/>
    <w:rsid w:val="00957D92"/>
    <w:rsid w:val="00960A29"/>
    <w:rsid w:val="00961038"/>
    <w:rsid w:val="00961164"/>
    <w:rsid w:val="00961FF6"/>
    <w:rsid w:val="00962CB9"/>
    <w:rsid w:val="00962D92"/>
    <w:rsid w:val="00962DC6"/>
    <w:rsid w:val="00963F02"/>
    <w:rsid w:val="00964312"/>
    <w:rsid w:val="00964373"/>
    <w:rsid w:val="009651EE"/>
    <w:rsid w:val="00965B8A"/>
    <w:rsid w:val="00966E28"/>
    <w:rsid w:val="009677DB"/>
    <w:rsid w:val="00967DD1"/>
    <w:rsid w:val="0097061B"/>
    <w:rsid w:val="0097071F"/>
    <w:rsid w:val="0097074B"/>
    <w:rsid w:val="00970FCC"/>
    <w:rsid w:val="00971291"/>
    <w:rsid w:val="009717AC"/>
    <w:rsid w:val="009717F2"/>
    <w:rsid w:val="00971A8B"/>
    <w:rsid w:val="009721A8"/>
    <w:rsid w:val="00972521"/>
    <w:rsid w:val="0097264E"/>
    <w:rsid w:val="00975052"/>
    <w:rsid w:val="00975086"/>
    <w:rsid w:val="009751C1"/>
    <w:rsid w:val="009755CE"/>
    <w:rsid w:val="009755E3"/>
    <w:rsid w:val="00975640"/>
    <w:rsid w:val="00975779"/>
    <w:rsid w:val="009757D5"/>
    <w:rsid w:val="00976CBD"/>
    <w:rsid w:val="00976CD9"/>
    <w:rsid w:val="00977100"/>
    <w:rsid w:val="0097794D"/>
    <w:rsid w:val="00977AD5"/>
    <w:rsid w:val="00977FB1"/>
    <w:rsid w:val="00980271"/>
    <w:rsid w:val="00980800"/>
    <w:rsid w:val="009808CF"/>
    <w:rsid w:val="00980C0E"/>
    <w:rsid w:val="009811F1"/>
    <w:rsid w:val="00981220"/>
    <w:rsid w:val="009814BD"/>
    <w:rsid w:val="00981908"/>
    <w:rsid w:val="00981F38"/>
    <w:rsid w:val="0098262F"/>
    <w:rsid w:val="00982673"/>
    <w:rsid w:val="00982A8B"/>
    <w:rsid w:val="00982D50"/>
    <w:rsid w:val="00983160"/>
    <w:rsid w:val="00983606"/>
    <w:rsid w:val="009836D2"/>
    <w:rsid w:val="009837CE"/>
    <w:rsid w:val="00983D44"/>
    <w:rsid w:val="00983E57"/>
    <w:rsid w:val="00984366"/>
    <w:rsid w:val="00984E1D"/>
    <w:rsid w:val="0098593E"/>
    <w:rsid w:val="00985DE2"/>
    <w:rsid w:val="0098675D"/>
    <w:rsid w:val="009869DE"/>
    <w:rsid w:val="00986E68"/>
    <w:rsid w:val="00986EDF"/>
    <w:rsid w:val="0098725D"/>
    <w:rsid w:val="009872A8"/>
    <w:rsid w:val="009874FC"/>
    <w:rsid w:val="00987BA4"/>
    <w:rsid w:val="00987F5F"/>
    <w:rsid w:val="0099006A"/>
    <w:rsid w:val="00990450"/>
    <w:rsid w:val="00990765"/>
    <w:rsid w:val="00991722"/>
    <w:rsid w:val="00991B88"/>
    <w:rsid w:val="00991ED5"/>
    <w:rsid w:val="009926E0"/>
    <w:rsid w:val="009930E2"/>
    <w:rsid w:val="00993372"/>
    <w:rsid w:val="009935A3"/>
    <w:rsid w:val="00993C0B"/>
    <w:rsid w:val="00993C50"/>
    <w:rsid w:val="0099431C"/>
    <w:rsid w:val="00994415"/>
    <w:rsid w:val="0099451E"/>
    <w:rsid w:val="00994768"/>
    <w:rsid w:val="00995198"/>
    <w:rsid w:val="00995A46"/>
    <w:rsid w:val="00995CE3"/>
    <w:rsid w:val="009965E1"/>
    <w:rsid w:val="00996B1A"/>
    <w:rsid w:val="0099708A"/>
    <w:rsid w:val="00997510"/>
    <w:rsid w:val="009976DA"/>
    <w:rsid w:val="009978F5"/>
    <w:rsid w:val="00997AF3"/>
    <w:rsid w:val="009A003A"/>
    <w:rsid w:val="009A0494"/>
    <w:rsid w:val="009A09CC"/>
    <w:rsid w:val="009A0A4C"/>
    <w:rsid w:val="009A0C9C"/>
    <w:rsid w:val="009A18F6"/>
    <w:rsid w:val="009A1C42"/>
    <w:rsid w:val="009A2DCC"/>
    <w:rsid w:val="009A35E9"/>
    <w:rsid w:val="009A47CB"/>
    <w:rsid w:val="009A523B"/>
    <w:rsid w:val="009A5ABC"/>
    <w:rsid w:val="009A69DC"/>
    <w:rsid w:val="009A6C20"/>
    <w:rsid w:val="009A7061"/>
    <w:rsid w:val="009A772F"/>
    <w:rsid w:val="009A7F10"/>
    <w:rsid w:val="009B16FC"/>
    <w:rsid w:val="009B24EB"/>
    <w:rsid w:val="009B2A58"/>
    <w:rsid w:val="009B3077"/>
    <w:rsid w:val="009B3564"/>
    <w:rsid w:val="009B3D75"/>
    <w:rsid w:val="009B3E26"/>
    <w:rsid w:val="009B4441"/>
    <w:rsid w:val="009B4914"/>
    <w:rsid w:val="009B4A4E"/>
    <w:rsid w:val="009B54B5"/>
    <w:rsid w:val="009B6396"/>
    <w:rsid w:val="009B7E75"/>
    <w:rsid w:val="009B7F3E"/>
    <w:rsid w:val="009C0206"/>
    <w:rsid w:val="009C1048"/>
    <w:rsid w:val="009C1271"/>
    <w:rsid w:val="009C1E7E"/>
    <w:rsid w:val="009C22DB"/>
    <w:rsid w:val="009C26AC"/>
    <w:rsid w:val="009C2B15"/>
    <w:rsid w:val="009C2D93"/>
    <w:rsid w:val="009C3706"/>
    <w:rsid w:val="009C3A3A"/>
    <w:rsid w:val="009C3AD4"/>
    <w:rsid w:val="009C3B33"/>
    <w:rsid w:val="009C3F50"/>
    <w:rsid w:val="009C426B"/>
    <w:rsid w:val="009C4ACF"/>
    <w:rsid w:val="009C5569"/>
    <w:rsid w:val="009C5587"/>
    <w:rsid w:val="009C56C7"/>
    <w:rsid w:val="009C5DBA"/>
    <w:rsid w:val="009C6B81"/>
    <w:rsid w:val="009C6CEA"/>
    <w:rsid w:val="009C7B85"/>
    <w:rsid w:val="009C7C57"/>
    <w:rsid w:val="009D0254"/>
    <w:rsid w:val="009D06CE"/>
    <w:rsid w:val="009D0FF8"/>
    <w:rsid w:val="009D16CD"/>
    <w:rsid w:val="009D1A64"/>
    <w:rsid w:val="009D1A71"/>
    <w:rsid w:val="009D2375"/>
    <w:rsid w:val="009D28AA"/>
    <w:rsid w:val="009D2CC4"/>
    <w:rsid w:val="009D3321"/>
    <w:rsid w:val="009D35C4"/>
    <w:rsid w:val="009D4A86"/>
    <w:rsid w:val="009D5094"/>
    <w:rsid w:val="009D5B91"/>
    <w:rsid w:val="009D6047"/>
    <w:rsid w:val="009D684D"/>
    <w:rsid w:val="009D68A6"/>
    <w:rsid w:val="009D6E85"/>
    <w:rsid w:val="009D7551"/>
    <w:rsid w:val="009D7644"/>
    <w:rsid w:val="009D792E"/>
    <w:rsid w:val="009E0DFE"/>
    <w:rsid w:val="009E1548"/>
    <w:rsid w:val="009E1B24"/>
    <w:rsid w:val="009E2150"/>
    <w:rsid w:val="009E2C6B"/>
    <w:rsid w:val="009E2FAC"/>
    <w:rsid w:val="009E31F6"/>
    <w:rsid w:val="009E3601"/>
    <w:rsid w:val="009E3B0A"/>
    <w:rsid w:val="009E4816"/>
    <w:rsid w:val="009E4908"/>
    <w:rsid w:val="009E4C07"/>
    <w:rsid w:val="009E4E52"/>
    <w:rsid w:val="009E563A"/>
    <w:rsid w:val="009E568C"/>
    <w:rsid w:val="009E5762"/>
    <w:rsid w:val="009E5887"/>
    <w:rsid w:val="009E63F7"/>
    <w:rsid w:val="009E6762"/>
    <w:rsid w:val="009E6821"/>
    <w:rsid w:val="009E777F"/>
    <w:rsid w:val="009F10A2"/>
    <w:rsid w:val="009F15F9"/>
    <w:rsid w:val="009F1CC7"/>
    <w:rsid w:val="009F1DF9"/>
    <w:rsid w:val="009F1F5A"/>
    <w:rsid w:val="009F1F6C"/>
    <w:rsid w:val="009F2455"/>
    <w:rsid w:val="009F261A"/>
    <w:rsid w:val="009F2FDA"/>
    <w:rsid w:val="009F3259"/>
    <w:rsid w:val="009F4CED"/>
    <w:rsid w:val="009F5D07"/>
    <w:rsid w:val="009F5FF8"/>
    <w:rsid w:val="009F6120"/>
    <w:rsid w:val="009F624D"/>
    <w:rsid w:val="009F6AEC"/>
    <w:rsid w:val="009F702B"/>
    <w:rsid w:val="009F782D"/>
    <w:rsid w:val="00A00D76"/>
    <w:rsid w:val="00A01184"/>
    <w:rsid w:val="00A01449"/>
    <w:rsid w:val="00A018A1"/>
    <w:rsid w:val="00A01AB6"/>
    <w:rsid w:val="00A028A0"/>
    <w:rsid w:val="00A02A77"/>
    <w:rsid w:val="00A0365E"/>
    <w:rsid w:val="00A037C2"/>
    <w:rsid w:val="00A03D43"/>
    <w:rsid w:val="00A04214"/>
    <w:rsid w:val="00A04336"/>
    <w:rsid w:val="00A04380"/>
    <w:rsid w:val="00A044AE"/>
    <w:rsid w:val="00A04786"/>
    <w:rsid w:val="00A05133"/>
    <w:rsid w:val="00A05472"/>
    <w:rsid w:val="00A0563B"/>
    <w:rsid w:val="00A05C32"/>
    <w:rsid w:val="00A0653F"/>
    <w:rsid w:val="00A06798"/>
    <w:rsid w:val="00A0699E"/>
    <w:rsid w:val="00A06B01"/>
    <w:rsid w:val="00A06B79"/>
    <w:rsid w:val="00A07916"/>
    <w:rsid w:val="00A10485"/>
    <w:rsid w:val="00A11A6E"/>
    <w:rsid w:val="00A11C5D"/>
    <w:rsid w:val="00A11CD0"/>
    <w:rsid w:val="00A1326B"/>
    <w:rsid w:val="00A13948"/>
    <w:rsid w:val="00A14102"/>
    <w:rsid w:val="00A14632"/>
    <w:rsid w:val="00A14DB4"/>
    <w:rsid w:val="00A1555B"/>
    <w:rsid w:val="00A155C5"/>
    <w:rsid w:val="00A15734"/>
    <w:rsid w:val="00A157DC"/>
    <w:rsid w:val="00A16357"/>
    <w:rsid w:val="00A16AD8"/>
    <w:rsid w:val="00A173ED"/>
    <w:rsid w:val="00A17402"/>
    <w:rsid w:val="00A17664"/>
    <w:rsid w:val="00A1769B"/>
    <w:rsid w:val="00A2021E"/>
    <w:rsid w:val="00A20524"/>
    <w:rsid w:val="00A209F9"/>
    <w:rsid w:val="00A210B7"/>
    <w:rsid w:val="00A21767"/>
    <w:rsid w:val="00A219BA"/>
    <w:rsid w:val="00A21A59"/>
    <w:rsid w:val="00A21AD6"/>
    <w:rsid w:val="00A21C95"/>
    <w:rsid w:val="00A21CF3"/>
    <w:rsid w:val="00A21EDF"/>
    <w:rsid w:val="00A230F9"/>
    <w:rsid w:val="00A23134"/>
    <w:rsid w:val="00A2402B"/>
    <w:rsid w:val="00A241B8"/>
    <w:rsid w:val="00A24813"/>
    <w:rsid w:val="00A2499F"/>
    <w:rsid w:val="00A249C9"/>
    <w:rsid w:val="00A2537A"/>
    <w:rsid w:val="00A25437"/>
    <w:rsid w:val="00A25943"/>
    <w:rsid w:val="00A25E09"/>
    <w:rsid w:val="00A2642D"/>
    <w:rsid w:val="00A26A86"/>
    <w:rsid w:val="00A2761A"/>
    <w:rsid w:val="00A27AEC"/>
    <w:rsid w:val="00A30A27"/>
    <w:rsid w:val="00A31FB5"/>
    <w:rsid w:val="00A320DB"/>
    <w:rsid w:val="00A322C5"/>
    <w:rsid w:val="00A32490"/>
    <w:rsid w:val="00A32E25"/>
    <w:rsid w:val="00A33467"/>
    <w:rsid w:val="00A3361B"/>
    <w:rsid w:val="00A33B7E"/>
    <w:rsid w:val="00A33F4B"/>
    <w:rsid w:val="00A35138"/>
    <w:rsid w:val="00A35351"/>
    <w:rsid w:val="00A356B6"/>
    <w:rsid w:val="00A35753"/>
    <w:rsid w:val="00A359A4"/>
    <w:rsid w:val="00A35B65"/>
    <w:rsid w:val="00A35D16"/>
    <w:rsid w:val="00A36131"/>
    <w:rsid w:val="00A365A6"/>
    <w:rsid w:val="00A369C3"/>
    <w:rsid w:val="00A37A4A"/>
    <w:rsid w:val="00A37BCD"/>
    <w:rsid w:val="00A412B1"/>
    <w:rsid w:val="00A41689"/>
    <w:rsid w:val="00A4247A"/>
    <w:rsid w:val="00A42592"/>
    <w:rsid w:val="00A42ADB"/>
    <w:rsid w:val="00A4369E"/>
    <w:rsid w:val="00A438F4"/>
    <w:rsid w:val="00A43B4B"/>
    <w:rsid w:val="00A43C59"/>
    <w:rsid w:val="00A4467F"/>
    <w:rsid w:val="00A44F8A"/>
    <w:rsid w:val="00A46189"/>
    <w:rsid w:val="00A4696C"/>
    <w:rsid w:val="00A46B84"/>
    <w:rsid w:val="00A46F41"/>
    <w:rsid w:val="00A5036B"/>
    <w:rsid w:val="00A505E6"/>
    <w:rsid w:val="00A50ECD"/>
    <w:rsid w:val="00A51881"/>
    <w:rsid w:val="00A518F3"/>
    <w:rsid w:val="00A51C91"/>
    <w:rsid w:val="00A52729"/>
    <w:rsid w:val="00A52A07"/>
    <w:rsid w:val="00A52EC6"/>
    <w:rsid w:val="00A52FE4"/>
    <w:rsid w:val="00A531BD"/>
    <w:rsid w:val="00A53491"/>
    <w:rsid w:val="00A53675"/>
    <w:rsid w:val="00A54889"/>
    <w:rsid w:val="00A54892"/>
    <w:rsid w:val="00A550CC"/>
    <w:rsid w:val="00A552BB"/>
    <w:rsid w:val="00A5562D"/>
    <w:rsid w:val="00A564D7"/>
    <w:rsid w:val="00A5697A"/>
    <w:rsid w:val="00A56B6A"/>
    <w:rsid w:val="00A578DC"/>
    <w:rsid w:val="00A602A6"/>
    <w:rsid w:val="00A605A9"/>
    <w:rsid w:val="00A60D4C"/>
    <w:rsid w:val="00A619BD"/>
    <w:rsid w:val="00A61C1B"/>
    <w:rsid w:val="00A61FDE"/>
    <w:rsid w:val="00A62EC0"/>
    <w:rsid w:val="00A62F2B"/>
    <w:rsid w:val="00A640E2"/>
    <w:rsid w:val="00A644E3"/>
    <w:rsid w:val="00A649E7"/>
    <w:rsid w:val="00A64B65"/>
    <w:rsid w:val="00A64D65"/>
    <w:rsid w:val="00A654B7"/>
    <w:rsid w:val="00A6577E"/>
    <w:rsid w:val="00A65A2F"/>
    <w:rsid w:val="00A65BEB"/>
    <w:rsid w:val="00A65D95"/>
    <w:rsid w:val="00A65EF0"/>
    <w:rsid w:val="00A660F8"/>
    <w:rsid w:val="00A66FC0"/>
    <w:rsid w:val="00A6725B"/>
    <w:rsid w:val="00A6734E"/>
    <w:rsid w:val="00A67389"/>
    <w:rsid w:val="00A67625"/>
    <w:rsid w:val="00A67931"/>
    <w:rsid w:val="00A703FE"/>
    <w:rsid w:val="00A70519"/>
    <w:rsid w:val="00A70605"/>
    <w:rsid w:val="00A706AE"/>
    <w:rsid w:val="00A70F9E"/>
    <w:rsid w:val="00A71B9B"/>
    <w:rsid w:val="00A71C6D"/>
    <w:rsid w:val="00A72440"/>
    <w:rsid w:val="00A72D24"/>
    <w:rsid w:val="00A72D52"/>
    <w:rsid w:val="00A73134"/>
    <w:rsid w:val="00A7365A"/>
    <w:rsid w:val="00A7475C"/>
    <w:rsid w:val="00A74A0A"/>
    <w:rsid w:val="00A76001"/>
    <w:rsid w:val="00A764B4"/>
    <w:rsid w:val="00A7715A"/>
    <w:rsid w:val="00A771FD"/>
    <w:rsid w:val="00A7759C"/>
    <w:rsid w:val="00A776A4"/>
    <w:rsid w:val="00A777B2"/>
    <w:rsid w:val="00A77C3A"/>
    <w:rsid w:val="00A814F0"/>
    <w:rsid w:val="00A8173E"/>
    <w:rsid w:val="00A825D4"/>
    <w:rsid w:val="00A82812"/>
    <w:rsid w:val="00A828F6"/>
    <w:rsid w:val="00A82B73"/>
    <w:rsid w:val="00A830D0"/>
    <w:rsid w:val="00A837A1"/>
    <w:rsid w:val="00A83EDB"/>
    <w:rsid w:val="00A8426A"/>
    <w:rsid w:val="00A8444B"/>
    <w:rsid w:val="00A85354"/>
    <w:rsid w:val="00A86E8B"/>
    <w:rsid w:val="00A87164"/>
    <w:rsid w:val="00A871A9"/>
    <w:rsid w:val="00A90811"/>
    <w:rsid w:val="00A91720"/>
    <w:rsid w:val="00A91B5B"/>
    <w:rsid w:val="00A91C6D"/>
    <w:rsid w:val="00A924DE"/>
    <w:rsid w:val="00A9287A"/>
    <w:rsid w:val="00A93072"/>
    <w:rsid w:val="00A9347F"/>
    <w:rsid w:val="00A938BD"/>
    <w:rsid w:val="00A93953"/>
    <w:rsid w:val="00A9454E"/>
    <w:rsid w:val="00A9540C"/>
    <w:rsid w:val="00A959D8"/>
    <w:rsid w:val="00A964EF"/>
    <w:rsid w:val="00A975F2"/>
    <w:rsid w:val="00A976C7"/>
    <w:rsid w:val="00A979BA"/>
    <w:rsid w:val="00A97AEF"/>
    <w:rsid w:val="00A97D81"/>
    <w:rsid w:val="00AA093D"/>
    <w:rsid w:val="00AA0CA7"/>
    <w:rsid w:val="00AA113D"/>
    <w:rsid w:val="00AA19A0"/>
    <w:rsid w:val="00AA1AC8"/>
    <w:rsid w:val="00AA2B7E"/>
    <w:rsid w:val="00AA2D88"/>
    <w:rsid w:val="00AA3480"/>
    <w:rsid w:val="00AA36F4"/>
    <w:rsid w:val="00AA38A6"/>
    <w:rsid w:val="00AA3D1C"/>
    <w:rsid w:val="00AA41D8"/>
    <w:rsid w:val="00AA5D87"/>
    <w:rsid w:val="00AA5F78"/>
    <w:rsid w:val="00AA6BD5"/>
    <w:rsid w:val="00AA6BD8"/>
    <w:rsid w:val="00AA6C7D"/>
    <w:rsid w:val="00AA712E"/>
    <w:rsid w:val="00AA7C16"/>
    <w:rsid w:val="00AA7FD6"/>
    <w:rsid w:val="00AB042A"/>
    <w:rsid w:val="00AB061F"/>
    <w:rsid w:val="00AB0642"/>
    <w:rsid w:val="00AB074A"/>
    <w:rsid w:val="00AB11AD"/>
    <w:rsid w:val="00AB19EF"/>
    <w:rsid w:val="00AB22F7"/>
    <w:rsid w:val="00AB2495"/>
    <w:rsid w:val="00AB2B47"/>
    <w:rsid w:val="00AB2D34"/>
    <w:rsid w:val="00AB3429"/>
    <w:rsid w:val="00AB3430"/>
    <w:rsid w:val="00AB351B"/>
    <w:rsid w:val="00AB37B9"/>
    <w:rsid w:val="00AB4AD1"/>
    <w:rsid w:val="00AB51F0"/>
    <w:rsid w:val="00AB530F"/>
    <w:rsid w:val="00AB5410"/>
    <w:rsid w:val="00AB55EA"/>
    <w:rsid w:val="00AB5AA9"/>
    <w:rsid w:val="00AB5E07"/>
    <w:rsid w:val="00AB60D9"/>
    <w:rsid w:val="00AB620C"/>
    <w:rsid w:val="00AB6A8C"/>
    <w:rsid w:val="00AB6C67"/>
    <w:rsid w:val="00AB71CD"/>
    <w:rsid w:val="00AB72A0"/>
    <w:rsid w:val="00AB7CFA"/>
    <w:rsid w:val="00AC0C31"/>
    <w:rsid w:val="00AC0F44"/>
    <w:rsid w:val="00AC0FB8"/>
    <w:rsid w:val="00AC127D"/>
    <w:rsid w:val="00AC2041"/>
    <w:rsid w:val="00AC314E"/>
    <w:rsid w:val="00AC33CD"/>
    <w:rsid w:val="00AC3618"/>
    <w:rsid w:val="00AC469B"/>
    <w:rsid w:val="00AC4E67"/>
    <w:rsid w:val="00AC5292"/>
    <w:rsid w:val="00AC5B42"/>
    <w:rsid w:val="00AC5B48"/>
    <w:rsid w:val="00AC5D78"/>
    <w:rsid w:val="00AC717E"/>
    <w:rsid w:val="00AC791E"/>
    <w:rsid w:val="00AD0B92"/>
    <w:rsid w:val="00AD0BE8"/>
    <w:rsid w:val="00AD0CC0"/>
    <w:rsid w:val="00AD1450"/>
    <w:rsid w:val="00AD1581"/>
    <w:rsid w:val="00AD15E8"/>
    <w:rsid w:val="00AD1730"/>
    <w:rsid w:val="00AD1B89"/>
    <w:rsid w:val="00AD1CD5"/>
    <w:rsid w:val="00AD211D"/>
    <w:rsid w:val="00AD32BD"/>
    <w:rsid w:val="00AD32F4"/>
    <w:rsid w:val="00AD356D"/>
    <w:rsid w:val="00AD39FA"/>
    <w:rsid w:val="00AD3D36"/>
    <w:rsid w:val="00AD4064"/>
    <w:rsid w:val="00AD420A"/>
    <w:rsid w:val="00AD4560"/>
    <w:rsid w:val="00AD5460"/>
    <w:rsid w:val="00AD54E5"/>
    <w:rsid w:val="00AD5C0B"/>
    <w:rsid w:val="00AD6502"/>
    <w:rsid w:val="00AD7E6E"/>
    <w:rsid w:val="00AD7F75"/>
    <w:rsid w:val="00AE0695"/>
    <w:rsid w:val="00AE2092"/>
    <w:rsid w:val="00AE233A"/>
    <w:rsid w:val="00AE267B"/>
    <w:rsid w:val="00AE2712"/>
    <w:rsid w:val="00AE2900"/>
    <w:rsid w:val="00AE2B3C"/>
    <w:rsid w:val="00AE3C4F"/>
    <w:rsid w:val="00AE3E7E"/>
    <w:rsid w:val="00AE410D"/>
    <w:rsid w:val="00AE4513"/>
    <w:rsid w:val="00AE5E4A"/>
    <w:rsid w:val="00AE6B92"/>
    <w:rsid w:val="00AE73EC"/>
    <w:rsid w:val="00AE7E53"/>
    <w:rsid w:val="00AF060E"/>
    <w:rsid w:val="00AF0F46"/>
    <w:rsid w:val="00AF1315"/>
    <w:rsid w:val="00AF1631"/>
    <w:rsid w:val="00AF19BF"/>
    <w:rsid w:val="00AF1D3A"/>
    <w:rsid w:val="00AF1FDB"/>
    <w:rsid w:val="00AF2672"/>
    <w:rsid w:val="00AF2780"/>
    <w:rsid w:val="00AF2DC3"/>
    <w:rsid w:val="00AF2EC2"/>
    <w:rsid w:val="00AF34E6"/>
    <w:rsid w:val="00AF3DED"/>
    <w:rsid w:val="00AF5CB4"/>
    <w:rsid w:val="00AF604C"/>
    <w:rsid w:val="00AF71D8"/>
    <w:rsid w:val="00AF7418"/>
    <w:rsid w:val="00AF767D"/>
    <w:rsid w:val="00AF77A1"/>
    <w:rsid w:val="00B00554"/>
    <w:rsid w:val="00B00805"/>
    <w:rsid w:val="00B00B62"/>
    <w:rsid w:val="00B01639"/>
    <w:rsid w:val="00B02051"/>
    <w:rsid w:val="00B02A6A"/>
    <w:rsid w:val="00B033E5"/>
    <w:rsid w:val="00B03A63"/>
    <w:rsid w:val="00B04630"/>
    <w:rsid w:val="00B04D69"/>
    <w:rsid w:val="00B050E2"/>
    <w:rsid w:val="00B0598A"/>
    <w:rsid w:val="00B062B4"/>
    <w:rsid w:val="00B06419"/>
    <w:rsid w:val="00B066B5"/>
    <w:rsid w:val="00B0676C"/>
    <w:rsid w:val="00B06E9C"/>
    <w:rsid w:val="00B07E1A"/>
    <w:rsid w:val="00B07F62"/>
    <w:rsid w:val="00B101A3"/>
    <w:rsid w:val="00B10336"/>
    <w:rsid w:val="00B105ED"/>
    <w:rsid w:val="00B1097B"/>
    <w:rsid w:val="00B10F5A"/>
    <w:rsid w:val="00B11AED"/>
    <w:rsid w:val="00B11D9B"/>
    <w:rsid w:val="00B1205E"/>
    <w:rsid w:val="00B1245D"/>
    <w:rsid w:val="00B12655"/>
    <w:rsid w:val="00B12886"/>
    <w:rsid w:val="00B129A4"/>
    <w:rsid w:val="00B12BA9"/>
    <w:rsid w:val="00B130B3"/>
    <w:rsid w:val="00B13C72"/>
    <w:rsid w:val="00B1415D"/>
    <w:rsid w:val="00B141F2"/>
    <w:rsid w:val="00B14615"/>
    <w:rsid w:val="00B15185"/>
    <w:rsid w:val="00B156CC"/>
    <w:rsid w:val="00B17336"/>
    <w:rsid w:val="00B201A4"/>
    <w:rsid w:val="00B201D1"/>
    <w:rsid w:val="00B20767"/>
    <w:rsid w:val="00B213A6"/>
    <w:rsid w:val="00B213B4"/>
    <w:rsid w:val="00B21B07"/>
    <w:rsid w:val="00B21BF6"/>
    <w:rsid w:val="00B21C96"/>
    <w:rsid w:val="00B22198"/>
    <w:rsid w:val="00B226DC"/>
    <w:rsid w:val="00B231DC"/>
    <w:rsid w:val="00B23352"/>
    <w:rsid w:val="00B23373"/>
    <w:rsid w:val="00B235B0"/>
    <w:rsid w:val="00B23612"/>
    <w:rsid w:val="00B24636"/>
    <w:rsid w:val="00B24B39"/>
    <w:rsid w:val="00B24DF6"/>
    <w:rsid w:val="00B25FD8"/>
    <w:rsid w:val="00B2700F"/>
    <w:rsid w:val="00B27A61"/>
    <w:rsid w:val="00B27CF2"/>
    <w:rsid w:val="00B301D9"/>
    <w:rsid w:val="00B32301"/>
    <w:rsid w:val="00B33344"/>
    <w:rsid w:val="00B33687"/>
    <w:rsid w:val="00B33C1F"/>
    <w:rsid w:val="00B34FE2"/>
    <w:rsid w:val="00B35166"/>
    <w:rsid w:val="00B357D8"/>
    <w:rsid w:val="00B35923"/>
    <w:rsid w:val="00B35949"/>
    <w:rsid w:val="00B35AF0"/>
    <w:rsid w:val="00B360F4"/>
    <w:rsid w:val="00B36A00"/>
    <w:rsid w:val="00B37460"/>
    <w:rsid w:val="00B3792B"/>
    <w:rsid w:val="00B37960"/>
    <w:rsid w:val="00B37BFC"/>
    <w:rsid w:val="00B40358"/>
    <w:rsid w:val="00B41063"/>
    <w:rsid w:val="00B41284"/>
    <w:rsid w:val="00B41614"/>
    <w:rsid w:val="00B422E3"/>
    <w:rsid w:val="00B42851"/>
    <w:rsid w:val="00B42F80"/>
    <w:rsid w:val="00B435CB"/>
    <w:rsid w:val="00B43B35"/>
    <w:rsid w:val="00B44006"/>
    <w:rsid w:val="00B4474A"/>
    <w:rsid w:val="00B449E8"/>
    <w:rsid w:val="00B44D57"/>
    <w:rsid w:val="00B44E6A"/>
    <w:rsid w:val="00B4504A"/>
    <w:rsid w:val="00B45F50"/>
    <w:rsid w:val="00B465EC"/>
    <w:rsid w:val="00B47639"/>
    <w:rsid w:val="00B47DFB"/>
    <w:rsid w:val="00B505C8"/>
    <w:rsid w:val="00B50C62"/>
    <w:rsid w:val="00B50DB8"/>
    <w:rsid w:val="00B50F7F"/>
    <w:rsid w:val="00B5106A"/>
    <w:rsid w:val="00B5188A"/>
    <w:rsid w:val="00B52AAF"/>
    <w:rsid w:val="00B52C50"/>
    <w:rsid w:val="00B533FC"/>
    <w:rsid w:val="00B5348B"/>
    <w:rsid w:val="00B53654"/>
    <w:rsid w:val="00B53905"/>
    <w:rsid w:val="00B53D8B"/>
    <w:rsid w:val="00B5440E"/>
    <w:rsid w:val="00B546DB"/>
    <w:rsid w:val="00B54B5B"/>
    <w:rsid w:val="00B54BCA"/>
    <w:rsid w:val="00B5562E"/>
    <w:rsid w:val="00B55862"/>
    <w:rsid w:val="00B558DB"/>
    <w:rsid w:val="00B55D65"/>
    <w:rsid w:val="00B56305"/>
    <w:rsid w:val="00B57000"/>
    <w:rsid w:val="00B577BC"/>
    <w:rsid w:val="00B57D60"/>
    <w:rsid w:val="00B60939"/>
    <w:rsid w:val="00B60A1D"/>
    <w:rsid w:val="00B60A3D"/>
    <w:rsid w:val="00B60AFD"/>
    <w:rsid w:val="00B61CE2"/>
    <w:rsid w:val="00B620CE"/>
    <w:rsid w:val="00B62715"/>
    <w:rsid w:val="00B62B34"/>
    <w:rsid w:val="00B633CF"/>
    <w:rsid w:val="00B64113"/>
    <w:rsid w:val="00B6497C"/>
    <w:rsid w:val="00B6511F"/>
    <w:rsid w:val="00B65611"/>
    <w:rsid w:val="00B65EA8"/>
    <w:rsid w:val="00B66272"/>
    <w:rsid w:val="00B66FA7"/>
    <w:rsid w:val="00B66FAE"/>
    <w:rsid w:val="00B6781D"/>
    <w:rsid w:val="00B67E02"/>
    <w:rsid w:val="00B67F04"/>
    <w:rsid w:val="00B67FA5"/>
    <w:rsid w:val="00B70327"/>
    <w:rsid w:val="00B7041C"/>
    <w:rsid w:val="00B70685"/>
    <w:rsid w:val="00B706D3"/>
    <w:rsid w:val="00B70D96"/>
    <w:rsid w:val="00B70E8E"/>
    <w:rsid w:val="00B7104D"/>
    <w:rsid w:val="00B71E75"/>
    <w:rsid w:val="00B72BD0"/>
    <w:rsid w:val="00B73AE1"/>
    <w:rsid w:val="00B74049"/>
    <w:rsid w:val="00B754A0"/>
    <w:rsid w:val="00B756BC"/>
    <w:rsid w:val="00B75EF9"/>
    <w:rsid w:val="00B760AC"/>
    <w:rsid w:val="00B7627C"/>
    <w:rsid w:val="00B76869"/>
    <w:rsid w:val="00B7694F"/>
    <w:rsid w:val="00B76C92"/>
    <w:rsid w:val="00B80416"/>
    <w:rsid w:val="00B80EFD"/>
    <w:rsid w:val="00B818A4"/>
    <w:rsid w:val="00B819F2"/>
    <w:rsid w:val="00B81E84"/>
    <w:rsid w:val="00B82679"/>
    <w:rsid w:val="00B83739"/>
    <w:rsid w:val="00B84117"/>
    <w:rsid w:val="00B84F31"/>
    <w:rsid w:val="00B858F0"/>
    <w:rsid w:val="00B85AA2"/>
    <w:rsid w:val="00B8649C"/>
    <w:rsid w:val="00B866B5"/>
    <w:rsid w:val="00B866BB"/>
    <w:rsid w:val="00B867CE"/>
    <w:rsid w:val="00B8695D"/>
    <w:rsid w:val="00B86F53"/>
    <w:rsid w:val="00B8724E"/>
    <w:rsid w:val="00B87777"/>
    <w:rsid w:val="00B87F0A"/>
    <w:rsid w:val="00B905D6"/>
    <w:rsid w:val="00B91147"/>
    <w:rsid w:val="00B92D0B"/>
    <w:rsid w:val="00B9313D"/>
    <w:rsid w:val="00B93387"/>
    <w:rsid w:val="00B9339A"/>
    <w:rsid w:val="00B936A9"/>
    <w:rsid w:val="00B93DDD"/>
    <w:rsid w:val="00B94945"/>
    <w:rsid w:val="00B94DD6"/>
    <w:rsid w:val="00B94DE1"/>
    <w:rsid w:val="00B96630"/>
    <w:rsid w:val="00B96BE5"/>
    <w:rsid w:val="00B96F69"/>
    <w:rsid w:val="00B97197"/>
    <w:rsid w:val="00B973E6"/>
    <w:rsid w:val="00B974F7"/>
    <w:rsid w:val="00B976EB"/>
    <w:rsid w:val="00BA0C13"/>
    <w:rsid w:val="00BA0E16"/>
    <w:rsid w:val="00BA2689"/>
    <w:rsid w:val="00BA2F62"/>
    <w:rsid w:val="00BA322D"/>
    <w:rsid w:val="00BA4AA6"/>
    <w:rsid w:val="00BA4DEA"/>
    <w:rsid w:val="00BA60EE"/>
    <w:rsid w:val="00BA63FA"/>
    <w:rsid w:val="00BA66B3"/>
    <w:rsid w:val="00BA7E22"/>
    <w:rsid w:val="00BB00B3"/>
    <w:rsid w:val="00BB07EA"/>
    <w:rsid w:val="00BB0BDD"/>
    <w:rsid w:val="00BB176C"/>
    <w:rsid w:val="00BB17BA"/>
    <w:rsid w:val="00BB2224"/>
    <w:rsid w:val="00BB25F3"/>
    <w:rsid w:val="00BB2A73"/>
    <w:rsid w:val="00BB31BE"/>
    <w:rsid w:val="00BB3843"/>
    <w:rsid w:val="00BB3A45"/>
    <w:rsid w:val="00BB404C"/>
    <w:rsid w:val="00BB4515"/>
    <w:rsid w:val="00BB4ACC"/>
    <w:rsid w:val="00BB4DDF"/>
    <w:rsid w:val="00BB51F0"/>
    <w:rsid w:val="00BB53E0"/>
    <w:rsid w:val="00BB5863"/>
    <w:rsid w:val="00BB5BDB"/>
    <w:rsid w:val="00BB6637"/>
    <w:rsid w:val="00BB703E"/>
    <w:rsid w:val="00BB70FC"/>
    <w:rsid w:val="00BB7245"/>
    <w:rsid w:val="00BB732D"/>
    <w:rsid w:val="00BB7405"/>
    <w:rsid w:val="00BB7BC7"/>
    <w:rsid w:val="00BC0282"/>
    <w:rsid w:val="00BC0322"/>
    <w:rsid w:val="00BC1908"/>
    <w:rsid w:val="00BC23F8"/>
    <w:rsid w:val="00BC3026"/>
    <w:rsid w:val="00BC30DD"/>
    <w:rsid w:val="00BC3257"/>
    <w:rsid w:val="00BC3631"/>
    <w:rsid w:val="00BC3CBA"/>
    <w:rsid w:val="00BC40AA"/>
    <w:rsid w:val="00BC44D5"/>
    <w:rsid w:val="00BC4C2C"/>
    <w:rsid w:val="00BC533C"/>
    <w:rsid w:val="00BC591F"/>
    <w:rsid w:val="00BC5EAF"/>
    <w:rsid w:val="00BC789A"/>
    <w:rsid w:val="00BC7A02"/>
    <w:rsid w:val="00BC7BC7"/>
    <w:rsid w:val="00BC7D6D"/>
    <w:rsid w:val="00BD02CE"/>
    <w:rsid w:val="00BD0DE6"/>
    <w:rsid w:val="00BD0F1A"/>
    <w:rsid w:val="00BD1C9C"/>
    <w:rsid w:val="00BD2108"/>
    <w:rsid w:val="00BD31DC"/>
    <w:rsid w:val="00BD40EF"/>
    <w:rsid w:val="00BD4DFD"/>
    <w:rsid w:val="00BD58DF"/>
    <w:rsid w:val="00BD5946"/>
    <w:rsid w:val="00BD60EC"/>
    <w:rsid w:val="00BD62DF"/>
    <w:rsid w:val="00BD68A3"/>
    <w:rsid w:val="00BD6938"/>
    <w:rsid w:val="00BD6CF3"/>
    <w:rsid w:val="00BD729B"/>
    <w:rsid w:val="00BD7F72"/>
    <w:rsid w:val="00BE0070"/>
    <w:rsid w:val="00BE0137"/>
    <w:rsid w:val="00BE022D"/>
    <w:rsid w:val="00BE029D"/>
    <w:rsid w:val="00BE0349"/>
    <w:rsid w:val="00BE0751"/>
    <w:rsid w:val="00BE0ECA"/>
    <w:rsid w:val="00BE20AC"/>
    <w:rsid w:val="00BE2180"/>
    <w:rsid w:val="00BE21F2"/>
    <w:rsid w:val="00BE246B"/>
    <w:rsid w:val="00BE266F"/>
    <w:rsid w:val="00BE2D47"/>
    <w:rsid w:val="00BE3235"/>
    <w:rsid w:val="00BE35E8"/>
    <w:rsid w:val="00BE3921"/>
    <w:rsid w:val="00BE3AF2"/>
    <w:rsid w:val="00BE3EAA"/>
    <w:rsid w:val="00BE3FE8"/>
    <w:rsid w:val="00BE40D9"/>
    <w:rsid w:val="00BE41EE"/>
    <w:rsid w:val="00BE4275"/>
    <w:rsid w:val="00BE48FF"/>
    <w:rsid w:val="00BE52C0"/>
    <w:rsid w:val="00BE5D0B"/>
    <w:rsid w:val="00BE629D"/>
    <w:rsid w:val="00BE6AFD"/>
    <w:rsid w:val="00BE70B5"/>
    <w:rsid w:val="00BE74A5"/>
    <w:rsid w:val="00BE7C37"/>
    <w:rsid w:val="00BF06AE"/>
    <w:rsid w:val="00BF0846"/>
    <w:rsid w:val="00BF0F95"/>
    <w:rsid w:val="00BF1CEA"/>
    <w:rsid w:val="00BF1D42"/>
    <w:rsid w:val="00BF2433"/>
    <w:rsid w:val="00BF2E6E"/>
    <w:rsid w:val="00BF387C"/>
    <w:rsid w:val="00BF3C4E"/>
    <w:rsid w:val="00BF4337"/>
    <w:rsid w:val="00BF4D66"/>
    <w:rsid w:val="00BF4FA7"/>
    <w:rsid w:val="00BF5734"/>
    <w:rsid w:val="00BF5A63"/>
    <w:rsid w:val="00BF61C9"/>
    <w:rsid w:val="00BF6219"/>
    <w:rsid w:val="00BF6446"/>
    <w:rsid w:val="00BF6960"/>
    <w:rsid w:val="00BF6C94"/>
    <w:rsid w:val="00BF70D5"/>
    <w:rsid w:val="00BF73FB"/>
    <w:rsid w:val="00C00424"/>
    <w:rsid w:val="00C00BB0"/>
    <w:rsid w:val="00C0139C"/>
    <w:rsid w:val="00C01496"/>
    <w:rsid w:val="00C01EFB"/>
    <w:rsid w:val="00C02021"/>
    <w:rsid w:val="00C02169"/>
    <w:rsid w:val="00C02440"/>
    <w:rsid w:val="00C02827"/>
    <w:rsid w:val="00C02913"/>
    <w:rsid w:val="00C02E36"/>
    <w:rsid w:val="00C03212"/>
    <w:rsid w:val="00C034A6"/>
    <w:rsid w:val="00C038CA"/>
    <w:rsid w:val="00C03DA8"/>
    <w:rsid w:val="00C04084"/>
    <w:rsid w:val="00C04328"/>
    <w:rsid w:val="00C04D4A"/>
    <w:rsid w:val="00C05736"/>
    <w:rsid w:val="00C062C3"/>
    <w:rsid w:val="00C072A6"/>
    <w:rsid w:val="00C07623"/>
    <w:rsid w:val="00C07690"/>
    <w:rsid w:val="00C077E9"/>
    <w:rsid w:val="00C105D7"/>
    <w:rsid w:val="00C10FD8"/>
    <w:rsid w:val="00C1179F"/>
    <w:rsid w:val="00C127B9"/>
    <w:rsid w:val="00C128FA"/>
    <w:rsid w:val="00C12C14"/>
    <w:rsid w:val="00C13756"/>
    <w:rsid w:val="00C14B8B"/>
    <w:rsid w:val="00C14CAF"/>
    <w:rsid w:val="00C14DB3"/>
    <w:rsid w:val="00C14FC2"/>
    <w:rsid w:val="00C15047"/>
    <w:rsid w:val="00C15F04"/>
    <w:rsid w:val="00C15FDE"/>
    <w:rsid w:val="00C169DF"/>
    <w:rsid w:val="00C179B3"/>
    <w:rsid w:val="00C17C72"/>
    <w:rsid w:val="00C17E1B"/>
    <w:rsid w:val="00C17E3F"/>
    <w:rsid w:val="00C17EED"/>
    <w:rsid w:val="00C200AA"/>
    <w:rsid w:val="00C2029D"/>
    <w:rsid w:val="00C20914"/>
    <w:rsid w:val="00C20A53"/>
    <w:rsid w:val="00C20FFE"/>
    <w:rsid w:val="00C211C3"/>
    <w:rsid w:val="00C2188A"/>
    <w:rsid w:val="00C229C7"/>
    <w:rsid w:val="00C2324C"/>
    <w:rsid w:val="00C23550"/>
    <w:rsid w:val="00C237ED"/>
    <w:rsid w:val="00C23F70"/>
    <w:rsid w:val="00C24632"/>
    <w:rsid w:val="00C24A50"/>
    <w:rsid w:val="00C252E8"/>
    <w:rsid w:val="00C25418"/>
    <w:rsid w:val="00C25D9C"/>
    <w:rsid w:val="00C266C2"/>
    <w:rsid w:val="00C26A01"/>
    <w:rsid w:val="00C26AAB"/>
    <w:rsid w:val="00C274B7"/>
    <w:rsid w:val="00C2778B"/>
    <w:rsid w:val="00C27D81"/>
    <w:rsid w:val="00C3067A"/>
    <w:rsid w:val="00C30F96"/>
    <w:rsid w:val="00C31649"/>
    <w:rsid w:val="00C32325"/>
    <w:rsid w:val="00C324ED"/>
    <w:rsid w:val="00C328D7"/>
    <w:rsid w:val="00C3292B"/>
    <w:rsid w:val="00C3342A"/>
    <w:rsid w:val="00C335B0"/>
    <w:rsid w:val="00C33AA2"/>
    <w:rsid w:val="00C3434C"/>
    <w:rsid w:val="00C34E94"/>
    <w:rsid w:val="00C35BE8"/>
    <w:rsid w:val="00C375B0"/>
    <w:rsid w:val="00C37806"/>
    <w:rsid w:val="00C40050"/>
    <w:rsid w:val="00C40385"/>
    <w:rsid w:val="00C407D9"/>
    <w:rsid w:val="00C40E14"/>
    <w:rsid w:val="00C41768"/>
    <w:rsid w:val="00C42824"/>
    <w:rsid w:val="00C42B77"/>
    <w:rsid w:val="00C42B97"/>
    <w:rsid w:val="00C43F7C"/>
    <w:rsid w:val="00C44F7F"/>
    <w:rsid w:val="00C45147"/>
    <w:rsid w:val="00C4692C"/>
    <w:rsid w:val="00C46F96"/>
    <w:rsid w:val="00C4717D"/>
    <w:rsid w:val="00C473AF"/>
    <w:rsid w:val="00C475AA"/>
    <w:rsid w:val="00C479F7"/>
    <w:rsid w:val="00C47DE0"/>
    <w:rsid w:val="00C50014"/>
    <w:rsid w:val="00C50A30"/>
    <w:rsid w:val="00C52331"/>
    <w:rsid w:val="00C52454"/>
    <w:rsid w:val="00C527C7"/>
    <w:rsid w:val="00C52D23"/>
    <w:rsid w:val="00C52D73"/>
    <w:rsid w:val="00C53546"/>
    <w:rsid w:val="00C53C98"/>
    <w:rsid w:val="00C54743"/>
    <w:rsid w:val="00C5552A"/>
    <w:rsid w:val="00C55E29"/>
    <w:rsid w:val="00C56BC0"/>
    <w:rsid w:val="00C56FCF"/>
    <w:rsid w:val="00C572F6"/>
    <w:rsid w:val="00C57402"/>
    <w:rsid w:val="00C57B6C"/>
    <w:rsid w:val="00C57D29"/>
    <w:rsid w:val="00C60167"/>
    <w:rsid w:val="00C61695"/>
    <w:rsid w:val="00C618AA"/>
    <w:rsid w:val="00C61A59"/>
    <w:rsid w:val="00C61AF9"/>
    <w:rsid w:val="00C628A6"/>
    <w:rsid w:val="00C636B0"/>
    <w:rsid w:val="00C63A7B"/>
    <w:rsid w:val="00C64344"/>
    <w:rsid w:val="00C6496A"/>
    <w:rsid w:val="00C650CF"/>
    <w:rsid w:val="00C65108"/>
    <w:rsid w:val="00C65576"/>
    <w:rsid w:val="00C65594"/>
    <w:rsid w:val="00C65805"/>
    <w:rsid w:val="00C65B3A"/>
    <w:rsid w:val="00C66165"/>
    <w:rsid w:val="00C67E17"/>
    <w:rsid w:val="00C67E75"/>
    <w:rsid w:val="00C70029"/>
    <w:rsid w:val="00C7060A"/>
    <w:rsid w:val="00C70946"/>
    <w:rsid w:val="00C70E3D"/>
    <w:rsid w:val="00C7151A"/>
    <w:rsid w:val="00C71700"/>
    <w:rsid w:val="00C717E3"/>
    <w:rsid w:val="00C71F60"/>
    <w:rsid w:val="00C72241"/>
    <w:rsid w:val="00C7245A"/>
    <w:rsid w:val="00C735E2"/>
    <w:rsid w:val="00C73C83"/>
    <w:rsid w:val="00C7434F"/>
    <w:rsid w:val="00C743FE"/>
    <w:rsid w:val="00C750C8"/>
    <w:rsid w:val="00C75167"/>
    <w:rsid w:val="00C75485"/>
    <w:rsid w:val="00C754BE"/>
    <w:rsid w:val="00C75570"/>
    <w:rsid w:val="00C7560F"/>
    <w:rsid w:val="00C7571E"/>
    <w:rsid w:val="00C77131"/>
    <w:rsid w:val="00C779CC"/>
    <w:rsid w:val="00C8096B"/>
    <w:rsid w:val="00C80A0E"/>
    <w:rsid w:val="00C81DE4"/>
    <w:rsid w:val="00C8213B"/>
    <w:rsid w:val="00C8213F"/>
    <w:rsid w:val="00C822D6"/>
    <w:rsid w:val="00C82328"/>
    <w:rsid w:val="00C82A9E"/>
    <w:rsid w:val="00C82E94"/>
    <w:rsid w:val="00C8303F"/>
    <w:rsid w:val="00C83898"/>
    <w:rsid w:val="00C85154"/>
    <w:rsid w:val="00C85A70"/>
    <w:rsid w:val="00C85B82"/>
    <w:rsid w:val="00C85EF3"/>
    <w:rsid w:val="00C864B4"/>
    <w:rsid w:val="00C8797A"/>
    <w:rsid w:val="00C87C5C"/>
    <w:rsid w:val="00C87DF8"/>
    <w:rsid w:val="00C87EDC"/>
    <w:rsid w:val="00C900B8"/>
    <w:rsid w:val="00C90197"/>
    <w:rsid w:val="00C905AA"/>
    <w:rsid w:val="00C90690"/>
    <w:rsid w:val="00C90C71"/>
    <w:rsid w:val="00C91217"/>
    <w:rsid w:val="00C91629"/>
    <w:rsid w:val="00C91654"/>
    <w:rsid w:val="00C91C1F"/>
    <w:rsid w:val="00C91FD1"/>
    <w:rsid w:val="00C9207A"/>
    <w:rsid w:val="00C922F1"/>
    <w:rsid w:val="00C92D1A"/>
    <w:rsid w:val="00C92E1A"/>
    <w:rsid w:val="00C93030"/>
    <w:rsid w:val="00C9310A"/>
    <w:rsid w:val="00C931CF"/>
    <w:rsid w:val="00C93313"/>
    <w:rsid w:val="00C938CF"/>
    <w:rsid w:val="00C94053"/>
    <w:rsid w:val="00C95953"/>
    <w:rsid w:val="00C96034"/>
    <w:rsid w:val="00C9624D"/>
    <w:rsid w:val="00C968D6"/>
    <w:rsid w:val="00C969DA"/>
    <w:rsid w:val="00C96DF8"/>
    <w:rsid w:val="00C974B4"/>
    <w:rsid w:val="00C97D30"/>
    <w:rsid w:val="00CA0481"/>
    <w:rsid w:val="00CA1100"/>
    <w:rsid w:val="00CA15C6"/>
    <w:rsid w:val="00CA179D"/>
    <w:rsid w:val="00CA1C6A"/>
    <w:rsid w:val="00CA2C77"/>
    <w:rsid w:val="00CA2D9E"/>
    <w:rsid w:val="00CA31FA"/>
    <w:rsid w:val="00CA34FF"/>
    <w:rsid w:val="00CA3CB3"/>
    <w:rsid w:val="00CA3D83"/>
    <w:rsid w:val="00CA444F"/>
    <w:rsid w:val="00CA4AA5"/>
    <w:rsid w:val="00CA4FC0"/>
    <w:rsid w:val="00CA5245"/>
    <w:rsid w:val="00CA550C"/>
    <w:rsid w:val="00CA5CD6"/>
    <w:rsid w:val="00CA5D62"/>
    <w:rsid w:val="00CA71F4"/>
    <w:rsid w:val="00CA7B09"/>
    <w:rsid w:val="00CB0A17"/>
    <w:rsid w:val="00CB0ABB"/>
    <w:rsid w:val="00CB0E92"/>
    <w:rsid w:val="00CB12A5"/>
    <w:rsid w:val="00CB19D2"/>
    <w:rsid w:val="00CB1CAC"/>
    <w:rsid w:val="00CB2A40"/>
    <w:rsid w:val="00CB2F2A"/>
    <w:rsid w:val="00CB3446"/>
    <w:rsid w:val="00CB3564"/>
    <w:rsid w:val="00CB37D9"/>
    <w:rsid w:val="00CB387F"/>
    <w:rsid w:val="00CB49B5"/>
    <w:rsid w:val="00CB4CBA"/>
    <w:rsid w:val="00CB4E88"/>
    <w:rsid w:val="00CB5137"/>
    <w:rsid w:val="00CB5B1A"/>
    <w:rsid w:val="00CB5ED3"/>
    <w:rsid w:val="00CB6482"/>
    <w:rsid w:val="00CB6756"/>
    <w:rsid w:val="00CB6A80"/>
    <w:rsid w:val="00CB6B22"/>
    <w:rsid w:val="00CB7F5F"/>
    <w:rsid w:val="00CC04A0"/>
    <w:rsid w:val="00CC0DD4"/>
    <w:rsid w:val="00CC117C"/>
    <w:rsid w:val="00CC13BD"/>
    <w:rsid w:val="00CC15CC"/>
    <w:rsid w:val="00CC1B39"/>
    <w:rsid w:val="00CC1BFA"/>
    <w:rsid w:val="00CC27EA"/>
    <w:rsid w:val="00CC2E9F"/>
    <w:rsid w:val="00CC35EA"/>
    <w:rsid w:val="00CC3848"/>
    <w:rsid w:val="00CC3D6E"/>
    <w:rsid w:val="00CC4F3E"/>
    <w:rsid w:val="00CC676D"/>
    <w:rsid w:val="00CC6B9E"/>
    <w:rsid w:val="00CC6D5E"/>
    <w:rsid w:val="00CC7490"/>
    <w:rsid w:val="00CC75A0"/>
    <w:rsid w:val="00CC7B50"/>
    <w:rsid w:val="00CD0185"/>
    <w:rsid w:val="00CD0200"/>
    <w:rsid w:val="00CD0652"/>
    <w:rsid w:val="00CD13DF"/>
    <w:rsid w:val="00CD2FCF"/>
    <w:rsid w:val="00CD3C31"/>
    <w:rsid w:val="00CD3F77"/>
    <w:rsid w:val="00CD4332"/>
    <w:rsid w:val="00CD445A"/>
    <w:rsid w:val="00CD493E"/>
    <w:rsid w:val="00CD610A"/>
    <w:rsid w:val="00CD624A"/>
    <w:rsid w:val="00CD6477"/>
    <w:rsid w:val="00CD6ADC"/>
    <w:rsid w:val="00CD6B28"/>
    <w:rsid w:val="00CD7193"/>
    <w:rsid w:val="00CD71A2"/>
    <w:rsid w:val="00CD7336"/>
    <w:rsid w:val="00CD76ED"/>
    <w:rsid w:val="00CE09AA"/>
    <w:rsid w:val="00CE0B58"/>
    <w:rsid w:val="00CE1CAE"/>
    <w:rsid w:val="00CE331A"/>
    <w:rsid w:val="00CE36FD"/>
    <w:rsid w:val="00CE38C8"/>
    <w:rsid w:val="00CE3F4D"/>
    <w:rsid w:val="00CE40FF"/>
    <w:rsid w:val="00CE4188"/>
    <w:rsid w:val="00CE4D01"/>
    <w:rsid w:val="00CE520A"/>
    <w:rsid w:val="00CE524F"/>
    <w:rsid w:val="00CE5322"/>
    <w:rsid w:val="00CE5752"/>
    <w:rsid w:val="00CE5808"/>
    <w:rsid w:val="00CE580E"/>
    <w:rsid w:val="00CE58CC"/>
    <w:rsid w:val="00CE61B4"/>
    <w:rsid w:val="00CE6274"/>
    <w:rsid w:val="00CE77B6"/>
    <w:rsid w:val="00CE7A42"/>
    <w:rsid w:val="00CE7AE1"/>
    <w:rsid w:val="00CF06D9"/>
    <w:rsid w:val="00CF081C"/>
    <w:rsid w:val="00CF142F"/>
    <w:rsid w:val="00CF2922"/>
    <w:rsid w:val="00CF2B8D"/>
    <w:rsid w:val="00CF3899"/>
    <w:rsid w:val="00CF3A1B"/>
    <w:rsid w:val="00CF456B"/>
    <w:rsid w:val="00CF50FD"/>
    <w:rsid w:val="00CF520E"/>
    <w:rsid w:val="00CF55F3"/>
    <w:rsid w:val="00CF5A22"/>
    <w:rsid w:val="00CF6371"/>
    <w:rsid w:val="00CF6DB6"/>
    <w:rsid w:val="00CF71A0"/>
    <w:rsid w:val="00CF724F"/>
    <w:rsid w:val="00CF7671"/>
    <w:rsid w:val="00CF79FB"/>
    <w:rsid w:val="00CF7DAB"/>
    <w:rsid w:val="00D007BC"/>
    <w:rsid w:val="00D0131E"/>
    <w:rsid w:val="00D0149F"/>
    <w:rsid w:val="00D0262E"/>
    <w:rsid w:val="00D02865"/>
    <w:rsid w:val="00D02BE2"/>
    <w:rsid w:val="00D02E25"/>
    <w:rsid w:val="00D03324"/>
    <w:rsid w:val="00D03679"/>
    <w:rsid w:val="00D03DA7"/>
    <w:rsid w:val="00D04436"/>
    <w:rsid w:val="00D04474"/>
    <w:rsid w:val="00D05285"/>
    <w:rsid w:val="00D059C2"/>
    <w:rsid w:val="00D05E3D"/>
    <w:rsid w:val="00D0604C"/>
    <w:rsid w:val="00D06139"/>
    <w:rsid w:val="00D0660D"/>
    <w:rsid w:val="00D06AE6"/>
    <w:rsid w:val="00D06E37"/>
    <w:rsid w:val="00D07458"/>
    <w:rsid w:val="00D110BD"/>
    <w:rsid w:val="00D1172B"/>
    <w:rsid w:val="00D118DD"/>
    <w:rsid w:val="00D11B88"/>
    <w:rsid w:val="00D128DD"/>
    <w:rsid w:val="00D12B81"/>
    <w:rsid w:val="00D12FB0"/>
    <w:rsid w:val="00D13675"/>
    <w:rsid w:val="00D13C6B"/>
    <w:rsid w:val="00D13EB9"/>
    <w:rsid w:val="00D141C9"/>
    <w:rsid w:val="00D141E1"/>
    <w:rsid w:val="00D142D2"/>
    <w:rsid w:val="00D14A8B"/>
    <w:rsid w:val="00D15314"/>
    <w:rsid w:val="00D1534B"/>
    <w:rsid w:val="00D15B48"/>
    <w:rsid w:val="00D1678F"/>
    <w:rsid w:val="00D16A9C"/>
    <w:rsid w:val="00D16AD2"/>
    <w:rsid w:val="00D17D6C"/>
    <w:rsid w:val="00D20944"/>
    <w:rsid w:val="00D20A1C"/>
    <w:rsid w:val="00D20A6A"/>
    <w:rsid w:val="00D214A7"/>
    <w:rsid w:val="00D2155B"/>
    <w:rsid w:val="00D21D09"/>
    <w:rsid w:val="00D229A8"/>
    <w:rsid w:val="00D22A2B"/>
    <w:rsid w:val="00D22BD5"/>
    <w:rsid w:val="00D22CEC"/>
    <w:rsid w:val="00D23D11"/>
    <w:rsid w:val="00D244B6"/>
    <w:rsid w:val="00D248F2"/>
    <w:rsid w:val="00D25102"/>
    <w:rsid w:val="00D2561B"/>
    <w:rsid w:val="00D25885"/>
    <w:rsid w:val="00D2754D"/>
    <w:rsid w:val="00D27B27"/>
    <w:rsid w:val="00D27DD7"/>
    <w:rsid w:val="00D30012"/>
    <w:rsid w:val="00D30B99"/>
    <w:rsid w:val="00D30D5B"/>
    <w:rsid w:val="00D3169D"/>
    <w:rsid w:val="00D338E1"/>
    <w:rsid w:val="00D33BE9"/>
    <w:rsid w:val="00D33F93"/>
    <w:rsid w:val="00D3457A"/>
    <w:rsid w:val="00D34BAF"/>
    <w:rsid w:val="00D3531B"/>
    <w:rsid w:val="00D357FF"/>
    <w:rsid w:val="00D363B7"/>
    <w:rsid w:val="00D3656E"/>
    <w:rsid w:val="00D36722"/>
    <w:rsid w:val="00D36778"/>
    <w:rsid w:val="00D36B06"/>
    <w:rsid w:val="00D37003"/>
    <w:rsid w:val="00D371DF"/>
    <w:rsid w:val="00D37C15"/>
    <w:rsid w:val="00D40274"/>
    <w:rsid w:val="00D408B7"/>
    <w:rsid w:val="00D4127A"/>
    <w:rsid w:val="00D41737"/>
    <w:rsid w:val="00D41C41"/>
    <w:rsid w:val="00D420B9"/>
    <w:rsid w:val="00D424C7"/>
    <w:rsid w:val="00D42D2E"/>
    <w:rsid w:val="00D42D70"/>
    <w:rsid w:val="00D43B2A"/>
    <w:rsid w:val="00D43CC6"/>
    <w:rsid w:val="00D43CF1"/>
    <w:rsid w:val="00D43D83"/>
    <w:rsid w:val="00D44C01"/>
    <w:rsid w:val="00D45F1B"/>
    <w:rsid w:val="00D460E0"/>
    <w:rsid w:val="00D46254"/>
    <w:rsid w:val="00D46258"/>
    <w:rsid w:val="00D46DF0"/>
    <w:rsid w:val="00D4718F"/>
    <w:rsid w:val="00D47575"/>
    <w:rsid w:val="00D47C68"/>
    <w:rsid w:val="00D52111"/>
    <w:rsid w:val="00D5243B"/>
    <w:rsid w:val="00D526A6"/>
    <w:rsid w:val="00D533EC"/>
    <w:rsid w:val="00D5417D"/>
    <w:rsid w:val="00D549AE"/>
    <w:rsid w:val="00D55C01"/>
    <w:rsid w:val="00D5668B"/>
    <w:rsid w:val="00D56A95"/>
    <w:rsid w:val="00D56C8A"/>
    <w:rsid w:val="00D57E6A"/>
    <w:rsid w:val="00D57F93"/>
    <w:rsid w:val="00D6076E"/>
    <w:rsid w:val="00D6080E"/>
    <w:rsid w:val="00D60F79"/>
    <w:rsid w:val="00D6140A"/>
    <w:rsid w:val="00D6142B"/>
    <w:rsid w:val="00D61A77"/>
    <w:rsid w:val="00D61EFF"/>
    <w:rsid w:val="00D62255"/>
    <w:rsid w:val="00D62E32"/>
    <w:rsid w:val="00D63685"/>
    <w:rsid w:val="00D636C6"/>
    <w:rsid w:val="00D637A1"/>
    <w:rsid w:val="00D63F0D"/>
    <w:rsid w:val="00D645BA"/>
    <w:rsid w:val="00D648BF"/>
    <w:rsid w:val="00D65199"/>
    <w:rsid w:val="00D652D1"/>
    <w:rsid w:val="00D65B0D"/>
    <w:rsid w:val="00D6603E"/>
    <w:rsid w:val="00D660B4"/>
    <w:rsid w:val="00D66F9A"/>
    <w:rsid w:val="00D6708D"/>
    <w:rsid w:val="00D6793D"/>
    <w:rsid w:val="00D67CC7"/>
    <w:rsid w:val="00D67D20"/>
    <w:rsid w:val="00D700DC"/>
    <w:rsid w:val="00D70F16"/>
    <w:rsid w:val="00D71268"/>
    <w:rsid w:val="00D713F6"/>
    <w:rsid w:val="00D72617"/>
    <w:rsid w:val="00D72799"/>
    <w:rsid w:val="00D72F57"/>
    <w:rsid w:val="00D72FA1"/>
    <w:rsid w:val="00D738D2"/>
    <w:rsid w:val="00D74C96"/>
    <w:rsid w:val="00D75A8C"/>
    <w:rsid w:val="00D76A44"/>
    <w:rsid w:val="00D76C63"/>
    <w:rsid w:val="00D76C95"/>
    <w:rsid w:val="00D76EF8"/>
    <w:rsid w:val="00D77DCF"/>
    <w:rsid w:val="00D80593"/>
    <w:rsid w:val="00D8120A"/>
    <w:rsid w:val="00D815EF"/>
    <w:rsid w:val="00D8182A"/>
    <w:rsid w:val="00D81949"/>
    <w:rsid w:val="00D81AE8"/>
    <w:rsid w:val="00D81F26"/>
    <w:rsid w:val="00D81F5E"/>
    <w:rsid w:val="00D82080"/>
    <w:rsid w:val="00D822E2"/>
    <w:rsid w:val="00D82E6A"/>
    <w:rsid w:val="00D83F68"/>
    <w:rsid w:val="00D84276"/>
    <w:rsid w:val="00D842C5"/>
    <w:rsid w:val="00D843F2"/>
    <w:rsid w:val="00D85E6C"/>
    <w:rsid w:val="00D86231"/>
    <w:rsid w:val="00D86A93"/>
    <w:rsid w:val="00D9002B"/>
    <w:rsid w:val="00D9022D"/>
    <w:rsid w:val="00D912AB"/>
    <w:rsid w:val="00D918BF"/>
    <w:rsid w:val="00D91923"/>
    <w:rsid w:val="00D91952"/>
    <w:rsid w:val="00D91E0E"/>
    <w:rsid w:val="00D91E23"/>
    <w:rsid w:val="00D92075"/>
    <w:rsid w:val="00D92B28"/>
    <w:rsid w:val="00D92D9D"/>
    <w:rsid w:val="00D93753"/>
    <w:rsid w:val="00D949BD"/>
    <w:rsid w:val="00D949C7"/>
    <w:rsid w:val="00D9527A"/>
    <w:rsid w:val="00D959A4"/>
    <w:rsid w:val="00D95F32"/>
    <w:rsid w:val="00D96081"/>
    <w:rsid w:val="00D962D0"/>
    <w:rsid w:val="00DA00E4"/>
    <w:rsid w:val="00DA07E5"/>
    <w:rsid w:val="00DA0944"/>
    <w:rsid w:val="00DA21D2"/>
    <w:rsid w:val="00DA2716"/>
    <w:rsid w:val="00DA3167"/>
    <w:rsid w:val="00DA36DC"/>
    <w:rsid w:val="00DA3BC6"/>
    <w:rsid w:val="00DA437A"/>
    <w:rsid w:val="00DA47F5"/>
    <w:rsid w:val="00DA4DC3"/>
    <w:rsid w:val="00DA5D20"/>
    <w:rsid w:val="00DA6526"/>
    <w:rsid w:val="00DA65BE"/>
    <w:rsid w:val="00DA6CFD"/>
    <w:rsid w:val="00DA7741"/>
    <w:rsid w:val="00DA77A5"/>
    <w:rsid w:val="00DA7ADA"/>
    <w:rsid w:val="00DA7B88"/>
    <w:rsid w:val="00DA7F18"/>
    <w:rsid w:val="00DB00DE"/>
    <w:rsid w:val="00DB0E36"/>
    <w:rsid w:val="00DB21E3"/>
    <w:rsid w:val="00DB2723"/>
    <w:rsid w:val="00DB2882"/>
    <w:rsid w:val="00DB2D9E"/>
    <w:rsid w:val="00DB32E7"/>
    <w:rsid w:val="00DB3DBF"/>
    <w:rsid w:val="00DB4379"/>
    <w:rsid w:val="00DB455C"/>
    <w:rsid w:val="00DB4808"/>
    <w:rsid w:val="00DB484F"/>
    <w:rsid w:val="00DB523A"/>
    <w:rsid w:val="00DB5C6B"/>
    <w:rsid w:val="00DB5F92"/>
    <w:rsid w:val="00DB6643"/>
    <w:rsid w:val="00DB7032"/>
    <w:rsid w:val="00DC04F6"/>
    <w:rsid w:val="00DC0690"/>
    <w:rsid w:val="00DC0734"/>
    <w:rsid w:val="00DC0766"/>
    <w:rsid w:val="00DC0D8D"/>
    <w:rsid w:val="00DC1CB1"/>
    <w:rsid w:val="00DC1D65"/>
    <w:rsid w:val="00DC20BF"/>
    <w:rsid w:val="00DC2363"/>
    <w:rsid w:val="00DC2A4D"/>
    <w:rsid w:val="00DC2E72"/>
    <w:rsid w:val="00DC3BAE"/>
    <w:rsid w:val="00DC3C57"/>
    <w:rsid w:val="00DC3CDC"/>
    <w:rsid w:val="00DC4105"/>
    <w:rsid w:val="00DC5086"/>
    <w:rsid w:val="00DC527D"/>
    <w:rsid w:val="00DC5501"/>
    <w:rsid w:val="00DC5CB5"/>
    <w:rsid w:val="00DC5DE4"/>
    <w:rsid w:val="00DC6418"/>
    <w:rsid w:val="00DC6F33"/>
    <w:rsid w:val="00DC7154"/>
    <w:rsid w:val="00DC7E8A"/>
    <w:rsid w:val="00DD0932"/>
    <w:rsid w:val="00DD0F78"/>
    <w:rsid w:val="00DD13D7"/>
    <w:rsid w:val="00DD170D"/>
    <w:rsid w:val="00DD17E6"/>
    <w:rsid w:val="00DD1A2C"/>
    <w:rsid w:val="00DD22B5"/>
    <w:rsid w:val="00DD273C"/>
    <w:rsid w:val="00DD2C13"/>
    <w:rsid w:val="00DD2D5F"/>
    <w:rsid w:val="00DD34CF"/>
    <w:rsid w:val="00DD34F0"/>
    <w:rsid w:val="00DD3F28"/>
    <w:rsid w:val="00DD42D6"/>
    <w:rsid w:val="00DD4446"/>
    <w:rsid w:val="00DD4537"/>
    <w:rsid w:val="00DD49CD"/>
    <w:rsid w:val="00DD49EE"/>
    <w:rsid w:val="00DD4E15"/>
    <w:rsid w:val="00DD6393"/>
    <w:rsid w:val="00DD65B0"/>
    <w:rsid w:val="00DD6651"/>
    <w:rsid w:val="00DD70B6"/>
    <w:rsid w:val="00DD70E7"/>
    <w:rsid w:val="00DE08DA"/>
    <w:rsid w:val="00DE17D6"/>
    <w:rsid w:val="00DE1A21"/>
    <w:rsid w:val="00DE1D01"/>
    <w:rsid w:val="00DE2304"/>
    <w:rsid w:val="00DE25C3"/>
    <w:rsid w:val="00DE27ED"/>
    <w:rsid w:val="00DE2DF0"/>
    <w:rsid w:val="00DE2FF3"/>
    <w:rsid w:val="00DE3138"/>
    <w:rsid w:val="00DE37F8"/>
    <w:rsid w:val="00DE3E64"/>
    <w:rsid w:val="00DE4273"/>
    <w:rsid w:val="00DE428D"/>
    <w:rsid w:val="00DE48DB"/>
    <w:rsid w:val="00DE4FCB"/>
    <w:rsid w:val="00DE54E4"/>
    <w:rsid w:val="00DE5D07"/>
    <w:rsid w:val="00DE61E1"/>
    <w:rsid w:val="00DE698B"/>
    <w:rsid w:val="00DE69FA"/>
    <w:rsid w:val="00DE6C2D"/>
    <w:rsid w:val="00DE6D1F"/>
    <w:rsid w:val="00DE6D3B"/>
    <w:rsid w:val="00DE72A7"/>
    <w:rsid w:val="00DE7832"/>
    <w:rsid w:val="00DF0B0E"/>
    <w:rsid w:val="00DF0C70"/>
    <w:rsid w:val="00DF0CC1"/>
    <w:rsid w:val="00DF18B9"/>
    <w:rsid w:val="00DF18F2"/>
    <w:rsid w:val="00DF18FC"/>
    <w:rsid w:val="00DF22D4"/>
    <w:rsid w:val="00DF2588"/>
    <w:rsid w:val="00DF29DE"/>
    <w:rsid w:val="00DF2A68"/>
    <w:rsid w:val="00DF2B24"/>
    <w:rsid w:val="00DF3100"/>
    <w:rsid w:val="00DF4014"/>
    <w:rsid w:val="00DF407C"/>
    <w:rsid w:val="00DF4B21"/>
    <w:rsid w:val="00DF5189"/>
    <w:rsid w:val="00DF543E"/>
    <w:rsid w:val="00DF5D2B"/>
    <w:rsid w:val="00DF6341"/>
    <w:rsid w:val="00DF6624"/>
    <w:rsid w:val="00DF6CED"/>
    <w:rsid w:val="00DF741B"/>
    <w:rsid w:val="00E00274"/>
    <w:rsid w:val="00E003EC"/>
    <w:rsid w:val="00E0075E"/>
    <w:rsid w:val="00E00AA3"/>
    <w:rsid w:val="00E00B44"/>
    <w:rsid w:val="00E00E8E"/>
    <w:rsid w:val="00E01043"/>
    <w:rsid w:val="00E016A4"/>
    <w:rsid w:val="00E01E7F"/>
    <w:rsid w:val="00E01FF3"/>
    <w:rsid w:val="00E025D2"/>
    <w:rsid w:val="00E02B59"/>
    <w:rsid w:val="00E03D22"/>
    <w:rsid w:val="00E047E5"/>
    <w:rsid w:val="00E05406"/>
    <w:rsid w:val="00E05630"/>
    <w:rsid w:val="00E0654B"/>
    <w:rsid w:val="00E06722"/>
    <w:rsid w:val="00E067D4"/>
    <w:rsid w:val="00E06DBB"/>
    <w:rsid w:val="00E06F81"/>
    <w:rsid w:val="00E1001F"/>
    <w:rsid w:val="00E10149"/>
    <w:rsid w:val="00E105ED"/>
    <w:rsid w:val="00E11340"/>
    <w:rsid w:val="00E116BE"/>
    <w:rsid w:val="00E116E6"/>
    <w:rsid w:val="00E12057"/>
    <w:rsid w:val="00E122A1"/>
    <w:rsid w:val="00E13889"/>
    <w:rsid w:val="00E13C13"/>
    <w:rsid w:val="00E13EAA"/>
    <w:rsid w:val="00E16372"/>
    <w:rsid w:val="00E1672B"/>
    <w:rsid w:val="00E16926"/>
    <w:rsid w:val="00E16AD8"/>
    <w:rsid w:val="00E17FFA"/>
    <w:rsid w:val="00E20081"/>
    <w:rsid w:val="00E204DD"/>
    <w:rsid w:val="00E20E4D"/>
    <w:rsid w:val="00E20ED6"/>
    <w:rsid w:val="00E21289"/>
    <w:rsid w:val="00E21358"/>
    <w:rsid w:val="00E21D2C"/>
    <w:rsid w:val="00E222DE"/>
    <w:rsid w:val="00E2249B"/>
    <w:rsid w:val="00E22A0D"/>
    <w:rsid w:val="00E23746"/>
    <w:rsid w:val="00E23A30"/>
    <w:rsid w:val="00E23DA3"/>
    <w:rsid w:val="00E242FF"/>
    <w:rsid w:val="00E244F6"/>
    <w:rsid w:val="00E24BE8"/>
    <w:rsid w:val="00E24FC1"/>
    <w:rsid w:val="00E2504C"/>
    <w:rsid w:val="00E25899"/>
    <w:rsid w:val="00E258DB"/>
    <w:rsid w:val="00E2771E"/>
    <w:rsid w:val="00E30386"/>
    <w:rsid w:val="00E311EF"/>
    <w:rsid w:val="00E31364"/>
    <w:rsid w:val="00E3155A"/>
    <w:rsid w:val="00E3155C"/>
    <w:rsid w:val="00E31623"/>
    <w:rsid w:val="00E319DC"/>
    <w:rsid w:val="00E32177"/>
    <w:rsid w:val="00E32180"/>
    <w:rsid w:val="00E3348B"/>
    <w:rsid w:val="00E3404A"/>
    <w:rsid w:val="00E34948"/>
    <w:rsid w:val="00E34AB1"/>
    <w:rsid w:val="00E359E3"/>
    <w:rsid w:val="00E35A60"/>
    <w:rsid w:val="00E36D43"/>
    <w:rsid w:val="00E370AB"/>
    <w:rsid w:val="00E37569"/>
    <w:rsid w:val="00E3763B"/>
    <w:rsid w:val="00E37779"/>
    <w:rsid w:val="00E401B2"/>
    <w:rsid w:val="00E41021"/>
    <w:rsid w:val="00E41E30"/>
    <w:rsid w:val="00E42F73"/>
    <w:rsid w:val="00E43C2B"/>
    <w:rsid w:val="00E43D70"/>
    <w:rsid w:val="00E447A4"/>
    <w:rsid w:val="00E4513C"/>
    <w:rsid w:val="00E45219"/>
    <w:rsid w:val="00E45605"/>
    <w:rsid w:val="00E466F3"/>
    <w:rsid w:val="00E46979"/>
    <w:rsid w:val="00E47121"/>
    <w:rsid w:val="00E47A0E"/>
    <w:rsid w:val="00E47B2C"/>
    <w:rsid w:val="00E50018"/>
    <w:rsid w:val="00E50CDF"/>
    <w:rsid w:val="00E51560"/>
    <w:rsid w:val="00E51821"/>
    <w:rsid w:val="00E51B46"/>
    <w:rsid w:val="00E51DAC"/>
    <w:rsid w:val="00E52669"/>
    <w:rsid w:val="00E529E3"/>
    <w:rsid w:val="00E52F11"/>
    <w:rsid w:val="00E53FB7"/>
    <w:rsid w:val="00E53FC8"/>
    <w:rsid w:val="00E54347"/>
    <w:rsid w:val="00E5488F"/>
    <w:rsid w:val="00E54C68"/>
    <w:rsid w:val="00E552AC"/>
    <w:rsid w:val="00E55424"/>
    <w:rsid w:val="00E55915"/>
    <w:rsid w:val="00E55BB5"/>
    <w:rsid w:val="00E55C9B"/>
    <w:rsid w:val="00E55D0A"/>
    <w:rsid w:val="00E55FDB"/>
    <w:rsid w:val="00E57413"/>
    <w:rsid w:val="00E57CBB"/>
    <w:rsid w:val="00E611DF"/>
    <w:rsid w:val="00E614C1"/>
    <w:rsid w:val="00E61735"/>
    <w:rsid w:val="00E62363"/>
    <w:rsid w:val="00E626C1"/>
    <w:rsid w:val="00E64A9F"/>
    <w:rsid w:val="00E64D67"/>
    <w:rsid w:val="00E651D0"/>
    <w:rsid w:val="00E6570C"/>
    <w:rsid w:val="00E65E79"/>
    <w:rsid w:val="00E66BA2"/>
    <w:rsid w:val="00E66C81"/>
    <w:rsid w:val="00E67416"/>
    <w:rsid w:val="00E67602"/>
    <w:rsid w:val="00E6769C"/>
    <w:rsid w:val="00E7164B"/>
    <w:rsid w:val="00E718B6"/>
    <w:rsid w:val="00E71B1D"/>
    <w:rsid w:val="00E71D6F"/>
    <w:rsid w:val="00E723BA"/>
    <w:rsid w:val="00E73581"/>
    <w:rsid w:val="00E73B8A"/>
    <w:rsid w:val="00E74159"/>
    <w:rsid w:val="00E74D06"/>
    <w:rsid w:val="00E761B2"/>
    <w:rsid w:val="00E7649A"/>
    <w:rsid w:val="00E7666C"/>
    <w:rsid w:val="00E776EE"/>
    <w:rsid w:val="00E809B3"/>
    <w:rsid w:val="00E81BF4"/>
    <w:rsid w:val="00E81DBB"/>
    <w:rsid w:val="00E82046"/>
    <w:rsid w:val="00E82326"/>
    <w:rsid w:val="00E82749"/>
    <w:rsid w:val="00E827D3"/>
    <w:rsid w:val="00E833F7"/>
    <w:rsid w:val="00E83880"/>
    <w:rsid w:val="00E83BDF"/>
    <w:rsid w:val="00E8543A"/>
    <w:rsid w:val="00E85506"/>
    <w:rsid w:val="00E859D8"/>
    <w:rsid w:val="00E85AD4"/>
    <w:rsid w:val="00E86FCC"/>
    <w:rsid w:val="00E87A1D"/>
    <w:rsid w:val="00E9007C"/>
    <w:rsid w:val="00E90886"/>
    <w:rsid w:val="00E9094A"/>
    <w:rsid w:val="00E9192D"/>
    <w:rsid w:val="00E919AF"/>
    <w:rsid w:val="00E91D35"/>
    <w:rsid w:val="00E922FE"/>
    <w:rsid w:val="00E926A5"/>
    <w:rsid w:val="00E929F6"/>
    <w:rsid w:val="00E92CF9"/>
    <w:rsid w:val="00E92FFB"/>
    <w:rsid w:val="00E9481C"/>
    <w:rsid w:val="00E94BBF"/>
    <w:rsid w:val="00E94F0F"/>
    <w:rsid w:val="00E956E4"/>
    <w:rsid w:val="00E96038"/>
    <w:rsid w:val="00E962CC"/>
    <w:rsid w:val="00E97F1F"/>
    <w:rsid w:val="00E97F45"/>
    <w:rsid w:val="00EA02E3"/>
    <w:rsid w:val="00EA0E0B"/>
    <w:rsid w:val="00EA13CF"/>
    <w:rsid w:val="00EA17C3"/>
    <w:rsid w:val="00EA17EC"/>
    <w:rsid w:val="00EA1C76"/>
    <w:rsid w:val="00EA2B2E"/>
    <w:rsid w:val="00EA2CAA"/>
    <w:rsid w:val="00EA3864"/>
    <w:rsid w:val="00EA3A5B"/>
    <w:rsid w:val="00EA3C3E"/>
    <w:rsid w:val="00EA451D"/>
    <w:rsid w:val="00EA4817"/>
    <w:rsid w:val="00EA4EEE"/>
    <w:rsid w:val="00EA5131"/>
    <w:rsid w:val="00EA5781"/>
    <w:rsid w:val="00EA5FEB"/>
    <w:rsid w:val="00EA67F3"/>
    <w:rsid w:val="00EA6C7B"/>
    <w:rsid w:val="00EA7F1C"/>
    <w:rsid w:val="00EB0931"/>
    <w:rsid w:val="00EB133B"/>
    <w:rsid w:val="00EB15B6"/>
    <w:rsid w:val="00EB210D"/>
    <w:rsid w:val="00EB22A4"/>
    <w:rsid w:val="00EB242F"/>
    <w:rsid w:val="00EB308F"/>
    <w:rsid w:val="00EB383B"/>
    <w:rsid w:val="00EB3A6B"/>
    <w:rsid w:val="00EB3B38"/>
    <w:rsid w:val="00EB3D06"/>
    <w:rsid w:val="00EB43D9"/>
    <w:rsid w:val="00EB4916"/>
    <w:rsid w:val="00EB4DFE"/>
    <w:rsid w:val="00EB5469"/>
    <w:rsid w:val="00EB5D6D"/>
    <w:rsid w:val="00EB5DF9"/>
    <w:rsid w:val="00EB6259"/>
    <w:rsid w:val="00EB6404"/>
    <w:rsid w:val="00EB6C79"/>
    <w:rsid w:val="00EC00C9"/>
    <w:rsid w:val="00EC010A"/>
    <w:rsid w:val="00EC07DC"/>
    <w:rsid w:val="00EC0DD9"/>
    <w:rsid w:val="00EC16AB"/>
    <w:rsid w:val="00EC1E80"/>
    <w:rsid w:val="00EC2649"/>
    <w:rsid w:val="00EC31ED"/>
    <w:rsid w:val="00EC3B59"/>
    <w:rsid w:val="00EC3CC8"/>
    <w:rsid w:val="00EC40A7"/>
    <w:rsid w:val="00EC42EE"/>
    <w:rsid w:val="00EC46F2"/>
    <w:rsid w:val="00EC51C3"/>
    <w:rsid w:val="00EC547D"/>
    <w:rsid w:val="00EC57E1"/>
    <w:rsid w:val="00EC5836"/>
    <w:rsid w:val="00EC5A3A"/>
    <w:rsid w:val="00EC62BD"/>
    <w:rsid w:val="00EC6623"/>
    <w:rsid w:val="00EC6654"/>
    <w:rsid w:val="00EC688C"/>
    <w:rsid w:val="00EC72EC"/>
    <w:rsid w:val="00EC7A92"/>
    <w:rsid w:val="00EC7D8B"/>
    <w:rsid w:val="00EC7DB7"/>
    <w:rsid w:val="00ED04EB"/>
    <w:rsid w:val="00ED0679"/>
    <w:rsid w:val="00ED0CBB"/>
    <w:rsid w:val="00ED12E3"/>
    <w:rsid w:val="00ED1BE7"/>
    <w:rsid w:val="00ED1C5A"/>
    <w:rsid w:val="00ED2B24"/>
    <w:rsid w:val="00ED2CB4"/>
    <w:rsid w:val="00ED334B"/>
    <w:rsid w:val="00ED43FC"/>
    <w:rsid w:val="00ED4B04"/>
    <w:rsid w:val="00ED5145"/>
    <w:rsid w:val="00ED57EA"/>
    <w:rsid w:val="00ED586A"/>
    <w:rsid w:val="00ED5935"/>
    <w:rsid w:val="00ED5A7E"/>
    <w:rsid w:val="00ED5BBE"/>
    <w:rsid w:val="00ED5BD4"/>
    <w:rsid w:val="00ED5F40"/>
    <w:rsid w:val="00ED63FD"/>
    <w:rsid w:val="00ED69B0"/>
    <w:rsid w:val="00ED6B7F"/>
    <w:rsid w:val="00ED75AD"/>
    <w:rsid w:val="00ED7900"/>
    <w:rsid w:val="00ED7A92"/>
    <w:rsid w:val="00EE07D3"/>
    <w:rsid w:val="00EE1276"/>
    <w:rsid w:val="00EE12AB"/>
    <w:rsid w:val="00EE1996"/>
    <w:rsid w:val="00EE1A55"/>
    <w:rsid w:val="00EE1C01"/>
    <w:rsid w:val="00EE1E8B"/>
    <w:rsid w:val="00EE22AF"/>
    <w:rsid w:val="00EE23ED"/>
    <w:rsid w:val="00EE2491"/>
    <w:rsid w:val="00EE35B1"/>
    <w:rsid w:val="00EE3B51"/>
    <w:rsid w:val="00EE3C6C"/>
    <w:rsid w:val="00EE49E2"/>
    <w:rsid w:val="00EE4E63"/>
    <w:rsid w:val="00EE5203"/>
    <w:rsid w:val="00EE5490"/>
    <w:rsid w:val="00EE6971"/>
    <w:rsid w:val="00EE7566"/>
    <w:rsid w:val="00EE7F38"/>
    <w:rsid w:val="00EF0171"/>
    <w:rsid w:val="00EF0226"/>
    <w:rsid w:val="00EF05DE"/>
    <w:rsid w:val="00EF13CB"/>
    <w:rsid w:val="00EF1B25"/>
    <w:rsid w:val="00EF1DA0"/>
    <w:rsid w:val="00EF2085"/>
    <w:rsid w:val="00EF3269"/>
    <w:rsid w:val="00EF465D"/>
    <w:rsid w:val="00EF4747"/>
    <w:rsid w:val="00EF4BF8"/>
    <w:rsid w:val="00EF4ECE"/>
    <w:rsid w:val="00EF5291"/>
    <w:rsid w:val="00EF5B4F"/>
    <w:rsid w:val="00EF607C"/>
    <w:rsid w:val="00EF6125"/>
    <w:rsid w:val="00EF7B9B"/>
    <w:rsid w:val="00F0037E"/>
    <w:rsid w:val="00F00A61"/>
    <w:rsid w:val="00F0180A"/>
    <w:rsid w:val="00F01FF8"/>
    <w:rsid w:val="00F02253"/>
    <w:rsid w:val="00F03401"/>
    <w:rsid w:val="00F038B5"/>
    <w:rsid w:val="00F0390F"/>
    <w:rsid w:val="00F03ACB"/>
    <w:rsid w:val="00F03C2E"/>
    <w:rsid w:val="00F03E74"/>
    <w:rsid w:val="00F04328"/>
    <w:rsid w:val="00F04A66"/>
    <w:rsid w:val="00F04B4B"/>
    <w:rsid w:val="00F04C1F"/>
    <w:rsid w:val="00F0516C"/>
    <w:rsid w:val="00F055BD"/>
    <w:rsid w:val="00F05923"/>
    <w:rsid w:val="00F0647D"/>
    <w:rsid w:val="00F065F9"/>
    <w:rsid w:val="00F067A2"/>
    <w:rsid w:val="00F07049"/>
    <w:rsid w:val="00F0704B"/>
    <w:rsid w:val="00F0743B"/>
    <w:rsid w:val="00F07B9E"/>
    <w:rsid w:val="00F10677"/>
    <w:rsid w:val="00F10E0F"/>
    <w:rsid w:val="00F1116F"/>
    <w:rsid w:val="00F116DB"/>
    <w:rsid w:val="00F125A7"/>
    <w:rsid w:val="00F1263A"/>
    <w:rsid w:val="00F12AD6"/>
    <w:rsid w:val="00F12CB9"/>
    <w:rsid w:val="00F139C5"/>
    <w:rsid w:val="00F14402"/>
    <w:rsid w:val="00F14CBA"/>
    <w:rsid w:val="00F14DE6"/>
    <w:rsid w:val="00F14E44"/>
    <w:rsid w:val="00F15B77"/>
    <w:rsid w:val="00F15CC8"/>
    <w:rsid w:val="00F16DBC"/>
    <w:rsid w:val="00F1764E"/>
    <w:rsid w:val="00F2047B"/>
    <w:rsid w:val="00F21236"/>
    <w:rsid w:val="00F21298"/>
    <w:rsid w:val="00F21D8F"/>
    <w:rsid w:val="00F238F4"/>
    <w:rsid w:val="00F239DF"/>
    <w:rsid w:val="00F23C14"/>
    <w:rsid w:val="00F23CBC"/>
    <w:rsid w:val="00F24837"/>
    <w:rsid w:val="00F2575F"/>
    <w:rsid w:val="00F25930"/>
    <w:rsid w:val="00F25EA5"/>
    <w:rsid w:val="00F27175"/>
    <w:rsid w:val="00F27565"/>
    <w:rsid w:val="00F27963"/>
    <w:rsid w:val="00F3023A"/>
    <w:rsid w:val="00F30A5F"/>
    <w:rsid w:val="00F310D4"/>
    <w:rsid w:val="00F31D5A"/>
    <w:rsid w:val="00F33832"/>
    <w:rsid w:val="00F338C5"/>
    <w:rsid w:val="00F33975"/>
    <w:rsid w:val="00F33DE9"/>
    <w:rsid w:val="00F34CAA"/>
    <w:rsid w:val="00F34D19"/>
    <w:rsid w:val="00F35BC6"/>
    <w:rsid w:val="00F35E6D"/>
    <w:rsid w:val="00F3619A"/>
    <w:rsid w:val="00F40AAA"/>
    <w:rsid w:val="00F40BA7"/>
    <w:rsid w:val="00F40E3D"/>
    <w:rsid w:val="00F40EC0"/>
    <w:rsid w:val="00F40F9D"/>
    <w:rsid w:val="00F41768"/>
    <w:rsid w:val="00F419EF"/>
    <w:rsid w:val="00F41ACD"/>
    <w:rsid w:val="00F41B63"/>
    <w:rsid w:val="00F427CE"/>
    <w:rsid w:val="00F42E5B"/>
    <w:rsid w:val="00F43143"/>
    <w:rsid w:val="00F4356D"/>
    <w:rsid w:val="00F43571"/>
    <w:rsid w:val="00F44340"/>
    <w:rsid w:val="00F45697"/>
    <w:rsid w:val="00F46CB6"/>
    <w:rsid w:val="00F46EBB"/>
    <w:rsid w:val="00F4756D"/>
    <w:rsid w:val="00F47DE8"/>
    <w:rsid w:val="00F50366"/>
    <w:rsid w:val="00F5272A"/>
    <w:rsid w:val="00F530B8"/>
    <w:rsid w:val="00F53C02"/>
    <w:rsid w:val="00F53D0C"/>
    <w:rsid w:val="00F53F4E"/>
    <w:rsid w:val="00F54067"/>
    <w:rsid w:val="00F542C1"/>
    <w:rsid w:val="00F5431E"/>
    <w:rsid w:val="00F545B0"/>
    <w:rsid w:val="00F550E3"/>
    <w:rsid w:val="00F55835"/>
    <w:rsid w:val="00F55940"/>
    <w:rsid w:val="00F55E73"/>
    <w:rsid w:val="00F55EDA"/>
    <w:rsid w:val="00F561E3"/>
    <w:rsid w:val="00F569E9"/>
    <w:rsid w:val="00F56C80"/>
    <w:rsid w:val="00F56D19"/>
    <w:rsid w:val="00F57392"/>
    <w:rsid w:val="00F60092"/>
    <w:rsid w:val="00F617CF"/>
    <w:rsid w:val="00F61C18"/>
    <w:rsid w:val="00F62048"/>
    <w:rsid w:val="00F627DC"/>
    <w:rsid w:val="00F62BCD"/>
    <w:rsid w:val="00F6352B"/>
    <w:rsid w:val="00F64147"/>
    <w:rsid w:val="00F644B6"/>
    <w:rsid w:val="00F648E8"/>
    <w:rsid w:val="00F64C01"/>
    <w:rsid w:val="00F64EDB"/>
    <w:rsid w:val="00F65245"/>
    <w:rsid w:val="00F65F4B"/>
    <w:rsid w:val="00F66867"/>
    <w:rsid w:val="00F66E9F"/>
    <w:rsid w:val="00F67A69"/>
    <w:rsid w:val="00F67F82"/>
    <w:rsid w:val="00F700A7"/>
    <w:rsid w:val="00F702C0"/>
    <w:rsid w:val="00F704BF"/>
    <w:rsid w:val="00F70BFF"/>
    <w:rsid w:val="00F70C9D"/>
    <w:rsid w:val="00F714B5"/>
    <w:rsid w:val="00F71605"/>
    <w:rsid w:val="00F71950"/>
    <w:rsid w:val="00F724F9"/>
    <w:rsid w:val="00F7292E"/>
    <w:rsid w:val="00F7358F"/>
    <w:rsid w:val="00F73A5B"/>
    <w:rsid w:val="00F73E08"/>
    <w:rsid w:val="00F74CD9"/>
    <w:rsid w:val="00F74FC5"/>
    <w:rsid w:val="00F75263"/>
    <w:rsid w:val="00F75284"/>
    <w:rsid w:val="00F75CB4"/>
    <w:rsid w:val="00F75D62"/>
    <w:rsid w:val="00F75F28"/>
    <w:rsid w:val="00F76370"/>
    <w:rsid w:val="00F766AC"/>
    <w:rsid w:val="00F76B15"/>
    <w:rsid w:val="00F76EAE"/>
    <w:rsid w:val="00F773CD"/>
    <w:rsid w:val="00F778BD"/>
    <w:rsid w:val="00F77AB6"/>
    <w:rsid w:val="00F80175"/>
    <w:rsid w:val="00F80A7B"/>
    <w:rsid w:val="00F80AA4"/>
    <w:rsid w:val="00F80E5D"/>
    <w:rsid w:val="00F81273"/>
    <w:rsid w:val="00F818CF"/>
    <w:rsid w:val="00F81E78"/>
    <w:rsid w:val="00F81FD7"/>
    <w:rsid w:val="00F835A3"/>
    <w:rsid w:val="00F83916"/>
    <w:rsid w:val="00F84280"/>
    <w:rsid w:val="00F851CE"/>
    <w:rsid w:val="00F85C55"/>
    <w:rsid w:val="00F85FAB"/>
    <w:rsid w:val="00F86C09"/>
    <w:rsid w:val="00F8703D"/>
    <w:rsid w:val="00F87A09"/>
    <w:rsid w:val="00F903A8"/>
    <w:rsid w:val="00F91219"/>
    <w:rsid w:val="00F918CF"/>
    <w:rsid w:val="00F91AE3"/>
    <w:rsid w:val="00F91EE8"/>
    <w:rsid w:val="00F91F86"/>
    <w:rsid w:val="00F92444"/>
    <w:rsid w:val="00F92C01"/>
    <w:rsid w:val="00F92D47"/>
    <w:rsid w:val="00F9393E"/>
    <w:rsid w:val="00F93BE6"/>
    <w:rsid w:val="00F93D29"/>
    <w:rsid w:val="00F93E0C"/>
    <w:rsid w:val="00F94036"/>
    <w:rsid w:val="00F94366"/>
    <w:rsid w:val="00F954B5"/>
    <w:rsid w:val="00F95AA1"/>
    <w:rsid w:val="00F967F1"/>
    <w:rsid w:val="00F96895"/>
    <w:rsid w:val="00F96A1D"/>
    <w:rsid w:val="00F96EB8"/>
    <w:rsid w:val="00F96F6B"/>
    <w:rsid w:val="00F96FD0"/>
    <w:rsid w:val="00F9731B"/>
    <w:rsid w:val="00F975A7"/>
    <w:rsid w:val="00F97A78"/>
    <w:rsid w:val="00FA073C"/>
    <w:rsid w:val="00FA0B20"/>
    <w:rsid w:val="00FA0BC4"/>
    <w:rsid w:val="00FA0DDB"/>
    <w:rsid w:val="00FA1407"/>
    <w:rsid w:val="00FA144E"/>
    <w:rsid w:val="00FA1CB7"/>
    <w:rsid w:val="00FA24E7"/>
    <w:rsid w:val="00FA24F9"/>
    <w:rsid w:val="00FA2741"/>
    <w:rsid w:val="00FA276F"/>
    <w:rsid w:val="00FA296A"/>
    <w:rsid w:val="00FA48F0"/>
    <w:rsid w:val="00FA4930"/>
    <w:rsid w:val="00FA5EE6"/>
    <w:rsid w:val="00FA622C"/>
    <w:rsid w:val="00FA6E4D"/>
    <w:rsid w:val="00FA753B"/>
    <w:rsid w:val="00FA776C"/>
    <w:rsid w:val="00FA7850"/>
    <w:rsid w:val="00FA7956"/>
    <w:rsid w:val="00FB007A"/>
    <w:rsid w:val="00FB0824"/>
    <w:rsid w:val="00FB091C"/>
    <w:rsid w:val="00FB0ADD"/>
    <w:rsid w:val="00FB0B4D"/>
    <w:rsid w:val="00FB255D"/>
    <w:rsid w:val="00FB2AA6"/>
    <w:rsid w:val="00FB2EC3"/>
    <w:rsid w:val="00FB2FCB"/>
    <w:rsid w:val="00FB35E3"/>
    <w:rsid w:val="00FB3746"/>
    <w:rsid w:val="00FB3F37"/>
    <w:rsid w:val="00FB49B1"/>
    <w:rsid w:val="00FB4C9C"/>
    <w:rsid w:val="00FB5D5A"/>
    <w:rsid w:val="00FB5E01"/>
    <w:rsid w:val="00FB6713"/>
    <w:rsid w:val="00FB6947"/>
    <w:rsid w:val="00FB6BF6"/>
    <w:rsid w:val="00FB6C9D"/>
    <w:rsid w:val="00FB7727"/>
    <w:rsid w:val="00FB79D7"/>
    <w:rsid w:val="00FB7A65"/>
    <w:rsid w:val="00FB7C55"/>
    <w:rsid w:val="00FB7EB5"/>
    <w:rsid w:val="00FC0968"/>
    <w:rsid w:val="00FC1074"/>
    <w:rsid w:val="00FC13EC"/>
    <w:rsid w:val="00FC1828"/>
    <w:rsid w:val="00FC1884"/>
    <w:rsid w:val="00FC22FD"/>
    <w:rsid w:val="00FC28F1"/>
    <w:rsid w:val="00FC371D"/>
    <w:rsid w:val="00FC588F"/>
    <w:rsid w:val="00FC5CB6"/>
    <w:rsid w:val="00FC5D5E"/>
    <w:rsid w:val="00FC5F0B"/>
    <w:rsid w:val="00FC6B18"/>
    <w:rsid w:val="00FC6F14"/>
    <w:rsid w:val="00FC785F"/>
    <w:rsid w:val="00FD06DE"/>
    <w:rsid w:val="00FD0A31"/>
    <w:rsid w:val="00FD2100"/>
    <w:rsid w:val="00FD22DC"/>
    <w:rsid w:val="00FD2A87"/>
    <w:rsid w:val="00FD321A"/>
    <w:rsid w:val="00FD3735"/>
    <w:rsid w:val="00FD42AA"/>
    <w:rsid w:val="00FD436C"/>
    <w:rsid w:val="00FD446D"/>
    <w:rsid w:val="00FD47E9"/>
    <w:rsid w:val="00FD4F2C"/>
    <w:rsid w:val="00FD5856"/>
    <w:rsid w:val="00FD606D"/>
    <w:rsid w:val="00FD6394"/>
    <w:rsid w:val="00FD6504"/>
    <w:rsid w:val="00FD70C6"/>
    <w:rsid w:val="00FE0B58"/>
    <w:rsid w:val="00FE0E6C"/>
    <w:rsid w:val="00FE1CDC"/>
    <w:rsid w:val="00FE243D"/>
    <w:rsid w:val="00FE2EEB"/>
    <w:rsid w:val="00FE3C67"/>
    <w:rsid w:val="00FE3FA7"/>
    <w:rsid w:val="00FE4650"/>
    <w:rsid w:val="00FE4E0D"/>
    <w:rsid w:val="00FE56B4"/>
    <w:rsid w:val="00FE60C3"/>
    <w:rsid w:val="00FE616B"/>
    <w:rsid w:val="00FE6615"/>
    <w:rsid w:val="00FE68EA"/>
    <w:rsid w:val="00FE70C3"/>
    <w:rsid w:val="00FE7401"/>
    <w:rsid w:val="00FF075D"/>
    <w:rsid w:val="00FF07CD"/>
    <w:rsid w:val="00FF0E9D"/>
    <w:rsid w:val="00FF0FE1"/>
    <w:rsid w:val="00FF1687"/>
    <w:rsid w:val="00FF1A8B"/>
    <w:rsid w:val="00FF1D2E"/>
    <w:rsid w:val="00FF2636"/>
    <w:rsid w:val="00FF2790"/>
    <w:rsid w:val="00FF2AD9"/>
    <w:rsid w:val="00FF32BA"/>
    <w:rsid w:val="00FF359F"/>
    <w:rsid w:val="00FF3750"/>
    <w:rsid w:val="00FF39E7"/>
    <w:rsid w:val="00FF3DCF"/>
    <w:rsid w:val="00FF3ECD"/>
    <w:rsid w:val="00FF428E"/>
    <w:rsid w:val="00FF492C"/>
    <w:rsid w:val="00FF49D6"/>
    <w:rsid w:val="00FF4A21"/>
    <w:rsid w:val="00FF52D0"/>
    <w:rsid w:val="00FF55A8"/>
    <w:rsid w:val="00FF5706"/>
    <w:rsid w:val="00FF5AA3"/>
    <w:rsid w:val="00FF5AD8"/>
    <w:rsid w:val="00FF6189"/>
    <w:rsid w:val="00FF682E"/>
    <w:rsid w:val="00FF7749"/>
    <w:rsid w:val="0119B95D"/>
    <w:rsid w:val="01A45DB1"/>
    <w:rsid w:val="01AD3E7A"/>
    <w:rsid w:val="01B0DCD9"/>
    <w:rsid w:val="01C1B56E"/>
    <w:rsid w:val="01FD03C9"/>
    <w:rsid w:val="021E2ECA"/>
    <w:rsid w:val="0235D033"/>
    <w:rsid w:val="02626582"/>
    <w:rsid w:val="028F8917"/>
    <w:rsid w:val="02A20EEE"/>
    <w:rsid w:val="048A48B5"/>
    <w:rsid w:val="051BB77B"/>
    <w:rsid w:val="05611C41"/>
    <w:rsid w:val="057A93F6"/>
    <w:rsid w:val="0587264F"/>
    <w:rsid w:val="06234D96"/>
    <w:rsid w:val="07A03D70"/>
    <w:rsid w:val="07C07453"/>
    <w:rsid w:val="07DCDDC1"/>
    <w:rsid w:val="08641FE2"/>
    <w:rsid w:val="09501969"/>
    <w:rsid w:val="0990E54A"/>
    <w:rsid w:val="09C5065E"/>
    <w:rsid w:val="0A944FDE"/>
    <w:rsid w:val="0B66310B"/>
    <w:rsid w:val="0C04CB2A"/>
    <w:rsid w:val="0C2F1DB7"/>
    <w:rsid w:val="0C560EAD"/>
    <w:rsid w:val="0D1036A3"/>
    <w:rsid w:val="0DA28E4C"/>
    <w:rsid w:val="0E2BEABD"/>
    <w:rsid w:val="104D3CBF"/>
    <w:rsid w:val="11B9910F"/>
    <w:rsid w:val="11C2747C"/>
    <w:rsid w:val="12AFDFC7"/>
    <w:rsid w:val="137C6A8E"/>
    <w:rsid w:val="16F6888A"/>
    <w:rsid w:val="181EA32A"/>
    <w:rsid w:val="1C18C9FE"/>
    <w:rsid w:val="1C9713F3"/>
    <w:rsid w:val="1D116971"/>
    <w:rsid w:val="1D429BF8"/>
    <w:rsid w:val="1E807226"/>
    <w:rsid w:val="1EE56571"/>
    <w:rsid w:val="1F7C797C"/>
    <w:rsid w:val="1F8B8A4E"/>
    <w:rsid w:val="203E28BB"/>
    <w:rsid w:val="21A08417"/>
    <w:rsid w:val="21D9ECA1"/>
    <w:rsid w:val="22249F83"/>
    <w:rsid w:val="23002F56"/>
    <w:rsid w:val="23899289"/>
    <w:rsid w:val="242166CF"/>
    <w:rsid w:val="24E6FE88"/>
    <w:rsid w:val="25E9CA8A"/>
    <w:rsid w:val="269E39BA"/>
    <w:rsid w:val="26C68BE4"/>
    <w:rsid w:val="26F17C12"/>
    <w:rsid w:val="272D6E98"/>
    <w:rsid w:val="27C3B38A"/>
    <w:rsid w:val="297A0DD7"/>
    <w:rsid w:val="2B3D3FC4"/>
    <w:rsid w:val="2C3AC22F"/>
    <w:rsid w:val="2E89EA98"/>
    <w:rsid w:val="2EEBA870"/>
    <w:rsid w:val="2EF96257"/>
    <w:rsid w:val="2F34BB3C"/>
    <w:rsid w:val="2F767E9F"/>
    <w:rsid w:val="2FA45F02"/>
    <w:rsid w:val="30C25E44"/>
    <w:rsid w:val="315B3C4D"/>
    <w:rsid w:val="3269319B"/>
    <w:rsid w:val="32B92CA1"/>
    <w:rsid w:val="32F7C18A"/>
    <w:rsid w:val="33DBE4E1"/>
    <w:rsid w:val="35A1BFC9"/>
    <w:rsid w:val="368A104E"/>
    <w:rsid w:val="36A18238"/>
    <w:rsid w:val="36BED213"/>
    <w:rsid w:val="3876E6BE"/>
    <w:rsid w:val="38C5ECBF"/>
    <w:rsid w:val="38D9BB20"/>
    <w:rsid w:val="3973160B"/>
    <w:rsid w:val="3980F806"/>
    <w:rsid w:val="39D4AA42"/>
    <w:rsid w:val="3A15B93F"/>
    <w:rsid w:val="3A1D11D0"/>
    <w:rsid w:val="3A3BD526"/>
    <w:rsid w:val="3AD6A201"/>
    <w:rsid w:val="3C48241A"/>
    <w:rsid w:val="3DC37B9C"/>
    <w:rsid w:val="3FC1A0B1"/>
    <w:rsid w:val="4020CB42"/>
    <w:rsid w:val="41752D99"/>
    <w:rsid w:val="419EC750"/>
    <w:rsid w:val="42BA955F"/>
    <w:rsid w:val="43F1FB46"/>
    <w:rsid w:val="441FD3A7"/>
    <w:rsid w:val="44D72C6A"/>
    <w:rsid w:val="44EECC70"/>
    <w:rsid w:val="45DA7015"/>
    <w:rsid w:val="4690329B"/>
    <w:rsid w:val="469FB0DB"/>
    <w:rsid w:val="479B1DD2"/>
    <w:rsid w:val="47EE9F3A"/>
    <w:rsid w:val="4891A6D7"/>
    <w:rsid w:val="4915DADC"/>
    <w:rsid w:val="49F4E265"/>
    <w:rsid w:val="4A224A66"/>
    <w:rsid w:val="4A3FE5EB"/>
    <w:rsid w:val="4A7DDC34"/>
    <w:rsid w:val="4AA70E9F"/>
    <w:rsid w:val="4B250A05"/>
    <w:rsid w:val="4B3D5B11"/>
    <w:rsid w:val="4B59E1C5"/>
    <w:rsid w:val="4D4155D0"/>
    <w:rsid w:val="4DB0D495"/>
    <w:rsid w:val="4E976F1B"/>
    <w:rsid w:val="4EA41C68"/>
    <w:rsid w:val="4EBD4C6C"/>
    <w:rsid w:val="4F959319"/>
    <w:rsid w:val="4FA865F7"/>
    <w:rsid w:val="5004DDAE"/>
    <w:rsid w:val="504910DD"/>
    <w:rsid w:val="51A5833F"/>
    <w:rsid w:val="51E04474"/>
    <w:rsid w:val="51FEF728"/>
    <w:rsid w:val="52ABAA08"/>
    <w:rsid w:val="52E5A14D"/>
    <w:rsid w:val="54DD2529"/>
    <w:rsid w:val="56200521"/>
    <w:rsid w:val="56AD2DB6"/>
    <w:rsid w:val="57143966"/>
    <w:rsid w:val="57B3822C"/>
    <w:rsid w:val="582D43B7"/>
    <w:rsid w:val="588218A7"/>
    <w:rsid w:val="58951A1D"/>
    <w:rsid w:val="58F5AFE9"/>
    <w:rsid w:val="593DE16D"/>
    <w:rsid w:val="5B2B5FBD"/>
    <w:rsid w:val="5B8734AA"/>
    <w:rsid w:val="5D17A6B1"/>
    <w:rsid w:val="5D948DF2"/>
    <w:rsid w:val="5EB31D02"/>
    <w:rsid w:val="5EEF3557"/>
    <w:rsid w:val="5FDB0627"/>
    <w:rsid w:val="6059AB1D"/>
    <w:rsid w:val="616A6D2C"/>
    <w:rsid w:val="6170A376"/>
    <w:rsid w:val="62D4DD6F"/>
    <w:rsid w:val="6408E973"/>
    <w:rsid w:val="646AE446"/>
    <w:rsid w:val="6487E086"/>
    <w:rsid w:val="64B32ECF"/>
    <w:rsid w:val="65AA81FF"/>
    <w:rsid w:val="65BC7BF7"/>
    <w:rsid w:val="65D88090"/>
    <w:rsid w:val="65DC2F47"/>
    <w:rsid w:val="663DBA02"/>
    <w:rsid w:val="664E92DC"/>
    <w:rsid w:val="669A2C09"/>
    <w:rsid w:val="66B27F0D"/>
    <w:rsid w:val="67CB97B0"/>
    <w:rsid w:val="68D7BE52"/>
    <w:rsid w:val="69471723"/>
    <w:rsid w:val="69714521"/>
    <w:rsid w:val="6AC9DAA4"/>
    <w:rsid w:val="6B0E7902"/>
    <w:rsid w:val="6B51E096"/>
    <w:rsid w:val="6D189E7F"/>
    <w:rsid w:val="6E9A3BD3"/>
    <w:rsid w:val="6F29E7CF"/>
    <w:rsid w:val="7143EB62"/>
    <w:rsid w:val="718E8AFE"/>
    <w:rsid w:val="7235DAE5"/>
    <w:rsid w:val="7250BD14"/>
    <w:rsid w:val="72E10D3F"/>
    <w:rsid w:val="7304F8E8"/>
    <w:rsid w:val="730BDCA8"/>
    <w:rsid w:val="742E1B21"/>
    <w:rsid w:val="74AEA50D"/>
    <w:rsid w:val="7640E77F"/>
    <w:rsid w:val="767C1D87"/>
    <w:rsid w:val="76B971C7"/>
    <w:rsid w:val="76DB24A1"/>
    <w:rsid w:val="76F18585"/>
    <w:rsid w:val="770A45A3"/>
    <w:rsid w:val="78E70DF2"/>
    <w:rsid w:val="79D3363F"/>
    <w:rsid w:val="7B211999"/>
    <w:rsid w:val="7BAE9D4B"/>
    <w:rsid w:val="7BC319D9"/>
    <w:rsid w:val="7C6B2010"/>
    <w:rsid w:val="7E0EDE9D"/>
    <w:rsid w:val="7EFE66B9"/>
    <w:rsid w:val="7F1D68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9E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basedOn w:val="Normal"/>
    <w:link w:val="HeaderChar"/>
    <w:qFormat/>
    <w:rsid w:val="00A51C91"/>
    <w:pPr>
      <w:keepNext/>
      <w:tabs>
        <w:tab w:val="center" w:pos="4513"/>
        <w:tab w:val="right" w:pos="9026"/>
      </w:tabs>
      <w:jc w:val="center"/>
    </w:pPr>
    <w:rPr>
      <w:i/>
      <w:iCs/>
    </w:rPr>
  </w:style>
  <w:style w:type="character" w:customStyle="1" w:styleId="HeaderChar">
    <w:name w:val="Header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autoRedefine/>
    <w:qFormat/>
    <w:rsid w:val="00442978"/>
    <w:pPr>
      <w:keepNext/>
      <w:keepLines/>
      <w:widowControl w:val="0"/>
    </w:pPr>
    <w:rPr>
      <w:rFonts w:ascii="Arial Narrow" w:eastAsiaTheme="majorEastAsia" w:hAnsi="Arial Narrow" w:cstheme="majorBidi"/>
      <w:b/>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930FD5"/>
    <w:pPr>
      <w:keepNext/>
      <w:keepLines/>
      <w:jc w:val="center"/>
    </w:pPr>
    <w:rPr>
      <w:rFonts w:ascii="Arial Narrow" w:eastAsiaTheme="majorEastAsia" w:hAnsi="Arial Narrow"/>
      <w:bCs/>
      <w:szCs w:val="24"/>
    </w:rPr>
  </w:style>
  <w:style w:type="paragraph" w:customStyle="1" w:styleId="COMH1-numbered">
    <w:name w:val="COM H1 - numbered"/>
    <w:next w:val="COMexecsummnumbered"/>
    <w:qFormat/>
    <w:rsid w:val="00292028"/>
    <w:pPr>
      <w:keepNext/>
      <w:numPr>
        <w:numId w:val="3"/>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4C3B02"/>
    <w:pPr>
      <w:numPr>
        <w:ilvl w:val="1"/>
        <w:numId w:val="3"/>
      </w:numPr>
      <w:spacing w:before="60" w:after="6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07519D"/>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442978"/>
    <w:rPr>
      <w:rFonts w:ascii="Arial Narrow" w:eastAsiaTheme="majorEastAsia" w:hAnsi="Arial Narrow" w:cstheme="majorBidi"/>
      <w:b/>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4"/>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5"/>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6"/>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A7475C"/>
    <w:pPr>
      <w:keepNext/>
      <w:spacing w:after="120"/>
      <w:outlineLvl w:val="2"/>
    </w:pPr>
    <w:rPr>
      <w:b/>
      <w:iCs/>
      <w:sz w:val="28"/>
    </w:rPr>
  </w:style>
  <w:style w:type="character" w:customStyle="1" w:styleId="COMH3Char">
    <w:name w:val="COM H3 Char"/>
    <w:basedOn w:val="DefaultParagraphFont"/>
    <w:link w:val="COMH3"/>
    <w:rsid w:val="00A7475C"/>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styleId="Footer">
    <w:name w:val="footer"/>
    <w:basedOn w:val="Normal"/>
    <w:link w:val="FooterChar"/>
    <w:uiPriority w:val="99"/>
    <w:unhideWhenUsed/>
    <w:rsid w:val="006618CC"/>
    <w:pPr>
      <w:tabs>
        <w:tab w:val="center" w:pos="4513"/>
        <w:tab w:val="right" w:pos="9026"/>
      </w:tabs>
    </w:pPr>
  </w:style>
  <w:style w:type="character" w:customStyle="1" w:styleId="FooterChar">
    <w:name w:val="Footer Char"/>
    <w:basedOn w:val="DefaultParagraphFont"/>
    <w:link w:val="Footer"/>
    <w:uiPriority w:val="99"/>
    <w:rsid w:val="006618CC"/>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6618CC"/>
    <w:rPr>
      <w:sz w:val="16"/>
      <w:szCs w:val="16"/>
    </w:rPr>
  </w:style>
  <w:style w:type="paragraph" w:styleId="CommentText">
    <w:name w:val="annotation text"/>
    <w:basedOn w:val="Normal"/>
    <w:link w:val="CommentTextChar"/>
    <w:unhideWhenUsed/>
    <w:rsid w:val="006618CC"/>
    <w:rPr>
      <w:sz w:val="20"/>
      <w:szCs w:val="20"/>
    </w:rPr>
  </w:style>
  <w:style w:type="character" w:customStyle="1" w:styleId="CommentTextChar">
    <w:name w:val="Comment Text Char"/>
    <w:basedOn w:val="DefaultParagraphFont"/>
    <w:link w:val="CommentText"/>
    <w:rsid w:val="006618CC"/>
    <w:rPr>
      <w:rFonts w:ascii="Calibri" w:hAnsi="Calibri" w:cs="Arial"/>
    </w:rPr>
  </w:style>
  <w:style w:type="paragraph" w:styleId="CommentSubject">
    <w:name w:val="annotation subject"/>
    <w:basedOn w:val="CommentText"/>
    <w:next w:val="CommentText"/>
    <w:link w:val="CommentSubjectChar"/>
    <w:semiHidden/>
    <w:unhideWhenUsed/>
    <w:rsid w:val="006618CC"/>
    <w:rPr>
      <w:b/>
      <w:bCs/>
    </w:rPr>
  </w:style>
  <w:style w:type="character" w:customStyle="1" w:styleId="CommentSubjectChar">
    <w:name w:val="Comment Subject Char"/>
    <w:basedOn w:val="CommentTextChar"/>
    <w:link w:val="CommentSubject"/>
    <w:semiHidden/>
    <w:rsid w:val="006618CC"/>
    <w:rPr>
      <w:rFonts w:ascii="Calibri" w:hAnsi="Calibri" w:cs="Arial"/>
      <w:b/>
      <w:bCs/>
    </w:rPr>
  </w:style>
  <w:style w:type="paragraph" w:styleId="ListParagraph">
    <w:name w:val="List Paragraph"/>
    <w:aliases w:val="BulletPoints,Body Text Bullet Points,Numbered para,List Paragraph1,Bullet point,List Paragraph11,Recommendation,Section heading,Footnote,ES Paragraph,PBAC ES Paragraph,PBAC normal points,Bullet List,Figure_name,Numbered Indented Text,lp1"/>
    <w:basedOn w:val="Normal"/>
    <w:link w:val="ListParagraphChar"/>
    <w:uiPriority w:val="34"/>
    <w:qFormat/>
    <w:rsid w:val="00241D79"/>
    <w:pPr>
      <w:ind w:left="720"/>
      <w:contextualSpacing/>
    </w:pPr>
  </w:style>
  <w:style w:type="character" w:styleId="UnresolvedMention">
    <w:name w:val="Unresolved Mention"/>
    <w:basedOn w:val="DefaultParagraphFont"/>
    <w:uiPriority w:val="99"/>
    <w:semiHidden/>
    <w:unhideWhenUsed/>
    <w:rsid w:val="00165028"/>
    <w:rPr>
      <w:color w:val="605E5C"/>
      <w:shd w:val="clear" w:color="auto" w:fill="E1DFDD"/>
    </w:rPr>
  </w:style>
  <w:style w:type="paragraph" w:styleId="Caption">
    <w:name w:val="caption"/>
    <w:basedOn w:val="Normal"/>
    <w:next w:val="Normal"/>
    <w:semiHidden/>
    <w:unhideWhenUsed/>
    <w:rsid w:val="000B7C07"/>
    <w:pPr>
      <w:spacing w:after="200"/>
    </w:pPr>
    <w:rPr>
      <w:i/>
      <w:iCs/>
      <w:color w:val="1F497D" w:themeColor="text2"/>
      <w:sz w:val="18"/>
      <w:szCs w:val="18"/>
    </w:rPr>
  </w:style>
  <w:style w:type="character" w:customStyle="1" w:styleId="ListParagraphChar">
    <w:name w:val="List Paragraph Char"/>
    <w:aliases w:val="BulletPoints Char,Body Text Bullet Points Char,Numbered para Char,List Paragraph1 Char,Bullet point Char,List Paragraph11 Char,Recommendation Char,Section heading Char,Footnote Char,ES Paragraph Char,PBAC ES Paragraph Char,lp1 Char"/>
    <w:link w:val="ListParagraph"/>
    <w:uiPriority w:val="34"/>
    <w:qFormat/>
    <w:locked/>
    <w:rsid w:val="00AC791E"/>
    <w:rPr>
      <w:rFonts w:ascii="Calibri" w:hAnsi="Calibri" w:cs="Arial"/>
      <w:sz w:val="24"/>
      <w:szCs w:val="24"/>
    </w:rPr>
  </w:style>
  <w:style w:type="paragraph" w:customStyle="1" w:styleId="Tableheading-centred">
    <w:name w:val="Table heading - centred"/>
    <w:basedOn w:val="Normal"/>
    <w:link w:val="Tableheading-centredChar"/>
    <w:qFormat/>
    <w:rsid w:val="00AC791E"/>
    <w:pPr>
      <w:jc w:val="center"/>
      <w:textAlignment w:val="baseline"/>
    </w:pPr>
    <w:rPr>
      <w:rFonts w:ascii="Aptos Narrow" w:eastAsiaTheme="minorHAnsi" w:hAnsi="Aptos Narrow" w:cstheme="minorBidi"/>
      <w:b/>
      <w:bCs/>
      <w:kern w:val="2"/>
      <w:sz w:val="20"/>
      <w:szCs w:val="20"/>
      <w14:ligatures w14:val="standardContextual"/>
    </w:rPr>
  </w:style>
  <w:style w:type="character" w:customStyle="1" w:styleId="Tableheading-centredChar">
    <w:name w:val="Table heading - centred Char"/>
    <w:basedOn w:val="DefaultParagraphFont"/>
    <w:link w:val="Tableheading-centred"/>
    <w:rsid w:val="00AC791E"/>
    <w:rPr>
      <w:rFonts w:ascii="Aptos Narrow" w:eastAsiaTheme="minorHAnsi" w:hAnsi="Aptos Narrow" w:cstheme="minorBidi"/>
      <w:b/>
      <w:bCs/>
      <w:kern w:val="2"/>
      <w14:ligatures w14:val="standardContextual"/>
    </w:rPr>
  </w:style>
  <w:style w:type="paragraph" w:customStyle="1" w:styleId="Tabletext-centred">
    <w:name w:val="Table text - centred"/>
    <w:basedOn w:val="TableText"/>
    <w:link w:val="Tabletext-centredChar"/>
    <w:qFormat/>
    <w:rsid w:val="00AC791E"/>
    <w:pPr>
      <w:keepNext w:val="0"/>
      <w:keepLines w:val="0"/>
      <w:widowControl/>
      <w:jc w:val="center"/>
    </w:pPr>
    <w:rPr>
      <w:rFonts w:ascii="Aptos Narrow" w:eastAsiaTheme="minorHAnsi" w:hAnsi="Aptos Narrow" w:cstheme="minorBidi"/>
      <w:b w:val="0"/>
      <w:kern w:val="2"/>
      <w:lang w:eastAsia="en-US"/>
      <w14:ligatures w14:val="standardContextual"/>
    </w:rPr>
  </w:style>
  <w:style w:type="character" w:customStyle="1" w:styleId="Tabletext-centredChar">
    <w:name w:val="Table text - centred Char"/>
    <w:basedOn w:val="TableTextChar"/>
    <w:link w:val="Tabletext-centred"/>
    <w:rsid w:val="00AC791E"/>
    <w:rPr>
      <w:rFonts w:ascii="Aptos Narrow" w:eastAsiaTheme="minorHAnsi" w:hAnsi="Aptos Narrow" w:cstheme="minorBidi"/>
      <w:b w:val="0"/>
      <w:kern w:val="2"/>
      <w:szCs w:val="24"/>
      <w:lang w:eastAsia="en-US"/>
      <w14:ligatures w14:val="standardContextual"/>
    </w:rPr>
  </w:style>
  <w:style w:type="character" w:customStyle="1" w:styleId="normaltextrun">
    <w:name w:val="normaltextrun"/>
    <w:basedOn w:val="DefaultParagraphFont"/>
    <w:rsid w:val="00AC791E"/>
  </w:style>
  <w:style w:type="paragraph" w:customStyle="1" w:styleId="2-SectionHeading">
    <w:name w:val="2-Section Heading"/>
    <w:next w:val="3-BodyText"/>
    <w:qFormat/>
    <w:rsid w:val="00635113"/>
    <w:pPr>
      <w:keepNext/>
      <w:spacing w:before="240" w:after="120"/>
      <w:ind w:left="2564" w:hanging="720"/>
      <w:outlineLvl w:val="0"/>
    </w:pPr>
    <w:rPr>
      <w:rFonts w:asciiTheme="minorHAnsi" w:hAnsiTheme="minorHAnsi" w:cs="Arial"/>
      <w:b/>
      <w:snapToGrid w:val="0"/>
      <w:sz w:val="32"/>
      <w:szCs w:val="32"/>
    </w:rPr>
  </w:style>
  <w:style w:type="paragraph" w:customStyle="1" w:styleId="3-BodyText">
    <w:name w:val="3-Body Text"/>
    <w:link w:val="3-BodyTextChar"/>
    <w:qFormat/>
    <w:rsid w:val="00635113"/>
    <w:pPr>
      <w:spacing w:before="60" w:after="6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635113"/>
    <w:rPr>
      <w:rFonts w:asciiTheme="minorHAnsi" w:eastAsiaTheme="minorHAnsi" w:hAnsiTheme="minorHAnsi" w:cstheme="minorBidi"/>
      <w:sz w:val="24"/>
      <w:szCs w:val="22"/>
    </w:rPr>
  </w:style>
  <w:style w:type="paragraph" w:customStyle="1" w:styleId="4-SubsectionHeading">
    <w:name w:val="4-Subsection Heading"/>
    <w:basedOn w:val="Heading2"/>
    <w:next w:val="3-BodyText"/>
    <w:link w:val="4-SubsectionHeadingChar"/>
    <w:qFormat/>
    <w:rsid w:val="00595628"/>
    <w:pPr>
      <w:spacing w:before="120"/>
    </w:pPr>
    <w:rPr>
      <w:rFonts w:asciiTheme="minorHAnsi" w:eastAsiaTheme="majorEastAsia" w:hAnsiTheme="minorHAnsi" w:cstheme="majorBidi"/>
      <w:color w:val="365F91" w:themeColor="accent1" w:themeShade="BF"/>
      <w:spacing w:val="5"/>
      <w:kern w:val="28"/>
      <w:szCs w:val="36"/>
      <w:lang w:eastAsia="en-US"/>
    </w:rPr>
  </w:style>
  <w:style w:type="character" w:customStyle="1" w:styleId="4-SubsectionHeadingChar">
    <w:name w:val="4-Subsection Heading Char"/>
    <w:basedOn w:val="Heading2Char"/>
    <w:link w:val="4-SubsectionHeading"/>
    <w:rsid w:val="00595628"/>
    <w:rPr>
      <w:rFonts w:asciiTheme="minorHAnsi" w:eastAsiaTheme="majorEastAsia" w:hAnsiTheme="minorHAnsi" w:cstheme="majorBidi"/>
      <w:b/>
      <w:i/>
      <w:color w:val="365F91" w:themeColor="accent1" w:themeShade="BF"/>
      <w:spacing w:val="5"/>
      <w:kern w:val="28"/>
      <w:sz w:val="28"/>
      <w:szCs w:val="36"/>
      <w:lang w:eastAsia="en-US"/>
    </w:rPr>
  </w:style>
  <w:style w:type="paragraph" w:styleId="ListBullet">
    <w:name w:val="List Bullet"/>
    <w:basedOn w:val="Normal"/>
    <w:unhideWhenUsed/>
    <w:rsid w:val="0092108B"/>
    <w:pPr>
      <w:tabs>
        <w:tab w:val="num" w:pos="360"/>
      </w:tabs>
      <w:ind w:left="360" w:hanging="360"/>
      <w:contextualSpacing/>
    </w:pPr>
  </w:style>
  <w:style w:type="paragraph" w:styleId="Subtitle">
    <w:name w:val="Subtitle"/>
    <w:basedOn w:val="Normal"/>
    <w:link w:val="SubtitleChar"/>
    <w:qFormat/>
    <w:rsid w:val="007F47D6"/>
    <w:rPr>
      <w:rFonts w:ascii="Times New Roman" w:hAnsi="Times New Roman" w:cs="Times New Roman"/>
      <w:b/>
      <w:szCs w:val="20"/>
    </w:rPr>
  </w:style>
  <w:style w:type="character" w:customStyle="1" w:styleId="SubtitleChar">
    <w:name w:val="Subtitle Char"/>
    <w:basedOn w:val="DefaultParagraphFont"/>
    <w:link w:val="Subtitle"/>
    <w:rsid w:val="007F47D6"/>
    <w:rPr>
      <w:b/>
      <w:sz w:val="24"/>
    </w:rPr>
  </w:style>
  <w:style w:type="character" w:styleId="EndnoteReference">
    <w:name w:val="endnote reference"/>
    <w:basedOn w:val="DefaultParagraphFont"/>
    <w:uiPriority w:val="99"/>
    <w:unhideWhenUsed/>
    <w:rsid w:val="00DE6C2D"/>
    <w:rPr>
      <w:vertAlign w:val="superscript"/>
    </w:rPr>
  </w:style>
  <w:style w:type="paragraph" w:styleId="FootnoteText">
    <w:name w:val="footnote text"/>
    <w:basedOn w:val="Normal"/>
    <w:link w:val="FootnoteTextChar"/>
    <w:semiHidden/>
    <w:unhideWhenUsed/>
    <w:rsid w:val="00451756"/>
    <w:rPr>
      <w:sz w:val="20"/>
      <w:szCs w:val="20"/>
    </w:rPr>
  </w:style>
  <w:style w:type="character" w:customStyle="1" w:styleId="FootnoteTextChar">
    <w:name w:val="Footnote Text Char"/>
    <w:basedOn w:val="DefaultParagraphFont"/>
    <w:link w:val="FootnoteText"/>
    <w:semiHidden/>
    <w:rsid w:val="00451756"/>
    <w:rPr>
      <w:rFonts w:ascii="Calibri" w:hAnsi="Calibri" w:cs="Arial"/>
    </w:rPr>
  </w:style>
  <w:style w:type="character" w:styleId="FootnoteReference">
    <w:name w:val="footnote reference"/>
    <w:basedOn w:val="DefaultParagraphFont"/>
    <w:semiHidden/>
    <w:unhideWhenUsed/>
    <w:rsid w:val="00451756"/>
    <w:rPr>
      <w:vertAlign w:val="superscript"/>
    </w:rPr>
  </w:style>
  <w:style w:type="paragraph" w:styleId="EndnoteText">
    <w:name w:val="endnote text"/>
    <w:basedOn w:val="Normal"/>
    <w:link w:val="EndnoteTextChar"/>
    <w:uiPriority w:val="99"/>
    <w:unhideWhenUsed/>
    <w:rsid w:val="00997510"/>
    <w:pPr>
      <w:jc w:val="left"/>
    </w:pPr>
    <w:rPr>
      <w:rFonts w:asciiTheme="minorHAnsi" w:eastAsiaTheme="minorHAnsi" w:hAnsiTheme="minorHAnsi" w:cstheme="minorBidi"/>
      <w:sz w:val="20"/>
      <w:szCs w:val="20"/>
      <w:lang w:eastAsia="en-US"/>
      <w14:ligatures w14:val="standardContextual"/>
    </w:rPr>
  </w:style>
  <w:style w:type="character" w:customStyle="1" w:styleId="EndnoteTextChar">
    <w:name w:val="Endnote Text Char"/>
    <w:basedOn w:val="DefaultParagraphFont"/>
    <w:link w:val="EndnoteText"/>
    <w:uiPriority w:val="99"/>
    <w:rsid w:val="00997510"/>
    <w:rPr>
      <w:rFonts w:asciiTheme="minorHAnsi" w:eastAsiaTheme="minorHAnsi" w:hAnsiTheme="minorHAnsi" w:cstheme="minorBidi"/>
      <w:lang w:eastAsia="en-US"/>
      <w14:ligatures w14:val="standardContextual"/>
    </w:rPr>
  </w:style>
  <w:style w:type="paragraph" w:customStyle="1" w:styleId="3-SubsectionHeading">
    <w:name w:val="3-Subsection Heading"/>
    <w:basedOn w:val="Heading2"/>
    <w:next w:val="Normal"/>
    <w:link w:val="3-SubsectionHeadingChar"/>
    <w:qFormat/>
    <w:rsid w:val="00A85354"/>
    <w:pPr>
      <w:spacing w:before="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A85354"/>
    <w:rPr>
      <w:rFonts w:asciiTheme="minorHAnsi" w:eastAsiaTheme="majorEastAsia" w:hAnsiTheme="minorHAnsi" w:cstheme="majorBidi"/>
      <w:b/>
      <w: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454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2726046">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9805343">
      <w:bodyDiv w:val="1"/>
      <w:marLeft w:val="0"/>
      <w:marRight w:val="0"/>
      <w:marTop w:val="0"/>
      <w:marBottom w:val="0"/>
      <w:divBdr>
        <w:top w:val="none" w:sz="0" w:space="0" w:color="auto"/>
        <w:left w:val="none" w:sz="0" w:space="0" w:color="auto"/>
        <w:bottom w:val="none" w:sz="0" w:space="0" w:color="auto"/>
        <w:right w:val="none" w:sz="0" w:space="0" w:color="auto"/>
      </w:divBdr>
    </w:div>
    <w:div w:id="156847707">
      <w:bodyDiv w:val="1"/>
      <w:marLeft w:val="0"/>
      <w:marRight w:val="0"/>
      <w:marTop w:val="0"/>
      <w:marBottom w:val="0"/>
      <w:divBdr>
        <w:top w:val="none" w:sz="0" w:space="0" w:color="auto"/>
        <w:left w:val="none" w:sz="0" w:space="0" w:color="auto"/>
        <w:bottom w:val="none" w:sz="0" w:space="0" w:color="auto"/>
        <w:right w:val="none" w:sz="0" w:space="0" w:color="auto"/>
      </w:divBdr>
    </w:div>
    <w:div w:id="24099113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5467567">
      <w:bodyDiv w:val="1"/>
      <w:marLeft w:val="0"/>
      <w:marRight w:val="0"/>
      <w:marTop w:val="0"/>
      <w:marBottom w:val="0"/>
      <w:divBdr>
        <w:top w:val="none" w:sz="0" w:space="0" w:color="auto"/>
        <w:left w:val="none" w:sz="0" w:space="0" w:color="auto"/>
        <w:bottom w:val="none" w:sz="0" w:space="0" w:color="auto"/>
        <w:right w:val="none" w:sz="0" w:space="0" w:color="auto"/>
      </w:divBdr>
    </w:div>
    <w:div w:id="416679796">
      <w:bodyDiv w:val="1"/>
      <w:marLeft w:val="0"/>
      <w:marRight w:val="0"/>
      <w:marTop w:val="0"/>
      <w:marBottom w:val="0"/>
      <w:divBdr>
        <w:top w:val="none" w:sz="0" w:space="0" w:color="auto"/>
        <w:left w:val="none" w:sz="0" w:space="0" w:color="auto"/>
        <w:bottom w:val="none" w:sz="0" w:space="0" w:color="auto"/>
        <w:right w:val="none" w:sz="0" w:space="0" w:color="auto"/>
      </w:divBdr>
    </w:div>
    <w:div w:id="494033130">
      <w:bodyDiv w:val="1"/>
      <w:marLeft w:val="0"/>
      <w:marRight w:val="0"/>
      <w:marTop w:val="0"/>
      <w:marBottom w:val="0"/>
      <w:divBdr>
        <w:top w:val="none" w:sz="0" w:space="0" w:color="auto"/>
        <w:left w:val="none" w:sz="0" w:space="0" w:color="auto"/>
        <w:bottom w:val="none" w:sz="0" w:space="0" w:color="auto"/>
        <w:right w:val="none" w:sz="0" w:space="0" w:color="auto"/>
      </w:divBdr>
      <w:divsChild>
        <w:div w:id="884952104">
          <w:marLeft w:val="0"/>
          <w:marRight w:val="0"/>
          <w:marTop w:val="0"/>
          <w:marBottom w:val="0"/>
          <w:divBdr>
            <w:top w:val="none" w:sz="0" w:space="0" w:color="auto"/>
            <w:left w:val="none" w:sz="0" w:space="0" w:color="auto"/>
            <w:bottom w:val="none" w:sz="0" w:space="0" w:color="auto"/>
            <w:right w:val="none" w:sz="0" w:space="0" w:color="auto"/>
          </w:divBdr>
        </w:div>
        <w:div w:id="1036658910">
          <w:marLeft w:val="0"/>
          <w:marRight w:val="0"/>
          <w:marTop w:val="0"/>
          <w:marBottom w:val="0"/>
          <w:divBdr>
            <w:top w:val="none" w:sz="0" w:space="0" w:color="auto"/>
            <w:left w:val="none" w:sz="0" w:space="0" w:color="auto"/>
            <w:bottom w:val="none" w:sz="0" w:space="0" w:color="auto"/>
            <w:right w:val="none" w:sz="0" w:space="0" w:color="auto"/>
          </w:divBdr>
        </w:div>
        <w:div w:id="1488980021">
          <w:marLeft w:val="0"/>
          <w:marRight w:val="0"/>
          <w:marTop w:val="0"/>
          <w:marBottom w:val="0"/>
          <w:divBdr>
            <w:top w:val="none" w:sz="0" w:space="0" w:color="auto"/>
            <w:left w:val="none" w:sz="0" w:space="0" w:color="auto"/>
            <w:bottom w:val="none" w:sz="0" w:space="0" w:color="auto"/>
            <w:right w:val="none" w:sz="0" w:space="0" w:color="auto"/>
          </w:divBdr>
        </w:div>
        <w:div w:id="1503205537">
          <w:marLeft w:val="0"/>
          <w:marRight w:val="0"/>
          <w:marTop w:val="0"/>
          <w:marBottom w:val="0"/>
          <w:divBdr>
            <w:top w:val="none" w:sz="0" w:space="0" w:color="auto"/>
            <w:left w:val="none" w:sz="0" w:space="0" w:color="auto"/>
            <w:bottom w:val="none" w:sz="0" w:space="0" w:color="auto"/>
            <w:right w:val="none" w:sz="0" w:space="0" w:color="auto"/>
          </w:divBdr>
        </w:div>
        <w:div w:id="1697583166">
          <w:marLeft w:val="0"/>
          <w:marRight w:val="0"/>
          <w:marTop w:val="0"/>
          <w:marBottom w:val="0"/>
          <w:divBdr>
            <w:top w:val="none" w:sz="0" w:space="0" w:color="auto"/>
            <w:left w:val="none" w:sz="0" w:space="0" w:color="auto"/>
            <w:bottom w:val="none" w:sz="0" w:space="0" w:color="auto"/>
            <w:right w:val="none" w:sz="0" w:space="0" w:color="auto"/>
          </w:divBdr>
        </w:div>
        <w:div w:id="1771588012">
          <w:marLeft w:val="0"/>
          <w:marRight w:val="0"/>
          <w:marTop w:val="0"/>
          <w:marBottom w:val="0"/>
          <w:divBdr>
            <w:top w:val="none" w:sz="0" w:space="0" w:color="auto"/>
            <w:left w:val="none" w:sz="0" w:space="0" w:color="auto"/>
            <w:bottom w:val="none" w:sz="0" w:space="0" w:color="auto"/>
            <w:right w:val="none" w:sz="0" w:space="0" w:color="auto"/>
          </w:divBdr>
        </w:div>
        <w:div w:id="1832522951">
          <w:marLeft w:val="0"/>
          <w:marRight w:val="0"/>
          <w:marTop w:val="0"/>
          <w:marBottom w:val="0"/>
          <w:divBdr>
            <w:top w:val="none" w:sz="0" w:space="0" w:color="auto"/>
            <w:left w:val="none" w:sz="0" w:space="0" w:color="auto"/>
            <w:bottom w:val="none" w:sz="0" w:space="0" w:color="auto"/>
            <w:right w:val="none" w:sz="0" w:space="0" w:color="auto"/>
          </w:divBdr>
        </w:div>
      </w:divsChild>
    </w:div>
    <w:div w:id="652292450">
      <w:bodyDiv w:val="1"/>
      <w:marLeft w:val="0"/>
      <w:marRight w:val="0"/>
      <w:marTop w:val="0"/>
      <w:marBottom w:val="0"/>
      <w:divBdr>
        <w:top w:val="none" w:sz="0" w:space="0" w:color="auto"/>
        <w:left w:val="none" w:sz="0" w:space="0" w:color="auto"/>
        <w:bottom w:val="none" w:sz="0" w:space="0" w:color="auto"/>
        <w:right w:val="none" w:sz="0" w:space="0" w:color="auto"/>
      </w:divBdr>
    </w:div>
    <w:div w:id="699671775">
      <w:bodyDiv w:val="1"/>
      <w:marLeft w:val="0"/>
      <w:marRight w:val="0"/>
      <w:marTop w:val="0"/>
      <w:marBottom w:val="0"/>
      <w:divBdr>
        <w:top w:val="none" w:sz="0" w:space="0" w:color="auto"/>
        <w:left w:val="none" w:sz="0" w:space="0" w:color="auto"/>
        <w:bottom w:val="none" w:sz="0" w:space="0" w:color="auto"/>
        <w:right w:val="none" w:sz="0" w:space="0" w:color="auto"/>
      </w:divBdr>
    </w:div>
    <w:div w:id="712580024">
      <w:bodyDiv w:val="1"/>
      <w:marLeft w:val="0"/>
      <w:marRight w:val="0"/>
      <w:marTop w:val="0"/>
      <w:marBottom w:val="0"/>
      <w:divBdr>
        <w:top w:val="none" w:sz="0" w:space="0" w:color="auto"/>
        <w:left w:val="none" w:sz="0" w:space="0" w:color="auto"/>
        <w:bottom w:val="none" w:sz="0" w:space="0" w:color="auto"/>
        <w:right w:val="none" w:sz="0" w:space="0" w:color="auto"/>
      </w:divBdr>
      <w:divsChild>
        <w:div w:id="1592738735">
          <w:marLeft w:val="1080"/>
          <w:marRight w:val="0"/>
          <w:marTop w:val="100"/>
          <w:marBottom w:val="0"/>
          <w:divBdr>
            <w:top w:val="none" w:sz="0" w:space="0" w:color="auto"/>
            <w:left w:val="none" w:sz="0" w:space="0" w:color="auto"/>
            <w:bottom w:val="none" w:sz="0" w:space="0" w:color="auto"/>
            <w:right w:val="none" w:sz="0" w:space="0" w:color="auto"/>
          </w:divBdr>
        </w:div>
      </w:divsChild>
    </w:div>
    <w:div w:id="715813402">
      <w:bodyDiv w:val="1"/>
      <w:marLeft w:val="0"/>
      <w:marRight w:val="0"/>
      <w:marTop w:val="0"/>
      <w:marBottom w:val="0"/>
      <w:divBdr>
        <w:top w:val="none" w:sz="0" w:space="0" w:color="auto"/>
        <w:left w:val="none" w:sz="0" w:space="0" w:color="auto"/>
        <w:bottom w:val="none" w:sz="0" w:space="0" w:color="auto"/>
        <w:right w:val="none" w:sz="0" w:space="0" w:color="auto"/>
      </w:divBdr>
    </w:div>
    <w:div w:id="77856986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9919030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5852308">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8412635">
      <w:bodyDiv w:val="1"/>
      <w:marLeft w:val="0"/>
      <w:marRight w:val="0"/>
      <w:marTop w:val="0"/>
      <w:marBottom w:val="0"/>
      <w:divBdr>
        <w:top w:val="none" w:sz="0" w:space="0" w:color="auto"/>
        <w:left w:val="none" w:sz="0" w:space="0" w:color="auto"/>
        <w:bottom w:val="none" w:sz="0" w:space="0" w:color="auto"/>
        <w:right w:val="none" w:sz="0" w:space="0" w:color="auto"/>
      </w:divBdr>
    </w:div>
    <w:div w:id="1480727651">
      <w:bodyDiv w:val="1"/>
      <w:marLeft w:val="0"/>
      <w:marRight w:val="0"/>
      <w:marTop w:val="0"/>
      <w:marBottom w:val="0"/>
      <w:divBdr>
        <w:top w:val="none" w:sz="0" w:space="0" w:color="auto"/>
        <w:left w:val="none" w:sz="0" w:space="0" w:color="auto"/>
        <w:bottom w:val="none" w:sz="0" w:space="0" w:color="auto"/>
        <w:right w:val="none" w:sz="0" w:space="0" w:color="auto"/>
      </w:divBdr>
      <w:divsChild>
        <w:div w:id="281888265">
          <w:marLeft w:val="0"/>
          <w:marRight w:val="0"/>
          <w:marTop w:val="0"/>
          <w:marBottom w:val="0"/>
          <w:divBdr>
            <w:top w:val="none" w:sz="0" w:space="0" w:color="auto"/>
            <w:left w:val="none" w:sz="0" w:space="0" w:color="auto"/>
            <w:bottom w:val="none" w:sz="0" w:space="0" w:color="auto"/>
            <w:right w:val="none" w:sz="0" w:space="0" w:color="auto"/>
          </w:divBdr>
        </w:div>
        <w:div w:id="519661418">
          <w:marLeft w:val="0"/>
          <w:marRight w:val="0"/>
          <w:marTop w:val="0"/>
          <w:marBottom w:val="0"/>
          <w:divBdr>
            <w:top w:val="none" w:sz="0" w:space="0" w:color="auto"/>
            <w:left w:val="none" w:sz="0" w:space="0" w:color="auto"/>
            <w:bottom w:val="none" w:sz="0" w:space="0" w:color="auto"/>
            <w:right w:val="none" w:sz="0" w:space="0" w:color="auto"/>
          </w:divBdr>
        </w:div>
        <w:div w:id="1263606963">
          <w:marLeft w:val="0"/>
          <w:marRight w:val="0"/>
          <w:marTop w:val="0"/>
          <w:marBottom w:val="0"/>
          <w:divBdr>
            <w:top w:val="none" w:sz="0" w:space="0" w:color="auto"/>
            <w:left w:val="none" w:sz="0" w:space="0" w:color="auto"/>
            <w:bottom w:val="none" w:sz="0" w:space="0" w:color="auto"/>
            <w:right w:val="none" w:sz="0" w:space="0" w:color="auto"/>
          </w:divBdr>
        </w:div>
        <w:div w:id="1379665768">
          <w:marLeft w:val="0"/>
          <w:marRight w:val="0"/>
          <w:marTop w:val="0"/>
          <w:marBottom w:val="0"/>
          <w:divBdr>
            <w:top w:val="none" w:sz="0" w:space="0" w:color="auto"/>
            <w:left w:val="none" w:sz="0" w:space="0" w:color="auto"/>
            <w:bottom w:val="none" w:sz="0" w:space="0" w:color="auto"/>
            <w:right w:val="none" w:sz="0" w:space="0" w:color="auto"/>
          </w:divBdr>
        </w:div>
        <w:div w:id="1422793618">
          <w:marLeft w:val="0"/>
          <w:marRight w:val="0"/>
          <w:marTop w:val="0"/>
          <w:marBottom w:val="0"/>
          <w:divBdr>
            <w:top w:val="none" w:sz="0" w:space="0" w:color="auto"/>
            <w:left w:val="none" w:sz="0" w:space="0" w:color="auto"/>
            <w:bottom w:val="none" w:sz="0" w:space="0" w:color="auto"/>
            <w:right w:val="none" w:sz="0" w:space="0" w:color="auto"/>
          </w:divBdr>
        </w:div>
        <w:div w:id="1439719787">
          <w:marLeft w:val="0"/>
          <w:marRight w:val="0"/>
          <w:marTop w:val="0"/>
          <w:marBottom w:val="0"/>
          <w:divBdr>
            <w:top w:val="none" w:sz="0" w:space="0" w:color="auto"/>
            <w:left w:val="none" w:sz="0" w:space="0" w:color="auto"/>
            <w:bottom w:val="none" w:sz="0" w:space="0" w:color="auto"/>
            <w:right w:val="none" w:sz="0" w:space="0" w:color="auto"/>
          </w:divBdr>
        </w:div>
        <w:div w:id="1854370052">
          <w:marLeft w:val="0"/>
          <w:marRight w:val="0"/>
          <w:marTop w:val="0"/>
          <w:marBottom w:val="0"/>
          <w:divBdr>
            <w:top w:val="none" w:sz="0" w:space="0" w:color="auto"/>
            <w:left w:val="none" w:sz="0" w:space="0" w:color="auto"/>
            <w:bottom w:val="none" w:sz="0" w:space="0" w:color="auto"/>
            <w:right w:val="none" w:sz="0" w:space="0" w:color="auto"/>
          </w:divBdr>
        </w:div>
      </w:divsChild>
    </w:div>
    <w:div w:id="1510868277">
      <w:bodyDiv w:val="1"/>
      <w:marLeft w:val="0"/>
      <w:marRight w:val="0"/>
      <w:marTop w:val="0"/>
      <w:marBottom w:val="0"/>
      <w:divBdr>
        <w:top w:val="none" w:sz="0" w:space="0" w:color="auto"/>
        <w:left w:val="none" w:sz="0" w:space="0" w:color="auto"/>
        <w:bottom w:val="none" w:sz="0" w:space="0" w:color="auto"/>
        <w:right w:val="none" w:sz="0" w:space="0" w:color="auto"/>
      </w:divBdr>
      <w:divsChild>
        <w:div w:id="350572792">
          <w:marLeft w:val="0"/>
          <w:marRight w:val="0"/>
          <w:marTop w:val="0"/>
          <w:marBottom w:val="0"/>
          <w:divBdr>
            <w:top w:val="none" w:sz="0" w:space="0" w:color="auto"/>
            <w:left w:val="none" w:sz="0" w:space="0" w:color="auto"/>
            <w:bottom w:val="none" w:sz="0" w:space="0" w:color="auto"/>
            <w:right w:val="none" w:sz="0" w:space="0" w:color="auto"/>
          </w:divBdr>
        </w:div>
        <w:div w:id="677342848">
          <w:marLeft w:val="0"/>
          <w:marRight w:val="0"/>
          <w:marTop w:val="0"/>
          <w:marBottom w:val="0"/>
          <w:divBdr>
            <w:top w:val="none" w:sz="0" w:space="0" w:color="auto"/>
            <w:left w:val="none" w:sz="0" w:space="0" w:color="auto"/>
            <w:bottom w:val="none" w:sz="0" w:space="0" w:color="auto"/>
            <w:right w:val="none" w:sz="0" w:space="0" w:color="auto"/>
          </w:divBdr>
        </w:div>
        <w:div w:id="733966938">
          <w:marLeft w:val="0"/>
          <w:marRight w:val="0"/>
          <w:marTop w:val="0"/>
          <w:marBottom w:val="0"/>
          <w:divBdr>
            <w:top w:val="none" w:sz="0" w:space="0" w:color="auto"/>
            <w:left w:val="none" w:sz="0" w:space="0" w:color="auto"/>
            <w:bottom w:val="none" w:sz="0" w:space="0" w:color="auto"/>
            <w:right w:val="none" w:sz="0" w:space="0" w:color="auto"/>
          </w:divBdr>
        </w:div>
        <w:div w:id="1037699935">
          <w:marLeft w:val="0"/>
          <w:marRight w:val="0"/>
          <w:marTop w:val="0"/>
          <w:marBottom w:val="0"/>
          <w:divBdr>
            <w:top w:val="none" w:sz="0" w:space="0" w:color="auto"/>
            <w:left w:val="none" w:sz="0" w:space="0" w:color="auto"/>
            <w:bottom w:val="none" w:sz="0" w:space="0" w:color="auto"/>
            <w:right w:val="none" w:sz="0" w:space="0" w:color="auto"/>
          </w:divBdr>
        </w:div>
        <w:div w:id="1164541576">
          <w:marLeft w:val="0"/>
          <w:marRight w:val="0"/>
          <w:marTop w:val="0"/>
          <w:marBottom w:val="0"/>
          <w:divBdr>
            <w:top w:val="none" w:sz="0" w:space="0" w:color="auto"/>
            <w:left w:val="none" w:sz="0" w:space="0" w:color="auto"/>
            <w:bottom w:val="none" w:sz="0" w:space="0" w:color="auto"/>
            <w:right w:val="none" w:sz="0" w:space="0" w:color="auto"/>
          </w:divBdr>
        </w:div>
        <w:div w:id="1471826713">
          <w:marLeft w:val="0"/>
          <w:marRight w:val="0"/>
          <w:marTop w:val="0"/>
          <w:marBottom w:val="0"/>
          <w:divBdr>
            <w:top w:val="none" w:sz="0" w:space="0" w:color="auto"/>
            <w:left w:val="none" w:sz="0" w:space="0" w:color="auto"/>
            <w:bottom w:val="none" w:sz="0" w:space="0" w:color="auto"/>
            <w:right w:val="none" w:sz="0" w:space="0" w:color="auto"/>
          </w:divBdr>
        </w:div>
        <w:div w:id="1709646428">
          <w:marLeft w:val="0"/>
          <w:marRight w:val="0"/>
          <w:marTop w:val="0"/>
          <w:marBottom w:val="0"/>
          <w:divBdr>
            <w:top w:val="none" w:sz="0" w:space="0" w:color="auto"/>
            <w:left w:val="none" w:sz="0" w:space="0" w:color="auto"/>
            <w:bottom w:val="none" w:sz="0" w:space="0" w:color="auto"/>
            <w:right w:val="none" w:sz="0" w:space="0" w:color="auto"/>
          </w:divBdr>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sChild>
        <w:div w:id="84496333">
          <w:marLeft w:val="0"/>
          <w:marRight w:val="0"/>
          <w:marTop w:val="0"/>
          <w:marBottom w:val="0"/>
          <w:divBdr>
            <w:top w:val="none" w:sz="0" w:space="0" w:color="auto"/>
            <w:left w:val="none" w:sz="0" w:space="0" w:color="auto"/>
            <w:bottom w:val="none" w:sz="0" w:space="0" w:color="auto"/>
            <w:right w:val="none" w:sz="0" w:space="0" w:color="auto"/>
          </w:divBdr>
        </w:div>
        <w:div w:id="242765708">
          <w:marLeft w:val="0"/>
          <w:marRight w:val="0"/>
          <w:marTop w:val="0"/>
          <w:marBottom w:val="0"/>
          <w:divBdr>
            <w:top w:val="none" w:sz="0" w:space="0" w:color="auto"/>
            <w:left w:val="none" w:sz="0" w:space="0" w:color="auto"/>
            <w:bottom w:val="none" w:sz="0" w:space="0" w:color="auto"/>
            <w:right w:val="none" w:sz="0" w:space="0" w:color="auto"/>
          </w:divBdr>
        </w:div>
        <w:div w:id="567761951">
          <w:marLeft w:val="0"/>
          <w:marRight w:val="0"/>
          <w:marTop w:val="0"/>
          <w:marBottom w:val="0"/>
          <w:divBdr>
            <w:top w:val="none" w:sz="0" w:space="0" w:color="auto"/>
            <w:left w:val="none" w:sz="0" w:space="0" w:color="auto"/>
            <w:bottom w:val="none" w:sz="0" w:space="0" w:color="auto"/>
            <w:right w:val="none" w:sz="0" w:space="0" w:color="auto"/>
          </w:divBdr>
        </w:div>
        <w:div w:id="931165418">
          <w:marLeft w:val="0"/>
          <w:marRight w:val="0"/>
          <w:marTop w:val="0"/>
          <w:marBottom w:val="0"/>
          <w:divBdr>
            <w:top w:val="none" w:sz="0" w:space="0" w:color="auto"/>
            <w:left w:val="none" w:sz="0" w:space="0" w:color="auto"/>
            <w:bottom w:val="none" w:sz="0" w:space="0" w:color="auto"/>
            <w:right w:val="none" w:sz="0" w:space="0" w:color="auto"/>
          </w:divBdr>
        </w:div>
        <w:div w:id="1463039342">
          <w:marLeft w:val="0"/>
          <w:marRight w:val="0"/>
          <w:marTop w:val="0"/>
          <w:marBottom w:val="0"/>
          <w:divBdr>
            <w:top w:val="none" w:sz="0" w:space="0" w:color="auto"/>
            <w:left w:val="none" w:sz="0" w:space="0" w:color="auto"/>
            <w:bottom w:val="none" w:sz="0" w:space="0" w:color="auto"/>
            <w:right w:val="none" w:sz="0" w:space="0" w:color="auto"/>
          </w:divBdr>
        </w:div>
        <w:div w:id="1540510222">
          <w:marLeft w:val="0"/>
          <w:marRight w:val="0"/>
          <w:marTop w:val="0"/>
          <w:marBottom w:val="0"/>
          <w:divBdr>
            <w:top w:val="none" w:sz="0" w:space="0" w:color="auto"/>
            <w:left w:val="none" w:sz="0" w:space="0" w:color="auto"/>
            <w:bottom w:val="none" w:sz="0" w:space="0" w:color="auto"/>
            <w:right w:val="none" w:sz="0" w:space="0" w:color="auto"/>
          </w:divBdr>
        </w:div>
        <w:div w:id="1986078190">
          <w:marLeft w:val="0"/>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34249635">
      <w:bodyDiv w:val="1"/>
      <w:marLeft w:val="0"/>
      <w:marRight w:val="0"/>
      <w:marTop w:val="0"/>
      <w:marBottom w:val="0"/>
      <w:divBdr>
        <w:top w:val="none" w:sz="0" w:space="0" w:color="auto"/>
        <w:left w:val="none" w:sz="0" w:space="0" w:color="auto"/>
        <w:bottom w:val="none" w:sz="0" w:space="0" w:color="auto"/>
        <w:right w:val="none" w:sz="0" w:space="0" w:color="auto"/>
      </w:divBdr>
    </w:div>
    <w:div w:id="21349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93/neuonc/not236" TargetMode="External"/><Relationship Id="rId1" Type="http://schemas.openxmlformats.org/officeDocument/2006/relationships/hyperlink" Target="https://doi.org/10.1056/nejmoa1500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5B7A5656-D8B1-4AC5-8CD3-5D4110C374F7}">
  <ds:schemaRefs>
    <ds:schemaRef ds:uri="http://schemas.microsoft.com/sharepoint/v3/contenttype/forms"/>
  </ds:schemaRefs>
</ds:datastoreItem>
</file>

<file path=customXml/itemProps3.xml><?xml version="1.0" encoding="utf-8"?>
<ds:datastoreItem xmlns:ds="http://schemas.openxmlformats.org/officeDocument/2006/customXml" ds:itemID="{963540D7-0CAF-4DA6-80F2-7978C6137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65792-58D8-424C-92EA-046A15920A82}">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15912</Words>
  <Characters>90705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2025-08-13T01:24:00Z</dcterms:created>
  <dcterms:modified xsi:type="dcterms:W3CDTF">2025-10-27T06:00:00Z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2025-09-04T08:50:45Z</vt:lpwstr>
  </property>
  <property fmtid="{D5CDD505-2E9C-101B-9397-08002B2CF9AE}" pid="7" name="MSIP_Label_7cd3e8b9-ffed-43a8-b7f4-cc2fa0382d36_Name">
    <vt:lpwstr>OFFICIAL</vt:lpwstr>
  </property>
  <property fmtid="{D5CDD505-2E9C-101B-9397-08002B2CF9AE}" pid="8" name="MSIP_Label_7cd3e8b9-ffed-43a8-b7f4-cc2fa0382d36_ActionId">
    <vt:lpwstr>dc269ec3-77c5-4106-b702-2eaae0de998a</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