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E5965DD" w:rsidR="00B60939" w:rsidRPr="00D86D87" w:rsidRDefault="00267F54" w:rsidP="004A6040">
      <w:pPr>
        <w:pStyle w:val="1-MainHeading"/>
      </w:pPr>
      <w:bookmarkStart w:id="0" w:name="_Toc198710810"/>
      <w:r>
        <w:t>5.12</w:t>
      </w:r>
      <w:r w:rsidR="00163F66" w:rsidRPr="00D86D87">
        <w:tab/>
      </w:r>
      <w:r w:rsidR="005E5188">
        <w:t>TACROLIMUS</w:t>
      </w:r>
      <w:r w:rsidR="00163F66" w:rsidRPr="00D86D87">
        <w:t>,</w:t>
      </w:r>
      <w:r w:rsidR="00163F66" w:rsidRPr="00D86D87">
        <w:br/>
      </w:r>
      <w:r w:rsidR="005E5188">
        <w:t>Ointment</w:t>
      </w:r>
      <w:r w:rsidR="00163F66" w:rsidRPr="00D86D87">
        <w:t>,</w:t>
      </w:r>
      <w:r w:rsidR="00163F66" w:rsidRPr="00D86D87">
        <w:br/>
      </w:r>
      <w:r w:rsidR="005E5188">
        <w:t>1 mg per g, 30 g</w:t>
      </w:r>
      <w:r w:rsidR="00163F66" w:rsidRPr="00D86D87">
        <w:t>,</w:t>
      </w:r>
      <w:r w:rsidR="00163F66" w:rsidRPr="00D86D87">
        <w:br/>
      </w:r>
      <w:r w:rsidR="005E5188">
        <w:t>aZematop</w:t>
      </w:r>
      <w:r w:rsidR="00B60939" w:rsidRPr="00D86D87">
        <w:rPr>
          <w:vertAlign w:val="superscript"/>
        </w:rPr>
        <w:t>®</w:t>
      </w:r>
      <w:r w:rsidR="004A6040" w:rsidRPr="00D86D87">
        <w:t>,</w:t>
      </w:r>
      <w:r w:rsidR="004A6040" w:rsidRPr="00D86D87">
        <w:br/>
      </w:r>
      <w:r w:rsidR="005E5188" w:rsidRPr="005E5188">
        <w:t>ARROTEX PHARMACEUTICALS PTY LTD</w:t>
      </w:r>
      <w:r w:rsidR="00B60939" w:rsidRPr="00D86D87">
        <w:t>.</w:t>
      </w:r>
      <w:bookmarkEnd w:id="0"/>
      <w:r w:rsidR="00F73E08" w:rsidRPr="00D86D87">
        <w:t xml:space="preserve"> </w:t>
      </w:r>
    </w:p>
    <w:p w14:paraId="11C00795" w14:textId="3DFB6D23" w:rsidR="00B50DB8" w:rsidRPr="001B23FF" w:rsidRDefault="00B50DB8" w:rsidP="004A6040">
      <w:pPr>
        <w:pStyle w:val="2-SectionHeading"/>
      </w:pPr>
      <w:bookmarkStart w:id="1" w:name="_Toc198710812"/>
      <w:r w:rsidRPr="001B23FF">
        <w:t xml:space="preserve">Purpose of </w:t>
      </w:r>
      <w:r w:rsidR="00CD7193" w:rsidRPr="001B23FF">
        <w:t>s</w:t>
      </w:r>
      <w:r w:rsidR="00BB3A45" w:rsidRPr="001B23FF">
        <w:t>ubmission</w:t>
      </w:r>
      <w:bookmarkEnd w:id="1"/>
    </w:p>
    <w:p w14:paraId="3D7F215C" w14:textId="2627BC69" w:rsidR="007F4F51" w:rsidRPr="00D86D87" w:rsidRDefault="007F4F51" w:rsidP="007F4F51">
      <w:pPr>
        <w:pStyle w:val="3-BodyText"/>
      </w:pPr>
      <w:bookmarkStart w:id="2" w:name="_Toc22897645"/>
      <w:r w:rsidRPr="00D86D87">
        <w:t xml:space="preserve">The </w:t>
      </w:r>
      <w:r w:rsidR="001F3A0F">
        <w:t xml:space="preserve">Category 2 </w:t>
      </w:r>
      <w:r w:rsidRPr="00D86D87">
        <w:t xml:space="preserve">submission </w:t>
      </w:r>
      <w:r>
        <w:t>r</w:t>
      </w:r>
      <w:r w:rsidRPr="00D86D87">
        <w:t xml:space="preserve">equested </w:t>
      </w:r>
      <w:r w:rsidRPr="00122AC6">
        <w:t xml:space="preserve">a General Schedule Authority Required (STREAMLINED) listing </w:t>
      </w:r>
      <w:r>
        <w:t xml:space="preserve">of 0.1% tacrolimus (TAC) ointment </w:t>
      </w:r>
      <w:r w:rsidRPr="00122AC6">
        <w:t>for the treatment of moderate to severe atopic dermatitis</w:t>
      </w:r>
      <w:r>
        <w:t xml:space="preserve"> (AD)</w:t>
      </w:r>
      <w:r w:rsidRPr="00122AC6">
        <w:t>.</w:t>
      </w:r>
      <w:r>
        <w:t xml:space="preserve"> </w:t>
      </w:r>
    </w:p>
    <w:p w14:paraId="512F9013" w14:textId="3F961BA7" w:rsidR="007F4F51" w:rsidRPr="00D86D87" w:rsidRDefault="007F4F51" w:rsidP="007F4F51">
      <w:pPr>
        <w:pStyle w:val="3-BodyText"/>
      </w:pPr>
      <w:r w:rsidRPr="00D86D87">
        <w:t xml:space="preserve">Listing was requested on </w:t>
      </w:r>
      <w:r>
        <w:t>a cost-minimisation basis compared to 1% pimecrolimus (PIM) for use in moderate AD affecting the face an</w:t>
      </w:r>
      <w:r w:rsidR="00F341D8">
        <w:t>d</w:t>
      </w:r>
      <w:r>
        <w:t xml:space="preserve"> eyelids only and a </w:t>
      </w:r>
      <w:r w:rsidRPr="00D86D87">
        <w:t>cost-</w:t>
      </w:r>
      <w:r>
        <w:t>utility</w:t>
      </w:r>
      <w:r w:rsidRPr="00D86D87">
        <w:t xml:space="preserve"> </w:t>
      </w:r>
      <w:r>
        <w:t>basis</w:t>
      </w:r>
      <w:r w:rsidRPr="00D86D87">
        <w:t xml:space="preserve"> </w:t>
      </w:r>
      <w:r>
        <w:t xml:space="preserve">compared to vehicle ointment (VO) for use in moderate to severe AD </w:t>
      </w:r>
      <w:r w:rsidRPr="0055484C">
        <w:t>any part of the body,</w:t>
      </w:r>
      <w:r>
        <w:t xml:space="preserve"> including the face and eyelids. </w:t>
      </w:r>
    </w:p>
    <w:p w14:paraId="28B717F3" w14:textId="04E84082" w:rsidR="007F4F51" w:rsidRPr="00D86D87" w:rsidRDefault="007F4F51" w:rsidP="007F4F51">
      <w:pPr>
        <w:pStyle w:val="TableFigureHeading"/>
        <w:rPr>
          <w:rStyle w:val="CommentReference"/>
          <w:b/>
          <w:szCs w:val="24"/>
        </w:rPr>
      </w:pPr>
      <w:r w:rsidRPr="00D86D87">
        <w:t xml:space="preserve">Table </w:t>
      </w:r>
      <w:r>
        <w:fldChar w:fldCharType="begin"/>
      </w:r>
      <w:r>
        <w:instrText xml:space="preserve"> SEQ Table \* ARABIC </w:instrText>
      </w:r>
      <w:r>
        <w:fldChar w:fldCharType="separate"/>
      </w:r>
      <w:r w:rsidR="00124226">
        <w:rPr>
          <w:noProof/>
        </w:rPr>
        <w:t>1</w:t>
      </w:r>
      <w:r>
        <w:rPr>
          <w:noProof/>
        </w:rPr>
        <w:fldChar w:fldCharType="end"/>
      </w:r>
      <w:r w:rsidRPr="00D86D87">
        <w:t>:</w:t>
      </w:r>
      <w:r w:rsidRPr="00D86D87">
        <w:rPr>
          <w:rStyle w:val="CommentReference"/>
          <w:b/>
          <w:szCs w:val="24"/>
        </w:rPr>
        <w:t xml:space="preserve"> Key components of the clinical issue addressed by the submission</w:t>
      </w:r>
    </w:p>
    <w:tbl>
      <w:tblPr>
        <w:tblStyle w:val="TableGrid"/>
        <w:tblW w:w="5000" w:type="pct"/>
        <w:tblLook w:val="04A0" w:firstRow="1" w:lastRow="0" w:firstColumn="1" w:lastColumn="0" w:noHBand="0" w:noVBand="1"/>
        <w:tblCaption w:val="able 1: Key components of the clinical issue addressed by the submission"/>
      </w:tblPr>
      <w:tblGrid>
        <w:gridCol w:w="1390"/>
        <w:gridCol w:w="7627"/>
      </w:tblGrid>
      <w:tr w:rsidR="007F4F51" w:rsidRPr="001E1685" w14:paraId="6BDB62B1" w14:textId="77777777">
        <w:tc>
          <w:tcPr>
            <w:tcW w:w="771" w:type="pct"/>
          </w:tcPr>
          <w:p w14:paraId="131E8019" w14:textId="77777777" w:rsidR="007F4F51" w:rsidRPr="001E1685" w:rsidRDefault="007F4F51">
            <w:pPr>
              <w:pStyle w:val="In-tableHeading"/>
              <w:rPr>
                <w:lang w:eastAsia="en-US" w:bidi="en-US"/>
              </w:rPr>
            </w:pPr>
            <w:bookmarkStart w:id="3" w:name="_Hlk197937042"/>
            <w:r w:rsidRPr="001E1685">
              <w:rPr>
                <w:lang w:eastAsia="en-US" w:bidi="en-US"/>
              </w:rPr>
              <w:t>Component</w:t>
            </w:r>
          </w:p>
        </w:tc>
        <w:tc>
          <w:tcPr>
            <w:tcW w:w="4229" w:type="pct"/>
          </w:tcPr>
          <w:p w14:paraId="1425091D" w14:textId="77777777" w:rsidR="007F4F51" w:rsidRPr="001E1685" w:rsidRDefault="007F4F51">
            <w:pPr>
              <w:pStyle w:val="In-tableHeading"/>
              <w:rPr>
                <w:lang w:eastAsia="en-US" w:bidi="en-US"/>
              </w:rPr>
            </w:pPr>
            <w:r w:rsidRPr="001E1685">
              <w:rPr>
                <w:lang w:eastAsia="en-US" w:bidi="en-US"/>
              </w:rPr>
              <w:t>Description</w:t>
            </w:r>
          </w:p>
        </w:tc>
      </w:tr>
      <w:tr w:rsidR="007F4F51" w:rsidRPr="001E1685" w14:paraId="3C98D841" w14:textId="77777777">
        <w:tc>
          <w:tcPr>
            <w:tcW w:w="771" w:type="pct"/>
          </w:tcPr>
          <w:p w14:paraId="5A66133D" w14:textId="77777777" w:rsidR="007F4F51" w:rsidRPr="001E1685" w:rsidRDefault="007F4F51">
            <w:pPr>
              <w:pStyle w:val="TableText0"/>
              <w:rPr>
                <w:lang w:eastAsia="en-US" w:bidi="en-US"/>
              </w:rPr>
            </w:pPr>
            <w:r w:rsidRPr="001E1685">
              <w:rPr>
                <w:lang w:eastAsia="en-US" w:bidi="en-US"/>
              </w:rPr>
              <w:t xml:space="preserve">Population </w:t>
            </w:r>
          </w:p>
        </w:tc>
        <w:tc>
          <w:tcPr>
            <w:tcW w:w="4229" w:type="pct"/>
          </w:tcPr>
          <w:p w14:paraId="18FCFD94" w14:textId="77777777" w:rsidR="007F4F51" w:rsidRPr="001E1685" w:rsidRDefault="007F4F51">
            <w:pPr>
              <w:pStyle w:val="TableText0"/>
              <w:rPr>
                <w:lang w:eastAsia="en-US" w:bidi="en-US"/>
              </w:rPr>
            </w:pPr>
            <w:r w:rsidRPr="001E1685">
              <w:rPr>
                <w:lang w:eastAsia="en-US" w:bidi="en-US"/>
              </w:rPr>
              <w:t xml:space="preserve">Patients </w:t>
            </w:r>
            <w:r w:rsidRPr="001E1685">
              <w:rPr>
                <w:iCs/>
                <w:lang w:eastAsia="en-US" w:bidi="en-US"/>
              </w:rPr>
              <w:t>16 years and older</w:t>
            </w:r>
            <w:r w:rsidRPr="001E1685">
              <w:rPr>
                <w:lang w:eastAsia="en-US" w:bidi="en-US"/>
              </w:rPr>
              <w:t xml:space="preserve"> with moderate to severe </w:t>
            </w:r>
            <w:r>
              <w:rPr>
                <w:lang w:eastAsia="en-US" w:bidi="en-US"/>
              </w:rPr>
              <w:t>AD</w:t>
            </w:r>
            <w:r w:rsidRPr="001E1685">
              <w:rPr>
                <w:lang w:eastAsia="en-US" w:bidi="en-US"/>
              </w:rPr>
              <w:t xml:space="preserve"> affecting any part of the body, including face, neck and flexure areas, who have failed to achieve satisfactory disease control with </w:t>
            </w:r>
            <w:r>
              <w:rPr>
                <w:lang w:eastAsia="en-US" w:bidi="en-US"/>
              </w:rPr>
              <w:t>TCS</w:t>
            </w:r>
            <w:r w:rsidRPr="001E1685">
              <w:rPr>
                <w:lang w:eastAsia="en-US" w:bidi="en-US"/>
              </w:rPr>
              <w:t xml:space="preserve"> despite appropriate dose, duration and adherence.</w:t>
            </w:r>
          </w:p>
        </w:tc>
      </w:tr>
      <w:tr w:rsidR="007F4F51" w:rsidRPr="001E1685" w14:paraId="20ADAF52" w14:textId="77777777">
        <w:tc>
          <w:tcPr>
            <w:tcW w:w="771" w:type="pct"/>
          </w:tcPr>
          <w:p w14:paraId="4EAD0603" w14:textId="77777777" w:rsidR="007F4F51" w:rsidRPr="001E1685" w:rsidRDefault="007F4F51">
            <w:pPr>
              <w:pStyle w:val="TableText0"/>
              <w:rPr>
                <w:lang w:eastAsia="en-US" w:bidi="en-US"/>
              </w:rPr>
            </w:pPr>
            <w:r w:rsidRPr="001E1685">
              <w:rPr>
                <w:lang w:eastAsia="en-US" w:bidi="en-US"/>
              </w:rPr>
              <w:t xml:space="preserve">Intervention </w:t>
            </w:r>
          </w:p>
        </w:tc>
        <w:tc>
          <w:tcPr>
            <w:tcW w:w="4229" w:type="pct"/>
          </w:tcPr>
          <w:p w14:paraId="5ECC771B" w14:textId="07B72AED" w:rsidR="007F4F51" w:rsidRPr="001E1685" w:rsidRDefault="007F4F51">
            <w:pPr>
              <w:pStyle w:val="TableText0"/>
              <w:rPr>
                <w:szCs w:val="20"/>
                <w:lang w:eastAsia="en-US" w:bidi="en-US"/>
              </w:rPr>
            </w:pPr>
            <w:r w:rsidRPr="001E1685">
              <w:rPr>
                <w:szCs w:val="20"/>
                <w:lang w:eastAsia="en-US" w:bidi="en-US"/>
              </w:rPr>
              <w:t xml:space="preserve">0.1% </w:t>
            </w:r>
            <w:r>
              <w:rPr>
                <w:szCs w:val="20"/>
                <w:lang w:eastAsia="en-US" w:bidi="en-US"/>
              </w:rPr>
              <w:t>TAC ointment</w:t>
            </w:r>
            <w:r w:rsidRPr="001E1685">
              <w:rPr>
                <w:szCs w:val="20"/>
                <w:lang w:eastAsia="en-US" w:bidi="en-US"/>
              </w:rPr>
              <w:t xml:space="preserve">, </w:t>
            </w:r>
            <w:r w:rsidRPr="001E1685">
              <w:rPr>
                <w:color w:val="000000"/>
                <w:szCs w:val="20"/>
                <w:lang w:eastAsia="en-US" w:bidi="en-US"/>
              </w:rPr>
              <w:t>30g tube.</w:t>
            </w:r>
          </w:p>
          <w:p w14:paraId="650234BA" w14:textId="77777777" w:rsidR="007F4F51" w:rsidRPr="001E1685" w:rsidRDefault="007F4F51">
            <w:pPr>
              <w:pStyle w:val="TableText0"/>
              <w:rPr>
                <w:lang w:eastAsia="en-US" w:bidi="en-US"/>
              </w:rPr>
            </w:pPr>
            <w:r w:rsidRPr="001E1685">
              <w:rPr>
                <w:szCs w:val="20"/>
                <w:lang w:eastAsia="en-US" w:bidi="en-US"/>
              </w:rPr>
              <w:t>Recommended for short-term and intermittent long-term treatment.</w:t>
            </w:r>
          </w:p>
        </w:tc>
      </w:tr>
      <w:tr w:rsidR="007F4F51" w:rsidRPr="001E1685" w14:paraId="48991C6A" w14:textId="77777777">
        <w:tc>
          <w:tcPr>
            <w:tcW w:w="771" w:type="pct"/>
          </w:tcPr>
          <w:p w14:paraId="422B97E8" w14:textId="77777777" w:rsidR="007F4F51" w:rsidRPr="001E1685" w:rsidRDefault="007F4F51">
            <w:pPr>
              <w:pStyle w:val="TableText0"/>
              <w:rPr>
                <w:lang w:eastAsia="en-US" w:bidi="en-US"/>
              </w:rPr>
            </w:pPr>
            <w:r w:rsidRPr="001E1685">
              <w:rPr>
                <w:lang w:eastAsia="en-US" w:bidi="en-US"/>
              </w:rPr>
              <w:t>Comparator</w:t>
            </w:r>
          </w:p>
        </w:tc>
        <w:tc>
          <w:tcPr>
            <w:tcW w:w="4229" w:type="pct"/>
          </w:tcPr>
          <w:p w14:paraId="5A55371C" w14:textId="359D6EC6" w:rsidR="007F4F51" w:rsidRPr="001E1685" w:rsidRDefault="007F4F51">
            <w:pPr>
              <w:pStyle w:val="TableText0"/>
              <w:rPr>
                <w:szCs w:val="20"/>
                <w:lang w:eastAsia="en-US" w:bidi="en-US"/>
              </w:rPr>
            </w:pPr>
            <w:r w:rsidRPr="001E1685">
              <w:rPr>
                <w:szCs w:val="20"/>
                <w:lang w:eastAsia="en-US" w:bidi="en-US"/>
              </w:rPr>
              <w:t>For face and eyelids</w:t>
            </w:r>
            <w:r>
              <w:rPr>
                <w:szCs w:val="20"/>
                <w:lang w:eastAsia="en-US" w:bidi="en-US"/>
              </w:rPr>
              <w:t xml:space="preserve"> with moderate AD: </w:t>
            </w:r>
            <w:r w:rsidRPr="001E1685">
              <w:rPr>
                <w:szCs w:val="20"/>
                <w:lang w:eastAsia="en-US" w:bidi="en-US"/>
              </w:rPr>
              <w:t>1%</w:t>
            </w:r>
            <w:r>
              <w:rPr>
                <w:szCs w:val="20"/>
                <w:lang w:eastAsia="en-US" w:bidi="en-US"/>
              </w:rPr>
              <w:t xml:space="preserve"> </w:t>
            </w:r>
            <w:r w:rsidRPr="001E1685">
              <w:rPr>
                <w:szCs w:val="20"/>
                <w:lang w:eastAsia="en-US" w:bidi="en-US"/>
              </w:rPr>
              <w:t>P</w:t>
            </w:r>
            <w:r>
              <w:rPr>
                <w:szCs w:val="20"/>
                <w:lang w:eastAsia="en-US" w:bidi="en-US"/>
              </w:rPr>
              <w:t>IM</w:t>
            </w:r>
            <w:r w:rsidRPr="001E1685">
              <w:rPr>
                <w:szCs w:val="20"/>
                <w:lang w:eastAsia="en-US" w:bidi="en-US"/>
              </w:rPr>
              <w:t xml:space="preserve"> cream</w:t>
            </w:r>
          </w:p>
          <w:p w14:paraId="5B8641DA" w14:textId="088E3C6F" w:rsidR="007F4F51" w:rsidRPr="001E1685" w:rsidRDefault="007F4F51">
            <w:pPr>
              <w:pStyle w:val="TableText0"/>
              <w:rPr>
                <w:szCs w:val="20"/>
                <w:lang w:eastAsia="en-US" w:bidi="en-US"/>
              </w:rPr>
            </w:pPr>
            <w:r w:rsidRPr="001E1685">
              <w:rPr>
                <w:szCs w:val="20"/>
                <w:lang w:eastAsia="en-US" w:bidi="en-US"/>
              </w:rPr>
              <w:t xml:space="preserve">For </w:t>
            </w:r>
            <w:r>
              <w:rPr>
                <w:szCs w:val="20"/>
                <w:lang w:eastAsia="en-US" w:bidi="en-US"/>
              </w:rPr>
              <w:t xml:space="preserve">any part </w:t>
            </w:r>
            <w:r w:rsidRPr="001E1685">
              <w:rPr>
                <w:szCs w:val="20"/>
                <w:lang w:eastAsia="en-US" w:bidi="en-US"/>
              </w:rPr>
              <w:t>of the body</w:t>
            </w:r>
            <w:r>
              <w:rPr>
                <w:szCs w:val="20"/>
                <w:lang w:eastAsia="en-US" w:bidi="en-US"/>
              </w:rPr>
              <w:t xml:space="preserve"> including the face and eyelids with moderate to severe AD: VO</w:t>
            </w:r>
          </w:p>
        </w:tc>
      </w:tr>
      <w:tr w:rsidR="007F4F51" w:rsidRPr="001E1685" w14:paraId="65D16E91" w14:textId="77777777">
        <w:tc>
          <w:tcPr>
            <w:tcW w:w="771" w:type="pct"/>
          </w:tcPr>
          <w:p w14:paraId="34E3EEA4" w14:textId="77777777" w:rsidR="007F4F51" w:rsidRPr="001E1685" w:rsidRDefault="007F4F51">
            <w:pPr>
              <w:pStyle w:val="TableText0"/>
              <w:rPr>
                <w:lang w:eastAsia="en-US" w:bidi="en-US"/>
              </w:rPr>
            </w:pPr>
            <w:r w:rsidRPr="001E1685">
              <w:rPr>
                <w:lang w:eastAsia="en-US" w:bidi="en-US"/>
              </w:rPr>
              <w:t>Outcomes</w:t>
            </w:r>
          </w:p>
        </w:tc>
        <w:tc>
          <w:tcPr>
            <w:tcW w:w="4229" w:type="pct"/>
          </w:tcPr>
          <w:p w14:paraId="2746E524" w14:textId="77777777" w:rsidR="007F4F51" w:rsidRPr="001E1685" w:rsidRDefault="007F4F51">
            <w:pPr>
              <w:pStyle w:val="TableText0"/>
              <w:rPr>
                <w:lang w:eastAsia="en-US" w:bidi="en-US"/>
              </w:rPr>
            </w:pPr>
            <w:r w:rsidRPr="001E1685">
              <w:rPr>
                <w:lang w:eastAsia="en-US" w:bidi="en-US"/>
              </w:rPr>
              <w:t>Outcomes include disease severity (signs and symptoms), EASI score, physician and patient rating of overall clinical response, and %BSA affected.</w:t>
            </w:r>
          </w:p>
        </w:tc>
      </w:tr>
      <w:tr w:rsidR="007F4F51" w:rsidRPr="001E1685" w14:paraId="07E915EA" w14:textId="77777777">
        <w:tc>
          <w:tcPr>
            <w:tcW w:w="771" w:type="pct"/>
          </w:tcPr>
          <w:p w14:paraId="2E8B9E5F" w14:textId="77777777" w:rsidR="007F4F51" w:rsidRPr="001E1685" w:rsidRDefault="007F4F51">
            <w:pPr>
              <w:pStyle w:val="TableText0"/>
              <w:rPr>
                <w:lang w:eastAsia="en-US" w:bidi="en-US"/>
              </w:rPr>
            </w:pPr>
            <w:r w:rsidRPr="001E1685">
              <w:rPr>
                <w:lang w:eastAsia="en-US" w:bidi="en-US"/>
              </w:rPr>
              <w:t xml:space="preserve">Clinical claim </w:t>
            </w:r>
          </w:p>
        </w:tc>
        <w:tc>
          <w:tcPr>
            <w:tcW w:w="4229" w:type="pct"/>
          </w:tcPr>
          <w:p w14:paraId="3D47795B" w14:textId="77777777" w:rsidR="007F4F51" w:rsidRPr="001E1685" w:rsidRDefault="007F4F51">
            <w:pPr>
              <w:pStyle w:val="TableText0"/>
              <w:rPr>
                <w:szCs w:val="20"/>
                <w:lang w:eastAsia="en-US" w:bidi="en-US"/>
              </w:rPr>
            </w:pPr>
            <w:r w:rsidRPr="001E1685">
              <w:rPr>
                <w:szCs w:val="20"/>
                <w:lang w:eastAsia="en-US" w:bidi="en-US"/>
              </w:rPr>
              <w:t xml:space="preserve">In the treatment of patients with moderate AD on the face and eyelids, </w:t>
            </w:r>
            <w:r>
              <w:rPr>
                <w:szCs w:val="20"/>
                <w:lang w:eastAsia="en-US" w:bidi="en-US"/>
              </w:rPr>
              <w:t>0.1% TAC</w:t>
            </w:r>
            <w:r w:rsidRPr="001E1685">
              <w:rPr>
                <w:szCs w:val="20"/>
                <w:lang w:eastAsia="en-US" w:bidi="en-US"/>
              </w:rPr>
              <w:t xml:space="preserve"> is superior to </w:t>
            </w:r>
            <w:r>
              <w:rPr>
                <w:szCs w:val="20"/>
                <w:lang w:eastAsia="en-US" w:bidi="en-US"/>
              </w:rPr>
              <w:t>PIM</w:t>
            </w:r>
            <w:r w:rsidRPr="001E1685">
              <w:rPr>
                <w:szCs w:val="20"/>
                <w:lang w:eastAsia="en-US" w:bidi="en-US"/>
              </w:rPr>
              <w:t xml:space="preserve"> at improving disease activity outcomes and no worse in terms of safety.</w:t>
            </w:r>
          </w:p>
          <w:p w14:paraId="7A075F89" w14:textId="77777777" w:rsidR="007F4F51" w:rsidRPr="001E1685" w:rsidRDefault="007F4F51">
            <w:pPr>
              <w:pStyle w:val="TableText0"/>
              <w:rPr>
                <w:lang w:eastAsia="en-US" w:bidi="en-US"/>
              </w:rPr>
            </w:pPr>
            <w:r w:rsidRPr="001E1685">
              <w:rPr>
                <w:szCs w:val="20"/>
                <w:lang w:eastAsia="en-US" w:bidi="en-US"/>
              </w:rPr>
              <w:t xml:space="preserve">In the treatment of patients with moderate to severe AD affecting any part of the body, </w:t>
            </w:r>
            <w:r>
              <w:rPr>
                <w:szCs w:val="20"/>
                <w:lang w:eastAsia="en-US" w:bidi="en-US"/>
              </w:rPr>
              <w:t>0.1% TAC</w:t>
            </w:r>
            <w:r w:rsidRPr="001E1685">
              <w:rPr>
                <w:szCs w:val="20"/>
                <w:lang w:eastAsia="en-US" w:bidi="en-US"/>
              </w:rPr>
              <w:t xml:space="preserve"> is superior to </w:t>
            </w:r>
            <w:r>
              <w:rPr>
                <w:szCs w:val="20"/>
                <w:lang w:eastAsia="en-US" w:bidi="en-US"/>
              </w:rPr>
              <w:t>VO</w:t>
            </w:r>
            <w:r w:rsidRPr="001E1685">
              <w:rPr>
                <w:szCs w:val="20"/>
                <w:lang w:eastAsia="en-US" w:bidi="en-US"/>
              </w:rPr>
              <w:t xml:space="preserve"> and no worse in terms of safety.</w:t>
            </w:r>
          </w:p>
        </w:tc>
      </w:tr>
    </w:tbl>
    <w:bookmarkEnd w:id="3"/>
    <w:p w14:paraId="13FA7153" w14:textId="77777777" w:rsidR="007F4F51" w:rsidRDefault="007F4F51" w:rsidP="007F4F51">
      <w:pPr>
        <w:pStyle w:val="TableFigureFooter"/>
      </w:pPr>
      <w:r w:rsidRPr="00D86D87">
        <w:t xml:space="preserve">Source: </w:t>
      </w:r>
      <w:r w:rsidRPr="00F53D02">
        <w:t>Table 1-1, p14 of the submission</w:t>
      </w:r>
      <w:r>
        <w:t>.</w:t>
      </w:r>
    </w:p>
    <w:p w14:paraId="09DA434A" w14:textId="77777777" w:rsidR="007F4F51" w:rsidRPr="00371684" w:rsidRDefault="007F4F51" w:rsidP="007F4F51">
      <w:pPr>
        <w:pStyle w:val="TableFigureFooter"/>
      </w:pPr>
      <w:r w:rsidRPr="00371684">
        <w:t>AD = atopic dermatitis; BSA = body surface area; EASI = Eczema Area and Severity Index; PIM = pimecrolimus; TAC = tacrolimus; TCS = topical corticosteroids; VO = vehicle ointment.</w:t>
      </w:r>
    </w:p>
    <w:p w14:paraId="155421F6" w14:textId="77777777" w:rsidR="007F4F51" w:rsidRPr="00D86D87" w:rsidRDefault="007F4F51" w:rsidP="007F4F51">
      <w:pPr>
        <w:pStyle w:val="2-SectionHeading"/>
      </w:pPr>
      <w:bookmarkStart w:id="4" w:name="_Toc187925079"/>
      <w:bookmarkStart w:id="5" w:name="_Toc197979886"/>
      <w:bookmarkStart w:id="6" w:name="_Toc198710813"/>
      <w:r w:rsidRPr="00D86D87">
        <w:t>Background</w:t>
      </w:r>
      <w:bookmarkEnd w:id="4"/>
      <w:bookmarkEnd w:id="5"/>
      <w:bookmarkEnd w:id="6"/>
    </w:p>
    <w:p w14:paraId="57A7970F" w14:textId="77777777" w:rsidR="007F4F51" w:rsidRPr="00D86D87" w:rsidRDefault="007F4F51" w:rsidP="007F4F51">
      <w:pPr>
        <w:pStyle w:val="4-SubsectionHeading"/>
      </w:pPr>
      <w:bookmarkStart w:id="7" w:name="_Toc22897638"/>
      <w:bookmarkStart w:id="8" w:name="_Toc187925080"/>
      <w:bookmarkStart w:id="9" w:name="_Toc197979887"/>
      <w:bookmarkStart w:id="10" w:name="_Toc198710814"/>
      <w:r w:rsidRPr="00D86D87">
        <w:t>Registration status</w:t>
      </w:r>
      <w:bookmarkEnd w:id="7"/>
      <w:bookmarkEnd w:id="8"/>
      <w:bookmarkEnd w:id="9"/>
      <w:bookmarkEnd w:id="10"/>
    </w:p>
    <w:p w14:paraId="535AF93C" w14:textId="77777777" w:rsidR="007F4F51" w:rsidRDefault="007F4F51" w:rsidP="007F4F51">
      <w:pPr>
        <w:pStyle w:val="3-BodyText"/>
      </w:pPr>
      <w:r>
        <w:t xml:space="preserve">TAC </w:t>
      </w:r>
      <w:r w:rsidRPr="009916AD">
        <w:t xml:space="preserve">0.1% </w:t>
      </w:r>
      <w:r>
        <w:t xml:space="preserve">ointment </w:t>
      </w:r>
      <w:r w:rsidRPr="009916AD">
        <w:t xml:space="preserve">was approved by the TGA </w:t>
      </w:r>
      <w:r>
        <w:t>in</w:t>
      </w:r>
      <w:r w:rsidRPr="009916AD">
        <w:t xml:space="preserve"> December 2023 </w:t>
      </w:r>
      <w:r>
        <w:t>for the treatment of moderate to severe AD in adults (16 years of age and above) for both flare and maintenance treatment:</w:t>
      </w:r>
    </w:p>
    <w:p w14:paraId="64184404" w14:textId="77777777" w:rsidR="007F4F51" w:rsidRDefault="007F4F51" w:rsidP="00C0701D">
      <w:pPr>
        <w:pStyle w:val="3-BodyText"/>
        <w:numPr>
          <w:ilvl w:val="0"/>
          <w:numId w:val="9"/>
        </w:numPr>
        <w:ind w:left="1080"/>
      </w:pPr>
      <w:r>
        <w:t>Flare treatment: Treatment of moderate to severe flares of AD in patients who are not adequately responsive to, or are intolerant of, conventional therapies such as TCS.</w:t>
      </w:r>
    </w:p>
    <w:p w14:paraId="30787E6E" w14:textId="2027C74D" w:rsidR="007F4F51" w:rsidRDefault="007F4F51" w:rsidP="00C0701D">
      <w:pPr>
        <w:pStyle w:val="3-BodyText"/>
        <w:numPr>
          <w:ilvl w:val="0"/>
          <w:numId w:val="9"/>
        </w:numPr>
        <w:ind w:left="1080"/>
      </w:pPr>
      <w:r>
        <w:lastRenderedPageBreak/>
        <w:t xml:space="preserve">Maintenance treatment: Prevention of flares and prolongation of flare-free intervals in patients experiencing a high frequency of disease exacerbations who have </w:t>
      </w:r>
      <w:bookmarkStart w:id="11" w:name="_Hlk197361232"/>
      <w:r>
        <w:t>responded to 0.1% TAC during flares</w:t>
      </w:r>
      <w:bookmarkEnd w:id="11"/>
      <w:r>
        <w:t>.</w:t>
      </w:r>
    </w:p>
    <w:p w14:paraId="44B36A26" w14:textId="77777777" w:rsidR="00D15E95" w:rsidRDefault="00D15E95" w:rsidP="00D15E95">
      <w:pPr>
        <w:ind w:firstLine="720"/>
        <w:rPr>
          <w:i/>
        </w:rPr>
      </w:pPr>
      <w:bookmarkStart w:id="12" w:name="_Hlk76375324"/>
    </w:p>
    <w:p w14:paraId="21D921EE" w14:textId="01A57CDA" w:rsidR="00D15E95" w:rsidRPr="00D15E95" w:rsidRDefault="00D15E95" w:rsidP="00D15E95">
      <w:pPr>
        <w:ind w:firstLine="720"/>
        <w:rPr>
          <w:i/>
        </w:rPr>
      </w:pPr>
      <w:r w:rsidRPr="00D15E95">
        <w:rPr>
          <w:i/>
        </w:rPr>
        <w:t>For more detail on PBAC’s view, see section 7 PBAC outcome.</w:t>
      </w:r>
    </w:p>
    <w:p w14:paraId="529FB556" w14:textId="77777777" w:rsidR="007F4F51" w:rsidRPr="00D86D87" w:rsidRDefault="007F4F51" w:rsidP="007F4F51">
      <w:pPr>
        <w:pStyle w:val="2-SectionHeading"/>
      </w:pPr>
      <w:bookmarkStart w:id="13" w:name="_Toc107902078"/>
      <w:bookmarkStart w:id="14" w:name="_Toc187925082"/>
      <w:bookmarkStart w:id="15" w:name="_Toc197979888"/>
      <w:bookmarkStart w:id="16" w:name="_Toc198710815"/>
      <w:bookmarkEnd w:id="12"/>
      <w:bookmarkEnd w:id="13"/>
      <w:r w:rsidRPr="00D86D87">
        <w:t>Requested listing</w:t>
      </w:r>
      <w:bookmarkEnd w:id="14"/>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1050"/>
        <w:gridCol w:w="1080"/>
        <w:gridCol w:w="1082"/>
        <w:gridCol w:w="840"/>
        <w:gridCol w:w="2061"/>
      </w:tblGrid>
      <w:tr w:rsidR="007F4F51" w:rsidRPr="00D86D87" w14:paraId="528C515C" w14:textId="77777777" w:rsidTr="0088303C">
        <w:trPr>
          <w:cantSplit/>
          <w:trHeight w:val="20"/>
        </w:trPr>
        <w:tc>
          <w:tcPr>
            <w:tcW w:w="1610" w:type="pct"/>
            <w:vAlign w:val="center"/>
          </w:tcPr>
          <w:p w14:paraId="53FC8DAA" w14:textId="77777777" w:rsidR="007F4F51" w:rsidRPr="00265E32" w:rsidRDefault="007F4F51">
            <w:pPr>
              <w:pStyle w:val="In-tableHeading"/>
            </w:pPr>
            <w:bookmarkStart w:id="17" w:name="_Hlk104809082"/>
            <w:r w:rsidRPr="00265E32">
              <w:t>MEDICINAL PRODUCT</w:t>
            </w:r>
          </w:p>
          <w:p w14:paraId="1AD3A267" w14:textId="77777777" w:rsidR="007F4F51" w:rsidRPr="00265E32" w:rsidRDefault="007F4F51">
            <w:pPr>
              <w:pStyle w:val="In-tableHeading"/>
            </w:pPr>
            <w:r w:rsidRPr="00265E32">
              <w:t>medicinal product pack</w:t>
            </w:r>
          </w:p>
        </w:tc>
        <w:tc>
          <w:tcPr>
            <w:tcW w:w="582" w:type="pct"/>
            <w:vAlign w:val="center"/>
          </w:tcPr>
          <w:p w14:paraId="440A159F" w14:textId="31159FAD" w:rsidR="007F4F51" w:rsidRPr="00265E32" w:rsidRDefault="007F4F51">
            <w:pPr>
              <w:pStyle w:val="In-tableHeading"/>
            </w:pPr>
            <w:r>
              <w:t>DPMQ</w:t>
            </w:r>
          </w:p>
        </w:tc>
        <w:tc>
          <w:tcPr>
            <w:tcW w:w="599" w:type="pct"/>
            <w:vAlign w:val="center"/>
          </w:tcPr>
          <w:p w14:paraId="51EC442F" w14:textId="77777777" w:rsidR="007F4F51" w:rsidRPr="00265E32" w:rsidRDefault="007F4F51">
            <w:pPr>
              <w:pStyle w:val="In-tableHeading"/>
            </w:pPr>
            <w:r w:rsidRPr="00265E32">
              <w:t>Max. qty packs</w:t>
            </w:r>
          </w:p>
        </w:tc>
        <w:tc>
          <w:tcPr>
            <w:tcW w:w="600" w:type="pct"/>
            <w:vAlign w:val="center"/>
          </w:tcPr>
          <w:p w14:paraId="7000AD97" w14:textId="77777777" w:rsidR="007F4F51" w:rsidRPr="00265E32" w:rsidRDefault="007F4F51">
            <w:pPr>
              <w:pStyle w:val="In-tableHeading"/>
            </w:pPr>
            <w:r w:rsidRPr="00265E32">
              <w:t>Max. qty units</w:t>
            </w:r>
          </w:p>
        </w:tc>
        <w:tc>
          <w:tcPr>
            <w:tcW w:w="466" w:type="pct"/>
            <w:vAlign w:val="center"/>
          </w:tcPr>
          <w:p w14:paraId="651076FC" w14:textId="294F0163" w:rsidR="007F4F51" w:rsidRPr="00265E32" w:rsidRDefault="005B3B98">
            <w:pPr>
              <w:pStyle w:val="In-tableHeading"/>
            </w:pPr>
            <w:r w:rsidRPr="00265E32">
              <w:t>№. of</w:t>
            </w:r>
          </w:p>
          <w:p w14:paraId="43B18893" w14:textId="77777777" w:rsidR="007F4F51" w:rsidRPr="00265E32" w:rsidRDefault="007F4F51">
            <w:pPr>
              <w:pStyle w:val="In-tableHeading"/>
            </w:pPr>
            <w:r w:rsidRPr="00265E32">
              <w:t>Rpts</w:t>
            </w:r>
          </w:p>
        </w:tc>
        <w:tc>
          <w:tcPr>
            <w:tcW w:w="1143" w:type="pct"/>
            <w:vAlign w:val="center"/>
          </w:tcPr>
          <w:p w14:paraId="0CD13FE1" w14:textId="77777777" w:rsidR="007F4F51" w:rsidRPr="00265E32" w:rsidRDefault="007F4F51">
            <w:pPr>
              <w:pStyle w:val="In-tableHeading"/>
            </w:pPr>
            <w:r w:rsidRPr="00265E32">
              <w:t>Available brands</w:t>
            </w:r>
          </w:p>
        </w:tc>
      </w:tr>
      <w:tr w:rsidR="007F4F51" w:rsidRPr="00D86D87" w14:paraId="4152F077" w14:textId="77777777">
        <w:trPr>
          <w:cantSplit/>
          <w:trHeight w:val="20"/>
        </w:trPr>
        <w:tc>
          <w:tcPr>
            <w:tcW w:w="5000" w:type="pct"/>
            <w:gridSpan w:val="6"/>
            <w:vAlign w:val="center"/>
          </w:tcPr>
          <w:p w14:paraId="6C1A2038" w14:textId="77777777" w:rsidR="007F4F51" w:rsidRPr="003A57CD" w:rsidRDefault="007F4F51">
            <w:pPr>
              <w:pStyle w:val="TableText0"/>
            </w:pPr>
            <w:r w:rsidRPr="003A57CD">
              <w:t>TACROLIMUS 0.1%</w:t>
            </w:r>
          </w:p>
        </w:tc>
      </w:tr>
      <w:tr w:rsidR="007F4F51" w:rsidRPr="00D86D87" w14:paraId="33A1836D" w14:textId="77777777" w:rsidTr="0088303C">
        <w:trPr>
          <w:cantSplit/>
          <w:trHeight w:val="20"/>
        </w:trPr>
        <w:tc>
          <w:tcPr>
            <w:tcW w:w="1610" w:type="pct"/>
            <w:vAlign w:val="center"/>
          </w:tcPr>
          <w:p w14:paraId="25DFE344" w14:textId="77777777" w:rsidR="007F4F51" w:rsidRPr="003A57CD" w:rsidRDefault="007F4F51">
            <w:pPr>
              <w:pStyle w:val="TableText0"/>
            </w:pPr>
            <w:r w:rsidRPr="003A57CD">
              <w:t>Tacrolimus 0.1%, 30g ointment tube</w:t>
            </w:r>
          </w:p>
        </w:tc>
        <w:tc>
          <w:tcPr>
            <w:tcW w:w="582" w:type="pct"/>
            <w:vAlign w:val="center"/>
          </w:tcPr>
          <w:p w14:paraId="422025E2" w14:textId="1E0CC95F" w:rsidR="007F4F51" w:rsidRPr="003A57CD" w:rsidRDefault="007F4F51">
            <w:pPr>
              <w:pStyle w:val="TableText0"/>
            </w:pPr>
            <w:r w:rsidRPr="003A57CD">
              <w:t>$</w:t>
            </w:r>
            <w:r w:rsidR="00460689" w:rsidRPr="000342A1">
              <w:rPr>
                <w:color w:val="000000"/>
                <w:spacing w:val="244"/>
                <w:shd w:val="solid" w:color="000000" w:fill="000000"/>
                <w:fitText w:val="330" w:id="-632553472"/>
                <w14:textFill>
                  <w14:solidFill>
                    <w14:srgbClr w14:val="000000">
                      <w14:alpha w14:val="100000"/>
                    </w14:srgbClr>
                  </w14:solidFill>
                </w14:textFill>
              </w:rPr>
              <w:t>|</w:t>
            </w:r>
            <w:r w:rsidR="00460689" w:rsidRPr="000342A1">
              <w:rPr>
                <w:color w:val="000000"/>
                <w:shd w:val="solid" w:color="000000" w:fill="000000"/>
                <w:fitText w:val="330" w:id="-632553472"/>
                <w14:textFill>
                  <w14:solidFill>
                    <w14:srgbClr w14:val="000000">
                      <w14:alpha w14:val="100000"/>
                    </w14:srgbClr>
                  </w14:solidFill>
                </w14:textFill>
              </w:rPr>
              <w:t>|</w:t>
            </w:r>
          </w:p>
        </w:tc>
        <w:tc>
          <w:tcPr>
            <w:tcW w:w="599" w:type="pct"/>
            <w:vAlign w:val="center"/>
          </w:tcPr>
          <w:p w14:paraId="665A324E" w14:textId="77777777" w:rsidR="007F4F51" w:rsidRPr="003A57CD" w:rsidRDefault="007F4F51">
            <w:pPr>
              <w:pStyle w:val="TableText0"/>
            </w:pPr>
            <w:r w:rsidRPr="003A57CD">
              <w:t>1</w:t>
            </w:r>
          </w:p>
        </w:tc>
        <w:tc>
          <w:tcPr>
            <w:tcW w:w="600" w:type="pct"/>
            <w:vAlign w:val="center"/>
          </w:tcPr>
          <w:p w14:paraId="2D48C70F" w14:textId="77777777" w:rsidR="007F4F51" w:rsidRPr="003A57CD" w:rsidRDefault="007F4F51">
            <w:pPr>
              <w:pStyle w:val="TableText0"/>
            </w:pPr>
            <w:r w:rsidRPr="003A57CD">
              <w:t>1</w:t>
            </w:r>
          </w:p>
        </w:tc>
        <w:tc>
          <w:tcPr>
            <w:tcW w:w="466" w:type="pct"/>
            <w:vAlign w:val="center"/>
          </w:tcPr>
          <w:p w14:paraId="5C09536E" w14:textId="77777777" w:rsidR="007F4F51" w:rsidRPr="003A57CD" w:rsidRDefault="007F4F51">
            <w:pPr>
              <w:pStyle w:val="TableText0"/>
            </w:pPr>
            <w:r w:rsidRPr="003A57CD">
              <w:t>1</w:t>
            </w:r>
          </w:p>
        </w:tc>
        <w:tc>
          <w:tcPr>
            <w:tcW w:w="1143" w:type="pct"/>
            <w:vAlign w:val="center"/>
          </w:tcPr>
          <w:p w14:paraId="6CD279A7" w14:textId="77777777" w:rsidR="007F4F51" w:rsidRPr="003A57CD" w:rsidRDefault="007F4F51">
            <w:pPr>
              <w:pStyle w:val="TableText0"/>
            </w:pPr>
            <w:r w:rsidRPr="003A57CD">
              <w:t>a</w:t>
            </w:r>
            <w:r>
              <w:t>Z</w:t>
            </w:r>
            <w:r w:rsidRPr="003A57CD">
              <w:t>ematop</w:t>
            </w:r>
          </w:p>
          <w:p w14:paraId="6191DB93" w14:textId="77777777" w:rsidR="007F4F51" w:rsidRPr="003A57CD" w:rsidRDefault="007F4F51">
            <w:pPr>
              <w:pStyle w:val="TableText0"/>
            </w:pPr>
            <w:r w:rsidRPr="003A57CD">
              <w:t>Arrotex Pharmaceuticals Pty Ltd</w:t>
            </w:r>
          </w:p>
        </w:tc>
      </w:tr>
    </w:tbl>
    <w:p w14:paraId="563BAB16" w14:textId="77777777" w:rsidR="007F4F51" w:rsidRDefault="007F4F51" w:rsidP="007F4F51">
      <w:pPr>
        <w:pStyle w:val="TableFigureFooter"/>
      </w:pPr>
      <w:r>
        <w:t xml:space="preserve">Source: </w:t>
      </w:r>
      <w:r w:rsidRPr="007D60CD">
        <w:t>Table 1-10, p 42 of the submission</w:t>
      </w:r>
      <w:r>
        <w:t>.</w:t>
      </w:r>
    </w:p>
    <w:p w14:paraId="4A1F5790" w14:textId="4C83712B" w:rsidR="007F4F51" w:rsidRPr="007D60CD" w:rsidRDefault="007F4F51" w:rsidP="007F4F51">
      <w:pPr>
        <w:pStyle w:val="TableFigureFooter"/>
        <w:rPr>
          <w:lang w:val="en-US"/>
        </w:rPr>
      </w:pPr>
      <w:r w:rsidRPr="007D60CD">
        <w:rPr>
          <w:lang w:val="en-US"/>
        </w:rPr>
        <w:t>DPMQ</w:t>
      </w:r>
      <w:r>
        <w:rPr>
          <w:lang w:val="en-US"/>
        </w:rPr>
        <w:t xml:space="preserve"> = </w:t>
      </w:r>
      <w:r w:rsidRPr="007D60CD">
        <w:rPr>
          <w:lang w:val="en-US"/>
        </w:rPr>
        <w:t>dispensed price for maximum quantity</w:t>
      </w:r>
      <w:r>
        <w:rPr>
          <w:lang w:val="en-US"/>
        </w:rPr>
        <w:t xml:space="preserve">; max = maximum; </w:t>
      </w:r>
      <w:r w:rsidRPr="00925619">
        <w:t>№</w:t>
      </w:r>
      <w:r>
        <w:rPr>
          <w:lang w:val="en-US"/>
        </w:rPr>
        <w:t xml:space="preserve"> = number; Qty = quantity; Rpts = repeats.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7F4F51" w:rsidRPr="00D86D87" w14:paraId="52E141C7" w14:textId="77777777">
        <w:trPr>
          <w:cantSplit/>
          <w:trHeight w:val="20"/>
        </w:trPr>
        <w:tc>
          <w:tcPr>
            <w:tcW w:w="5000" w:type="pct"/>
          </w:tcPr>
          <w:p w14:paraId="2F6F10B8" w14:textId="77777777" w:rsidR="007F4F51" w:rsidRPr="00D86D87" w:rsidRDefault="007F4F51">
            <w:pPr>
              <w:pStyle w:val="TableText0"/>
              <w:keepLines w:val="0"/>
              <w:widowControl w:val="0"/>
            </w:pPr>
            <w:r w:rsidRPr="00D86D87">
              <w:rPr>
                <w:b/>
              </w:rPr>
              <w:lastRenderedPageBreak/>
              <w:t xml:space="preserve">Category / Program: </w:t>
            </w:r>
            <w:r w:rsidRPr="00D86D87">
              <w:t>General Schedule</w:t>
            </w:r>
          </w:p>
        </w:tc>
      </w:tr>
      <w:tr w:rsidR="007F4F51" w:rsidRPr="00D86D87" w14:paraId="2EBF85D8" w14:textId="77777777">
        <w:trPr>
          <w:cantSplit/>
          <w:trHeight w:val="20"/>
        </w:trPr>
        <w:tc>
          <w:tcPr>
            <w:tcW w:w="5000" w:type="pct"/>
          </w:tcPr>
          <w:p w14:paraId="26A54E74" w14:textId="77777777" w:rsidR="007F4F51" w:rsidRPr="00D86D87" w:rsidRDefault="007F4F51">
            <w:pPr>
              <w:pStyle w:val="TableText0"/>
              <w:keepLines w:val="0"/>
              <w:widowControl w:val="0"/>
              <w:rPr>
                <w:b/>
              </w:rPr>
            </w:pPr>
            <w:r w:rsidRPr="00D86D87">
              <w:rPr>
                <w:b/>
              </w:rPr>
              <w:t xml:space="preserve">Prescriber type: </w:t>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t xml:space="preserve">Medical Practitioners </w:t>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t>Nurse practitioners</w:t>
            </w:r>
          </w:p>
        </w:tc>
      </w:tr>
      <w:tr w:rsidR="007F4F51" w:rsidRPr="00D86D87" w14:paraId="01BA77AA" w14:textId="77777777">
        <w:trPr>
          <w:cantSplit/>
          <w:trHeight w:val="20"/>
        </w:trPr>
        <w:tc>
          <w:tcPr>
            <w:tcW w:w="5000" w:type="pct"/>
          </w:tcPr>
          <w:p w14:paraId="047E70CF" w14:textId="77777777" w:rsidR="007F4F51" w:rsidRPr="00D86D87" w:rsidRDefault="007F4F51">
            <w:pPr>
              <w:pStyle w:val="TableText0"/>
              <w:keepLines w:val="0"/>
              <w:widowControl w:val="0"/>
              <w:rPr>
                <w:rFonts w:eastAsia="Times New Roman"/>
              </w:rPr>
            </w:pPr>
            <w:r w:rsidRPr="00D86D87">
              <w:rPr>
                <w:b/>
              </w:rPr>
              <w:t>Restriction type:</w:t>
            </w:r>
            <w:r w:rsidRPr="00D86D87">
              <w:rPr>
                <w:color w:val="0066FF"/>
              </w:rPr>
              <w:br/>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rPr>
                <w:rFonts w:eastAsia="Times New Roman"/>
              </w:rPr>
              <w:t>Restricted benefit</w:t>
            </w:r>
            <w:r w:rsidRPr="00D86D87">
              <w:rPr>
                <w:rFonts w:eastAsia="Times New Roman"/>
              </w:rPr>
              <w:br/>
            </w:r>
            <w:r w:rsidRPr="00394137">
              <w:rPr>
                <w:lang w:val="en-GB"/>
              </w:rPr>
              <w:fldChar w:fldCharType="begin">
                <w:ffData>
                  <w:name w:val=""/>
                  <w:enabled/>
                  <w:calcOnExit w:val="0"/>
                  <w:checkBox>
                    <w:sizeAuto/>
                    <w:default w:val="1"/>
                  </w:checkBox>
                </w:ffData>
              </w:fldChar>
            </w:r>
            <w:r w:rsidRPr="00394137">
              <w:rPr>
                <w:lang w:val="en-GB"/>
              </w:rPr>
              <w:instrText xml:space="preserve"> FORMCHECKBOX </w:instrText>
            </w:r>
            <w:r w:rsidRPr="00394137">
              <w:rPr>
                <w:lang w:val="en-GB"/>
              </w:rPr>
            </w:r>
            <w:r w:rsidRPr="00394137">
              <w:rPr>
                <w:lang w:val="en-GB"/>
              </w:rPr>
              <w:fldChar w:fldCharType="separate"/>
            </w:r>
            <w:r w:rsidRPr="00394137">
              <w:fldChar w:fldCharType="end"/>
            </w:r>
            <w:r w:rsidRPr="00D86D87">
              <w:rPr>
                <w:rFonts w:eastAsia="Times New Roman"/>
              </w:rPr>
              <w:t>Authority Required (STREAMLINED)</w:t>
            </w:r>
          </w:p>
        </w:tc>
      </w:tr>
      <w:tr w:rsidR="007F4F51" w:rsidRPr="00D86D87" w14:paraId="718E2FD7" w14:textId="77777777">
        <w:trPr>
          <w:cantSplit/>
          <w:trHeight w:val="20"/>
        </w:trPr>
        <w:tc>
          <w:tcPr>
            <w:tcW w:w="5000" w:type="pct"/>
            <w:vAlign w:val="center"/>
            <w:hideMark/>
          </w:tcPr>
          <w:p w14:paraId="698D6CA7" w14:textId="77777777" w:rsidR="007F4F51" w:rsidRPr="00D86D87" w:rsidRDefault="007F4F51">
            <w:pPr>
              <w:pStyle w:val="TableText0"/>
              <w:keepLines w:val="0"/>
              <w:widowControl w:val="0"/>
            </w:pPr>
            <w:r w:rsidRPr="00D86D87">
              <w:rPr>
                <w:b/>
              </w:rPr>
              <w:t>Indication:</w:t>
            </w:r>
            <w:r w:rsidRPr="00D86D87">
              <w:t xml:space="preserve"> </w:t>
            </w:r>
            <w:r>
              <w:t>Moderate to severe a</w:t>
            </w:r>
            <w:r w:rsidRPr="00FF231F">
              <w:t>topic dermatitis</w:t>
            </w:r>
          </w:p>
        </w:tc>
      </w:tr>
      <w:tr w:rsidR="007F4F51" w:rsidRPr="00D86D87" w14:paraId="5EDC191B" w14:textId="77777777">
        <w:trPr>
          <w:cantSplit/>
          <w:trHeight w:val="20"/>
        </w:trPr>
        <w:tc>
          <w:tcPr>
            <w:tcW w:w="5000" w:type="pct"/>
            <w:vAlign w:val="center"/>
            <w:hideMark/>
          </w:tcPr>
          <w:p w14:paraId="76CE2E88" w14:textId="77777777" w:rsidR="007F4F51" w:rsidRPr="00D86D87" w:rsidRDefault="007F4F51">
            <w:pPr>
              <w:pStyle w:val="TableText0"/>
              <w:keepLines w:val="0"/>
              <w:widowControl w:val="0"/>
            </w:pPr>
            <w:r w:rsidRPr="00D86D87">
              <w:rPr>
                <w:b/>
              </w:rPr>
              <w:t>Treatment Phase:</w:t>
            </w:r>
            <w:r w:rsidRPr="00D86D87">
              <w:t xml:space="preserve"> </w:t>
            </w:r>
            <w:r w:rsidRPr="000475D3">
              <w:rPr>
                <w:b/>
                <w:bCs w:val="0"/>
              </w:rPr>
              <w:t>Initial therapy</w:t>
            </w:r>
          </w:p>
        </w:tc>
      </w:tr>
      <w:tr w:rsidR="007F4F51" w:rsidRPr="00D86D87" w14:paraId="14F8680C" w14:textId="77777777">
        <w:trPr>
          <w:cantSplit/>
          <w:trHeight w:val="20"/>
        </w:trPr>
        <w:tc>
          <w:tcPr>
            <w:tcW w:w="5000" w:type="pct"/>
            <w:vAlign w:val="center"/>
            <w:hideMark/>
          </w:tcPr>
          <w:p w14:paraId="3CBC0AD5" w14:textId="77777777" w:rsidR="007F4F51" w:rsidRPr="00D86D87" w:rsidRDefault="007F4F51">
            <w:pPr>
              <w:pStyle w:val="TableText0"/>
              <w:keepLines w:val="0"/>
              <w:widowControl w:val="0"/>
            </w:pPr>
            <w:r w:rsidRPr="00D86D87">
              <w:rPr>
                <w:b/>
              </w:rPr>
              <w:t>Clinical criteria:</w:t>
            </w:r>
          </w:p>
        </w:tc>
      </w:tr>
      <w:tr w:rsidR="007F4F51" w:rsidRPr="00D86D87" w14:paraId="15EEDE6B" w14:textId="77777777">
        <w:trPr>
          <w:cantSplit/>
          <w:trHeight w:val="20"/>
        </w:trPr>
        <w:tc>
          <w:tcPr>
            <w:tcW w:w="5000" w:type="pct"/>
            <w:vAlign w:val="center"/>
            <w:hideMark/>
          </w:tcPr>
          <w:p w14:paraId="18BC3F99" w14:textId="77777777" w:rsidR="007F4F51" w:rsidRDefault="007F4F51">
            <w:pPr>
              <w:pStyle w:val="TableText0"/>
              <w:keepLines w:val="0"/>
              <w:widowControl w:val="0"/>
            </w:pPr>
            <w:r w:rsidRPr="00FF231F">
              <w:t>Patient must have failed to achieve satisfactory disease control with intermittent (moderate or potent) topical corticosteroid therapy</w:t>
            </w:r>
            <w:r>
              <w:t>,</w:t>
            </w:r>
          </w:p>
          <w:p w14:paraId="08E07CA5" w14:textId="77777777" w:rsidR="007F4F51" w:rsidRPr="005B0E53" w:rsidRDefault="007F4F51">
            <w:pPr>
              <w:pStyle w:val="TableText0"/>
              <w:keepLines w:val="0"/>
              <w:widowControl w:val="0"/>
            </w:pPr>
            <w:r w:rsidRPr="005B0E53">
              <w:t>OR</w:t>
            </w:r>
          </w:p>
          <w:p w14:paraId="271A71ED" w14:textId="77777777" w:rsidR="007F4F51" w:rsidRDefault="007F4F51">
            <w:pPr>
              <w:pStyle w:val="TableText0"/>
              <w:keepLines w:val="0"/>
              <w:widowControl w:val="0"/>
            </w:pPr>
            <w:r w:rsidRPr="00FF231F">
              <w:t>Patient must be considered unsuitable/contraindicated for topical corticosteroids therapy</w:t>
            </w:r>
          </w:p>
          <w:p w14:paraId="3C915C7A" w14:textId="77777777" w:rsidR="007F4F51" w:rsidRPr="005B0E53" w:rsidRDefault="007F4F51">
            <w:pPr>
              <w:pStyle w:val="TableText0"/>
              <w:keepLines w:val="0"/>
              <w:widowControl w:val="0"/>
            </w:pPr>
            <w:r w:rsidRPr="005B0E53">
              <w:t>AND</w:t>
            </w:r>
          </w:p>
          <w:p w14:paraId="2F9583D2" w14:textId="77777777" w:rsidR="007F4F51" w:rsidRPr="00D86D87" w:rsidRDefault="007F4F51">
            <w:pPr>
              <w:pStyle w:val="TableText0"/>
              <w:keepLines w:val="0"/>
              <w:widowControl w:val="0"/>
            </w:pPr>
            <w:r w:rsidRPr="00FF231F">
              <w:t>The condition must have been initially diagnosed more than three months prior to this treatment</w:t>
            </w:r>
          </w:p>
        </w:tc>
      </w:tr>
      <w:tr w:rsidR="007F4F51" w:rsidRPr="00D86D87" w14:paraId="6BD0CE6B" w14:textId="77777777">
        <w:trPr>
          <w:cantSplit/>
          <w:trHeight w:val="20"/>
        </w:trPr>
        <w:tc>
          <w:tcPr>
            <w:tcW w:w="5000" w:type="pct"/>
            <w:vAlign w:val="center"/>
          </w:tcPr>
          <w:p w14:paraId="07D75B28" w14:textId="77777777" w:rsidR="007F4F51" w:rsidRPr="00FF231F" w:rsidRDefault="007F4F51">
            <w:pPr>
              <w:pStyle w:val="TableText0"/>
              <w:keepLines w:val="0"/>
              <w:widowControl w:val="0"/>
            </w:pPr>
            <w:r w:rsidRPr="00D86D87">
              <w:rPr>
                <w:b/>
              </w:rPr>
              <w:t>Treatment Phase:</w:t>
            </w:r>
            <w:r w:rsidRPr="00D86D87">
              <w:t xml:space="preserve"> </w:t>
            </w:r>
            <w:r w:rsidRPr="000475D3">
              <w:rPr>
                <w:b/>
                <w:bCs w:val="0"/>
              </w:rPr>
              <w:t>Continuing intermittent therapy</w:t>
            </w:r>
          </w:p>
        </w:tc>
      </w:tr>
      <w:tr w:rsidR="007F4F51" w:rsidRPr="00D86D87" w14:paraId="40F49BF3" w14:textId="77777777">
        <w:trPr>
          <w:cantSplit/>
          <w:trHeight w:val="20"/>
        </w:trPr>
        <w:tc>
          <w:tcPr>
            <w:tcW w:w="5000" w:type="pct"/>
            <w:vAlign w:val="center"/>
            <w:hideMark/>
          </w:tcPr>
          <w:p w14:paraId="448BC440" w14:textId="77777777" w:rsidR="007F4F51" w:rsidRPr="00D86D87" w:rsidRDefault="007F4F51">
            <w:pPr>
              <w:pStyle w:val="TableText0"/>
              <w:keepLines w:val="0"/>
              <w:widowControl w:val="0"/>
            </w:pPr>
            <w:r w:rsidRPr="00D86D87">
              <w:rPr>
                <w:b/>
              </w:rPr>
              <w:t>Clinical criteria:</w:t>
            </w:r>
            <w:r>
              <w:rPr>
                <w:b/>
              </w:rPr>
              <w:t xml:space="preserve"> </w:t>
            </w:r>
          </w:p>
        </w:tc>
      </w:tr>
      <w:tr w:rsidR="007F4F51" w:rsidRPr="00D86D87" w14:paraId="4F853450" w14:textId="77777777">
        <w:trPr>
          <w:cantSplit/>
          <w:trHeight w:val="20"/>
        </w:trPr>
        <w:tc>
          <w:tcPr>
            <w:tcW w:w="5000" w:type="pct"/>
            <w:vAlign w:val="center"/>
            <w:hideMark/>
          </w:tcPr>
          <w:p w14:paraId="030F84CF" w14:textId="77777777" w:rsidR="007F4F51" w:rsidRDefault="007F4F51">
            <w:pPr>
              <w:pStyle w:val="TableText0"/>
              <w:keepLines w:val="0"/>
              <w:widowControl w:val="0"/>
            </w:pPr>
            <w:r w:rsidRPr="00FF231F">
              <w:t>Patient must have completed and responded to up to 6 weeks’ treatment using tacrolimus ointment twice daily.</w:t>
            </w:r>
          </w:p>
          <w:p w14:paraId="0566B047" w14:textId="77777777" w:rsidR="007F4F51" w:rsidRPr="00D86D87" w:rsidRDefault="007F4F51">
            <w:pPr>
              <w:pStyle w:val="TableText0"/>
              <w:keepLines w:val="0"/>
              <w:widowControl w:val="0"/>
              <w:rPr>
                <w:color w:val="0066FF"/>
              </w:rPr>
            </w:pPr>
            <w:r w:rsidRPr="000475D3">
              <w:t>After 12 months’ treatment, a review of the patient`s condition should be conducted by the physician and a decision taken whether or not to continue maintenance treatment</w:t>
            </w:r>
            <w:r>
              <w:t>.</w:t>
            </w:r>
            <w:r w:rsidRPr="00FF231F">
              <w:t xml:space="preserve">  </w:t>
            </w:r>
          </w:p>
        </w:tc>
      </w:tr>
      <w:tr w:rsidR="007F4F51" w:rsidRPr="00D86D87" w14:paraId="386DE8FF" w14:textId="77777777">
        <w:trPr>
          <w:cantSplit/>
          <w:trHeight w:val="20"/>
        </w:trPr>
        <w:tc>
          <w:tcPr>
            <w:tcW w:w="5000" w:type="pct"/>
            <w:vAlign w:val="center"/>
            <w:hideMark/>
          </w:tcPr>
          <w:p w14:paraId="4434CB74" w14:textId="77777777" w:rsidR="007F4F51" w:rsidRPr="00D86D87" w:rsidRDefault="007F4F51">
            <w:pPr>
              <w:pStyle w:val="TableText0"/>
              <w:keepLines w:val="0"/>
              <w:widowControl w:val="0"/>
            </w:pPr>
            <w:r w:rsidRPr="00D86D87">
              <w:rPr>
                <w:b/>
              </w:rPr>
              <w:t>Treatment criteria:</w:t>
            </w:r>
          </w:p>
        </w:tc>
      </w:tr>
      <w:tr w:rsidR="007F4F51" w:rsidRPr="00D86D87" w14:paraId="203229EE" w14:textId="77777777">
        <w:trPr>
          <w:cantSplit/>
          <w:trHeight w:val="20"/>
        </w:trPr>
        <w:tc>
          <w:tcPr>
            <w:tcW w:w="5000" w:type="pct"/>
            <w:hideMark/>
          </w:tcPr>
          <w:p w14:paraId="6B905FE4" w14:textId="77777777" w:rsidR="007F4F51" w:rsidRDefault="007F4F51">
            <w:pPr>
              <w:pStyle w:val="TableText0"/>
              <w:keepLines w:val="0"/>
              <w:widowControl w:val="0"/>
            </w:pPr>
            <w:r w:rsidRPr="00640F5F">
              <w:t xml:space="preserve">Must be treated by a medical practitioner; </w:t>
            </w:r>
          </w:p>
          <w:p w14:paraId="1CBBA531" w14:textId="77777777" w:rsidR="007F4F51" w:rsidRDefault="007F4F51">
            <w:pPr>
              <w:pStyle w:val="TableText0"/>
              <w:keepLines w:val="0"/>
              <w:widowControl w:val="0"/>
            </w:pPr>
            <w:r>
              <w:t>OR</w:t>
            </w:r>
          </w:p>
          <w:p w14:paraId="65BD09E9" w14:textId="77777777" w:rsidR="007F4F51" w:rsidRPr="005B0E53" w:rsidRDefault="007F4F51">
            <w:pPr>
              <w:pStyle w:val="TableText0"/>
              <w:keepLines w:val="0"/>
              <w:widowControl w:val="0"/>
            </w:pPr>
            <w:r w:rsidRPr="00640F5F">
              <w:t>Must be treated by a nurse practitioner</w:t>
            </w:r>
          </w:p>
        </w:tc>
      </w:tr>
      <w:tr w:rsidR="007F4F51" w:rsidRPr="00D86D87" w14:paraId="12BBA5E5" w14:textId="77777777">
        <w:trPr>
          <w:cantSplit/>
          <w:trHeight w:val="20"/>
        </w:trPr>
        <w:tc>
          <w:tcPr>
            <w:tcW w:w="5000" w:type="pct"/>
            <w:vAlign w:val="center"/>
            <w:hideMark/>
          </w:tcPr>
          <w:p w14:paraId="3F7F53B9" w14:textId="77777777" w:rsidR="007F4F51" w:rsidRPr="00D86D87" w:rsidRDefault="007F4F51">
            <w:pPr>
              <w:pStyle w:val="TableText0"/>
              <w:keepLines w:val="0"/>
              <w:widowControl w:val="0"/>
            </w:pPr>
            <w:r w:rsidRPr="00D86D87">
              <w:rPr>
                <w:b/>
              </w:rPr>
              <w:t>Population criteria:</w:t>
            </w:r>
          </w:p>
        </w:tc>
      </w:tr>
      <w:tr w:rsidR="007F4F51" w:rsidRPr="00D86D87" w14:paraId="4E8B37B5" w14:textId="77777777">
        <w:trPr>
          <w:cantSplit/>
          <w:trHeight w:val="20"/>
        </w:trPr>
        <w:tc>
          <w:tcPr>
            <w:tcW w:w="5000" w:type="pct"/>
            <w:vAlign w:val="center"/>
          </w:tcPr>
          <w:p w14:paraId="43D7F2D2" w14:textId="77777777" w:rsidR="007F4F51" w:rsidRPr="00D86D87" w:rsidRDefault="007F4F51">
            <w:pPr>
              <w:pStyle w:val="TableText0"/>
              <w:keepLines w:val="0"/>
              <w:widowControl w:val="0"/>
              <w:rPr>
                <w:color w:val="0066FF"/>
              </w:rPr>
            </w:pPr>
            <w:r w:rsidRPr="000475D3">
              <w:t>Patients with moderate to severe atopic dermatitis aged 16 years and older.</w:t>
            </w:r>
          </w:p>
        </w:tc>
      </w:tr>
      <w:tr w:rsidR="007F4F51" w:rsidRPr="00D86D87" w14:paraId="64477013" w14:textId="77777777">
        <w:trPr>
          <w:cantSplit/>
          <w:trHeight w:val="20"/>
        </w:trPr>
        <w:tc>
          <w:tcPr>
            <w:tcW w:w="5000" w:type="pct"/>
            <w:vAlign w:val="center"/>
            <w:hideMark/>
          </w:tcPr>
          <w:p w14:paraId="4DE4F74A" w14:textId="77777777" w:rsidR="007F4F51" w:rsidRDefault="007F4F51">
            <w:pPr>
              <w:pStyle w:val="TableText0"/>
              <w:keepLines w:val="0"/>
              <w:widowControl w:val="0"/>
              <w:rPr>
                <w:b/>
              </w:rPr>
            </w:pPr>
            <w:r w:rsidRPr="00D86D87">
              <w:rPr>
                <w:b/>
              </w:rPr>
              <w:t>Prescribing Instructions:</w:t>
            </w:r>
          </w:p>
          <w:p w14:paraId="63EFB83C" w14:textId="1174D276" w:rsidR="007F4F51" w:rsidRPr="000475D3" w:rsidRDefault="007F4F51">
            <w:pPr>
              <w:pStyle w:val="TableText0"/>
              <w:keepLines w:val="0"/>
              <w:widowControl w:val="0"/>
            </w:pPr>
            <w:r w:rsidRPr="000475D3">
              <w:t>Treatment should be discontinued if improvement is not maintained after a 3-month period of treatment (</w:t>
            </w:r>
            <w:r w:rsidR="005B3B98" w:rsidRPr="000475D3">
              <w:t>i.e.</w:t>
            </w:r>
            <w:r w:rsidRPr="000475D3">
              <w:t xml:space="preserve"> AD is clear or almost clear). Once clearance or near clearance of AD is achieved, patients should take a break in tacrolimus treatment and reinitiate only if there is a flare of their AD.</w:t>
            </w:r>
          </w:p>
          <w:p w14:paraId="7E7BB447" w14:textId="77777777" w:rsidR="007F4F51" w:rsidRPr="000475D3" w:rsidRDefault="007F4F51">
            <w:pPr>
              <w:pStyle w:val="TableText0"/>
              <w:keepLines w:val="0"/>
              <w:widowControl w:val="0"/>
              <w:rPr>
                <w:u w:val="single"/>
              </w:rPr>
            </w:pPr>
            <w:r w:rsidRPr="000475D3">
              <w:rPr>
                <w:u w:val="single"/>
              </w:rPr>
              <w:t xml:space="preserve">Continuing </w:t>
            </w:r>
            <w:r>
              <w:rPr>
                <w:u w:val="single"/>
              </w:rPr>
              <w:t>t</w:t>
            </w:r>
            <w:r w:rsidRPr="000475D3">
              <w:rPr>
                <w:u w:val="single"/>
              </w:rPr>
              <w:t>herapy Only:</w:t>
            </w:r>
          </w:p>
          <w:p w14:paraId="6AC009DE" w14:textId="77777777" w:rsidR="007F4F51" w:rsidRPr="00D86D87" w:rsidRDefault="007F4F51">
            <w:pPr>
              <w:pStyle w:val="TableText0"/>
              <w:keepLines w:val="0"/>
              <w:widowControl w:val="0"/>
            </w:pPr>
            <w:r w:rsidRPr="000475D3">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23A36E5B" w14:textId="77777777" w:rsidR="007F4F51" w:rsidRPr="00C826F9" w:rsidRDefault="007F4F51" w:rsidP="007F4F51">
      <w:pPr>
        <w:pStyle w:val="TableFigureFooter"/>
      </w:pPr>
      <w:r w:rsidRPr="00C826F9">
        <w:t>Source: Table 1-12, p 43 of the submission.</w:t>
      </w:r>
    </w:p>
    <w:p w14:paraId="4FCD70A6" w14:textId="05C2B062" w:rsidR="007F4F51" w:rsidRDefault="007F4F51" w:rsidP="007F4F51">
      <w:pPr>
        <w:pStyle w:val="3-BodyText"/>
        <w:rPr>
          <w:color w:val="000000" w:themeColor="text1"/>
        </w:rPr>
      </w:pPr>
      <w:bookmarkStart w:id="18" w:name="_Hlk197940858"/>
      <w:bookmarkEnd w:id="17"/>
      <w:r w:rsidRPr="00E94E9E">
        <w:rPr>
          <w:color w:val="000000" w:themeColor="text1"/>
        </w:rPr>
        <w:t xml:space="preserve">TAC </w:t>
      </w:r>
      <w:r>
        <w:rPr>
          <w:color w:val="000000" w:themeColor="text1"/>
        </w:rPr>
        <w:t xml:space="preserve">0.1% ointment </w:t>
      </w:r>
      <w:r w:rsidRPr="00E94E9E">
        <w:rPr>
          <w:color w:val="000000" w:themeColor="text1"/>
        </w:rPr>
        <w:t>is currently available in Australia as a pharmacy compounded ointment by private prescription</w:t>
      </w:r>
      <w:r w:rsidR="0092705F">
        <w:rPr>
          <w:color w:val="000000" w:themeColor="text1"/>
        </w:rPr>
        <w:t>. There were</w:t>
      </w:r>
      <w:r>
        <w:rPr>
          <w:color w:val="000000" w:themeColor="text1"/>
        </w:rPr>
        <w:t xml:space="preserve"> over </w:t>
      </w:r>
      <w:r w:rsidRPr="00E94E9E">
        <w:rPr>
          <w:color w:val="000000" w:themeColor="text1"/>
        </w:rPr>
        <w:t>48,8</w:t>
      </w:r>
      <w:r>
        <w:rPr>
          <w:color w:val="000000" w:themeColor="text1"/>
        </w:rPr>
        <w:t>00</w:t>
      </w:r>
      <w:r w:rsidRPr="00E94E9E">
        <w:rPr>
          <w:color w:val="000000" w:themeColor="text1"/>
        </w:rPr>
        <w:t xml:space="preserve"> compounded units of 0.1% </w:t>
      </w:r>
      <w:r>
        <w:rPr>
          <w:color w:val="000000" w:themeColor="text1"/>
        </w:rPr>
        <w:t>TAC</w:t>
      </w:r>
      <w:r w:rsidRPr="00E94E9E">
        <w:rPr>
          <w:color w:val="000000" w:themeColor="text1"/>
        </w:rPr>
        <w:t xml:space="preserve"> sold from approximately 500 compounding pharmacies across Australia</w:t>
      </w:r>
      <w:r>
        <w:rPr>
          <w:color w:val="000000" w:themeColor="text1"/>
        </w:rPr>
        <w:t xml:space="preserve"> in 2024</w:t>
      </w:r>
      <w:r w:rsidRPr="00E94E9E">
        <w:rPr>
          <w:color w:val="000000" w:themeColor="text1"/>
        </w:rPr>
        <w:t xml:space="preserve">. </w:t>
      </w:r>
      <w:r w:rsidRPr="00BA183E">
        <w:rPr>
          <w:color w:val="000000" w:themeColor="text1"/>
        </w:rPr>
        <w:t xml:space="preserve">Not all patients currently using compounded 0.1% TAC are likely to meet the proposed PBS restrictions </w:t>
      </w:r>
      <w:r w:rsidR="00D95031">
        <w:rPr>
          <w:color w:val="000000" w:themeColor="text1"/>
        </w:rPr>
        <w:t>and</w:t>
      </w:r>
      <w:r w:rsidR="00D95031" w:rsidRPr="00BA183E">
        <w:rPr>
          <w:color w:val="000000" w:themeColor="text1"/>
        </w:rPr>
        <w:t xml:space="preserve"> </w:t>
      </w:r>
      <w:r w:rsidRPr="00BA183E">
        <w:rPr>
          <w:color w:val="000000" w:themeColor="text1"/>
        </w:rPr>
        <w:t>there is potential off</w:t>
      </w:r>
      <w:r w:rsidR="00CD2AE8" w:rsidRPr="00BA183E">
        <w:rPr>
          <w:color w:val="000000" w:themeColor="text1"/>
        </w:rPr>
        <w:t xml:space="preserve"> label</w:t>
      </w:r>
      <w:r w:rsidRPr="00BA183E">
        <w:rPr>
          <w:color w:val="000000" w:themeColor="text1"/>
        </w:rPr>
        <w:t xml:space="preserve"> use in paediatric patients less than 16 years of age with moderate to severe AD and in all patients with mild AD, particularly as assessment of disease severity by the treating physician is subjective.</w:t>
      </w:r>
    </w:p>
    <w:p w14:paraId="1E795653" w14:textId="23E567F6" w:rsidR="005938B8" w:rsidRPr="00BA183E" w:rsidRDefault="005938B8" w:rsidP="007F4F51">
      <w:pPr>
        <w:pStyle w:val="3-BodyText"/>
        <w:rPr>
          <w:color w:val="000000" w:themeColor="text1"/>
        </w:rPr>
      </w:pPr>
      <w:r>
        <w:rPr>
          <w:color w:val="000000" w:themeColor="text1"/>
        </w:rPr>
        <w:t>The requested DPMQ is $</w:t>
      </w:r>
      <w:r w:rsidR="00460689" w:rsidRPr="00C10373">
        <w:rPr>
          <w:color w:val="000000" w:themeColor="text1"/>
          <w:w w:val="61"/>
          <w:shd w:val="solid" w:color="000000" w:fill="000000"/>
          <w:fitText w:val="472" w:id="-632553471"/>
          <w14:textFill>
            <w14:solidFill>
              <w14:schemeClr w14:val="tx1">
                <w14:alpha w14:val="100000"/>
              </w14:schemeClr>
            </w14:solidFill>
          </w14:textFill>
        </w:rPr>
        <w:t>|||  ||</w:t>
      </w:r>
      <w:r w:rsidR="00460689" w:rsidRPr="00C10373">
        <w:rPr>
          <w:color w:val="000000" w:themeColor="text1"/>
          <w:spacing w:val="2"/>
          <w:w w:val="61"/>
          <w:shd w:val="solid" w:color="000000" w:fill="000000"/>
          <w:fitText w:val="472" w:id="-632553471"/>
          <w14:textFill>
            <w14:solidFill>
              <w14:schemeClr w14:val="tx1">
                <w14:alpha w14:val="100000"/>
              </w14:schemeClr>
            </w14:solidFill>
          </w14:textFill>
        </w:rPr>
        <w:t>|</w:t>
      </w:r>
      <w:r>
        <w:rPr>
          <w:color w:val="000000" w:themeColor="text1"/>
        </w:rPr>
        <w:t xml:space="preserve"> per 30 g tube</w:t>
      </w:r>
      <w:r w:rsidR="008412C3">
        <w:rPr>
          <w:color w:val="000000" w:themeColor="text1"/>
        </w:rPr>
        <w:t xml:space="preserve"> (AEMP = </w:t>
      </w:r>
      <w:r w:rsidR="001D761E">
        <w:rPr>
          <w:color w:val="000000" w:themeColor="text1"/>
        </w:rPr>
        <w:t>$</w:t>
      </w:r>
      <w:r w:rsidR="00460689" w:rsidRPr="00C10373">
        <w:rPr>
          <w:color w:val="000000" w:themeColor="text1"/>
          <w:w w:val="61"/>
          <w:shd w:val="solid" w:color="000000" w:fill="000000"/>
          <w:fitText w:val="472" w:id="-632553470"/>
          <w14:textFill>
            <w14:solidFill>
              <w14:schemeClr w14:val="tx1">
                <w14:alpha w14:val="100000"/>
              </w14:schemeClr>
            </w14:solidFill>
          </w14:textFill>
        </w:rPr>
        <w:t>|||  ||</w:t>
      </w:r>
      <w:r w:rsidR="00460689" w:rsidRPr="00C10373">
        <w:rPr>
          <w:color w:val="000000" w:themeColor="text1"/>
          <w:spacing w:val="2"/>
          <w:w w:val="61"/>
          <w:shd w:val="solid" w:color="000000" w:fill="000000"/>
          <w:fitText w:val="472" w:id="-632553470"/>
          <w14:textFill>
            <w14:solidFill>
              <w14:schemeClr w14:val="tx1">
                <w14:alpha w14:val="100000"/>
              </w14:schemeClr>
            </w14:solidFill>
          </w14:textFill>
        </w:rPr>
        <w:t>|</w:t>
      </w:r>
      <w:r w:rsidR="001D761E">
        <w:rPr>
          <w:color w:val="000000" w:themeColor="text1"/>
        </w:rPr>
        <w:t>)</w:t>
      </w:r>
      <w:r w:rsidR="00B96602">
        <w:rPr>
          <w:color w:val="000000" w:themeColor="text1"/>
        </w:rPr>
        <w:t xml:space="preserve">. </w:t>
      </w:r>
    </w:p>
    <w:p w14:paraId="775128BD" w14:textId="5D85DC29" w:rsidR="007F4F51" w:rsidRPr="00BA183E" w:rsidRDefault="007F4F51" w:rsidP="007F4F51">
      <w:pPr>
        <w:pStyle w:val="3-BodyText"/>
        <w:rPr>
          <w:color w:val="000000" w:themeColor="text1"/>
        </w:rPr>
      </w:pPr>
      <w:bookmarkStart w:id="19" w:name="_Hlk198404704"/>
      <w:r w:rsidRPr="00BA183E">
        <w:t xml:space="preserve">The proposed PBS </w:t>
      </w:r>
      <w:r w:rsidR="002C05B8" w:rsidRPr="00BA183E">
        <w:t>indication</w:t>
      </w:r>
      <w:r w:rsidRPr="00BA183E">
        <w:t xml:space="preserve"> for 0.1% TAC </w:t>
      </w:r>
      <w:r w:rsidR="002C05B8" w:rsidRPr="00BA183E">
        <w:t>is</w:t>
      </w:r>
      <w:r w:rsidRPr="00BA183E">
        <w:t xml:space="preserve"> aligned with the TGA approved indication</w:t>
      </w:r>
      <w:r w:rsidR="002C05B8" w:rsidRPr="00BA183E">
        <w:t xml:space="preserve"> and includes </w:t>
      </w:r>
      <w:r w:rsidRPr="00BA183E">
        <w:t>treatment of moderate to severe AD flares and continuing intermittent therapy (maintenance treatment) for any area of the body.</w:t>
      </w:r>
      <w:bookmarkEnd w:id="19"/>
    </w:p>
    <w:p w14:paraId="5012DF8D" w14:textId="567811F3" w:rsidR="00962CEE" w:rsidRPr="008A0DCB" w:rsidRDefault="007F4F51" w:rsidP="00962CEE">
      <w:pPr>
        <w:pStyle w:val="3-BodyText"/>
        <w:rPr>
          <w:color w:val="000000" w:themeColor="text1"/>
        </w:rPr>
      </w:pPr>
      <w:bookmarkStart w:id="20" w:name="_Hlk198405285"/>
      <w:r w:rsidRPr="008A0DCB">
        <w:rPr>
          <w:color w:val="000000" w:themeColor="text1"/>
        </w:rPr>
        <w:t xml:space="preserve">The proposed PBS population restriction is patients aged &gt;16 years who </w:t>
      </w:r>
      <w:r w:rsidRPr="008A0DCB">
        <w:rPr>
          <w:bCs/>
          <w:color w:val="000000" w:themeColor="text1"/>
        </w:rPr>
        <w:t xml:space="preserve">have failed to achieve satisfactory disease control with intermittent (moderate or potent) TCS or who </w:t>
      </w:r>
      <w:r w:rsidRPr="008A0DCB">
        <w:rPr>
          <w:color w:val="000000" w:themeColor="text1"/>
        </w:rPr>
        <w:t xml:space="preserve">are considered unsuitable/contraindicated for TCS. </w:t>
      </w:r>
      <w:r w:rsidR="00371C94" w:rsidRPr="008A0DCB">
        <w:rPr>
          <w:color w:val="000000" w:themeColor="text1"/>
        </w:rPr>
        <w:t>The ESC noted that s</w:t>
      </w:r>
      <w:r w:rsidRPr="008A0DCB">
        <w:rPr>
          <w:color w:val="000000" w:themeColor="text1"/>
        </w:rPr>
        <w:t xml:space="preserve">pecific clinical criteria defining who was unsuitable for or contraindicated for TCS were not provided </w:t>
      </w:r>
      <w:r w:rsidR="00215794">
        <w:rPr>
          <w:color w:val="000000" w:themeColor="text1"/>
        </w:rPr>
        <w:t>in</w:t>
      </w:r>
      <w:r w:rsidRPr="008A0DCB">
        <w:rPr>
          <w:color w:val="000000" w:themeColor="text1"/>
        </w:rPr>
        <w:t xml:space="preserve"> the </w:t>
      </w:r>
      <w:r w:rsidR="00215794">
        <w:rPr>
          <w:color w:val="000000" w:themeColor="text1"/>
        </w:rPr>
        <w:t>proposed</w:t>
      </w:r>
      <w:r w:rsidRPr="008A0DCB" w:rsidDel="00CC4EFC">
        <w:rPr>
          <w:color w:val="000000" w:themeColor="text1"/>
        </w:rPr>
        <w:t xml:space="preserve"> </w:t>
      </w:r>
      <w:r w:rsidRPr="008A0DCB">
        <w:rPr>
          <w:color w:val="000000" w:themeColor="text1"/>
        </w:rPr>
        <w:t xml:space="preserve">restrictions. </w:t>
      </w:r>
      <w:r w:rsidR="004106B3" w:rsidRPr="008A0DCB">
        <w:rPr>
          <w:color w:val="000000" w:themeColor="text1"/>
        </w:rPr>
        <w:t xml:space="preserve">The ESC noted that the </w:t>
      </w:r>
      <w:r w:rsidR="00F15981" w:rsidRPr="008A0DCB">
        <w:rPr>
          <w:color w:val="000000" w:themeColor="text1"/>
        </w:rPr>
        <w:t>1% PIM</w:t>
      </w:r>
      <w:r w:rsidR="007B1A98" w:rsidRPr="008A0DCB">
        <w:rPr>
          <w:color w:val="000000" w:themeColor="text1"/>
        </w:rPr>
        <w:t xml:space="preserve"> PBS listing</w:t>
      </w:r>
      <w:r w:rsidR="003958EE" w:rsidRPr="008A0DCB">
        <w:rPr>
          <w:color w:val="000000" w:themeColor="text1"/>
        </w:rPr>
        <w:t>, albeit</w:t>
      </w:r>
      <w:r w:rsidR="007B1A98" w:rsidRPr="008A0DCB">
        <w:rPr>
          <w:color w:val="000000" w:themeColor="text1"/>
        </w:rPr>
        <w:t xml:space="preserve"> for </w:t>
      </w:r>
      <w:r w:rsidR="003958EE" w:rsidRPr="008A0DCB">
        <w:rPr>
          <w:color w:val="000000" w:themeColor="text1"/>
        </w:rPr>
        <w:t>intermittent treatment of the face and eyelids</w:t>
      </w:r>
      <w:r w:rsidR="007B1A98" w:rsidRPr="008A0DCB">
        <w:rPr>
          <w:color w:val="000000" w:themeColor="text1"/>
        </w:rPr>
        <w:t>,</w:t>
      </w:r>
      <w:r w:rsidR="00F15981" w:rsidRPr="008A0DCB">
        <w:rPr>
          <w:color w:val="000000" w:themeColor="text1"/>
        </w:rPr>
        <w:t xml:space="preserve"> included </w:t>
      </w:r>
      <w:r w:rsidR="00DB11C8" w:rsidRPr="008A0DCB">
        <w:rPr>
          <w:color w:val="000000" w:themeColor="text1"/>
        </w:rPr>
        <w:t xml:space="preserve">a criterion </w:t>
      </w:r>
      <w:r w:rsidR="0014053A" w:rsidRPr="008A0DCB">
        <w:rPr>
          <w:color w:val="000000" w:themeColor="text1"/>
        </w:rPr>
        <w:t>which states that “Patient must have 1 or more of the following contraindications to topical corticosteroids: (i) perio</w:t>
      </w:r>
      <w:r w:rsidR="00661999" w:rsidRPr="008A0DCB">
        <w:rPr>
          <w:color w:val="000000" w:themeColor="text1"/>
        </w:rPr>
        <w:t>ral dermatitis; (ii) periorbital dermatitis; (iii) rosacea; (iv) epidermal atrophy</w:t>
      </w:r>
      <w:r w:rsidR="00C90CA1" w:rsidRPr="008A0DCB">
        <w:rPr>
          <w:color w:val="000000" w:themeColor="text1"/>
        </w:rPr>
        <w:t>; (v) dermal atrophy; (vi) allergy to topical corticosteroids; (vii) cat</w:t>
      </w:r>
      <w:r w:rsidR="00480AED" w:rsidRPr="008A0DCB">
        <w:rPr>
          <w:color w:val="000000" w:themeColor="text1"/>
        </w:rPr>
        <w:t>aracts; (viii) glaucoma; (ix) raised intra</w:t>
      </w:r>
      <w:r w:rsidR="007852CB" w:rsidRPr="008A0DCB">
        <w:rPr>
          <w:color w:val="000000" w:themeColor="text1"/>
        </w:rPr>
        <w:t>ocular pressure</w:t>
      </w:r>
      <w:r w:rsidR="00DB11C8" w:rsidRPr="008A0DCB">
        <w:rPr>
          <w:color w:val="000000" w:themeColor="text1"/>
        </w:rPr>
        <w:t>.</w:t>
      </w:r>
      <w:r w:rsidR="007852CB" w:rsidRPr="008A0DCB">
        <w:rPr>
          <w:color w:val="000000" w:themeColor="text1"/>
        </w:rPr>
        <w:t>”</w:t>
      </w:r>
      <w:r w:rsidR="00962CEE" w:rsidRPr="008A0DCB">
        <w:rPr>
          <w:color w:val="000000" w:themeColor="text1"/>
        </w:rPr>
        <w:t xml:space="preserve"> </w:t>
      </w:r>
      <w:r w:rsidR="007E11D3" w:rsidRPr="008A0DCB">
        <w:t xml:space="preserve">The </w:t>
      </w:r>
      <w:r w:rsidR="003958EE" w:rsidRPr="008A0DCB">
        <w:t xml:space="preserve">ESC noted that the </w:t>
      </w:r>
      <w:r w:rsidR="007E11D3" w:rsidRPr="008A0DCB">
        <w:t xml:space="preserve">1% PIM PBS listing for </w:t>
      </w:r>
      <w:r w:rsidR="007B1A98" w:rsidRPr="008A0DCB">
        <w:t>also</w:t>
      </w:r>
      <w:r w:rsidR="007E11D3" w:rsidRPr="008A0DCB">
        <w:t xml:space="preserve"> defines failure to achieve satisfactory disease control with intermittent TCS therapy as </w:t>
      </w:r>
      <w:r w:rsidR="007E11D3" w:rsidRPr="008A0DCB">
        <w:rPr>
          <w:color w:val="000000" w:themeColor="text1"/>
        </w:rPr>
        <w:t>(i) failure of the facial skin to clear despite at least 2 weeks of topical hydrocortisone 1% applied every day; or (ii) failure of the facial skin to clear despite at least 1 week of a moderate or potent TCS applied every day; or (iii) clearing of the facial skin with at least 2 weeks of topical hydrocortisone 1% applied every day, but almost immediate and significant flare in facial disease (within 48 hours) upon stopping topical corticosteroids, occurring on at least 2 consecutive occasions; or (iv) clearing of the facial skin with at least 1 week of a moderate or potent TCS applied every day, but almost immediate and significant flare in facial disease (within 48 hours) upon stopping TCS, occurring on at least 2 consecutive occasions.</w:t>
      </w:r>
      <w:r w:rsidR="003958EE" w:rsidRPr="008A0DCB">
        <w:rPr>
          <w:color w:val="000000" w:themeColor="text1"/>
        </w:rPr>
        <w:t xml:space="preserve"> </w:t>
      </w:r>
      <w:r w:rsidR="00962CEE" w:rsidRPr="008A0DCB">
        <w:rPr>
          <w:color w:val="000000" w:themeColor="text1"/>
        </w:rPr>
        <w:t xml:space="preserve">Further, the ESC recalled that during consideration of 2% crisaborole ointment, it had </w:t>
      </w:r>
      <w:r w:rsidR="00035070" w:rsidRPr="008A0DCB">
        <w:rPr>
          <w:color w:val="000000" w:themeColor="text1"/>
        </w:rPr>
        <w:t>advised that</w:t>
      </w:r>
      <w:r w:rsidR="00962CEE" w:rsidRPr="008A0DCB">
        <w:rPr>
          <w:color w:val="000000" w:themeColor="text1"/>
        </w:rPr>
        <w:t xml:space="preserve"> the criteria for defining failure of TCS needed to be more specific; however, noted that the criteria will necessarily require clinical judgement and subjectivity, and as such there would remain a significant risk of leakage with regards to initiation of treatment outside the intended use in patients with an adequate trial with TCS or an inadequate response to TCS (paragraph 3.3, crisaborole public summary document [PSD], November 2020 PBAC meeting).</w:t>
      </w:r>
    </w:p>
    <w:p w14:paraId="214E248F" w14:textId="7B99E603" w:rsidR="007F4F51" w:rsidRPr="00BA183E" w:rsidRDefault="007F4F51">
      <w:pPr>
        <w:pStyle w:val="3-BodyText"/>
      </w:pPr>
      <w:bookmarkStart w:id="21" w:name="_Hlk198405652"/>
      <w:bookmarkEnd w:id="20"/>
      <w:r w:rsidRPr="00BA183E">
        <w:t xml:space="preserve">The proposed PBS listing for continuing intermittent therapy (maintenance treatment twice weekly) restricts the eligible population to </w:t>
      </w:r>
      <w:r w:rsidRPr="00A623F4">
        <w:rPr>
          <w:bCs/>
        </w:rPr>
        <w:t xml:space="preserve">patients that have completed and responded to up to 6 weeks </w:t>
      </w:r>
      <w:r w:rsidR="00A61BBF" w:rsidRPr="00A623F4">
        <w:rPr>
          <w:bCs/>
        </w:rPr>
        <w:t xml:space="preserve">initial treatment </w:t>
      </w:r>
      <w:r w:rsidR="00C10470" w:rsidRPr="00A623F4">
        <w:rPr>
          <w:bCs/>
        </w:rPr>
        <w:t xml:space="preserve">for flares </w:t>
      </w:r>
      <w:r w:rsidRPr="00A623F4">
        <w:rPr>
          <w:bCs/>
        </w:rPr>
        <w:t>of 0.1% TAC twice daily.</w:t>
      </w:r>
    </w:p>
    <w:bookmarkEnd w:id="21"/>
    <w:p w14:paraId="3E485AE0" w14:textId="77777777" w:rsidR="007F4F51" w:rsidRPr="00BA183E" w:rsidRDefault="007F4F51" w:rsidP="007F4F51">
      <w:pPr>
        <w:pStyle w:val="3-BodyText"/>
        <w:rPr>
          <w:color w:val="000000" w:themeColor="text1"/>
        </w:rPr>
      </w:pPr>
      <w:r w:rsidRPr="00BA183E">
        <w:rPr>
          <w:color w:val="000000" w:themeColor="text1"/>
        </w:rPr>
        <w:t>The proposed PBS restrictions for 0.1% TAC are for prescription by a medical practitioner and a nurse practitioner. The prescription of PBS funded 1% PIM is by a medical practitioner only.</w:t>
      </w:r>
    </w:p>
    <w:p w14:paraId="0D4EA252" w14:textId="77777777" w:rsidR="00D15E95" w:rsidRDefault="007F4F51" w:rsidP="00D15E95">
      <w:pPr>
        <w:pStyle w:val="3-BodyText"/>
        <w:rPr>
          <w:color w:val="000000" w:themeColor="text1"/>
        </w:rPr>
      </w:pPr>
      <w:r w:rsidRPr="00BA183E">
        <w:rPr>
          <w:color w:val="000000" w:themeColor="text1"/>
        </w:rPr>
        <w:t>The proposed PBS restrictions for 0.1% TAC do not provide a clinical definition of moderate to severe AD and d</w:t>
      </w:r>
      <w:r w:rsidR="002A4055" w:rsidRPr="00BA183E">
        <w:rPr>
          <w:color w:val="000000" w:themeColor="text1"/>
        </w:rPr>
        <w:t>o</w:t>
      </w:r>
      <w:r w:rsidRPr="00BA183E">
        <w:rPr>
          <w:color w:val="000000" w:themeColor="text1"/>
        </w:rPr>
        <w:t xml:space="preserve"> not include clinical criteria for assessing treatment success or treatment failure based on clinical outcome measures (such as those included in the Australasian College of Dermatologists (ACD) consensus guidance) to determine eligibility for treatment continuation. </w:t>
      </w:r>
      <w:r w:rsidR="00533D83">
        <w:rPr>
          <w:color w:val="000000" w:themeColor="text1"/>
        </w:rPr>
        <w:t>As noted above, s</w:t>
      </w:r>
      <w:r w:rsidRPr="00BA183E">
        <w:rPr>
          <w:color w:val="000000" w:themeColor="text1"/>
        </w:rPr>
        <w:t>ubjectivity in the definition of disease severity might lead to the potential for use outside the requested restriction.</w:t>
      </w:r>
    </w:p>
    <w:p w14:paraId="6BE8FECE" w14:textId="37C2F3D3" w:rsidR="00D15E95" w:rsidRPr="00D15E95" w:rsidRDefault="00D15E95" w:rsidP="00D15E95">
      <w:pPr>
        <w:pStyle w:val="3-BodyText"/>
        <w:numPr>
          <w:ilvl w:val="0"/>
          <w:numId w:val="0"/>
        </w:numPr>
        <w:ind w:left="720"/>
        <w:rPr>
          <w:i/>
          <w:iCs/>
          <w:color w:val="000000" w:themeColor="text1"/>
        </w:rPr>
      </w:pPr>
      <w:r w:rsidRPr="00D15E95">
        <w:rPr>
          <w:i/>
          <w:iCs/>
        </w:rPr>
        <w:t>For more detail on PBAC’s view, see section 7 PBAC outcome.</w:t>
      </w:r>
    </w:p>
    <w:p w14:paraId="65131247" w14:textId="77777777" w:rsidR="007F4F51" w:rsidRPr="00D86D87" w:rsidDel="00195452" w:rsidRDefault="007F4F51" w:rsidP="007F4F51">
      <w:pPr>
        <w:pStyle w:val="2-SectionHeading"/>
      </w:pPr>
      <w:bookmarkStart w:id="22" w:name="_Toc187925083"/>
      <w:bookmarkStart w:id="23" w:name="_Toc197979889"/>
      <w:bookmarkStart w:id="24" w:name="_Toc198710816"/>
      <w:bookmarkEnd w:id="18"/>
      <w:r w:rsidRPr="00D86D87" w:rsidDel="00195452">
        <w:t>Population and disease</w:t>
      </w:r>
      <w:bookmarkEnd w:id="22"/>
      <w:bookmarkEnd w:id="23"/>
      <w:bookmarkEnd w:id="24"/>
    </w:p>
    <w:p w14:paraId="27B112F3" w14:textId="48506B0F" w:rsidR="007F4F51" w:rsidRPr="00AD3857" w:rsidRDefault="007F4F51" w:rsidP="007F4F51">
      <w:pPr>
        <w:pStyle w:val="3-BodyText"/>
        <w:rPr>
          <w:color w:val="0066FF"/>
        </w:rPr>
      </w:pPr>
      <w:r w:rsidRPr="00AD3857">
        <w:rPr>
          <w:bCs/>
          <w:color w:val="000000" w:themeColor="text1"/>
        </w:rPr>
        <w:t xml:space="preserve">AD is an incurable chronic skin condition characterised by dry, itchy, and inflamed skin lesions that may be accompanied by oozing and blistering. </w:t>
      </w:r>
      <w:r w:rsidRPr="00AD3857">
        <w:rPr>
          <w:color w:val="000000" w:themeColor="text1"/>
        </w:rPr>
        <w:t xml:space="preserve">The cause of AD is not well understood but has been attributed to a combination of genetic and environmental factors. </w:t>
      </w:r>
      <w:r w:rsidRPr="00AD3857">
        <w:rPr>
          <w:bCs/>
          <w:color w:val="000000" w:themeColor="text1"/>
        </w:rPr>
        <w:t>The disease has a relapsing and remitting course with frequent exacerbations in clinical symptoms (flares) which usually require escalation and intensification of treatment.</w:t>
      </w:r>
      <w:r w:rsidRPr="00AD3857" w:rsidDel="00195452">
        <w:rPr>
          <w:color w:val="000000" w:themeColor="text1"/>
        </w:rPr>
        <w:t xml:space="preserve"> </w:t>
      </w:r>
    </w:p>
    <w:p w14:paraId="4F30AFFF" w14:textId="218BDAEE" w:rsidR="007F4F51" w:rsidRPr="00AD3857" w:rsidRDefault="007F4F51" w:rsidP="007F4F51">
      <w:pPr>
        <w:pStyle w:val="3-BodyText"/>
        <w:rPr>
          <w:color w:val="0066FF"/>
        </w:rPr>
      </w:pPr>
      <w:r w:rsidRPr="00AD3857">
        <w:rPr>
          <w:bCs/>
          <w:color w:val="000000" w:themeColor="text1"/>
        </w:rPr>
        <w:t>Patients with AD are at increased risk of bacterial skin infections, which can result in significant morbidity and need for additional therapy.</w:t>
      </w:r>
      <w:r w:rsidRPr="00AD3857">
        <w:rPr>
          <w:color w:val="000000" w:themeColor="text1"/>
        </w:rPr>
        <w:t xml:space="preserve"> </w:t>
      </w:r>
      <w:r w:rsidRPr="00AD3857">
        <w:rPr>
          <w:bCs/>
          <w:color w:val="000000" w:themeColor="text1"/>
        </w:rPr>
        <w:t xml:space="preserve">AD can significantly impact on both physical and mental health, resulting in reduced quality of life (QoL). </w:t>
      </w:r>
    </w:p>
    <w:p w14:paraId="19DC9A90" w14:textId="77777777" w:rsidR="007F4F51" w:rsidRPr="00AD3857" w:rsidRDefault="007F4F51" w:rsidP="007F4F51">
      <w:pPr>
        <w:pStyle w:val="3-BodyText"/>
        <w:rPr>
          <w:color w:val="000000" w:themeColor="text1"/>
        </w:rPr>
      </w:pPr>
      <w:r w:rsidRPr="00AD3857">
        <w:rPr>
          <w:bCs/>
          <w:color w:val="000000" w:themeColor="text1"/>
        </w:rPr>
        <w:t>Management depends on the severity of AD, with AD generally classified as mild, moderate or severe</w:t>
      </w:r>
      <w:r w:rsidRPr="00AD3857">
        <w:rPr>
          <w:color w:val="000000" w:themeColor="text1"/>
        </w:rPr>
        <w:t>. The Australasian College of Dermatologists (ACD) consensus statement defines moderate and severe AD based on treatment response as follows:</w:t>
      </w:r>
      <w:bookmarkStart w:id="25" w:name="_Ref197368442"/>
      <w:r w:rsidRPr="00AD3857">
        <w:rPr>
          <w:rStyle w:val="FootnoteReference"/>
          <w:color w:val="000000" w:themeColor="text1"/>
        </w:rPr>
        <w:footnoteReference w:id="2"/>
      </w:r>
      <w:bookmarkEnd w:id="25"/>
    </w:p>
    <w:p w14:paraId="3F224062" w14:textId="411B8715" w:rsidR="007F4F51" w:rsidRPr="00AD3857" w:rsidRDefault="007F4F51" w:rsidP="00C0701D">
      <w:pPr>
        <w:pStyle w:val="3-BodyText"/>
        <w:numPr>
          <w:ilvl w:val="0"/>
          <w:numId w:val="10"/>
        </w:numPr>
        <w:ind w:left="1080"/>
        <w:rPr>
          <w:color w:val="000000" w:themeColor="text1"/>
        </w:rPr>
      </w:pPr>
      <w:r w:rsidRPr="00AD3857">
        <w:rPr>
          <w:color w:val="000000" w:themeColor="text1"/>
        </w:rPr>
        <w:t>Moderate AD: Patients whose condition may not be adequately controlled by topical therapies alone. Eczema Area and Severity Index (EASI) score between 10-20, intermittent flares, some impact on QoL; however</w:t>
      </w:r>
      <w:r w:rsidR="002A4055" w:rsidRPr="00AD3857">
        <w:rPr>
          <w:color w:val="000000" w:themeColor="text1"/>
        </w:rPr>
        <w:t>,</w:t>
      </w:r>
      <w:r w:rsidRPr="00AD3857">
        <w:rPr>
          <w:color w:val="000000" w:themeColor="text1"/>
        </w:rPr>
        <w:t xml:space="preserve"> may not require continuous therapy.</w:t>
      </w:r>
    </w:p>
    <w:p w14:paraId="200CC0AD" w14:textId="77777777" w:rsidR="007F4F51" w:rsidRPr="00AD3857" w:rsidRDefault="007F4F51" w:rsidP="00C0701D">
      <w:pPr>
        <w:pStyle w:val="3-BodyText"/>
        <w:numPr>
          <w:ilvl w:val="0"/>
          <w:numId w:val="10"/>
        </w:numPr>
        <w:ind w:left="1080"/>
        <w:rPr>
          <w:color w:val="000000" w:themeColor="text1"/>
        </w:rPr>
      </w:pPr>
      <w:r w:rsidRPr="00AD3857">
        <w:rPr>
          <w:color w:val="000000" w:themeColor="text1"/>
        </w:rPr>
        <w:t>Severe AD: Any patient whose condition does not respond adequately to optimised outpatient emollient use, avoidance of irritants and disease triggers, and standard topical anti-inflammatory therapies. EASI score &gt;20, frequent flares, poor QoL.</w:t>
      </w:r>
    </w:p>
    <w:p w14:paraId="244874DB" w14:textId="50BF249C" w:rsidR="007F4F51" w:rsidRPr="00AD3857" w:rsidRDefault="007F4F51" w:rsidP="007F4F51">
      <w:pPr>
        <w:pStyle w:val="3-BodyText"/>
        <w:rPr>
          <w:color w:val="000000" w:themeColor="text1"/>
        </w:rPr>
      </w:pPr>
      <w:r w:rsidRPr="00AD3857">
        <w:rPr>
          <w:bCs/>
          <w:color w:val="000000" w:themeColor="text1"/>
        </w:rPr>
        <w:t>The overall goal of AD treatment is to reach and maintain a state in which symptoms are absent or mild without daily activities being disturbed by AD, treatment impacts minimally on QoL, and there are no/minimal drug-related toxicities</w:t>
      </w:r>
      <w:r w:rsidRPr="00AD3857">
        <w:rPr>
          <w:bCs/>
          <w:color w:val="000000" w:themeColor="text1"/>
        </w:rPr>
        <w:fldChar w:fldCharType="begin"/>
      </w:r>
      <w:r w:rsidRPr="00AD3857">
        <w:rPr>
          <w:bCs/>
          <w:color w:val="000000" w:themeColor="text1"/>
        </w:rPr>
        <w:instrText xml:space="preserve"> NOTEREF _Ref197368442 \f \h </w:instrText>
      </w:r>
      <w:r w:rsidR="00AD3857" w:rsidRPr="00AD3857">
        <w:rPr>
          <w:bCs/>
          <w:color w:val="000000" w:themeColor="text1"/>
        </w:rPr>
        <w:instrText xml:space="preserve"> \* MERGEFORMAT </w:instrText>
      </w:r>
      <w:r w:rsidRPr="00AD3857">
        <w:rPr>
          <w:bCs/>
          <w:color w:val="000000" w:themeColor="text1"/>
        </w:rPr>
      </w:r>
      <w:r w:rsidRPr="00AD3857">
        <w:rPr>
          <w:bCs/>
          <w:color w:val="000000" w:themeColor="text1"/>
        </w:rPr>
        <w:fldChar w:fldCharType="separate"/>
      </w:r>
      <w:r w:rsidR="00124226" w:rsidRPr="00124226">
        <w:rPr>
          <w:rStyle w:val="FootnoteReference"/>
        </w:rPr>
        <w:t>1</w:t>
      </w:r>
      <w:r w:rsidRPr="00AD3857">
        <w:rPr>
          <w:bCs/>
          <w:color w:val="000000" w:themeColor="text1"/>
        </w:rPr>
        <w:fldChar w:fldCharType="end"/>
      </w:r>
      <w:r w:rsidRPr="00AD3857">
        <w:rPr>
          <w:bCs/>
          <w:color w:val="000000" w:themeColor="text1"/>
        </w:rPr>
        <w:t xml:space="preserve">. </w:t>
      </w:r>
    </w:p>
    <w:p w14:paraId="0AB7BE64" w14:textId="78B77EC8" w:rsidR="007F4F51" w:rsidRPr="00AD3857" w:rsidRDefault="007F4F51" w:rsidP="007F4F51">
      <w:pPr>
        <w:pStyle w:val="3-BodyText"/>
        <w:rPr>
          <w:color w:val="000000" w:themeColor="text1"/>
        </w:rPr>
      </w:pPr>
      <w:r w:rsidRPr="00AD3857">
        <w:rPr>
          <w:bCs/>
          <w:color w:val="000000" w:themeColor="text1"/>
        </w:rPr>
        <w:t>The ACD consensus statement states that the aim of AD management is always to optimise topical therapies which include topical microbiome measures (e.g. bleach baths), wet wrap therapy, emollients and appropriate use of TCS and topical calcineurin inhibitors (TCI). Management of AD is by a general medical practitioner, with referral to a specialist if treatment escalation to systemic therapy is required to treat flares that cannot be adequately managed with topical therapies. Systemic therapies for the treatment of AD include phototherapy, systemic corticosteroids, systemic antimicrobial agents, and other systemic therapies such as dupilumab and upadacitinib.</w:t>
      </w:r>
    </w:p>
    <w:p w14:paraId="66EECCC7" w14:textId="3997F1BA" w:rsidR="007F4F51" w:rsidRPr="00AD3857" w:rsidRDefault="007F4F51" w:rsidP="007F4F51">
      <w:pPr>
        <w:pStyle w:val="3-BodyText"/>
        <w:rPr>
          <w:color w:val="000000" w:themeColor="text1"/>
        </w:rPr>
      </w:pPr>
      <w:r w:rsidRPr="00AD3857">
        <w:rPr>
          <w:color w:val="000000" w:themeColor="text1"/>
        </w:rPr>
        <w:t>In the submission, the positioning of TCI in the proposed treatment algorithm is as a second line (2L) therapy after TCS treatment failure, despite appropriate dose and duration of and adherence to an appropriate TCS trial (usually of approximately 2 to 4 weeks duration) as defined by the ACD guidance</w:t>
      </w:r>
      <w:r w:rsidRPr="00AD3857">
        <w:rPr>
          <w:color w:val="000000" w:themeColor="text1"/>
        </w:rPr>
        <w:fldChar w:fldCharType="begin"/>
      </w:r>
      <w:r w:rsidRPr="00AD3857">
        <w:rPr>
          <w:color w:val="000000" w:themeColor="text1"/>
        </w:rPr>
        <w:instrText xml:space="preserve"> NOTEREF _Ref197368442 \f \h </w:instrText>
      </w:r>
      <w:r w:rsidR="00AD3857" w:rsidRPr="00AD3857">
        <w:rPr>
          <w:color w:val="000000" w:themeColor="text1"/>
        </w:rPr>
        <w:instrText xml:space="preserve"> \* MERGEFORMAT </w:instrText>
      </w:r>
      <w:r w:rsidRPr="00AD3857">
        <w:rPr>
          <w:color w:val="000000" w:themeColor="text1"/>
        </w:rPr>
      </w:r>
      <w:r w:rsidRPr="00AD3857">
        <w:rPr>
          <w:color w:val="000000" w:themeColor="text1"/>
        </w:rPr>
        <w:fldChar w:fldCharType="separate"/>
      </w:r>
      <w:r w:rsidR="00124226" w:rsidRPr="00124226">
        <w:rPr>
          <w:rStyle w:val="FootnoteReference"/>
        </w:rPr>
        <w:t>1</w:t>
      </w:r>
      <w:r w:rsidRPr="00AD3857">
        <w:rPr>
          <w:color w:val="000000" w:themeColor="text1"/>
        </w:rPr>
        <w:fldChar w:fldCharType="end"/>
      </w:r>
      <w:r w:rsidRPr="00AD3857">
        <w:rPr>
          <w:color w:val="000000" w:themeColor="text1"/>
        </w:rPr>
        <w:t>. The ACD quantitative definition of treatment failure is a Dermatology Life Quality Index (DLQI) score of ≥6 points and a Physicians Global Assessment (PGA)</w:t>
      </w:r>
      <w:r w:rsidRPr="00AD3857">
        <w:rPr>
          <w:rStyle w:val="FootnoteReference"/>
          <w:color w:val="000000" w:themeColor="text1"/>
        </w:rPr>
        <w:footnoteReference w:id="3"/>
      </w:r>
      <w:r w:rsidRPr="00AD3857">
        <w:rPr>
          <w:color w:val="000000" w:themeColor="text1"/>
        </w:rPr>
        <w:t xml:space="preserve"> has either not improved or improved by less than 2 points from a baseline of PGA ≥3.</w:t>
      </w:r>
      <w:r w:rsidR="00B7638B">
        <w:rPr>
          <w:color w:val="000000" w:themeColor="text1"/>
        </w:rPr>
        <w:t xml:space="preserve"> </w:t>
      </w:r>
      <w:r w:rsidR="00F36303">
        <w:rPr>
          <w:color w:val="000000" w:themeColor="text1"/>
        </w:rPr>
        <w:t>These criteria were not included in the proposed restrictions.</w:t>
      </w:r>
    </w:p>
    <w:p w14:paraId="707C8AAB" w14:textId="19B30E27" w:rsidR="007F4F51" w:rsidRPr="00AD3857" w:rsidRDefault="007F4F51" w:rsidP="007F4F51">
      <w:pPr>
        <w:pStyle w:val="3-BodyText"/>
        <w:rPr>
          <w:color w:val="000000" w:themeColor="text1"/>
        </w:rPr>
      </w:pPr>
      <w:bookmarkStart w:id="26" w:name="_Ref204602710"/>
      <w:r w:rsidRPr="00AD3857">
        <w:rPr>
          <w:color w:val="000000" w:themeColor="text1"/>
        </w:rPr>
        <w:t>If a patient has a contraindication to use of TCS, a TCI would be used as a first line (1L) therapy. The submission noted that research conducted by the sponsor indicated that contraindications to use of TCS are rare and therefore it is anticipated that this subpopulation of adults with moderate to severe AD would be small.</w:t>
      </w:r>
      <w:bookmarkEnd w:id="26"/>
      <w:r w:rsidRPr="00AD3857">
        <w:rPr>
          <w:color w:val="000000" w:themeColor="text1"/>
        </w:rPr>
        <w:t xml:space="preserve"> </w:t>
      </w:r>
    </w:p>
    <w:p w14:paraId="2A45CA89" w14:textId="77777777" w:rsidR="00D15E95" w:rsidRPr="00D15E95" w:rsidRDefault="007F4F51" w:rsidP="00D15E95">
      <w:pPr>
        <w:pStyle w:val="3-BodyText"/>
        <w:rPr>
          <w:color w:val="000000" w:themeColor="text1"/>
        </w:rPr>
      </w:pPr>
      <w:r>
        <w:rPr>
          <w:color w:val="000000" w:themeColor="text1"/>
        </w:rPr>
        <w:t>TAC</w:t>
      </w:r>
      <w:r w:rsidRPr="0097575C">
        <w:t xml:space="preserve"> </w:t>
      </w:r>
      <w:r>
        <w:t xml:space="preserve">0.1% ointment </w:t>
      </w:r>
      <w:r w:rsidRPr="0097575C">
        <w:t xml:space="preserve">is a TCI.  </w:t>
      </w:r>
      <w:r>
        <w:t>The immunomodulatory</w:t>
      </w:r>
      <w:r w:rsidRPr="0097575C">
        <w:t xml:space="preserve"> activity </w:t>
      </w:r>
      <w:r>
        <w:t xml:space="preserve">of 0.1% TAC is due to </w:t>
      </w:r>
      <w:r w:rsidRPr="0097575C">
        <w:t>suppress</w:t>
      </w:r>
      <w:r>
        <w:t>ion of</w:t>
      </w:r>
      <w:r w:rsidRPr="0097575C">
        <w:t xml:space="preserve"> calcineurin activity. In the cytoplasm of the target cells, </w:t>
      </w:r>
      <w:r>
        <w:t xml:space="preserve">TCIs </w:t>
      </w:r>
      <w:r w:rsidRPr="0097575C">
        <w:t xml:space="preserve">bind to </w:t>
      </w:r>
      <w:r>
        <w:t>an</w:t>
      </w:r>
      <w:r w:rsidRPr="0097575C">
        <w:t xml:space="preserve"> intracellular protein macrophilin-12. </w:t>
      </w:r>
      <w:r>
        <w:t>TAC</w:t>
      </w:r>
      <w:r w:rsidRPr="0097575C">
        <w:t xml:space="preserve"> has a 3-fold greater affinity for macrophilin-12 than </w:t>
      </w:r>
      <w:r>
        <w:t>PIM</w:t>
      </w:r>
      <w:r w:rsidRPr="0097575C">
        <w:t>.</w:t>
      </w:r>
      <w:r>
        <w:t xml:space="preserve"> </w:t>
      </w:r>
      <w:r w:rsidRPr="001A7F0E">
        <w:t>TCIs are associated with minimal systemic absorption, with no evidence of systemic accumulation in pharmacokinetic studies</w:t>
      </w:r>
      <w:r>
        <w:rPr>
          <w:rStyle w:val="FootnoteReference"/>
        </w:rPr>
        <w:footnoteReference w:id="4"/>
      </w:r>
      <w:r w:rsidRPr="001A7F0E">
        <w:t>.</w:t>
      </w:r>
    </w:p>
    <w:p w14:paraId="46E6AA52" w14:textId="713BF4CD" w:rsidR="00D15E95" w:rsidRPr="00D15E95" w:rsidDel="00195452" w:rsidRDefault="00D15E95" w:rsidP="00D15E95">
      <w:pPr>
        <w:pStyle w:val="3-BodyText"/>
        <w:numPr>
          <w:ilvl w:val="0"/>
          <w:numId w:val="0"/>
        </w:numPr>
        <w:ind w:left="720"/>
        <w:rPr>
          <w:i/>
          <w:iCs/>
          <w:color w:val="000000" w:themeColor="text1"/>
        </w:rPr>
      </w:pPr>
      <w:r w:rsidRPr="00D15E95">
        <w:rPr>
          <w:i/>
          <w:iCs/>
        </w:rPr>
        <w:t>For more detail on PBAC’s view, see section 7 PBAC outcome.</w:t>
      </w:r>
    </w:p>
    <w:p w14:paraId="6E1E5560" w14:textId="77777777" w:rsidR="007F4F51" w:rsidRPr="00D86D87" w:rsidRDefault="007F4F51" w:rsidP="007F4F51">
      <w:pPr>
        <w:pStyle w:val="2-SectionHeading"/>
      </w:pPr>
      <w:bookmarkStart w:id="27" w:name="_Toc187925084"/>
      <w:bookmarkStart w:id="28" w:name="_Toc197979890"/>
      <w:bookmarkStart w:id="29" w:name="_Toc198710817"/>
      <w:r w:rsidRPr="00D86D87">
        <w:t>Comparator</w:t>
      </w:r>
      <w:bookmarkEnd w:id="27"/>
      <w:bookmarkEnd w:id="28"/>
      <w:bookmarkEnd w:id="29"/>
    </w:p>
    <w:p w14:paraId="1CBE3F49" w14:textId="77777777" w:rsidR="007F4F51" w:rsidRPr="00AD3857" w:rsidRDefault="007F4F51" w:rsidP="007F4F51">
      <w:pPr>
        <w:pStyle w:val="3-BodyText"/>
      </w:pPr>
      <w:r w:rsidRPr="00AD3857">
        <w:t>The submission nominated two comparators, standard of care in the form of vehicle ointment (VO) and 1% PIM cream.</w:t>
      </w:r>
    </w:p>
    <w:p w14:paraId="498E8D4A" w14:textId="1BFF97B0" w:rsidR="007F4F51" w:rsidRPr="00AD3857" w:rsidRDefault="007F4F51" w:rsidP="007F4F51">
      <w:pPr>
        <w:pStyle w:val="3-BodyText"/>
      </w:pPr>
      <w:r w:rsidRPr="00AD3857">
        <w:t xml:space="preserve">Vehicle ointment (VO) was the nominated comparator for treatment of moderate to severe AD affecting any part of the body, and severe AD affecting the face and eyelids only. VO was the nominated comparator for short-term treatment of flares and long-term intermittent proactive maintenance treatment for prevention of flares. </w:t>
      </w:r>
    </w:p>
    <w:p w14:paraId="6D1F9158" w14:textId="31063B15" w:rsidR="00D1271A" w:rsidRPr="008A0DCB" w:rsidRDefault="00FE6378" w:rsidP="00D1271A">
      <w:pPr>
        <w:pStyle w:val="3-BodyText"/>
      </w:pPr>
      <w:r w:rsidRPr="008A0DCB">
        <w:t xml:space="preserve">The ESC noted that </w:t>
      </w:r>
      <w:r w:rsidR="007F4F51" w:rsidRPr="008A0DCB">
        <w:t xml:space="preserve">VO may not be an optimal comparator for </w:t>
      </w:r>
      <w:r w:rsidR="002A4055" w:rsidRPr="008A0DCB">
        <w:t xml:space="preserve">initial </w:t>
      </w:r>
      <w:r w:rsidR="00EF158C" w:rsidRPr="008A0DCB">
        <w:t xml:space="preserve">flare </w:t>
      </w:r>
      <w:r w:rsidR="002A4055" w:rsidRPr="008A0DCB">
        <w:t>treatment</w:t>
      </w:r>
      <w:r w:rsidR="007F4F51" w:rsidRPr="008A0DCB">
        <w:t xml:space="preserve"> </w:t>
      </w:r>
      <w:r w:rsidR="00AE6DB2" w:rsidRPr="008A0DCB">
        <w:t xml:space="preserve">in patients </w:t>
      </w:r>
      <w:r w:rsidR="000F173A" w:rsidRPr="008A0DCB">
        <w:t>who have failed to achieve disease control with intermittent TCS use</w:t>
      </w:r>
      <w:r w:rsidR="007A6820" w:rsidRPr="008A0DCB">
        <w:t xml:space="preserve"> </w:t>
      </w:r>
      <w:r w:rsidR="007F4F51" w:rsidRPr="008A0DCB">
        <w:t xml:space="preserve">as </w:t>
      </w:r>
      <w:r w:rsidR="007A6820" w:rsidRPr="008A0DCB">
        <w:t xml:space="preserve">these </w:t>
      </w:r>
      <w:r w:rsidR="007F4F51" w:rsidRPr="008A0DCB">
        <w:t>patient</w:t>
      </w:r>
      <w:r w:rsidR="007A6820" w:rsidRPr="008A0DCB">
        <w:t>s</w:t>
      </w:r>
      <w:r w:rsidR="007F4F51" w:rsidRPr="008A0DCB">
        <w:t xml:space="preserve"> would be unlikely to use non-medicated topical moisturisers and emollients alone to manage a flare. </w:t>
      </w:r>
      <w:r w:rsidR="007A6820" w:rsidRPr="008A0DCB">
        <w:t>T</w:t>
      </w:r>
      <w:r w:rsidRPr="008A0DCB">
        <w:t>he ESC considered that t</w:t>
      </w:r>
      <w:r w:rsidR="007F4F51" w:rsidRPr="008A0DCB">
        <w:t xml:space="preserve">hese patients may continue treatment with moderate to high potency TCS applied with increasing frequency to the affected areas in an effort to control their AD which increases the risk of AEs such as skin atrophy, and infections. </w:t>
      </w:r>
    </w:p>
    <w:p w14:paraId="3D9575EE" w14:textId="76EB7031" w:rsidR="00D1271A" w:rsidRPr="008A0DCB" w:rsidRDefault="00C143D4" w:rsidP="00D1271A">
      <w:pPr>
        <w:pStyle w:val="3-BodyText"/>
      </w:pPr>
      <w:r w:rsidRPr="008A0DCB">
        <w:t>Further, t</w:t>
      </w:r>
      <w:r w:rsidR="00D1271A" w:rsidRPr="008A0DCB">
        <w:t xml:space="preserve">he ESC noted that the submission stated that TCSs were not considered a relevant comparator to 0.1% TAC in the submission because 0.1% TAC is indicated for as a 2L therapy for patients who are not adequately responsive to or are intolerant of conventional therapies such as TCS. However, </w:t>
      </w:r>
      <w:r w:rsidR="00DD4BF0" w:rsidRPr="008A0DCB">
        <w:t xml:space="preserve">the submission described </w:t>
      </w:r>
      <w:r w:rsidR="00D1271A" w:rsidRPr="008A0DCB">
        <w:t xml:space="preserve">0.1% TAC as a “steroid-sparing” therapy which implies that TCS could be substituted intermittently by 0.1% TAC to achieve adequate control of AD following failure of TCS treatment. </w:t>
      </w:r>
      <w:r w:rsidR="00D416B5" w:rsidRPr="008A0DCB">
        <w:t xml:space="preserve">The </w:t>
      </w:r>
      <w:r w:rsidR="00461196">
        <w:t>Pre-Sub-Committee Response (</w:t>
      </w:r>
      <w:r w:rsidR="00D416B5" w:rsidRPr="008A0DCB">
        <w:t>PSCR</w:t>
      </w:r>
      <w:r w:rsidR="00461196">
        <w:t>)</w:t>
      </w:r>
      <w:r w:rsidR="00D416B5" w:rsidRPr="008A0DCB">
        <w:t xml:space="preserve"> </w:t>
      </w:r>
      <w:r w:rsidR="00B64487" w:rsidRPr="008A0DCB">
        <w:t xml:space="preserve">stated that the submission targets patients whose AD cannot safely or effectively be managed </w:t>
      </w:r>
      <w:r w:rsidR="002E2CF6" w:rsidRPr="008A0DCB">
        <w:t>with TCS and in whom TCS no longer represent a clinically acceptable alternative.</w:t>
      </w:r>
    </w:p>
    <w:p w14:paraId="32C28CE8" w14:textId="56F70C63" w:rsidR="007F4F51" w:rsidRPr="008A0DCB" w:rsidRDefault="00EF158C" w:rsidP="007F4F51">
      <w:pPr>
        <w:pStyle w:val="3-BodyText"/>
      </w:pPr>
      <w:r w:rsidRPr="008A0DCB">
        <w:t xml:space="preserve">The ESC </w:t>
      </w:r>
      <w:r w:rsidR="007A6820" w:rsidRPr="008A0DCB">
        <w:t xml:space="preserve">did </w:t>
      </w:r>
      <w:r w:rsidRPr="008A0DCB">
        <w:t xml:space="preserve">consider that VO would be </w:t>
      </w:r>
      <w:r w:rsidR="00872915" w:rsidRPr="008A0DCB">
        <w:t>a suitable comparator for initial flare treatment in patients who are contraindicated to TCS.</w:t>
      </w:r>
    </w:p>
    <w:p w14:paraId="6CA467AF" w14:textId="0D1AF549" w:rsidR="007F4F51" w:rsidRDefault="00506698" w:rsidP="007F4F51">
      <w:pPr>
        <w:pStyle w:val="3-BodyText"/>
      </w:pPr>
      <w:r w:rsidRPr="008A0DCB">
        <w:t xml:space="preserve">The ESC noted that </w:t>
      </w:r>
      <w:r w:rsidR="007F4F51" w:rsidRPr="008A0DCB">
        <w:t>VO may</w:t>
      </w:r>
      <w:r w:rsidR="007F4F51" w:rsidRPr="00AD3857">
        <w:t xml:space="preserve"> be a more acceptable comparator to 0.1% TAC for long-term proactive maintenance treatment. Use of VO in this context would be representative of current standard of care</w:t>
      </w:r>
      <w:r w:rsidR="007F4F51" w:rsidRPr="00AD3857" w:rsidDel="004A2D63">
        <w:t xml:space="preserve"> </w:t>
      </w:r>
      <w:r w:rsidR="007F4F51" w:rsidRPr="00AD3857">
        <w:t>where VO is used as a maintenance therapy and AD flares occurring during maintenance treatment are managed with a short-term medicated topical treatment, such as a TCS of appropriate potency or use of a TCI.</w:t>
      </w:r>
    </w:p>
    <w:p w14:paraId="02888064" w14:textId="1DD1ECFA" w:rsidR="005F57F8" w:rsidRPr="00AD3857" w:rsidRDefault="005F57F8" w:rsidP="007F4F51">
      <w:pPr>
        <w:pStyle w:val="3-BodyText"/>
      </w:pPr>
      <w:r>
        <w:t xml:space="preserve">The pre-PBAC response </w:t>
      </w:r>
      <w:r w:rsidR="00814CE2">
        <w:t>stated that the submission specifically target</w:t>
      </w:r>
      <w:r w:rsidR="00CC668F">
        <w:t>s</w:t>
      </w:r>
      <w:r w:rsidR="00814CE2">
        <w:t xml:space="preserve"> adults whose AD cannot be safely or effectively managed with TCS</w:t>
      </w:r>
      <w:r w:rsidR="00C852E6">
        <w:t xml:space="preserve"> due to inadequate response, poor tolerability or clinical contraindications. Therefore, </w:t>
      </w:r>
      <w:r w:rsidR="0094482F">
        <w:t xml:space="preserve">the pre-PBAC response stated that </w:t>
      </w:r>
      <w:r w:rsidR="00C852E6">
        <w:t>TCS</w:t>
      </w:r>
      <w:r w:rsidR="0094482F">
        <w:t>s are not an appropriate comparator</w:t>
      </w:r>
      <w:r w:rsidR="00F85E12">
        <w:t xml:space="preserve">. Further, the pre-PBAC response reiterated that </w:t>
      </w:r>
      <w:r w:rsidR="00CE2788">
        <w:t xml:space="preserve">0.1% </w:t>
      </w:r>
      <w:r w:rsidR="008F567B">
        <w:t>TAC</w:t>
      </w:r>
      <w:r w:rsidR="00250191">
        <w:t xml:space="preserve"> is not positioned as a first-line replacement for TCS, rather </w:t>
      </w:r>
      <w:r w:rsidR="007A1957">
        <w:t>as an alternative for patients in whom TCSs are no longer suitable</w:t>
      </w:r>
      <w:r w:rsidR="00707F59">
        <w:t xml:space="preserve">. </w:t>
      </w:r>
    </w:p>
    <w:p w14:paraId="7A2AA8BF" w14:textId="2AB62D76" w:rsidR="007F4F51" w:rsidRPr="00AD3857" w:rsidRDefault="007F4F51" w:rsidP="007F4F51">
      <w:pPr>
        <w:pStyle w:val="3-BodyText"/>
      </w:pPr>
      <w:r w:rsidRPr="00AD3857">
        <w:t xml:space="preserve">Systemic therapies could be substituted by 0.1% TAC in some circumstances. When severe AD is refractory to topical therapy, clinicians can prescribe PBS-listed systemic therapies (phototherapy, a short-term systemic corticosteroid or a long-term systemic therapy such as dupilumab or upadacitinib). Systemic therapies were not considered relevant comparators in the submission as the proposed use of PBS-listed 0.1% TAC was prior to use of systemic therapies. However, the PBS-listing of 0.1% TAC could delay treatment escalation to PBS-listed systemic therapy by increasing control of AD flares or preventing disease progression to chronic severe AD. </w:t>
      </w:r>
    </w:p>
    <w:p w14:paraId="6503C466" w14:textId="36EB14CD" w:rsidR="007F4F51" w:rsidRPr="00AD3857" w:rsidRDefault="00DD4BF0" w:rsidP="007F4F51">
      <w:pPr>
        <w:pStyle w:val="3-BodyText"/>
      </w:pPr>
      <w:r w:rsidRPr="008A0DCB">
        <w:t>The ESC considered that</w:t>
      </w:r>
      <w:r>
        <w:t xml:space="preserve"> the nomination of </w:t>
      </w:r>
      <w:r w:rsidR="007F4F51" w:rsidRPr="00AD3857">
        <w:t xml:space="preserve">PIM 1% ointment </w:t>
      </w:r>
      <w:r>
        <w:t xml:space="preserve">as the </w:t>
      </w:r>
      <w:r w:rsidR="007F4F51" w:rsidRPr="00AD3857">
        <w:t>comparator for treatment of moderate AD flares affecting the face and eyelids</w:t>
      </w:r>
      <w:r>
        <w:t xml:space="preserve"> </w:t>
      </w:r>
      <w:r w:rsidRPr="005E2029">
        <w:t>was reasonable</w:t>
      </w:r>
      <w:r w:rsidR="007F4F51" w:rsidRPr="005E2029">
        <w:t>.</w:t>
      </w:r>
      <w:r w:rsidR="007F4F51" w:rsidRPr="00AD3857">
        <w:t xml:space="preserve"> PIM 1% ointment was considered by PBAC at the July 2006 meeting (pimecrolimus PSD, July 2006 PBAC meeting). Both TCS and VO were accepted comparators in the PBAC consideration of 1% PIM (pimecrolimus PSD, July 2006 PBAC meeting).</w:t>
      </w:r>
    </w:p>
    <w:p w14:paraId="5C92661A" w14:textId="77777777" w:rsidR="007F4F51" w:rsidRPr="00AD3857" w:rsidRDefault="007F4F51" w:rsidP="007F4F51">
      <w:pPr>
        <w:pStyle w:val="3-BodyText"/>
        <w:rPr>
          <w:color w:val="0066FF"/>
        </w:rPr>
      </w:pPr>
      <w:bookmarkStart w:id="30" w:name="_Ref107305379"/>
      <w:r w:rsidRPr="00AD3857">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30"/>
      <w:r w:rsidRPr="00AD3857">
        <w:t xml:space="preserve"> </w:t>
      </w:r>
    </w:p>
    <w:p w14:paraId="667218D8" w14:textId="77777777" w:rsidR="00D15E95" w:rsidRDefault="007F4F51" w:rsidP="00D15E95">
      <w:pPr>
        <w:pStyle w:val="3-BodyText"/>
      </w:pPr>
      <w:bookmarkStart w:id="31" w:name="_Ref107305381"/>
      <w:r w:rsidRPr="00AD3857">
        <w:t>For the requested PBS population, the following PBS-listed medicine may be considered an alternative therapy for treatment of moderate AD affecting the face and eyelids because it could be replaced in practice: 1% PIM. This alternative therapy may be less costly than 0.1% TAC ointment.</w:t>
      </w:r>
      <w:bookmarkEnd w:id="31"/>
    </w:p>
    <w:p w14:paraId="2DD17322" w14:textId="4E3D71E9" w:rsidR="00D15E95" w:rsidRPr="00D15E95" w:rsidRDefault="00D15E95" w:rsidP="00D15E95">
      <w:pPr>
        <w:pStyle w:val="3-BodyText"/>
        <w:numPr>
          <w:ilvl w:val="0"/>
          <w:numId w:val="0"/>
        </w:numPr>
        <w:ind w:left="720"/>
        <w:rPr>
          <w:i/>
          <w:iCs/>
        </w:rPr>
      </w:pPr>
      <w:r w:rsidRPr="00D15E95">
        <w:rPr>
          <w:i/>
          <w:iCs/>
        </w:rPr>
        <w:t>For more detail on PBAC’s view, see section 7 PBAC outcome.</w:t>
      </w:r>
    </w:p>
    <w:p w14:paraId="264E8DBE" w14:textId="77777777" w:rsidR="007F4F51" w:rsidRPr="00D86D87" w:rsidRDefault="007F4F51" w:rsidP="007F4F51">
      <w:pPr>
        <w:pStyle w:val="2-SectionHeading"/>
        <w:numPr>
          <w:ilvl w:val="0"/>
          <w:numId w:val="1"/>
        </w:numPr>
      </w:pPr>
      <w:bookmarkStart w:id="32" w:name="_Toc197979891"/>
      <w:bookmarkStart w:id="33" w:name="_Toc198710818"/>
      <w:r w:rsidRPr="00D86D87">
        <w:t>Consideration of the evidence</w:t>
      </w:r>
      <w:bookmarkEnd w:id="32"/>
      <w:bookmarkEnd w:id="33"/>
    </w:p>
    <w:p w14:paraId="22957870" w14:textId="77777777" w:rsidR="004C0453" w:rsidRPr="006E1229" w:rsidRDefault="004C0453" w:rsidP="004C0453">
      <w:pPr>
        <w:pStyle w:val="4-SubsectionHeading"/>
      </w:pPr>
      <w:bookmarkStart w:id="34" w:name="_Hlk76375935"/>
      <w:bookmarkStart w:id="35" w:name="_Toc187925086"/>
      <w:bookmarkStart w:id="36" w:name="_Toc197979892"/>
      <w:bookmarkStart w:id="37" w:name="_Toc198710819"/>
      <w:r w:rsidRPr="006E1229">
        <w:t>Sponsor hearing</w:t>
      </w:r>
    </w:p>
    <w:p w14:paraId="5740C452" w14:textId="5FC13D53" w:rsidR="004C0453" w:rsidRPr="005D563B" w:rsidRDefault="004C0453" w:rsidP="005D563B">
      <w:pPr>
        <w:widowControl w:val="0"/>
        <w:numPr>
          <w:ilvl w:val="1"/>
          <w:numId w:val="1"/>
        </w:numPr>
        <w:spacing w:after="120"/>
        <w:rPr>
          <w:rFonts w:cs="Calibri"/>
          <w:bCs/>
          <w:snapToGrid w:val="0"/>
        </w:rPr>
      </w:pPr>
      <w:r w:rsidRPr="00F91542">
        <w:rPr>
          <w:rFonts w:cs="Calibri"/>
          <w:bCs/>
          <w:snapToGrid w:val="0"/>
        </w:rPr>
        <w:t>There was no hearing for this item.</w:t>
      </w:r>
    </w:p>
    <w:p w14:paraId="6AB85C45" w14:textId="77777777" w:rsidR="004C0453" w:rsidRPr="006E1229" w:rsidRDefault="004C0453" w:rsidP="004C0453">
      <w:pPr>
        <w:pStyle w:val="4-SubsectionHeading"/>
      </w:pPr>
      <w:r w:rsidRPr="006E1229">
        <w:t>Consumer comments</w:t>
      </w:r>
    </w:p>
    <w:p w14:paraId="3DB8C524" w14:textId="33EAECD4" w:rsidR="004C0453" w:rsidRPr="00836F75" w:rsidRDefault="004C0453" w:rsidP="004C0453">
      <w:pPr>
        <w:widowControl w:val="0"/>
        <w:numPr>
          <w:ilvl w:val="1"/>
          <w:numId w:val="1"/>
        </w:numPr>
        <w:spacing w:after="120"/>
        <w:rPr>
          <w:rFonts w:asciiTheme="minorHAnsi" w:hAnsiTheme="minorHAnsi"/>
          <w:bCs/>
          <w:snapToGrid w:val="0"/>
        </w:rPr>
      </w:pPr>
      <w:bookmarkStart w:id="38" w:name="_Hlk76382618"/>
      <w:r w:rsidRPr="00836F75">
        <w:rPr>
          <w:rFonts w:asciiTheme="minorHAnsi" w:hAnsiTheme="minorHAnsi"/>
          <w:bCs/>
          <w:snapToGrid w:val="0"/>
        </w:rPr>
        <w:t>The PBAC noted and welcomed the input from health care professionals (1) and organisations (</w:t>
      </w:r>
      <w:r w:rsidR="00986C1B">
        <w:rPr>
          <w:rFonts w:asciiTheme="minorHAnsi" w:hAnsiTheme="minorHAnsi"/>
          <w:bCs/>
          <w:snapToGrid w:val="0"/>
        </w:rPr>
        <w:t>3</w:t>
      </w:r>
      <w:r w:rsidRPr="00836F75">
        <w:rPr>
          <w:rFonts w:asciiTheme="minorHAnsi" w:hAnsiTheme="minorHAnsi"/>
          <w:bCs/>
          <w:snapToGrid w:val="0"/>
        </w:rPr>
        <w:t xml:space="preserve">) via the Consumer Comments facility on the PBS website.  The </w:t>
      </w:r>
      <w:r w:rsidR="002741F4">
        <w:rPr>
          <w:rFonts w:asciiTheme="minorHAnsi" w:hAnsiTheme="minorHAnsi"/>
          <w:bCs/>
          <w:snapToGrid w:val="0"/>
        </w:rPr>
        <w:t xml:space="preserve">health professional noted that compounded </w:t>
      </w:r>
      <w:r w:rsidR="00CE2788">
        <w:rPr>
          <w:rFonts w:asciiTheme="minorHAnsi" w:hAnsiTheme="minorHAnsi"/>
          <w:bCs/>
          <w:snapToGrid w:val="0"/>
        </w:rPr>
        <w:t>TAC</w:t>
      </w:r>
      <w:r w:rsidR="002741F4">
        <w:rPr>
          <w:rFonts w:asciiTheme="minorHAnsi" w:hAnsiTheme="minorHAnsi"/>
          <w:bCs/>
          <w:snapToGrid w:val="0"/>
        </w:rPr>
        <w:t xml:space="preserve"> ointments</w:t>
      </w:r>
      <w:r w:rsidR="00E02F4A">
        <w:rPr>
          <w:rFonts w:asciiTheme="minorHAnsi" w:hAnsiTheme="minorHAnsi"/>
          <w:bCs/>
          <w:snapToGrid w:val="0"/>
        </w:rPr>
        <w:t xml:space="preserve">, which are </w:t>
      </w:r>
      <w:r w:rsidR="003029D1">
        <w:rPr>
          <w:rFonts w:asciiTheme="minorHAnsi" w:hAnsiTheme="minorHAnsi"/>
          <w:bCs/>
          <w:snapToGrid w:val="0"/>
        </w:rPr>
        <w:t>generally accessed through the public hospital setting,</w:t>
      </w:r>
      <w:r w:rsidR="002741F4">
        <w:rPr>
          <w:rFonts w:asciiTheme="minorHAnsi" w:hAnsiTheme="minorHAnsi"/>
          <w:bCs/>
          <w:snapToGrid w:val="0"/>
        </w:rPr>
        <w:t xml:space="preserve"> are recommended to be discarded 30 days after first </w:t>
      </w:r>
      <w:r w:rsidR="00E02F4A">
        <w:rPr>
          <w:rFonts w:asciiTheme="minorHAnsi" w:hAnsiTheme="minorHAnsi"/>
          <w:bCs/>
          <w:snapToGrid w:val="0"/>
        </w:rPr>
        <w:t>use</w:t>
      </w:r>
      <w:r w:rsidR="003029D1">
        <w:rPr>
          <w:rFonts w:asciiTheme="minorHAnsi" w:hAnsiTheme="minorHAnsi"/>
          <w:bCs/>
          <w:snapToGrid w:val="0"/>
        </w:rPr>
        <w:t>, which may result in access and equity issues</w:t>
      </w:r>
      <w:r w:rsidR="00EE6403">
        <w:rPr>
          <w:rFonts w:asciiTheme="minorHAnsi" w:hAnsiTheme="minorHAnsi"/>
          <w:bCs/>
          <w:snapToGrid w:val="0"/>
        </w:rPr>
        <w:t xml:space="preserve">. </w:t>
      </w:r>
    </w:p>
    <w:p w14:paraId="51FC6921" w14:textId="799E7C63" w:rsidR="0032335C" w:rsidRDefault="004C0453" w:rsidP="004C0453">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C3777D">
        <w:rPr>
          <w:rFonts w:asciiTheme="minorHAnsi" w:hAnsiTheme="minorHAnsi"/>
          <w:bCs/>
          <w:snapToGrid w:val="0"/>
        </w:rPr>
        <w:t>the Australasian College of Dermatologists</w:t>
      </w:r>
      <w:r w:rsidR="00D47396">
        <w:rPr>
          <w:rFonts w:asciiTheme="minorHAnsi" w:hAnsiTheme="minorHAnsi"/>
          <w:bCs/>
          <w:snapToGrid w:val="0"/>
        </w:rPr>
        <w:t xml:space="preserve"> which supported the submission, stating that there was strong evidence for the safety and efficacy of </w:t>
      </w:r>
      <w:r w:rsidR="00CE2788">
        <w:rPr>
          <w:rFonts w:asciiTheme="minorHAnsi" w:hAnsiTheme="minorHAnsi"/>
          <w:bCs/>
          <w:snapToGrid w:val="0"/>
        </w:rPr>
        <w:t>0.1% TAC</w:t>
      </w:r>
      <w:r w:rsidR="00D47396">
        <w:rPr>
          <w:rFonts w:asciiTheme="minorHAnsi" w:hAnsiTheme="minorHAnsi"/>
          <w:bCs/>
          <w:snapToGrid w:val="0"/>
        </w:rPr>
        <w:t xml:space="preserve"> </w:t>
      </w:r>
      <w:r w:rsidR="00621F23">
        <w:rPr>
          <w:rFonts w:asciiTheme="minorHAnsi" w:hAnsiTheme="minorHAnsi"/>
          <w:bCs/>
          <w:snapToGrid w:val="0"/>
        </w:rPr>
        <w:t xml:space="preserve">over long-term TCSs. The College also noted that </w:t>
      </w:r>
      <w:r w:rsidR="00731262">
        <w:rPr>
          <w:rFonts w:asciiTheme="minorHAnsi" w:hAnsiTheme="minorHAnsi"/>
          <w:bCs/>
          <w:snapToGrid w:val="0"/>
        </w:rPr>
        <w:t xml:space="preserve">the currently available </w:t>
      </w:r>
      <w:r w:rsidR="00621F23">
        <w:rPr>
          <w:rFonts w:asciiTheme="minorHAnsi" w:hAnsiTheme="minorHAnsi"/>
          <w:bCs/>
          <w:snapToGrid w:val="0"/>
        </w:rPr>
        <w:t>c</w:t>
      </w:r>
      <w:r w:rsidR="00731262">
        <w:rPr>
          <w:rFonts w:asciiTheme="minorHAnsi" w:hAnsiTheme="minorHAnsi"/>
          <w:bCs/>
          <w:snapToGrid w:val="0"/>
        </w:rPr>
        <w:t xml:space="preserve">ompounded products </w:t>
      </w:r>
      <w:r w:rsidR="006348B5">
        <w:rPr>
          <w:rFonts w:asciiTheme="minorHAnsi" w:hAnsiTheme="minorHAnsi"/>
          <w:bCs/>
          <w:snapToGrid w:val="0"/>
        </w:rPr>
        <w:t>are available at significant cost to patients and are associated with drug stability issues and secondary bacterial infections.</w:t>
      </w:r>
      <w:r w:rsidR="0015476C">
        <w:rPr>
          <w:rFonts w:asciiTheme="minorHAnsi" w:hAnsiTheme="minorHAnsi"/>
          <w:bCs/>
          <w:snapToGrid w:val="0"/>
        </w:rPr>
        <w:t xml:space="preserve"> The Australasian Society of Clinical Immunology and Allergy</w:t>
      </w:r>
      <w:r w:rsidR="00DB557E">
        <w:rPr>
          <w:rFonts w:asciiTheme="minorHAnsi" w:hAnsiTheme="minorHAnsi"/>
          <w:bCs/>
          <w:snapToGrid w:val="0"/>
        </w:rPr>
        <w:t xml:space="preserve"> also supported the submission, stating that the PBS availability of 0.1% TAC ointment</w:t>
      </w:r>
      <w:r w:rsidR="005B1F6D">
        <w:rPr>
          <w:rFonts w:asciiTheme="minorHAnsi" w:hAnsiTheme="minorHAnsi"/>
          <w:bCs/>
          <w:snapToGrid w:val="0"/>
        </w:rPr>
        <w:t xml:space="preserve"> ensures equitable access. Further, it was noted that </w:t>
      </w:r>
      <w:r w:rsidR="00CE2788">
        <w:rPr>
          <w:rFonts w:asciiTheme="minorHAnsi" w:hAnsiTheme="minorHAnsi"/>
          <w:bCs/>
          <w:snapToGrid w:val="0"/>
        </w:rPr>
        <w:t>0.1% TAC</w:t>
      </w:r>
      <w:r w:rsidR="005B1F6D">
        <w:rPr>
          <w:rFonts w:asciiTheme="minorHAnsi" w:hAnsiTheme="minorHAnsi"/>
          <w:bCs/>
          <w:snapToGrid w:val="0"/>
        </w:rPr>
        <w:t xml:space="preserve"> can be as effective as potent TCS</w:t>
      </w:r>
      <w:r w:rsidR="0032335C">
        <w:rPr>
          <w:rFonts w:asciiTheme="minorHAnsi" w:hAnsiTheme="minorHAnsi"/>
          <w:bCs/>
          <w:snapToGrid w:val="0"/>
        </w:rPr>
        <w:t xml:space="preserve"> and may be useful for patients where the use of TCS is inappropriate, including treatment of sensitive areas.</w:t>
      </w:r>
    </w:p>
    <w:p w14:paraId="026B2652" w14:textId="0017D225" w:rsidR="004C0453" w:rsidRPr="001A45FB" w:rsidRDefault="0078528F" w:rsidP="001A45FB">
      <w:pPr>
        <w:widowControl w:val="0"/>
        <w:numPr>
          <w:ilvl w:val="1"/>
          <w:numId w:val="1"/>
        </w:numPr>
        <w:spacing w:after="120"/>
        <w:rPr>
          <w:rFonts w:asciiTheme="minorHAnsi" w:hAnsiTheme="minorHAnsi"/>
          <w:bCs/>
          <w:snapToGrid w:val="0"/>
        </w:rPr>
      </w:pPr>
      <w:r>
        <w:rPr>
          <w:rFonts w:asciiTheme="minorHAnsi" w:hAnsiTheme="minorHAnsi"/>
          <w:bCs/>
          <w:snapToGrid w:val="0"/>
        </w:rPr>
        <w:t>Eczema Support Australia expressed their strong support for the submission, noting the high cost</w:t>
      </w:r>
      <w:r w:rsidR="008F6832">
        <w:rPr>
          <w:rFonts w:asciiTheme="minorHAnsi" w:hAnsiTheme="minorHAnsi"/>
          <w:bCs/>
          <w:snapToGrid w:val="0"/>
        </w:rPr>
        <w:t>, limited shelf life</w:t>
      </w:r>
      <w:r w:rsidR="00684AA2">
        <w:rPr>
          <w:rFonts w:asciiTheme="minorHAnsi" w:hAnsiTheme="minorHAnsi"/>
          <w:bCs/>
          <w:snapToGrid w:val="0"/>
        </w:rPr>
        <w:t xml:space="preserve"> and access issues with the </w:t>
      </w:r>
      <w:r w:rsidR="00EA460C">
        <w:rPr>
          <w:rFonts w:asciiTheme="minorHAnsi" w:hAnsiTheme="minorHAnsi"/>
          <w:bCs/>
          <w:snapToGrid w:val="0"/>
        </w:rPr>
        <w:t xml:space="preserve">currently available </w:t>
      </w:r>
      <w:r w:rsidR="00684AA2">
        <w:rPr>
          <w:rFonts w:asciiTheme="minorHAnsi" w:hAnsiTheme="minorHAnsi"/>
          <w:bCs/>
          <w:snapToGrid w:val="0"/>
        </w:rPr>
        <w:t>compounded product</w:t>
      </w:r>
      <w:r w:rsidR="00EA460C">
        <w:rPr>
          <w:rFonts w:asciiTheme="minorHAnsi" w:hAnsiTheme="minorHAnsi"/>
          <w:bCs/>
          <w:snapToGrid w:val="0"/>
        </w:rPr>
        <w:t xml:space="preserve">s. </w:t>
      </w:r>
      <w:r w:rsidR="00D0043F">
        <w:rPr>
          <w:rFonts w:asciiTheme="minorHAnsi" w:hAnsiTheme="minorHAnsi"/>
          <w:bCs/>
          <w:snapToGrid w:val="0"/>
        </w:rPr>
        <w:t xml:space="preserve">Eczema Support Australia also noted </w:t>
      </w:r>
      <w:r w:rsidR="00D02080">
        <w:rPr>
          <w:rFonts w:asciiTheme="minorHAnsi" w:hAnsiTheme="minorHAnsi"/>
          <w:bCs/>
          <w:snapToGrid w:val="0"/>
        </w:rPr>
        <w:t xml:space="preserve">the need for non-steroidal anti-inflammatory options for patients </w:t>
      </w:r>
      <w:r w:rsidR="001A45FB">
        <w:rPr>
          <w:rFonts w:asciiTheme="minorHAnsi" w:hAnsiTheme="minorHAnsi"/>
          <w:bCs/>
          <w:snapToGrid w:val="0"/>
        </w:rPr>
        <w:t>who are unable to use TCSs.</w:t>
      </w:r>
    </w:p>
    <w:bookmarkEnd w:id="34"/>
    <w:bookmarkEnd w:id="38"/>
    <w:p w14:paraId="2EA067D3" w14:textId="77777777" w:rsidR="007F4F51" w:rsidRPr="00D86D87" w:rsidRDefault="007F4F51" w:rsidP="007F4F51">
      <w:pPr>
        <w:pStyle w:val="4-SubsectionHeading"/>
      </w:pPr>
      <w:r w:rsidRPr="00D86D87">
        <w:t>Clinical trials</w:t>
      </w:r>
      <w:bookmarkEnd w:id="35"/>
      <w:bookmarkEnd w:id="36"/>
      <w:bookmarkEnd w:id="37"/>
    </w:p>
    <w:p w14:paraId="5ABBCD29" w14:textId="75397BEB" w:rsidR="007F4F51" w:rsidRPr="00AD3857" w:rsidRDefault="007F4F51" w:rsidP="00C0701D">
      <w:pPr>
        <w:pStyle w:val="3-BodyText"/>
        <w:numPr>
          <w:ilvl w:val="1"/>
          <w:numId w:val="19"/>
        </w:numPr>
      </w:pPr>
      <w:r w:rsidRPr="00AD3857">
        <w:t>The submission noted that given the age of the product, the sponsor does not have access to clinical study reports of the relevant 0.1% TAC trials in AD, and that the available evidence presented in the submission was sourced from trial publications in the literature. This hampered the assessment of bias, verification and presentation of data</w:t>
      </w:r>
      <w:r w:rsidR="008F6205">
        <w:t>.</w:t>
      </w:r>
    </w:p>
    <w:p w14:paraId="71BA90FB" w14:textId="4B322F0C" w:rsidR="007F4F51" w:rsidRPr="004A3F37" w:rsidRDefault="007F4F51" w:rsidP="00DD79CD">
      <w:pPr>
        <w:pStyle w:val="3-BodyText"/>
        <w:spacing w:after="120"/>
        <w:rPr>
          <w:color w:val="0066FF"/>
        </w:rPr>
      </w:pPr>
      <w:r w:rsidRPr="00AD3857">
        <w:t>Details of the trial publications presented in the submission are provided in</w:t>
      </w:r>
      <w:r w:rsidR="00420002" w:rsidRPr="00AD3857">
        <w:t xml:space="preserve"> </w:t>
      </w:r>
      <w:r w:rsidR="00420002" w:rsidRPr="00AD3857">
        <w:fldChar w:fldCharType="begin"/>
      </w:r>
      <w:r w:rsidR="00420002" w:rsidRPr="00AD3857">
        <w:instrText xml:space="preserve"> REF _Ref198651529 \h </w:instrText>
      </w:r>
      <w:r w:rsidR="00AD3857" w:rsidRPr="00AD3857">
        <w:instrText xml:space="preserve"> \* MERGEFORMAT </w:instrText>
      </w:r>
      <w:r w:rsidR="00420002" w:rsidRPr="00AD3857">
        <w:fldChar w:fldCharType="separate"/>
      </w:r>
      <w:r w:rsidR="00124226" w:rsidRPr="00D86D87">
        <w:t xml:space="preserve">Table </w:t>
      </w:r>
      <w:r w:rsidR="00124226">
        <w:rPr>
          <w:noProof/>
        </w:rPr>
        <w:t>2</w:t>
      </w:r>
      <w:r w:rsidR="00420002" w:rsidRPr="00AD3857">
        <w:fldChar w:fldCharType="end"/>
      </w:r>
      <w:r w:rsidRPr="00AD3857">
        <w:fldChar w:fldCharType="begin"/>
      </w:r>
      <w:r w:rsidRPr="00AD3857">
        <w:instrText xml:space="preserve"> REF _Ref104803956 \h </w:instrText>
      </w:r>
      <w:r w:rsidR="00AD3857" w:rsidRPr="00AD3857">
        <w:instrText xml:space="preserve"> \* MERGEFORMAT </w:instrText>
      </w:r>
      <w:r w:rsidRPr="00AD3857">
        <w:fldChar w:fldCharType="separate"/>
      </w:r>
      <w:r w:rsidR="00124226">
        <w:rPr>
          <w:b/>
          <w:bCs/>
          <w:lang w:val="en-GB"/>
        </w:rPr>
        <w:t>Error! Reference source not found.</w:t>
      </w:r>
      <w:r w:rsidRPr="00AD3857">
        <w:fldChar w:fldCharType="end"/>
      </w:r>
      <w:r w:rsidRPr="00AD3857">
        <w:t>.</w:t>
      </w:r>
    </w:p>
    <w:p w14:paraId="7797C0B5" w14:textId="7D866940" w:rsidR="007F4F51" w:rsidRPr="00D86D87" w:rsidRDefault="007F4F51" w:rsidP="00F55E21">
      <w:pPr>
        <w:pStyle w:val="TableFigureHeading"/>
        <w:keepLines/>
        <w:widowControl w:val="0"/>
        <w:rPr>
          <w:rStyle w:val="CommentReference"/>
          <w:b/>
          <w:szCs w:val="24"/>
        </w:rPr>
      </w:pPr>
      <w:bookmarkStart w:id="39" w:name="_Ref198651529"/>
      <w:r w:rsidRPr="00D86D87">
        <w:t xml:space="preserve">Table </w:t>
      </w:r>
      <w:r>
        <w:fldChar w:fldCharType="begin"/>
      </w:r>
      <w:r>
        <w:instrText xml:space="preserve"> SEQ Table \* ARABIC </w:instrText>
      </w:r>
      <w:r>
        <w:fldChar w:fldCharType="separate"/>
      </w:r>
      <w:r w:rsidR="00124226">
        <w:rPr>
          <w:noProof/>
        </w:rPr>
        <w:t>2</w:t>
      </w:r>
      <w:r>
        <w:rPr>
          <w:noProof/>
        </w:rPr>
        <w:fldChar w:fldCharType="end"/>
      </w:r>
      <w:bookmarkEnd w:id="39"/>
      <w:r w:rsidRPr="00D86D87">
        <w:t>:</w:t>
      </w:r>
      <w:r w:rsidRPr="00D86D87">
        <w:rPr>
          <w:rStyle w:val="CommentReference"/>
          <w:b/>
          <w:szCs w:val="24"/>
        </w:rPr>
        <w:t xml:space="preserve"> </w:t>
      </w:r>
      <w:r>
        <w:rPr>
          <w:rStyle w:val="CommentReference"/>
          <w:b/>
          <w:szCs w:val="24"/>
        </w:rPr>
        <w:t xml:space="preserve">Trials </w:t>
      </w:r>
      <w:r w:rsidRPr="00D86D87">
        <w:rPr>
          <w:rStyle w:val="CommentReference"/>
          <w:b/>
          <w:szCs w:val="24"/>
        </w:rPr>
        <w:t>and associated reports presented in the submission</w:t>
      </w:r>
    </w:p>
    <w:tbl>
      <w:tblPr>
        <w:tblStyle w:val="TableGrid11"/>
        <w:tblW w:w="5000" w:type="pct"/>
        <w:tblLayout w:type="fixed"/>
        <w:tblLook w:val="0020" w:firstRow="1" w:lastRow="0" w:firstColumn="0" w:lastColumn="0" w:noHBand="0" w:noVBand="0"/>
        <w:tblCaption w:val="Table 2: Trials and associated reports presented in the submission"/>
      </w:tblPr>
      <w:tblGrid>
        <w:gridCol w:w="1901"/>
        <w:gridCol w:w="4898"/>
        <w:gridCol w:w="2218"/>
      </w:tblGrid>
      <w:tr w:rsidR="007F4F51" w:rsidRPr="000935E7" w14:paraId="367C18CF" w14:textId="77777777">
        <w:trPr>
          <w:tblHeader/>
        </w:trPr>
        <w:tc>
          <w:tcPr>
            <w:tcW w:w="1901" w:type="dxa"/>
          </w:tcPr>
          <w:p w14:paraId="13C8E67A"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0935E7">
              <w:rPr>
                <w:rFonts w:ascii="Arial Narrow" w:eastAsiaTheme="majorEastAsia" w:hAnsi="Arial Narrow" w:cs="Times New Roman"/>
                <w:b/>
                <w:sz w:val="20"/>
              </w:rPr>
              <w:t>Trial</w:t>
            </w:r>
          </w:p>
        </w:tc>
        <w:tc>
          <w:tcPr>
            <w:tcW w:w="4898" w:type="dxa"/>
          </w:tcPr>
          <w:p w14:paraId="1D3EA094"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0935E7">
              <w:rPr>
                <w:rFonts w:ascii="Arial Narrow" w:eastAsiaTheme="majorEastAsia" w:hAnsi="Arial Narrow" w:cs="Times New Roman"/>
                <w:b/>
                <w:sz w:val="20"/>
              </w:rPr>
              <w:t>Publication title</w:t>
            </w:r>
          </w:p>
        </w:tc>
        <w:tc>
          <w:tcPr>
            <w:tcW w:w="2218" w:type="dxa"/>
          </w:tcPr>
          <w:p w14:paraId="06A30178"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0935E7">
              <w:rPr>
                <w:rFonts w:ascii="Arial Narrow" w:eastAsiaTheme="majorEastAsia" w:hAnsi="Arial Narrow" w:cs="Times New Roman"/>
                <w:b/>
                <w:sz w:val="20"/>
              </w:rPr>
              <w:t>Citation</w:t>
            </w:r>
          </w:p>
        </w:tc>
      </w:tr>
      <w:tr w:rsidR="007F4F51" w:rsidRPr="000935E7" w14:paraId="4853A26B" w14:textId="77777777">
        <w:tc>
          <w:tcPr>
            <w:tcW w:w="9017" w:type="dxa"/>
            <w:gridSpan w:val="3"/>
          </w:tcPr>
          <w:p w14:paraId="51D08A3A" w14:textId="77777777" w:rsidR="007F4F51" w:rsidRPr="000935E7" w:rsidRDefault="007F4F51" w:rsidP="00F55E21">
            <w:pPr>
              <w:keepNext/>
              <w:keepLines/>
              <w:widowControl w:val="0"/>
              <w:jc w:val="left"/>
              <w:rPr>
                <w:rFonts w:ascii="Arial Narrow" w:eastAsiaTheme="majorEastAsia" w:hAnsi="Arial Narrow" w:cs="Times New Roman"/>
                <w:b/>
                <w:sz w:val="20"/>
              </w:rPr>
            </w:pPr>
            <w:r w:rsidRPr="00E82B46">
              <w:rPr>
                <w:rFonts w:ascii="Arial Narrow" w:eastAsiaTheme="majorEastAsia" w:hAnsi="Arial Narrow" w:cs="Times New Roman"/>
                <w:b/>
                <w:sz w:val="20"/>
              </w:rPr>
              <w:t>0.1% TAC vs VO</w:t>
            </w:r>
          </w:p>
        </w:tc>
      </w:tr>
      <w:tr w:rsidR="007F4F51" w:rsidRPr="000935E7" w14:paraId="20E07043" w14:textId="77777777">
        <w:tc>
          <w:tcPr>
            <w:tcW w:w="1901" w:type="dxa"/>
          </w:tcPr>
          <w:p w14:paraId="4B8ACA6C" w14:textId="77777777" w:rsidR="007F4F51" w:rsidRPr="00E82B46" w:rsidRDefault="007F4F51" w:rsidP="00F55E21">
            <w:pPr>
              <w:keepNext/>
              <w:keepLines/>
              <w:widowControl w:val="0"/>
              <w:jc w:val="left"/>
              <w:rPr>
                <w:rFonts w:ascii="Arial Narrow" w:eastAsiaTheme="majorEastAsia" w:hAnsi="Arial Narrow" w:cstheme="majorBidi"/>
                <w:bCs/>
                <w:sz w:val="20"/>
                <w:szCs w:val="20"/>
              </w:rPr>
            </w:pPr>
            <w:r w:rsidRPr="00673DD6">
              <w:rPr>
                <w:rFonts w:ascii="Arial Narrow" w:hAnsi="Arial Narrow"/>
                <w:sz w:val="20"/>
                <w:szCs w:val="20"/>
                <w:lang w:val="en-AU"/>
              </w:rPr>
              <w:t>Ruzicka</w:t>
            </w:r>
            <w:r>
              <w:rPr>
                <w:rFonts w:ascii="Arial Narrow" w:hAnsi="Arial Narrow"/>
                <w:sz w:val="20"/>
                <w:szCs w:val="20"/>
              </w:rPr>
              <w:t xml:space="preserve"> (1997)</w:t>
            </w:r>
          </w:p>
        </w:tc>
        <w:tc>
          <w:tcPr>
            <w:tcW w:w="4898" w:type="dxa"/>
            <w:tcBorders>
              <w:bottom w:val="single" w:sz="4" w:space="0" w:color="000000"/>
            </w:tcBorders>
          </w:tcPr>
          <w:p w14:paraId="26846C20" w14:textId="77777777" w:rsidR="007F4F51" w:rsidRPr="00E82B46" w:rsidRDefault="007F4F51" w:rsidP="00F55E21">
            <w:pPr>
              <w:keepNext/>
              <w:keepLines/>
              <w:widowControl w:val="0"/>
              <w:jc w:val="left"/>
              <w:rPr>
                <w:rFonts w:ascii="Arial Narrow" w:eastAsiaTheme="majorEastAsia" w:hAnsi="Arial Narrow" w:cstheme="majorBidi"/>
                <w:bCs/>
                <w:sz w:val="20"/>
                <w:szCs w:val="20"/>
              </w:rPr>
            </w:pPr>
            <w:r w:rsidRPr="00E82B46">
              <w:rPr>
                <w:rFonts w:ascii="Arial Narrow" w:hAnsi="Arial Narrow"/>
                <w:sz w:val="20"/>
                <w:szCs w:val="20"/>
                <w:lang w:val="en-AU"/>
              </w:rPr>
              <w:t xml:space="preserve">Ruzicka T, Bieber T, Schöpf E, et al. </w:t>
            </w:r>
            <w:r w:rsidRPr="00E82B46">
              <w:rPr>
                <w:rFonts w:ascii="Arial Narrow" w:hAnsi="Arial Narrow"/>
                <w:sz w:val="20"/>
                <w:szCs w:val="20"/>
              </w:rPr>
              <w:t xml:space="preserve">European Tacrolimus Multicenter Atopic Dermatitis Study Group. A short-term trial of tacrolimus ointment for atopic dermatitis. </w:t>
            </w:r>
          </w:p>
        </w:tc>
        <w:tc>
          <w:tcPr>
            <w:tcW w:w="2218" w:type="dxa"/>
            <w:tcBorders>
              <w:bottom w:val="single" w:sz="4" w:space="0" w:color="000000"/>
            </w:tcBorders>
          </w:tcPr>
          <w:p w14:paraId="4134C7C4" w14:textId="77777777" w:rsidR="007F4F51" w:rsidRPr="00E82B46" w:rsidRDefault="007F4F51" w:rsidP="00F55E21">
            <w:pPr>
              <w:keepNext/>
              <w:keepLines/>
              <w:widowControl w:val="0"/>
              <w:jc w:val="left"/>
              <w:rPr>
                <w:rFonts w:ascii="Arial Narrow" w:eastAsiaTheme="majorEastAsia" w:hAnsi="Arial Narrow" w:cstheme="majorBidi"/>
                <w:bCs/>
                <w:sz w:val="20"/>
                <w:szCs w:val="20"/>
              </w:rPr>
            </w:pPr>
            <w:r w:rsidRPr="00E82B46">
              <w:rPr>
                <w:rFonts w:ascii="Arial Narrow" w:hAnsi="Arial Narrow"/>
                <w:i/>
                <w:iCs/>
                <w:sz w:val="20"/>
                <w:szCs w:val="20"/>
              </w:rPr>
              <w:t>N Engl J Med</w:t>
            </w:r>
            <w:r w:rsidRPr="00E82B46">
              <w:rPr>
                <w:rFonts w:ascii="Arial Narrow" w:hAnsi="Arial Narrow"/>
                <w:sz w:val="20"/>
                <w:szCs w:val="20"/>
              </w:rPr>
              <w:t xml:space="preserve">. 1997 Sep 18;337(12):816-21. </w:t>
            </w:r>
          </w:p>
        </w:tc>
      </w:tr>
      <w:tr w:rsidR="007F4F51" w:rsidRPr="000935E7" w14:paraId="27AD1CB8" w14:textId="77777777">
        <w:tc>
          <w:tcPr>
            <w:tcW w:w="1901" w:type="dxa"/>
            <w:vMerge w:val="restart"/>
          </w:tcPr>
          <w:p w14:paraId="5D3F8DCF" w14:textId="77777777" w:rsidR="007F4F51" w:rsidRDefault="007F4F51" w:rsidP="00F55E21">
            <w:pPr>
              <w:keepNext/>
              <w:keepLines/>
              <w:widowControl w:val="0"/>
              <w:jc w:val="left"/>
              <w:rPr>
                <w:rFonts w:ascii="Arial Narrow" w:hAnsi="Arial Narrow"/>
                <w:sz w:val="20"/>
                <w:szCs w:val="20"/>
              </w:rPr>
            </w:pPr>
            <w:r w:rsidRPr="00673DD6">
              <w:rPr>
                <w:rFonts w:ascii="Arial Narrow" w:eastAsiaTheme="majorEastAsia" w:hAnsi="Arial Narrow" w:cstheme="majorBidi"/>
                <w:bCs/>
                <w:sz w:val="20"/>
                <w:szCs w:val="20"/>
                <w:lang w:val="en-AU"/>
              </w:rPr>
              <w:t>Hanifin</w:t>
            </w:r>
            <w:r>
              <w:rPr>
                <w:rFonts w:ascii="Arial Narrow" w:hAnsi="Arial Narrow"/>
                <w:sz w:val="20"/>
                <w:szCs w:val="20"/>
              </w:rPr>
              <w:t xml:space="preserve"> (2001)</w:t>
            </w:r>
          </w:p>
          <w:p w14:paraId="6A302560" w14:textId="77777777" w:rsidR="007F4F51" w:rsidRDefault="007F4F51" w:rsidP="00F55E21">
            <w:pPr>
              <w:keepNext/>
              <w:keepLines/>
              <w:widowControl w:val="0"/>
              <w:jc w:val="left"/>
              <w:rPr>
                <w:rFonts w:ascii="Arial Narrow" w:hAnsi="Arial Narrow"/>
                <w:sz w:val="20"/>
                <w:szCs w:val="20"/>
              </w:rPr>
            </w:pPr>
            <w:r>
              <w:rPr>
                <w:rFonts w:ascii="Arial Narrow" w:hAnsi="Arial Narrow"/>
                <w:sz w:val="20"/>
                <w:szCs w:val="20"/>
              </w:rPr>
              <w:t>Soter (2001)</w:t>
            </w:r>
          </w:p>
          <w:p w14:paraId="5416B249" w14:textId="77777777" w:rsidR="007F4F51" w:rsidRDefault="007F4F51" w:rsidP="00F55E21">
            <w:pPr>
              <w:keepNext/>
              <w:keepLines/>
              <w:widowControl w:val="0"/>
              <w:jc w:val="left"/>
              <w:rPr>
                <w:rFonts w:ascii="Arial Narrow" w:hAnsi="Arial Narrow"/>
                <w:sz w:val="20"/>
                <w:szCs w:val="20"/>
              </w:rPr>
            </w:pPr>
            <w:r>
              <w:rPr>
                <w:rFonts w:ascii="Arial Narrow" w:hAnsi="Arial Narrow"/>
                <w:sz w:val="20"/>
                <w:szCs w:val="20"/>
              </w:rPr>
              <w:t>Kang (2003)</w:t>
            </w:r>
          </w:p>
          <w:p w14:paraId="05C26F44" w14:textId="77777777" w:rsidR="007F4F51" w:rsidRDefault="007F4F51" w:rsidP="00F55E21">
            <w:pPr>
              <w:keepNext/>
              <w:keepLines/>
              <w:widowControl w:val="0"/>
              <w:jc w:val="left"/>
              <w:rPr>
                <w:rFonts w:ascii="Arial Narrow" w:hAnsi="Arial Narrow"/>
                <w:sz w:val="20"/>
                <w:szCs w:val="20"/>
              </w:rPr>
            </w:pPr>
            <w:r>
              <w:rPr>
                <w:rFonts w:ascii="Arial Narrow" w:hAnsi="Arial Narrow"/>
                <w:sz w:val="20"/>
                <w:szCs w:val="20"/>
              </w:rPr>
              <w:t>Drake (2001)</w:t>
            </w:r>
          </w:p>
          <w:p w14:paraId="0F3347E4" w14:textId="77777777" w:rsidR="007F4F51" w:rsidRPr="00454F6E" w:rsidRDefault="007F4F51" w:rsidP="00F55E21">
            <w:pPr>
              <w:keepNext/>
              <w:keepLines/>
              <w:widowControl w:val="0"/>
              <w:jc w:val="left"/>
              <w:rPr>
                <w:rFonts w:ascii="Arial Narrow" w:eastAsiaTheme="majorEastAsia" w:hAnsi="Arial Narrow" w:cstheme="majorBidi"/>
                <w:bCs/>
                <w:sz w:val="20"/>
                <w:szCs w:val="20"/>
              </w:rPr>
            </w:pPr>
          </w:p>
        </w:tc>
        <w:tc>
          <w:tcPr>
            <w:tcW w:w="4898" w:type="dxa"/>
            <w:tcBorders>
              <w:bottom w:val="nil"/>
            </w:tcBorders>
          </w:tcPr>
          <w:p w14:paraId="3D59B48B"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Hanifin JM, Ling MR, Langley R, et al. </w:t>
            </w:r>
            <w:r w:rsidRPr="000935E7">
              <w:rPr>
                <w:rFonts w:ascii="Arial Narrow" w:eastAsiaTheme="majorEastAsia" w:hAnsi="Arial Narrow" w:cstheme="majorBidi"/>
                <w:bCs/>
                <w:sz w:val="20"/>
              </w:rPr>
              <w:t xml:space="preserve">Tacrolimus ointment for the treatment of atopic dermatitis in adult patients: part I, efficacy. </w:t>
            </w:r>
          </w:p>
        </w:tc>
        <w:tc>
          <w:tcPr>
            <w:tcW w:w="2218" w:type="dxa"/>
            <w:tcBorders>
              <w:bottom w:val="nil"/>
            </w:tcBorders>
          </w:tcPr>
          <w:p w14:paraId="3570139C"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2001 Jan;44(1 Suppl):S28-38.</w:t>
            </w:r>
          </w:p>
        </w:tc>
      </w:tr>
      <w:tr w:rsidR="007F4F51" w:rsidRPr="000935E7" w14:paraId="3ED28808" w14:textId="77777777">
        <w:tc>
          <w:tcPr>
            <w:tcW w:w="1901" w:type="dxa"/>
            <w:vMerge/>
          </w:tcPr>
          <w:p w14:paraId="3733788A" w14:textId="77777777" w:rsidR="007F4F51" w:rsidRPr="000935E7" w:rsidRDefault="007F4F51" w:rsidP="00F55E21">
            <w:pPr>
              <w:keepNext/>
              <w:keepLines/>
              <w:widowControl w:val="0"/>
              <w:jc w:val="left"/>
              <w:rPr>
                <w:rFonts w:ascii="Arial Narrow" w:eastAsiaTheme="majorEastAsia" w:hAnsi="Arial Narrow" w:cstheme="majorBidi"/>
                <w:bCs/>
                <w:sz w:val="20"/>
              </w:rPr>
            </w:pPr>
          </w:p>
        </w:tc>
        <w:tc>
          <w:tcPr>
            <w:tcW w:w="4898" w:type="dxa"/>
            <w:tcBorders>
              <w:top w:val="nil"/>
              <w:bottom w:val="nil"/>
            </w:tcBorders>
          </w:tcPr>
          <w:p w14:paraId="4CA41ABA"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Soter NA, Fleischer AB Jr, Webster GF, et al. Tacrolimus ointment for the treatment of atopic dermatitis in adult patients: part II, safety. </w:t>
            </w:r>
          </w:p>
        </w:tc>
        <w:tc>
          <w:tcPr>
            <w:tcW w:w="2218" w:type="dxa"/>
            <w:tcBorders>
              <w:top w:val="nil"/>
              <w:bottom w:val="nil"/>
            </w:tcBorders>
          </w:tcPr>
          <w:p w14:paraId="4EA22E2E"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xml:space="preserve">. 2001 Jan;44(1 Suppl):S39-46. </w:t>
            </w:r>
          </w:p>
        </w:tc>
      </w:tr>
      <w:tr w:rsidR="007F4F51" w:rsidRPr="000935E7" w14:paraId="6284ECC0" w14:textId="77777777">
        <w:tc>
          <w:tcPr>
            <w:tcW w:w="1901" w:type="dxa"/>
            <w:vMerge/>
          </w:tcPr>
          <w:p w14:paraId="2DB97545" w14:textId="77777777" w:rsidR="007F4F51" w:rsidRPr="000935E7" w:rsidRDefault="007F4F51" w:rsidP="00F55E21">
            <w:pPr>
              <w:keepNext/>
              <w:keepLines/>
              <w:widowControl w:val="0"/>
              <w:jc w:val="left"/>
              <w:rPr>
                <w:rFonts w:ascii="Arial Narrow" w:eastAsiaTheme="majorEastAsia" w:hAnsi="Arial Narrow" w:cstheme="majorBidi"/>
                <w:bCs/>
                <w:sz w:val="20"/>
              </w:rPr>
            </w:pPr>
          </w:p>
        </w:tc>
        <w:tc>
          <w:tcPr>
            <w:tcW w:w="4898" w:type="dxa"/>
            <w:tcBorders>
              <w:top w:val="nil"/>
              <w:bottom w:val="nil"/>
            </w:tcBorders>
          </w:tcPr>
          <w:p w14:paraId="3ED4B427"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Kang S, Paller A, Soter N, et al. </w:t>
            </w:r>
            <w:r w:rsidRPr="000935E7">
              <w:rPr>
                <w:rFonts w:ascii="Arial Narrow" w:eastAsiaTheme="majorEastAsia" w:hAnsi="Arial Narrow" w:cstheme="majorBidi"/>
                <w:bCs/>
                <w:sz w:val="20"/>
              </w:rPr>
              <w:t xml:space="preserve">Safe treatment of head/neck AD with tacrolimus ointment. </w:t>
            </w:r>
          </w:p>
        </w:tc>
        <w:tc>
          <w:tcPr>
            <w:tcW w:w="2218" w:type="dxa"/>
            <w:tcBorders>
              <w:top w:val="nil"/>
              <w:bottom w:val="nil"/>
            </w:tcBorders>
          </w:tcPr>
          <w:p w14:paraId="01101F14"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Dermatolog Treat.</w:t>
            </w:r>
            <w:r w:rsidRPr="000935E7">
              <w:rPr>
                <w:rFonts w:ascii="Arial Narrow" w:eastAsiaTheme="majorEastAsia" w:hAnsi="Arial Narrow" w:cstheme="majorBidi"/>
                <w:bCs/>
                <w:sz w:val="20"/>
              </w:rPr>
              <w:t xml:space="preserve"> 2003 Jun;14(2):86-94. </w:t>
            </w:r>
          </w:p>
        </w:tc>
      </w:tr>
      <w:tr w:rsidR="007F4F51" w:rsidRPr="000935E7" w14:paraId="4130B5CF" w14:textId="77777777">
        <w:tc>
          <w:tcPr>
            <w:tcW w:w="1901" w:type="dxa"/>
            <w:vMerge/>
          </w:tcPr>
          <w:p w14:paraId="207B5B38" w14:textId="77777777" w:rsidR="007F4F51" w:rsidRPr="000935E7" w:rsidRDefault="007F4F51" w:rsidP="00F55E21">
            <w:pPr>
              <w:keepNext/>
              <w:keepLines/>
              <w:widowControl w:val="0"/>
              <w:jc w:val="left"/>
              <w:rPr>
                <w:rFonts w:ascii="Arial Narrow" w:eastAsiaTheme="majorEastAsia" w:hAnsi="Arial Narrow" w:cstheme="majorBidi"/>
                <w:bCs/>
                <w:sz w:val="20"/>
              </w:rPr>
            </w:pPr>
          </w:p>
        </w:tc>
        <w:tc>
          <w:tcPr>
            <w:tcW w:w="4898" w:type="dxa"/>
            <w:tcBorders>
              <w:top w:val="nil"/>
              <w:bottom w:val="single" w:sz="4" w:space="0" w:color="000000"/>
            </w:tcBorders>
          </w:tcPr>
          <w:p w14:paraId="37672DA4"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Drake L, Prendergast M, Maher R, et al. </w:t>
            </w:r>
            <w:r w:rsidRPr="000935E7">
              <w:rPr>
                <w:rFonts w:ascii="Arial Narrow" w:eastAsiaTheme="majorEastAsia" w:hAnsi="Arial Narrow" w:cstheme="majorBidi"/>
                <w:bCs/>
                <w:sz w:val="20"/>
              </w:rPr>
              <w:t xml:space="preserve">The impact of tacrolimus ointment on health-related quality of life of adult and pediatric patients with atopic dermatitis. </w:t>
            </w:r>
          </w:p>
        </w:tc>
        <w:tc>
          <w:tcPr>
            <w:tcW w:w="2218" w:type="dxa"/>
            <w:tcBorders>
              <w:top w:val="nil"/>
              <w:bottom w:val="single" w:sz="4" w:space="0" w:color="000000"/>
            </w:tcBorders>
          </w:tcPr>
          <w:p w14:paraId="0C4EAC32"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xml:space="preserve">. 2001 Jan;44(1 Suppl):S65-72. </w:t>
            </w:r>
          </w:p>
        </w:tc>
      </w:tr>
      <w:tr w:rsidR="007F4F51" w:rsidRPr="000935E7" w14:paraId="64B30E18" w14:textId="77777777">
        <w:tc>
          <w:tcPr>
            <w:tcW w:w="1901" w:type="dxa"/>
            <w:vMerge w:val="restart"/>
          </w:tcPr>
          <w:p w14:paraId="04BB9028" w14:textId="77777777" w:rsidR="007F4F51" w:rsidRDefault="007F4F51" w:rsidP="00F55E21">
            <w:pPr>
              <w:keepNext/>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Wollenberg (2008)</w:t>
            </w:r>
          </w:p>
          <w:p w14:paraId="2A960CB9"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673DD6">
              <w:rPr>
                <w:rFonts w:ascii="Arial Narrow" w:eastAsiaTheme="majorEastAsia" w:hAnsi="Arial Narrow" w:cstheme="majorBidi"/>
                <w:bCs/>
                <w:sz w:val="20"/>
                <w:lang w:val="en-AU"/>
              </w:rPr>
              <w:t>Reitamo and Allsopp</w:t>
            </w:r>
            <w:r>
              <w:rPr>
                <w:rFonts w:ascii="Arial Narrow" w:eastAsiaTheme="majorEastAsia" w:hAnsi="Arial Narrow" w:cstheme="majorBidi"/>
                <w:bCs/>
                <w:sz w:val="20"/>
                <w:lang w:val="en-AU"/>
              </w:rPr>
              <w:t xml:space="preserve"> (2010)</w:t>
            </w:r>
          </w:p>
          <w:p w14:paraId="5972E5E7"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(NCT00480610)</w:t>
            </w:r>
          </w:p>
        </w:tc>
        <w:tc>
          <w:tcPr>
            <w:tcW w:w="4898" w:type="dxa"/>
            <w:tcBorders>
              <w:bottom w:val="nil"/>
            </w:tcBorders>
          </w:tcPr>
          <w:p w14:paraId="27EAC0D0"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Wollenberg A, Reitamo S, Atzori F, et al; European Tacrolimus Ointment Study Group. </w:t>
            </w:r>
            <w:r w:rsidRPr="000935E7">
              <w:rPr>
                <w:rFonts w:ascii="Arial Narrow" w:eastAsiaTheme="majorEastAsia" w:hAnsi="Arial Narrow" w:cstheme="majorBidi"/>
                <w:bCs/>
                <w:sz w:val="20"/>
              </w:rPr>
              <w:t xml:space="preserve">Proactive treatment of atopic dermatitis in adults with 0.1% tacrolimus ointment. </w:t>
            </w:r>
          </w:p>
        </w:tc>
        <w:tc>
          <w:tcPr>
            <w:tcW w:w="2218" w:type="dxa"/>
            <w:tcBorders>
              <w:bottom w:val="nil"/>
            </w:tcBorders>
          </w:tcPr>
          <w:p w14:paraId="73F3A2A2" w14:textId="77777777" w:rsidR="007F4F51" w:rsidRPr="000935E7" w:rsidRDefault="007F4F51" w:rsidP="00F55E21">
            <w:pPr>
              <w:keepNext/>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lang w:val="en-AU"/>
              </w:rPr>
              <w:t>Allergy.</w:t>
            </w:r>
            <w:r w:rsidRPr="000935E7">
              <w:rPr>
                <w:rFonts w:ascii="Arial Narrow" w:eastAsiaTheme="majorEastAsia" w:hAnsi="Arial Narrow" w:cstheme="majorBidi"/>
                <w:bCs/>
                <w:sz w:val="20"/>
                <w:lang w:val="en-AU"/>
              </w:rPr>
              <w:t xml:space="preserve"> 2008 Jun;63(6):742-50. </w:t>
            </w:r>
          </w:p>
        </w:tc>
      </w:tr>
      <w:tr w:rsidR="007F4F51" w:rsidRPr="000935E7" w14:paraId="5B42B52D" w14:textId="77777777">
        <w:tc>
          <w:tcPr>
            <w:tcW w:w="1901" w:type="dxa"/>
            <w:vMerge/>
          </w:tcPr>
          <w:p w14:paraId="4430A8A1" w14:textId="77777777" w:rsidR="007F4F51" w:rsidRPr="000935E7" w:rsidRDefault="007F4F51">
            <w:pPr>
              <w:keepLines/>
              <w:widowControl w:val="0"/>
              <w:jc w:val="left"/>
              <w:rPr>
                <w:rFonts w:ascii="Arial Narrow" w:eastAsiaTheme="majorEastAsia" w:hAnsi="Arial Narrow" w:cstheme="majorBidi"/>
                <w:bCs/>
                <w:sz w:val="20"/>
              </w:rPr>
            </w:pPr>
          </w:p>
        </w:tc>
        <w:tc>
          <w:tcPr>
            <w:tcW w:w="4898" w:type="dxa"/>
            <w:tcBorders>
              <w:top w:val="nil"/>
            </w:tcBorders>
          </w:tcPr>
          <w:p w14:paraId="19C1F046"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Reitamo and Allsopp. Treatment with twice-weekly tacrolimus ointment in patients with moderate to severe atopic dermatitis: Results from two randomised, multicentre, comparative studies; </w:t>
            </w:r>
          </w:p>
        </w:tc>
        <w:tc>
          <w:tcPr>
            <w:tcW w:w="2218" w:type="dxa"/>
            <w:tcBorders>
              <w:top w:val="nil"/>
            </w:tcBorders>
          </w:tcPr>
          <w:p w14:paraId="402B615B"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Dermatol Treat.</w:t>
            </w:r>
            <w:r w:rsidRPr="000935E7">
              <w:rPr>
                <w:rFonts w:ascii="Arial Narrow" w:eastAsiaTheme="majorEastAsia" w:hAnsi="Arial Narrow" w:cstheme="majorBidi"/>
                <w:bCs/>
                <w:sz w:val="20"/>
              </w:rPr>
              <w:t xml:space="preserve"> 2010; 21, 34-44.</w:t>
            </w:r>
          </w:p>
        </w:tc>
      </w:tr>
      <w:tr w:rsidR="007F4F51" w:rsidRPr="000935E7" w14:paraId="4DBD4159" w14:textId="77777777">
        <w:tc>
          <w:tcPr>
            <w:tcW w:w="9017" w:type="dxa"/>
            <w:gridSpan w:val="3"/>
          </w:tcPr>
          <w:p w14:paraId="292D6660" w14:textId="77777777" w:rsidR="007F4F51" w:rsidRPr="000935E7" w:rsidRDefault="007F4F51">
            <w:pPr>
              <w:keepLines/>
              <w:widowControl w:val="0"/>
              <w:jc w:val="left"/>
              <w:rPr>
                <w:rFonts w:ascii="Arial Narrow" w:eastAsiaTheme="majorEastAsia" w:hAnsi="Arial Narrow" w:cstheme="majorBidi"/>
                <w:bCs/>
                <w:sz w:val="20"/>
              </w:rPr>
            </w:pPr>
            <w:r w:rsidRPr="00B02ABC">
              <w:rPr>
                <w:rFonts w:ascii="Arial Narrow" w:eastAsiaTheme="majorEastAsia" w:hAnsi="Arial Narrow" w:cstheme="majorBidi"/>
                <w:b/>
                <w:bCs/>
                <w:sz w:val="20"/>
                <w:lang w:val="en-AU"/>
              </w:rPr>
              <w:t>0.1% TAC vs 1% PIM</w:t>
            </w:r>
          </w:p>
        </w:tc>
      </w:tr>
      <w:tr w:rsidR="007F4F51" w:rsidRPr="000935E7" w14:paraId="285E5808" w14:textId="77777777">
        <w:tc>
          <w:tcPr>
            <w:tcW w:w="1901" w:type="dxa"/>
            <w:vMerge w:val="restart"/>
          </w:tcPr>
          <w:p w14:paraId="7080D051" w14:textId="77777777" w:rsidR="007F4F51"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Paller (2005)</w:t>
            </w:r>
          </w:p>
          <w:p w14:paraId="18C49D3A" w14:textId="77777777" w:rsidR="007F4F51" w:rsidRDefault="007F4F51">
            <w:pPr>
              <w:keepLines/>
              <w:widowControl w:val="0"/>
              <w:jc w:val="left"/>
              <w:rPr>
                <w:rFonts w:ascii="Arial Narrow" w:eastAsiaTheme="majorEastAsia" w:hAnsi="Arial Narrow" w:cstheme="majorBidi"/>
                <w:bCs/>
                <w:sz w:val="20"/>
                <w:lang w:val="en-AU"/>
              </w:rPr>
            </w:pPr>
            <w:r w:rsidRPr="00673DD6">
              <w:rPr>
                <w:rFonts w:ascii="Arial Narrow" w:eastAsiaTheme="majorEastAsia" w:hAnsi="Arial Narrow" w:cstheme="majorBidi"/>
                <w:bCs/>
                <w:sz w:val="20"/>
                <w:lang w:val="en-AU"/>
              </w:rPr>
              <w:t>Fleischer</w:t>
            </w:r>
            <w:r>
              <w:rPr>
                <w:rFonts w:ascii="Arial Narrow" w:eastAsiaTheme="majorEastAsia" w:hAnsi="Arial Narrow" w:cstheme="majorBidi"/>
                <w:bCs/>
                <w:sz w:val="20"/>
                <w:lang w:val="en-AU"/>
              </w:rPr>
              <w:t xml:space="preserve"> (2007)</w:t>
            </w:r>
          </w:p>
          <w:p w14:paraId="49D07FD4"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lang w:val="en-AU"/>
              </w:rPr>
              <w:t>Abramovits (2008)</w:t>
            </w:r>
          </w:p>
          <w:p w14:paraId="5EC4C5F9"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(NCT00666302)</w:t>
            </w:r>
          </w:p>
        </w:tc>
        <w:tc>
          <w:tcPr>
            <w:tcW w:w="4898" w:type="dxa"/>
            <w:tcBorders>
              <w:bottom w:val="nil"/>
            </w:tcBorders>
          </w:tcPr>
          <w:p w14:paraId="3DEBD91E"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Paller AS, Lebwohl M, Fleischer AB Jr, et al; US/Canada Tacrolimus Ointment Study Group. Tacrolimus ointment is more effective than pimecrolimus cream with a similar safety profile in the treatment of atopic dermatitis: results from 3 randomized, comparative studies. </w:t>
            </w:r>
          </w:p>
        </w:tc>
        <w:tc>
          <w:tcPr>
            <w:tcW w:w="2218" w:type="dxa"/>
            <w:tcBorders>
              <w:bottom w:val="nil"/>
            </w:tcBorders>
          </w:tcPr>
          <w:p w14:paraId="1BF530D0"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J Am Acad Dermatol. </w:t>
            </w:r>
            <w:r w:rsidRPr="000935E7">
              <w:rPr>
                <w:rFonts w:ascii="Arial Narrow" w:eastAsiaTheme="majorEastAsia" w:hAnsi="Arial Narrow" w:cstheme="majorBidi"/>
                <w:bCs/>
                <w:sz w:val="20"/>
              </w:rPr>
              <w:t xml:space="preserve">2005 May;52(5):810-22. </w:t>
            </w:r>
          </w:p>
        </w:tc>
      </w:tr>
      <w:tr w:rsidR="007F4F51" w:rsidRPr="000935E7" w14:paraId="78C4D023" w14:textId="77777777">
        <w:tc>
          <w:tcPr>
            <w:tcW w:w="1901" w:type="dxa"/>
            <w:vMerge/>
          </w:tcPr>
          <w:p w14:paraId="4663F4C9" w14:textId="77777777" w:rsidR="007F4F51" w:rsidRPr="000935E7" w:rsidRDefault="007F4F51">
            <w:pPr>
              <w:keepLines/>
              <w:widowControl w:val="0"/>
              <w:jc w:val="left"/>
              <w:rPr>
                <w:rFonts w:ascii="Arial Narrow" w:eastAsiaTheme="majorEastAsia" w:hAnsi="Arial Narrow" w:cstheme="majorBidi"/>
                <w:bCs/>
                <w:sz w:val="20"/>
              </w:rPr>
            </w:pPr>
          </w:p>
        </w:tc>
        <w:tc>
          <w:tcPr>
            <w:tcW w:w="4898" w:type="dxa"/>
            <w:tcBorders>
              <w:top w:val="nil"/>
              <w:bottom w:val="nil"/>
            </w:tcBorders>
          </w:tcPr>
          <w:p w14:paraId="03B2A09C"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Fleischer AB Jr, Abramovits W, Breneman D, Jaracz E; US/Canada tacrolimus ointment study group. </w:t>
            </w:r>
            <w:r w:rsidRPr="000935E7">
              <w:rPr>
                <w:rFonts w:ascii="Arial Narrow" w:eastAsiaTheme="majorEastAsia" w:hAnsi="Arial Narrow" w:cstheme="majorBidi"/>
                <w:bCs/>
                <w:sz w:val="20"/>
              </w:rPr>
              <w:t xml:space="preserve">Tacrolimus ointment is more effective than pimecrolimus cream in adult patients with moderate to very severe atopic dermatitis. </w:t>
            </w:r>
          </w:p>
        </w:tc>
        <w:tc>
          <w:tcPr>
            <w:tcW w:w="2218" w:type="dxa"/>
            <w:tcBorders>
              <w:top w:val="nil"/>
              <w:bottom w:val="nil"/>
            </w:tcBorders>
          </w:tcPr>
          <w:p w14:paraId="76C82F20"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Dermatolog Treat</w:t>
            </w:r>
            <w:r w:rsidRPr="000935E7">
              <w:rPr>
                <w:rFonts w:ascii="Arial Narrow" w:eastAsiaTheme="majorEastAsia" w:hAnsi="Arial Narrow" w:cstheme="majorBidi"/>
                <w:bCs/>
                <w:sz w:val="20"/>
              </w:rPr>
              <w:t>. 2007;18(3):151-7.</w:t>
            </w:r>
          </w:p>
        </w:tc>
      </w:tr>
      <w:tr w:rsidR="007F4F51" w:rsidRPr="000935E7" w14:paraId="71A35BB2" w14:textId="77777777">
        <w:tc>
          <w:tcPr>
            <w:tcW w:w="1901" w:type="dxa"/>
            <w:vMerge/>
          </w:tcPr>
          <w:p w14:paraId="3171D61D" w14:textId="77777777" w:rsidR="007F4F51" w:rsidRPr="000935E7" w:rsidRDefault="007F4F51">
            <w:pPr>
              <w:keepLines/>
              <w:widowControl w:val="0"/>
              <w:jc w:val="left"/>
              <w:rPr>
                <w:rFonts w:ascii="Arial Narrow" w:eastAsiaTheme="majorEastAsia" w:hAnsi="Arial Narrow" w:cstheme="majorBidi"/>
                <w:bCs/>
                <w:sz w:val="20"/>
              </w:rPr>
            </w:pPr>
          </w:p>
        </w:tc>
        <w:tc>
          <w:tcPr>
            <w:tcW w:w="4898" w:type="dxa"/>
            <w:tcBorders>
              <w:top w:val="nil"/>
            </w:tcBorders>
          </w:tcPr>
          <w:p w14:paraId="772FD2B3"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Abramovits W, Fleischer AB Jr, Jaracz E, Breneman D. </w:t>
            </w:r>
            <w:r w:rsidRPr="000935E7">
              <w:rPr>
                <w:rFonts w:ascii="Arial Narrow" w:eastAsiaTheme="majorEastAsia" w:hAnsi="Arial Narrow" w:cstheme="majorBidi"/>
                <w:bCs/>
                <w:sz w:val="20"/>
              </w:rPr>
              <w:t xml:space="preserve">Adult patients with moderate atopic dermatitis: tacrolimus ointment versus pimecrolimus cream. </w:t>
            </w:r>
          </w:p>
        </w:tc>
        <w:tc>
          <w:tcPr>
            <w:tcW w:w="2218" w:type="dxa"/>
            <w:tcBorders>
              <w:top w:val="nil"/>
            </w:tcBorders>
          </w:tcPr>
          <w:p w14:paraId="00B317C4"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Drugs Dermatol</w:t>
            </w:r>
            <w:r w:rsidRPr="000935E7">
              <w:rPr>
                <w:rFonts w:ascii="Arial Narrow" w:eastAsiaTheme="majorEastAsia" w:hAnsi="Arial Narrow" w:cstheme="majorBidi"/>
                <w:bCs/>
                <w:sz w:val="20"/>
              </w:rPr>
              <w:t>. 2008 Dec;7(12):1153-8.</w:t>
            </w:r>
          </w:p>
        </w:tc>
      </w:tr>
      <w:tr w:rsidR="007F4F51" w:rsidRPr="000935E7" w14:paraId="0FEDE646" w14:textId="77777777">
        <w:tc>
          <w:tcPr>
            <w:tcW w:w="9017" w:type="dxa"/>
            <w:gridSpan w:val="3"/>
          </w:tcPr>
          <w:p w14:paraId="23019CED" w14:textId="77777777" w:rsidR="007F4F51" w:rsidRPr="000935E7" w:rsidRDefault="007F4F51">
            <w:pPr>
              <w:keepNext/>
              <w:keepLines/>
              <w:jc w:val="left"/>
              <w:rPr>
                <w:rFonts w:ascii="Arial Narrow" w:eastAsiaTheme="majorEastAsia" w:hAnsi="Arial Narrow" w:cs="Times New Roman"/>
                <w:b/>
                <w:sz w:val="20"/>
              </w:rPr>
            </w:pPr>
            <w:r w:rsidRPr="00E82B46">
              <w:rPr>
                <w:rFonts w:ascii="Arial Narrow" w:eastAsiaTheme="majorEastAsia" w:hAnsi="Arial Narrow" w:cs="Times New Roman"/>
                <w:b/>
                <w:sz w:val="20"/>
              </w:rPr>
              <w:t>Long-term Follow-up Studies</w:t>
            </w:r>
          </w:p>
        </w:tc>
      </w:tr>
      <w:tr w:rsidR="007F4F51" w:rsidRPr="000935E7" w14:paraId="4A9987FE" w14:textId="77777777">
        <w:tc>
          <w:tcPr>
            <w:tcW w:w="1901" w:type="dxa"/>
          </w:tcPr>
          <w:p w14:paraId="34A7CB6B"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Hanifin (2005)</w:t>
            </w:r>
          </w:p>
        </w:tc>
        <w:tc>
          <w:tcPr>
            <w:tcW w:w="4898" w:type="dxa"/>
          </w:tcPr>
          <w:p w14:paraId="2433A65C"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Hanifin JM, Paller AS, Eichenfield L, et al; US Tacrolimus Ointment Study Group. </w:t>
            </w:r>
            <w:r w:rsidRPr="000935E7">
              <w:rPr>
                <w:rFonts w:ascii="Arial Narrow" w:eastAsiaTheme="majorEastAsia" w:hAnsi="Arial Narrow" w:cstheme="majorBidi"/>
                <w:bCs/>
                <w:sz w:val="20"/>
              </w:rPr>
              <w:t xml:space="preserve">Efficacy and safety of tacrolimus ointment treatment for up to 4 years in patients with atopic dermatitis. </w:t>
            </w:r>
          </w:p>
        </w:tc>
        <w:tc>
          <w:tcPr>
            <w:tcW w:w="2218" w:type="dxa"/>
          </w:tcPr>
          <w:p w14:paraId="6C81CCC5"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2005 Aug;53(2 Suppl 2):S186-94.</w:t>
            </w:r>
          </w:p>
        </w:tc>
      </w:tr>
      <w:tr w:rsidR="007F4F51" w:rsidRPr="000935E7" w14:paraId="06284C8B" w14:textId="77777777">
        <w:tc>
          <w:tcPr>
            <w:tcW w:w="1901" w:type="dxa"/>
          </w:tcPr>
          <w:p w14:paraId="7F0300CC"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Reitamo </w:t>
            </w:r>
            <w:r>
              <w:rPr>
                <w:rFonts w:ascii="Arial Narrow" w:eastAsiaTheme="majorEastAsia" w:hAnsi="Arial Narrow" w:cstheme="majorBidi"/>
                <w:bCs/>
                <w:sz w:val="20"/>
                <w:lang w:val="en-AU"/>
              </w:rPr>
              <w:t xml:space="preserve">(2008) </w:t>
            </w:r>
            <w:r w:rsidRPr="000935E7">
              <w:rPr>
                <w:rFonts w:ascii="Arial Narrow" w:eastAsiaTheme="majorEastAsia" w:hAnsi="Arial Narrow" w:cstheme="majorBidi"/>
                <w:bCs/>
                <w:sz w:val="20"/>
                <w:lang w:val="en-AU"/>
              </w:rPr>
              <w:t>(NCT00560378)</w:t>
            </w:r>
          </w:p>
        </w:tc>
        <w:tc>
          <w:tcPr>
            <w:tcW w:w="4898" w:type="dxa"/>
          </w:tcPr>
          <w:p w14:paraId="31429709" w14:textId="77777777" w:rsidR="007F4F51" w:rsidRPr="000935E7" w:rsidRDefault="007F4F51">
            <w:pPr>
              <w:keepLines/>
              <w:widowControl w:val="0"/>
              <w:jc w:val="left"/>
              <w:rPr>
                <w:rFonts w:ascii="Arial Narrow" w:eastAsiaTheme="majorEastAsia" w:hAnsi="Arial Narrow" w:cstheme="majorBidi"/>
                <w:bCs/>
                <w:sz w:val="20"/>
                <w:lang w:val="en-AU"/>
              </w:rPr>
            </w:pPr>
            <w:r w:rsidRPr="000935E7">
              <w:rPr>
                <w:rFonts w:ascii="Arial Narrow" w:eastAsiaTheme="majorEastAsia" w:hAnsi="Arial Narrow" w:cstheme="majorBidi"/>
                <w:bCs/>
                <w:sz w:val="20"/>
                <w:lang w:val="en-AU"/>
              </w:rPr>
              <w:t xml:space="preserve">Reitamo S, Rustin M, Harper J, et al; 0.1% Tacrolimus Ointment Long-term Follow-up Study Group. </w:t>
            </w:r>
            <w:r w:rsidRPr="000935E7">
              <w:rPr>
                <w:rFonts w:ascii="Arial Narrow" w:eastAsiaTheme="majorEastAsia" w:hAnsi="Arial Narrow" w:cstheme="majorBidi"/>
                <w:bCs/>
                <w:sz w:val="20"/>
              </w:rPr>
              <w:t>A 4-year follow-up study of atopic dermatitis therapy with 0.1% tacrolimus ointment in children and adult patients</w:t>
            </w:r>
          </w:p>
        </w:tc>
        <w:tc>
          <w:tcPr>
            <w:tcW w:w="2218" w:type="dxa"/>
          </w:tcPr>
          <w:p w14:paraId="62A8F0BC"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 xml:space="preserve">Br J Dermatol. </w:t>
            </w:r>
            <w:r w:rsidRPr="000935E7">
              <w:rPr>
                <w:rFonts w:ascii="Arial Narrow" w:eastAsiaTheme="majorEastAsia" w:hAnsi="Arial Narrow" w:cstheme="majorBidi"/>
                <w:bCs/>
                <w:sz w:val="20"/>
              </w:rPr>
              <w:t>2008 Sep;159(4):942-51.</w:t>
            </w:r>
          </w:p>
        </w:tc>
      </w:tr>
      <w:tr w:rsidR="007F4F51" w:rsidRPr="000935E7" w14:paraId="30AC219A" w14:textId="77777777">
        <w:tc>
          <w:tcPr>
            <w:tcW w:w="1901" w:type="dxa"/>
          </w:tcPr>
          <w:p w14:paraId="530D27B8"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Tan and Langley (2004)</w:t>
            </w:r>
          </w:p>
        </w:tc>
        <w:tc>
          <w:tcPr>
            <w:tcW w:w="4898" w:type="dxa"/>
          </w:tcPr>
          <w:p w14:paraId="3AB992AA"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Tan J, and Langley R. </w:t>
            </w:r>
            <w:r w:rsidRPr="000935E7">
              <w:rPr>
                <w:rFonts w:ascii="Arial Narrow" w:eastAsiaTheme="majorEastAsia" w:hAnsi="Arial Narrow" w:cstheme="majorBidi"/>
                <w:bCs/>
                <w:sz w:val="20"/>
              </w:rPr>
              <w:t xml:space="preserve">Safety and efficacy of tacrolimus ointment 0.1% (Protopic) in atopic dermatitis: a Canadian open-label multicenter study. </w:t>
            </w:r>
          </w:p>
        </w:tc>
        <w:tc>
          <w:tcPr>
            <w:tcW w:w="2218" w:type="dxa"/>
          </w:tcPr>
          <w:p w14:paraId="7C3C4EE8"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Cutan Med Surg</w:t>
            </w:r>
            <w:r w:rsidRPr="000935E7">
              <w:rPr>
                <w:rFonts w:ascii="Arial Narrow" w:eastAsiaTheme="majorEastAsia" w:hAnsi="Arial Narrow" w:cstheme="majorBidi"/>
                <w:bCs/>
                <w:sz w:val="20"/>
              </w:rPr>
              <w:t>. 2004 Jul-Aug;8(4):213-9.</w:t>
            </w:r>
          </w:p>
        </w:tc>
      </w:tr>
      <w:tr w:rsidR="007F4F51" w:rsidRPr="000935E7" w14:paraId="45465E64" w14:textId="77777777">
        <w:tc>
          <w:tcPr>
            <w:tcW w:w="1901" w:type="dxa"/>
          </w:tcPr>
          <w:p w14:paraId="5691EC95" w14:textId="77777777" w:rsidR="007F4F51" w:rsidRPr="000935E7" w:rsidRDefault="007F4F51">
            <w:pPr>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Koo (2005)</w:t>
            </w:r>
          </w:p>
        </w:tc>
        <w:tc>
          <w:tcPr>
            <w:tcW w:w="4898" w:type="dxa"/>
          </w:tcPr>
          <w:p w14:paraId="372DEF97"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lang w:val="en-AU"/>
              </w:rPr>
              <w:t xml:space="preserve">Koo JY, Fleischer AB Jr, Abramovits W, et al. </w:t>
            </w:r>
            <w:r w:rsidRPr="000935E7">
              <w:rPr>
                <w:rFonts w:ascii="Arial Narrow" w:eastAsiaTheme="majorEastAsia" w:hAnsi="Arial Narrow" w:cstheme="majorBidi"/>
                <w:bCs/>
                <w:sz w:val="20"/>
              </w:rPr>
              <w:t xml:space="preserve">Tacrolimus ointment is safe and effective in the treatment of atopic dermatitis: results in 8000 patients. </w:t>
            </w:r>
          </w:p>
        </w:tc>
        <w:tc>
          <w:tcPr>
            <w:tcW w:w="2218" w:type="dxa"/>
          </w:tcPr>
          <w:p w14:paraId="784D3710"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Am Acad Dermatol</w:t>
            </w:r>
            <w:r w:rsidRPr="000935E7">
              <w:rPr>
                <w:rFonts w:ascii="Arial Narrow" w:eastAsiaTheme="majorEastAsia" w:hAnsi="Arial Narrow" w:cstheme="majorBidi"/>
                <w:bCs/>
                <w:sz w:val="20"/>
              </w:rPr>
              <w:t xml:space="preserve">. 2005 Aug;53(2 Suppl 2):S195-205. </w:t>
            </w:r>
          </w:p>
        </w:tc>
      </w:tr>
      <w:tr w:rsidR="007F4F51" w:rsidRPr="000935E7" w14:paraId="121232D8" w14:textId="77777777">
        <w:tc>
          <w:tcPr>
            <w:tcW w:w="9017" w:type="dxa"/>
            <w:gridSpan w:val="3"/>
          </w:tcPr>
          <w:p w14:paraId="37A00CA7" w14:textId="77777777" w:rsidR="007F4F51" w:rsidRPr="000935E7" w:rsidRDefault="007F4F51">
            <w:pPr>
              <w:keepNext/>
              <w:keepLines/>
              <w:jc w:val="left"/>
              <w:rPr>
                <w:rFonts w:ascii="Arial Narrow" w:eastAsiaTheme="majorEastAsia" w:hAnsi="Arial Narrow" w:cs="Times New Roman"/>
                <w:b/>
                <w:sz w:val="20"/>
              </w:rPr>
            </w:pPr>
            <w:r w:rsidRPr="000935E7">
              <w:rPr>
                <w:rFonts w:ascii="Arial Narrow" w:eastAsiaTheme="majorEastAsia" w:hAnsi="Arial Narrow" w:cs="Times New Roman"/>
                <w:b/>
                <w:sz w:val="20"/>
              </w:rPr>
              <w:t>Meta-analyses</w:t>
            </w:r>
          </w:p>
        </w:tc>
      </w:tr>
      <w:tr w:rsidR="007F4F51" w:rsidRPr="000935E7" w14:paraId="61C37C3A" w14:textId="77777777">
        <w:tc>
          <w:tcPr>
            <w:tcW w:w="1901" w:type="dxa"/>
          </w:tcPr>
          <w:p w14:paraId="5F354994"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Lax</w:t>
            </w:r>
            <w:r>
              <w:rPr>
                <w:rFonts w:ascii="Arial Narrow" w:eastAsiaTheme="majorEastAsia" w:hAnsi="Arial Narrow" w:cstheme="majorBidi"/>
                <w:bCs/>
                <w:sz w:val="20"/>
              </w:rPr>
              <w:t xml:space="preserve"> (2024)</w:t>
            </w:r>
          </w:p>
        </w:tc>
        <w:tc>
          <w:tcPr>
            <w:tcW w:w="4898" w:type="dxa"/>
          </w:tcPr>
          <w:p w14:paraId="1A54AD0D"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Lax SJ, Van Vogt E, Candy B, et al. Topical anti-inflammatory treatments for eczema: network meta-analysis. </w:t>
            </w:r>
          </w:p>
        </w:tc>
        <w:tc>
          <w:tcPr>
            <w:tcW w:w="2218" w:type="dxa"/>
          </w:tcPr>
          <w:p w14:paraId="3D7F8FFC"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Cochrane Database Syst Rev</w:t>
            </w:r>
            <w:r w:rsidRPr="000935E7">
              <w:rPr>
                <w:rFonts w:ascii="Arial Narrow" w:eastAsiaTheme="majorEastAsia" w:hAnsi="Arial Narrow" w:cstheme="majorBidi"/>
                <w:bCs/>
                <w:sz w:val="20"/>
              </w:rPr>
              <w:t>. 2024 Aug 6;8(8):CD015064.</w:t>
            </w:r>
          </w:p>
        </w:tc>
      </w:tr>
      <w:tr w:rsidR="007F4F51" w:rsidRPr="000935E7" w14:paraId="2EF2B643" w14:textId="77777777">
        <w:tc>
          <w:tcPr>
            <w:tcW w:w="1901" w:type="dxa"/>
          </w:tcPr>
          <w:p w14:paraId="2381BA6D"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Chu</w:t>
            </w:r>
            <w:r>
              <w:rPr>
                <w:rFonts w:ascii="Arial Narrow" w:eastAsiaTheme="majorEastAsia" w:hAnsi="Arial Narrow" w:cstheme="majorBidi"/>
                <w:bCs/>
                <w:sz w:val="20"/>
              </w:rPr>
              <w:t xml:space="preserve"> (2023)</w:t>
            </w:r>
          </w:p>
        </w:tc>
        <w:tc>
          <w:tcPr>
            <w:tcW w:w="4898" w:type="dxa"/>
          </w:tcPr>
          <w:p w14:paraId="42D9BD04"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Chu DK, Chu AWL, Rayner DG, et al. Topical treatments for atopic dermatitis (eczema): Systematic review and network meta-analysis of randomized trials. </w:t>
            </w:r>
          </w:p>
        </w:tc>
        <w:tc>
          <w:tcPr>
            <w:tcW w:w="2218" w:type="dxa"/>
          </w:tcPr>
          <w:p w14:paraId="36351EFE"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Allergy Clin Immunol.</w:t>
            </w:r>
            <w:r w:rsidRPr="000935E7">
              <w:rPr>
                <w:rFonts w:ascii="Arial Narrow" w:eastAsiaTheme="majorEastAsia" w:hAnsi="Arial Narrow" w:cstheme="majorBidi"/>
                <w:bCs/>
                <w:sz w:val="20"/>
              </w:rPr>
              <w:t xml:space="preserve"> 2023 Dec;152(6):1493-1519. </w:t>
            </w:r>
          </w:p>
        </w:tc>
      </w:tr>
      <w:tr w:rsidR="007F4F51" w:rsidRPr="000935E7" w14:paraId="01A9A313" w14:textId="77777777">
        <w:tc>
          <w:tcPr>
            <w:tcW w:w="1901" w:type="dxa"/>
          </w:tcPr>
          <w:p w14:paraId="304706D3"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Pena</w:t>
            </w:r>
            <w:r>
              <w:rPr>
                <w:rFonts w:ascii="Arial Narrow" w:eastAsiaTheme="majorEastAsia" w:hAnsi="Arial Narrow" w:cstheme="majorBidi"/>
                <w:bCs/>
                <w:sz w:val="20"/>
              </w:rPr>
              <w:t xml:space="preserve"> (2023)</w:t>
            </w:r>
          </w:p>
        </w:tc>
        <w:tc>
          <w:tcPr>
            <w:tcW w:w="4898" w:type="dxa"/>
          </w:tcPr>
          <w:p w14:paraId="2FDDA85E"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Pena J, Zameza PA, Pixley JN, et al. A Comparison of Topical Corticosteroids and Topical Calcineurin Inhibitors for the Treatment of Atopic Dermatitis. </w:t>
            </w:r>
          </w:p>
        </w:tc>
        <w:tc>
          <w:tcPr>
            <w:tcW w:w="2218" w:type="dxa"/>
          </w:tcPr>
          <w:p w14:paraId="6590DE36"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J Allergy Clin Immunol</w:t>
            </w:r>
            <w:r w:rsidRPr="000935E7">
              <w:rPr>
                <w:rFonts w:ascii="Arial Narrow" w:eastAsiaTheme="majorEastAsia" w:hAnsi="Arial Narrow" w:cstheme="majorBidi"/>
                <w:bCs/>
                <w:sz w:val="20"/>
              </w:rPr>
              <w:t xml:space="preserve"> Pract. 2023 May;11(5):1347-1359.</w:t>
            </w:r>
          </w:p>
        </w:tc>
      </w:tr>
      <w:tr w:rsidR="007F4F51" w:rsidRPr="000935E7" w14:paraId="5DF33AA0" w14:textId="77777777">
        <w:tc>
          <w:tcPr>
            <w:tcW w:w="1901" w:type="dxa"/>
          </w:tcPr>
          <w:p w14:paraId="63E1C121"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Abędź</w:t>
            </w:r>
            <w:r>
              <w:rPr>
                <w:rFonts w:ascii="Arial Narrow" w:eastAsiaTheme="majorEastAsia" w:hAnsi="Arial Narrow" w:cstheme="majorBidi"/>
                <w:bCs/>
                <w:sz w:val="20"/>
              </w:rPr>
              <w:t xml:space="preserve"> and Pawliczak (2019)</w:t>
            </w:r>
          </w:p>
        </w:tc>
        <w:tc>
          <w:tcPr>
            <w:tcW w:w="4898" w:type="dxa"/>
          </w:tcPr>
          <w:p w14:paraId="66BAF5CA"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Abędź N, Pawliczak R. Efficacy and safety of topical calcineurin inhibitors for the treatment of atopic dermatitis: meta-analysis of randomized clinical trials. </w:t>
            </w:r>
          </w:p>
        </w:tc>
        <w:tc>
          <w:tcPr>
            <w:tcW w:w="2218" w:type="dxa"/>
          </w:tcPr>
          <w:p w14:paraId="2D7433C8"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Postepy Dermatol Alergol</w:t>
            </w:r>
            <w:r w:rsidRPr="000935E7">
              <w:rPr>
                <w:rFonts w:ascii="Arial Narrow" w:eastAsiaTheme="majorEastAsia" w:hAnsi="Arial Narrow" w:cstheme="majorBidi"/>
                <w:bCs/>
                <w:sz w:val="20"/>
              </w:rPr>
              <w:t xml:space="preserve">. 2019 Dec;36(6):752-759. </w:t>
            </w:r>
          </w:p>
        </w:tc>
      </w:tr>
      <w:tr w:rsidR="007F4F51" w:rsidRPr="000935E7" w14:paraId="6987DC5A" w14:textId="77777777">
        <w:tc>
          <w:tcPr>
            <w:tcW w:w="1901" w:type="dxa"/>
          </w:tcPr>
          <w:p w14:paraId="571CE417"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Cury</w:t>
            </w:r>
            <w:r>
              <w:rPr>
                <w:rFonts w:ascii="Arial Narrow" w:eastAsiaTheme="majorEastAsia" w:hAnsi="Arial Narrow" w:cstheme="majorBidi"/>
                <w:bCs/>
                <w:sz w:val="20"/>
              </w:rPr>
              <w:t xml:space="preserve"> </w:t>
            </w:r>
            <w:r w:rsidRPr="000935E7">
              <w:rPr>
                <w:rFonts w:ascii="Arial Narrow" w:eastAsiaTheme="majorEastAsia" w:hAnsi="Arial Narrow" w:cstheme="majorBidi"/>
                <w:bCs/>
                <w:sz w:val="20"/>
              </w:rPr>
              <w:t>Martins</w:t>
            </w:r>
            <w:r>
              <w:rPr>
                <w:rFonts w:ascii="Arial Narrow" w:eastAsiaTheme="majorEastAsia" w:hAnsi="Arial Narrow" w:cstheme="majorBidi"/>
                <w:bCs/>
                <w:sz w:val="20"/>
              </w:rPr>
              <w:t xml:space="preserve"> (2015)</w:t>
            </w:r>
          </w:p>
        </w:tc>
        <w:tc>
          <w:tcPr>
            <w:tcW w:w="4898" w:type="dxa"/>
          </w:tcPr>
          <w:p w14:paraId="0A6729A4"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Cury Martins J, Martins C, Aoki V, et al. Topical tacrolimus for atopic dermatitis. </w:t>
            </w:r>
          </w:p>
        </w:tc>
        <w:tc>
          <w:tcPr>
            <w:tcW w:w="2218" w:type="dxa"/>
          </w:tcPr>
          <w:p w14:paraId="32B51F8B"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Cochrane Database Syst Rev.</w:t>
            </w:r>
            <w:r w:rsidRPr="000935E7">
              <w:rPr>
                <w:rFonts w:ascii="Arial Narrow" w:eastAsiaTheme="majorEastAsia" w:hAnsi="Arial Narrow" w:cstheme="majorBidi"/>
                <w:bCs/>
                <w:sz w:val="20"/>
              </w:rPr>
              <w:t xml:space="preserve"> 2015 Jul 1;2015(7):CD009864.</w:t>
            </w:r>
          </w:p>
        </w:tc>
      </w:tr>
      <w:tr w:rsidR="007F4F51" w:rsidRPr="000935E7" w14:paraId="203E6098" w14:textId="77777777">
        <w:tc>
          <w:tcPr>
            <w:tcW w:w="1901" w:type="dxa"/>
          </w:tcPr>
          <w:p w14:paraId="1C1D6621"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Ashcroft</w:t>
            </w:r>
            <w:r>
              <w:rPr>
                <w:rFonts w:ascii="Arial Narrow" w:eastAsiaTheme="majorEastAsia" w:hAnsi="Arial Narrow" w:cstheme="majorBidi"/>
                <w:bCs/>
                <w:sz w:val="20"/>
              </w:rPr>
              <w:t xml:space="preserve"> (2005)</w:t>
            </w:r>
          </w:p>
        </w:tc>
        <w:tc>
          <w:tcPr>
            <w:tcW w:w="4898" w:type="dxa"/>
          </w:tcPr>
          <w:p w14:paraId="2EE3B603" w14:textId="77777777" w:rsidR="007F4F51" w:rsidRPr="000935E7" w:rsidRDefault="007F4F51">
            <w:pPr>
              <w:keepLines/>
              <w:widowControl w:val="0"/>
              <w:jc w:val="left"/>
              <w:rPr>
                <w:rFonts w:ascii="Arial Narrow" w:eastAsiaTheme="majorEastAsia" w:hAnsi="Arial Narrow" w:cstheme="majorBidi"/>
                <w:bCs/>
                <w:sz w:val="20"/>
              </w:rPr>
            </w:pPr>
            <w:r w:rsidRPr="000935E7">
              <w:rPr>
                <w:rFonts w:ascii="Arial Narrow" w:eastAsiaTheme="majorEastAsia" w:hAnsi="Arial Narrow" w:cstheme="majorBidi"/>
                <w:bCs/>
                <w:sz w:val="20"/>
              </w:rPr>
              <w:t xml:space="preserve">Ashcroft DM, Dimmock P, Garside R, et al. Efficacy and tolerability of topical pimecrolimus and tacrolimus in the treatment of atopic dermatitis: meta-analysis of randomised controlled trials. </w:t>
            </w:r>
          </w:p>
        </w:tc>
        <w:tc>
          <w:tcPr>
            <w:tcW w:w="2218" w:type="dxa"/>
          </w:tcPr>
          <w:p w14:paraId="70CA6981" w14:textId="77777777" w:rsidR="007F4F51" w:rsidRPr="000935E7" w:rsidRDefault="007F4F51">
            <w:pPr>
              <w:keepLines/>
              <w:widowControl w:val="0"/>
              <w:jc w:val="left"/>
              <w:rPr>
                <w:rFonts w:ascii="Arial Narrow" w:eastAsiaTheme="majorEastAsia" w:hAnsi="Arial Narrow" w:cstheme="majorBidi"/>
                <w:bCs/>
                <w:sz w:val="20"/>
              </w:rPr>
            </w:pPr>
            <w:r w:rsidRPr="00854E5B">
              <w:rPr>
                <w:rFonts w:ascii="Arial Narrow" w:eastAsiaTheme="majorEastAsia" w:hAnsi="Arial Narrow" w:cstheme="majorBidi"/>
                <w:bCs/>
                <w:i/>
                <w:iCs/>
                <w:sz w:val="20"/>
              </w:rPr>
              <w:t>BMJ.</w:t>
            </w:r>
            <w:r w:rsidRPr="000935E7">
              <w:rPr>
                <w:rFonts w:ascii="Arial Narrow" w:eastAsiaTheme="majorEastAsia" w:hAnsi="Arial Narrow" w:cstheme="majorBidi"/>
                <w:bCs/>
                <w:sz w:val="20"/>
              </w:rPr>
              <w:t xml:space="preserve"> 2005 Mar 5;330(7490):516.</w:t>
            </w:r>
          </w:p>
        </w:tc>
      </w:tr>
    </w:tbl>
    <w:p w14:paraId="140C5BE5" w14:textId="77777777" w:rsidR="007F4F51" w:rsidRPr="000935E7" w:rsidRDefault="007F4F51" w:rsidP="007F4F51">
      <w:pPr>
        <w:keepLines/>
        <w:spacing w:after="300"/>
        <w:contextualSpacing/>
        <w:rPr>
          <w:rFonts w:ascii="Arial Narrow" w:hAnsi="Arial Narrow"/>
          <w:snapToGrid w:val="0"/>
          <w:sz w:val="20"/>
          <w:szCs w:val="22"/>
        </w:rPr>
      </w:pPr>
      <w:r w:rsidRPr="000935E7">
        <w:rPr>
          <w:rFonts w:ascii="Arial Narrow" w:hAnsi="Arial Narrow"/>
          <w:snapToGrid w:val="0"/>
          <w:sz w:val="18"/>
          <w:szCs w:val="22"/>
        </w:rPr>
        <w:t>Source: Table 2-3, p50 and Table 2-4, p51 of the submission.</w:t>
      </w:r>
    </w:p>
    <w:p w14:paraId="6FB02EB1" w14:textId="46FB0D70" w:rsidR="007F4F51" w:rsidRPr="004A3F37" w:rsidRDefault="007F4F51" w:rsidP="00DD79CD">
      <w:pPr>
        <w:pStyle w:val="3-BodyText"/>
        <w:spacing w:after="120"/>
        <w:rPr>
          <w:color w:val="0066FF"/>
        </w:rPr>
      </w:pPr>
      <w:r w:rsidRPr="00D86D87">
        <w:t xml:space="preserve">The key features of the included evidence are summarised in </w:t>
      </w:r>
      <w:r w:rsidRPr="00D86D87">
        <w:fldChar w:fldCharType="begin"/>
      </w:r>
      <w:r w:rsidRPr="00D86D87">
        <w:instrText xml:space="preserve"> REF _Ref104804098 \h  \* MERGEFORMAT </w:instrText>
      </w:r>
      <w:r w:rsidRPr="00D86D87">
        <w:fldChar w:fldCharType="separate"/>
      </w:r>
      <w:r w:rsidR="00124226" w:rsidRPr="00124226">
        <w:t>Table 3</w:t>
      </w:r>
      <w:r w:rsidRPr="00D86D87">
        <w:fldChar w:fldCharType="end"/>
      </w:r>
      <w:r>
        <w:t>.</w:t>
      </w:r>
    </w:p>
    <w:p w14:paraId="6AC3FCF4" w14:textId="20DD4EF9" w:rsidR="007F4F51" w:rsidRPr="00D86D87" w:rsidRDefault="007F4F51" w:rsidP="00F55E21">
      <w:pPr>
        <w:pStyle w:val="TableFigureHeading"/>
        <w:keepLines/>
        <w:widowControl w:val="0"/>
        <w:rPr>
          <w:rStyle w:val="CommentReference"/>
          <w:b/>
          <w:szCs w:val="24"/>
        </w:rPr>
      </w:pPr>
      <w:bookmarkStart w:id="40" w:name="_Ref104804098"/>
      <w:r w:rsidRPr="00D86D87">
        <w:rPr>
          <w:rStyle w:val="CommentReference"/>
          <w:b/>
          <w:szCs w:val="24"/>
        </w:rPr>
        <w:t xml:space="preserve">Table </w:t>
      </w:r>
      <w:r w:rsidRPr="00D86D87">
        <w:rPr>
          <w:rStyle w:val="CommentReference"/>
          <w:b/>
          <w:szCs w:val="24"/>
        </w:rPr>
        <w:fldChar w:fldCharType="begin"/>
      </w:r>
      <w:r w:rsidRPr="00D86D87">
        <w:rPr>
          <w:rStyle w:val="CommentReference"/>
          <w:b/>
          <w:szCs w:val="24"/>
        </w:rPr>
        <w:instrText xml:space="preserve"> SEQ Table \* ARABIC </w:instrText>
      </w:r>
      <w:r w:rsidRPr="00D86D87">
        <w:rPr>
          <w:rStyle w:val="CommentReference"/>
          <w:b/>
          <w:szCs w:val="24"/>
        </w:rPr>
        <w:fldChar w:fldCharType="separate"/>
      </w:r>
      <w:r w:rsidR="00124226">
        <w:rPr>
          <w:rStyle w:val="CommentReference"/>
          <w:b/>
          <w:noProof/>
          <w:szCs w:val="24"/>
        </w:rPr>
        <w:t>3</w:t>
      </w:r>
      <w:r w:rsidRPr="00D86D87">
        <w:rPr>
          <w:rStyle w:val="CommentReference"/>
          <w:b/>
          <w:szCs w:val="24"/>
        </w:rPr>
        <w:fldChar w:fldCharType="end"/>
      </w:r>
      <w:bookmarkEnd w:id="40"/>
      <w:r w:rsidRPr="00D86D87">
        <w:rPr>
          <w:rStyle w:val="CommentReference"/>
          <w:b/>
          <w:szCs w:val="24"/>
        </w:rPr>
        <w:t>: Key features of the included evidence</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13"/>
        <w:gridCol w:w="966"/>
        <w:gridCol w:w="1224"/>
        <w:gridCol w:w="1063"/>
        <w:gridCol w:w="1092"/>
        <w:gridCol w:w="2775"/>
        <w:gridCol w:w="964"/>
      </w:tblGrid>
      <w:tr w:rsidR="007F4F51" w:rsidRPr="00AD3857" w14:paraId="5092BA56" w14:textId="77777777" w:rsidTr="00F55E21">
        <w:trPr>
          <w:cantSplit/>
          <w:tblHeader/>
        </w:trPr>
        <w:tc>
          <w:tcPr>
            <w:tcW w:w="507" w:type="pct"/>
            <w:vAlign w:val="center"/>
          </w:tcPr>
          <w:p w14:paraId="7BCC13C6" w14:textId="77777777" w:rsidR="007F4F51" w:rsidRPr="00AD3857" w:rsidRDefault="007F4F51" w:rsidP="00F55E21">
            <w:pPr>
              <w:pStyle w:val="In-tableHeading"/>
            </w:pPr>
            <w:bookmarkStart w:id="41" w:name="_Hlk198634722"/>
            <w:r w:rsidRPr="00AD3857">
              <w:t>Trial</w:t>
            </w:r>
          </w:p>
        </w:tc>
        <w:tc>
          <w:tcPr>
            <w:tcW w:w="537" w:type="pct"/>
            <w:vAlign w:val="center"/>
          </w:tcPr>
          <w:p w14:paraId="5F1F8BCA" w14:textId="1C9873F8" w:rsidR="007F4F51" w:rsidRPr="00AD3857" w:rsidRDefault="007F4F51" w:rsidP="00F55E21">
            <w:pPr>
              <w:pStyle w:val="In-tableHeading"/>
            </w:pPr>
            <w:r w:rsidRPr="00AD3857">
              <w:t>n/N</w:t>
            </w:r>
            <w:r w:rsidRPr="00AD3857">
              <w:rPr>
                <w:vertAlign w:val="superscript"/>
              </w:rPr>
              <w:t>a</w:t>
            </w:r>
          </w:p>
        </w:tc>
        <w:tc>
          <w:tcPr>
            <w:tcW w:w="680" w:type="pct"/>
            <w:vAlign w:val="center"/>
          </w:tcPr>
          <w:p w14:paraId="58429DC5" w14:textId="77777777" w:rsidR="007F4F51" w:rsidRPr="00AD3857" w:rsidRDefault="007F4F51" w:rsidP="00F55E21">
            <w:pPr>
              <w:pStyle w:val="In-tableHeading"/>
            </w:pPr>
            <w:r w:rsidRPr="00AD3857">
              <w:t>Design/ duration</w:t>
            </w:r>
          </w:p>
        </w:tc>
        <w:tc>
          <w:tcPr>
            <w:tcW w:w="591" w:type="pct"/>
            <w:vAlign w:val="center"/>
          </w:tcPr>
          <w:p w14:paraId="0EAB8328" w14:textId="77777777" w:rsidR="007F4F51" w:rsidRPr="00AD3857" w:rsidRDefault="007F4F51" w:rsidP="00F55E21">
            <w:pPr>
              <w:pStyle w:val="In-tableHeading"/>
            </w:pPr>
            <w:r w:rsidRPr="00AD3857">
              <w:t>Risk of bias</w:t>
            </w:r>
          </w:p>
        </w:tc>
        <w:tc>
          <w:tcPr>
            <w:tcW w:w="607" w:type="pct"/>
            <w:vAlign w:val="center"/>
          </w:tcPr>
          <w:p w14:paraId="64D36148" w14:textId="77777777" w:rsidR="007F4F51" w:rsidRPr="00AD3857" w:rsidRDefault="007F4F51" w:rsidP="00F55E21">
            <w:pPr>
              <w:pStyle w:val="In-tableHeading"/>
            </w:pPr>
            <w:r w:rsidRPr="00AD3857">
              <w:t>Patient population</w:t>
            </w:r>
          </w:p>
        </w:tc>
        <w:tc>
          <w:tcPr>
            <w:tcW w:w="1542" w:type="pct"/>
            <w:vAlign w:val="center"/>
          </w:tcPr>
          <w:p w14:paraId="1C47F980" w14:textId="77777777" w:rsidR="007F4F51" w:rsidRPr="00AD3857" w:rsidRDefault="007F4F51" w:rsidP="00F55E21">
            <w:pPr>
              <w:pStyle w:val="In-tableHeading"/>
            </w:pPr>
            <w:r w:rsidRPr="00AD3857">
              <w:t>Outcomes</w:t>
            </w:r>
          </w:p>
        </w:tc>
        <w:tc>
          <w:tcPr>
            <w:tcW w:w="535" w:type="pct"/>
            <w:vAlign w:val="center"/>
          </w:tcPr>
          <w:p w14:paraId="103B5E06" w14:textId="77777777" w:rsidR="007F4F51" w:rsidRPr="00AD3857" w:rsidRDefault="007F4F51" w:rsidP="00F55E21">
            <w:pPr>
              <w:pStyle w:val="In-tableHeading"/>
            </w:pPr>
            <w:r w:rsidRPr="00AD3857">
              <w:t>Use in modelled evaluation</w:t>
            </w:r>
          </w:p>
        </w:tc>
      </w:tr>
      <w:tr w:rsidR="007F4F51" w:rsidRPr="00AD3857" w14:paraId="215CB18C" w14:textId="77777777" w:rsidTr="00DD79CD">
        <w:trPr>
          <w:cantSplit/>
        </w:trPr>
        <w:tc>
          <w:tcPr>
            <w:tcW w:w="5000" w:type="pct"/>
            <w:gridSpan w:val="7"/>
            <w:vAlign w:val="center"/>
          </w:tcPr>
          <w:p w14:paraId="28034AE3" w14:textId="77777777" w:rsidR="007F4F51" w:rsidRPr="00AD3857" w:rsidRDefault="007F4F51" w:rsidP="00F55E21">
            <w:pPr>
              <w:pStyle w:val="TableText0"/>
              <w:widowControl w:val="0"/>
              <w:rPr>
                <w:b/>
                <w:bCs w:val="0"/>
              </w:rPr>
            </w:pPr>
            <w:bookmarkStart w:id="42" w:name="_Hlk198457938"/>
            <w:r w:rsidRPr="00AD3857">
              <w:rPr>
                <w:b/>
                <w:bCs w:val="0"/>
              </w:rPr>
              <w:t>Treatment of moderate to severe AD flares (0.1% TAC vs VO)</w:t>
            </w:r>
            <w:bookmarkEnd w:id="42"/>
          </w:p>
        </w:tc>
      </w:tr>
      <w:tr w:rsidR="007F4F51" w:rsidRPr="00AD3857" w14:paraId="3BDEB51F" w14:textId="77777777" w:rsidTr="00DD79CD">
        <w:trPr>
          <w:cantSplit/>
          <w:trHeight w:val="650"/>
        </w:trPr>
        <w:tc>
          <w:tcPr>
            <w:tcW w:w="507" w:type="pct"/>
            <w:vMerge w:val="restart"/>
            <w:vAlign w:val="center"/>
          </w:tcPr>
          <w:p w14:paraId="7C13FB7B" w14:textId="77777777" w:rsidR="007F4F51" w:rsidRPr="00AD3857" w:rsidRDefault="007F4F51" w:rsidP="00F55E21">
            <w:pPr>
              <w:pStyle w:val="TableText0"/>
            </w:pPr>
            <w:r w:rsidRPr="00AD3857">
              <w:t>Ruzicka 1997</w:t>
            </w:r>
          </w:p>
        </w:tc>
        <w:tc>
          <w:tcPr>
            <w:tcW w:w="537" w:type="pct"/>
            <w:vMerge w:val="restart"/>
            <w:vAlign w:val="center"/>
          </w:tcPr>
          <w:p w14:paraId="25A3A3A8" w14:textId="5605323F" w:rsidR="007F4F51" w:rsidRPr="00AD3857" w:rsidRDefault="007F4F51" w:rsidP="00F55E21">
            <w:pPr>
              <w:pStyle w:val="TableText0"/>
            </w:pPr>
            <w:r w:rsidRPr="00AD3857">
              <w:t>108/213</w:t>
            </w:r>
          </w:p>
          <w:p w14:paraId="11CA352F" w14:textId="77777777" w:rsidR="007F4F51" w:rsidRPr="00AD3857" w:rsidRDefault="007F4F51" w:rsidP="00F55E21">
            <w:pPr>
              <w:pStyle w:val="TableText0"/>
            </w:pPr>
            <w:r w:rsidRPr="00AD3857">
              <w:t>adults and adolescents</w:t>
            </w:r>
          </w:p>
        </w:tc>
        <w:tc>
          <w:tcPr>
            <w:tcW w:w="680" w:type="pct"/>
            <w:vMerge w:val="restart"/>
            <w:vAlign w:val="center"/>
          </w:tcPr>
          <w:p w14:paraId="1566F4B0" w14:textId="77777777" w:rsidR="007F4F51" w:rsidRPr="00AD3857" w:rsidRDefault="007F4F51" w:rsidP="00F55E21">
            <w:pPr>
              <w:pStyle w:val="TableText0"/>
            </w:pPr>
            <w:r w:rsidRPr="00AD3857">
              <w:t>Phase 2, DB, MC RCT</w:t>
            </w:r>
          </w:p>
          <w:p w14:paraId="29C5C8A6" w14:textId="77777777" w:rsidR="007F4F51" w:rsidRPr="00AD3857" w:rsidRDefault="007F4F51" w:rsidP="00F55E21">
            <w:pPr>
              <w:pStyle w:val="TableText0"/>
            </w:pPr>
            <w:r w:rsidRPr="00AD3857">
              <w:t>three weeks’ treatment twice-daily and one-week follow-up</w:t>
            </w:r>
          </w:p>
        </w:tc>
        <w:tc>
          <w:tcPr>
            <w:tcW w:w="591" w:type="pct"/>
            <w:vMerge w:val="restart"/>
            <w:vAlign w:val="center"/>
          </w:tcPr>
          <w:p w14:paraId="23AF5170" w14:textId="77777777" w:rsidR="007F4F51" w:rsidRPr="00AD3857" w:rsidRDefault="007F4F51" w:rsidP="00F55E21">
            <w:pPr>
              <w:pStyle w:val="TableText0"/>
            </w:pPr>
            <w:r w:rsidRPr="00AD3857">
              <w:t>Uncertain</w:t>
            </w:r>
          </w:p>
        </w:tc>
        <w:tc>
          <w:tcPr>
            <w:tcW w:w="607" w:type="pct"/>
            <w:vMerge w:val="restart"/>
            <w:vAlign w:val="center"/>
          </w:tcPr>
          <w:p w14:paraId="17D3F3F5" w14:textId="20659087" w:rsidR="007F4F51" w:rsidRPr="00AD3857" w:rsidRDefault="007F4F51" w:rsidP="00F55E21">
            <w:pPr>
              <w:pStyle w:val="TableText0"/>
            </w:pPr>
            <w:r w:rsidRPr="00AD3857">
              <w:t>Adults and adolescents ≥13 years with moderate to severe AD</w:t>
            </w:r>
          </w:p>
        </w:tc>
        <w:tc>
          <w:tcPr>
            <w:tcW w:w="1542" w:type="pct"/>
            <w:tcBorders>
              <w:bottom w:val="single" w:sz="4" w:space="0" w:color="auto"/>
            </w:tcBorders>
            <w:vAlign w:val="center"/>
          </w:tcPr>
          <w:p w14:paraId="3942AF4F" w14:textId="70400E75" w:rsidR="007F4F51" w:rsidRPr="00AD3857" w:rsidRDefault="007F4F51" w:rsidP="00F55E21">
            <w:pPr>
              <w:pStyle w:val="TableText0"/>
            </w:pPr>
            <w:r w:rsidRPr="00AD3857">
              <w:t>Change in Score 1</w:t>
            </w:r>
            <w:r w:rsidRPr="00AD3857">
              <w:rPr>
                <w:vertAlign w:val="superscript"/>
              </w:rPr>
              <w:t>d</w:t>
            </w:r>
          </w:p>
          <w:p w14:paraId="4E4C311B" w14:textId="77777777" w:rsidR="007F4F51" w:rsidRPr="00AD3857" w:rsidRDefault="007F4F51" w:rsidP="00F55E21">
            <w:pPr>
              <w:pStyle w:val="TableText0"/>
            </w:pPr>
            <w:r w:rsidRPr="00AD3857">
              <w:t>Change in Score 2</w:t>
            </w:r>
            <w:r w:rsidRPr="00AD3857">
              <w:rPr>
                <w:vertAlign w:val="superscript"/>
              </w:rPr>
              <w:t>e</w:t>
            </w:r>
          </w:p>
        </w:tc>
        <w:tc>
          <w:tcPr>
            <w:tcW w:w="535" w:type="pct"/>
            <w:tcBorders>
              <w:bottom w:val="single" w:sz="4" w:space="0" w:color="auto"/>
            </w:tcBorders>
            <w:vAlign w:val="center"/>
          </w:tcPr>
          <w:p w14:paraId="5C04B69E" w14:textId="77777777" w:rsidR="007F4F51" w:rsidRPr="00AD3857" w:rsidRDefault="007F4F51" w:rsidP="00F55E21">
            <w:pPr>
              <w:pStyle w:val="TableText0"/>
            </w:pPr>
            <w:r w:rsidRPr="00AD3857">
              <w:t>Not used</w:t>
            </w:r>
          </w:p>
        </w:tc>
      </w:tr>
      <w:tr w:rsidR="007F4F51" w:rsidRPr="00AD3857" w14:paraId="729F74ED" w14:textId="77777777" w:rsidTr="00DD79CD">
        <w:trPr>
          <w:cantSplit/>
          <w:trHeight w:val="263"/>
        </w:trPr>
        <w:tc>
          <w:tcPr>
            <w:tcW w:w="507" w:type="pct"/>
            <w:vMerge/>
            <w:vAlign w:val="center"/>
          </w:tcPr>
          <w:p w14:paraId="69D74B6A" w14:textId="77777777" w:rsidR="007F4F51" w:rsidRPr="00AD3857" w:rsidRDefault="007F4F51" w:rsidP="00F55E21">
            <w:pPr>
              <w:pStyle w:val="TableText0"/>
            </w:pPr>
          </w:p>
        </w:tc>
        <w:tc>
          <w:tcPr>
            <w:tcW w:w="537" w:type="pct"/>
            <w:vMerge/>
            <w:vAlign w:val="center"/>
          </w:tcPr>
          <w:p w14:paraId="03750398" w14:textId="77777777" w:rsidR="007F4F51" w:rsidRPr="00AD3857" w:rsidRDefault="007F4F51" w:rsidP="00F55E21">
            <w:pPr>
              <w:pStyle w:val="TableText0"/>
            </w:pPr>
          </w:p>
        </w:tc>
        <w:tc>
          <w:tcPr>
            <w:tcW w:w="680" w:type="pct"/>
            <w:vMerge/>
            <w:vAlign w:val="center"/>
          </w:tcPr>
          <w:p w14:paraId="3B1788C7" w14:textId="77777777" w:rsidR="007F4F51" w:rsidRPr="00AD3857" w:rsidRDefault="007F4F51" w:rsidP="00F55E21">
            <w:pPr>
              <w:pStyle w:val="TableText0"/>
            </w:pPr>
          </w:p>
        </w:tc>
        <w:tc>
          <w:tcPr>
            <w:tcW w:w="591" w:type="pct"/>
            <w:vMerge/>
            <w:vAlign w:val="center"/>
          </w:tcPr>
          <w:p w14:paraId="10E71ABB" w14:textId="77777777" w:rsidR="007F4F51" w:rsidRPr="00AD3857" w:rsidRDefault="007F4F51" w:rsidP="00F55E21">
            <w:pPr>
              <w:pStyle w:val="TableText0"/>
            </w:pPr>
          </w:p>
        </w:tc>
        <w:tc>
          <w:tcPr>
            <w:tcW w:w="607" w:type="pct"/>
            <w:vMerge/>
            <w:vAlign w:val="center"/>
          </w:tcPr>
          <w:p w14:paraId="0CF922A5" w14:textId="77777777" w:rsidR="007F4F51" w:rsidRPr="00AD3857" w:rsidDel="008456DB" w:rsidRDefault="007F4F51" w:rsidP="00F55E21">
            <w:pPr>
              <w:pStyle w:val="TableText0"/>
            </w:pPr>
          </w:p>
        </w:tc>
        <w:tc>
          <w:tcPr>
            <w:tcW w:w="1542" w:type="pct"/>
            <w:tcBorders>
              <w:top w:val="single" w:sz="4" w:space="0" w:color="auto"/>
            </w:tcBorders>
            <w:vAlign w:val="center"/>
          </w:tcPr>
          <w:p w14:paraId="4CB2DBF2" w14:textId="77777777" w:rsidR="007F4F51" w:rsidRPr="00AD3857" w:rsidRDefault="007F4F51" w:rsidP="00F55E21">
            <w:pPr>
              <w:pStyle w:val="TableText0"/>
            </w:pPr>
            <w:r w:rsidRPr="00AD3857">
              <w:t>Overall assessment of the treated area by the investigator</w:t>
            </w:r>
          </w:p>
        </w:tc>
        <w:tc>
          <w:tcPr>
            <w:tcW w:w="535" w:type="pct"/>
            <w:tcBorders>
              <w:top w:val="single" w:sz="4" w:space="0" w:color="auto"/>
            </w:tcBorders>
            <w:vAlign w:val="center"/>
          </w:tcPr>
          <w:p w14:paraId="04ACC21D" w14:textId="77777777" w:rsidR="007F4F51" w:rsidRPr="00AD3857" w:rsidRDefault="007F4F51" w:rsidP="00F55E21">
            <w:pPr>
              <w:pStyle w:val="TableText0"/>
            </w:pPr>
            <w:r w:rsidRPr="00AD3857">
              <w:t>Used</w:t>
            </w:r>
          </w:p>
        </w:tc>
      </w:tr>
      <w:tr w:rsidR="007F4F51" w:rsidRPr="00AD3857" w14:paraId="660267D0" w14:textId="77777777" w:rsidTr="00DD79CD">
        <w:trPr>
          <w:cantSplit/>
        </w:trPr>
        <w:tc>
          <w:tcPr>
            <w:tcW w:w="507" w:type="pct"/>
            <w:vAlign w:val="center"/>
          </w:tcPr>
          <w:p w14:paraId="6A55903F" w14:textId="77777777" w:rsidR="007F4F51" w:rsidRPr="00AD3857" w:rsidRDefault="007F4F51" w:rsidP="00F55E21">
            <w:pPr>
              <w:pStyle w:val="TableText0"/>
              <w:widowControl w:val="0"/>
            </w:pPr>
            <w:r w:rsidRPr="00AD3857">
              <w:t>Hanifin 2001</w:t>
            </w:r>
          </w:p>
          <w:p w14:paraId="6F8BAD4E" w14:textId="64778E72" w:rsidR="007F4F51" w:rsidRPr="00AD3857" w:rsidRDefault="007F4F51" w:rsidP="00F55E21">
            <w:pPr>
              <w:pStyle w:val="TableText0"/>
              <w:widowControl w:val="0"/>
            </w:pPr>
          </w:p>
        </w:tc>
        <w:tc>
          <w:tcPr>
            <w:tcW w:w="537" w:type="pct"/>
            <w:vAlign w:val="center"/>
          </w:tcPr>
          <w:p w14:paraId="5C84832B" w14:textId="59A093A3" w:rsidR="007F4F51" w:rsidRPr="00AD3857" w:rsidRDefault="007F4F51" w:rsidP="00F55E21">
            <w:pPr>
              <w:pStyle w:val="TableText0"/>
              <w:widowControl w:val="0"/>
            </w:pPr>
            <w:r w:rsidRPr="00AD3857">
              <w:t>421/632</w:t>
            </w:r>
          </w:p>
          <w:p w14:paraId="62A8EFF2" w14:textId="77777777" w:rsidR="007F4F51" w:rsidRPr="00AD3857" w:rsidRDefault="007F4F51" w:rsidP="00F55E21">
            <w:pPr>
              <w:pStyle w:val="TableText0"/>
              <w:widowControl w:val="0"/>
            </w:pPr>
            <w:r w:rsidRPr="00AD3857">
              <w:t>adults</w:t>
            </w:r>
          </w:p>
        </w:tc>
        <w:tc>
          <w:tcPr>
            <w:tcW w:w="680" w:type="pct"/>
            <w:vMerge w:val="restart"/>
            <w:vAlign w:val="center"/>
          </w:tcPr>
          <w:p w14:paraId="060A0344" w14:textId="77777777" w:rsidR="007F4F51" w:rsidRPr="00AD3857" w:rsidRDefault="007F4F51" w:rsidP="00F55E21">
            <w:pPr>
              <w:pStyle w:val="TableText0"/>
              <w:widowControl w:val="0"/>
            </w:pPr>
            <w:r w:rsidRPr="00AD3857">
              <w:t xml:space="preserve">Two identical, DB, MC, RCT </w:t>
            </w:r>
          </w:p>
          <w:p w14:paraId="492BEDD7" w14:textId="77777777" w:rsidR="007F4F51" w:rsidRPr="00AD3857" w:rsidRDefault="007F4F51" w:rsidP="00F55E21">
            <w:pPr>
              <w:pStyle w:val="TableText0"/>
              <w:widowControl w:val="0"/>
            </w:pPr>
            <w:r w:rsidRPr="00AD3857">
              <w:t>Up to 12 weeks</w:t>
            </w:r>
          </w:p>
        </w:tc>
        <w:tc>
          <w:tcPr>
            <w:tcW w:w="591" w:type="pct"/>
            <w:vAlign w:val="center"/>
          </w:tcPr>
          <w:p w14:paraId="35503C67" w14:textId="77777777" w:rsidR="007F4F51" w:rsidRPr="00AD3857" w:rsidRDefault="007F4F51" w:rsidP="00F55E21">
            <w:pPr>
              <w:pStyle w:val="TableText0"/>
              <w:widowControl w:val="0"/>
            </w:pPr>
            <w:r w:rsidRPr="00AD3857">
              <w:t>Low</w:t>
            </w:r>
          </w:p>
        </w:tc>
        <w:tc>
          <w:tcPr>
            <w:tcW w:w="607" w:type="pct"/>
            <w:vMerge w:val="restart"/>
            <w:vAlign w:val="center"/>
          </w:tcPr>
          <w:p w14:paraId="622A1974" w14:textId="77777777" w:rsidR="007F4F51" w:rsidRPr="00AD3857" w:rsidRDefault="007F4F51" w:rsidP="00F55E21">
            <w:pPr>
              <w:pStyle w:val="TableText0"/>
              <w:widowControl w:val="0"/>
            </w:pPr>
            <w:r w:rsidRPr="00AD3857">
              <w:t>Adults ≥16 years with moderate to severe AD</w:t>
            </w:r>
          </w:p>
        </w:tc>
        <w:tc>
          <w:tcPr>
            <w:tcW w:w="1542" w:type="pct"/>
            <w:vAlign w:val="center"/>
          </w:tcPr>
          <w:p w14:paraId="041F4F69" w14:textId="77777777" w:rsidR="007F4F51" w:rsidRPr="00AD3857" w:rsidRDefault="007F4F51" w:rsidP="00F55E21">
            <w:pPr>
              <w:pStyle w:val="TableText0"/>
              <w:widowControl w:val="0"/>
            </w:pPr>
            <w:r w:rsidRPr="00AD3857">
              <w:t>Physician’s global evaluation of clinical response</w:t>
            </w:r>
          </w:p>
          <w:p w14:paraId="40362192" w14:textId="5839C4CD" w:rsidR="007F4F51" w:rsidRPr="00AD3857" w:rsidRDefault="007F4F51" w:rsidP="00F55E21">
            <w:pPr>
              <w:pStyle w:val="TableText0"/>
              <w:widowControl w:val="0"/>
            </w:pPr>
            <w:r w:rsidRPr="00AD3857">
              <w:t>Treatment success</w:t>
            </w:r>
            <w:r w:rsidRPr="00AD3857">
              <w:rPr>
                <w:vertAlign w:val="superscript"/>
              </w:rPr>
              <w:t>f</w:t>
            </w:r>
            <w:r w:rsidRPr="00AD3857">
              <w:t xml:space="preserve"> </w:t>
            </w:r>
          </w:p>
          <w:p w14:paraId="77B2C13E" w14:textId="77777777" w:rsidR="007F4F51" w:rsidRPr="00AD3857" w:rsidRDefault="007F4F51" w:rsidP="00F55E21">
            <w:pPr>
              <w:pStyle w:val="TableText0"/>
              <w:widowControl w:val="0"/>
            </w:pPr>
            <w:r w:rsidRPr="00AD3857">
              <w:t>EASI score</w:t>
            </w:r>
          </w:p>
          <w:p w14:paraId="1FAC543F" w14:textId="77777777" w:rsidR="007F4F51" w:rsidRPr="00AD3857" w:rsidRDefault="007F4F51" w:rsidP="00F55E21">
            <w:pPr>
              <w:pStyle w:val="TableText0"/>
              <w:widowControl w:val="0"/>
            </w:pPr>
            <w:r w:rsidRPr="00AD3857">
              <w:t>Total clinical scores for individual signs of AD</w:t>
            </w:r>
          </w:p>
          <w:p w14:paraId="3128BDF1" w14:textId="77777777" w:rsidR="007F4F51" w:rsidRPr="00AD3857" w:rsidRDefault="007F4F51" w:rsidP="00F55E21">
            <w:pPr>
              <w:pStyle w:val="TableText0"/>
              <w:widowControl w:val="0"/>
            </w:pPr>
            <w:r w:rsidRPr="00AD3857">
              <w:t>%BSA</w:t>
            </w:r>
          </w:p>
          <w:p w14:paraId="030BA437" w14:textId="77777777" w:rsidR="007F4F51" w:rsidRPr="00AD3857" w:rsidRDefault="007F4F51" w:rsidP="00F55E21">
            <w:pPr>
              <w:pStyle w:val="TableText0"/>
              <w:widowControl w:val="0"/>
            </w:pPr>
            <w:r w:rsidRPr="00AD3857">
              <w:t>Patient’s assessment of pruritus</w:t>
            </w:r>
          </w:p>
        </w:tc>
        <w:tc>
          <w:tcPr>
            <w:tcW w:w="535" w:type="pct"/>
            <w:vAlign w:val="center"/>
          </w:tcPr>
          <w:p w14:paraId="70A78767" w14:textId="77777777" w:rsidR="007F4F51" w:rsidRPr="00AD3857" w:rsidRDefault="007F4F51" w:rsidP="00F55E21">
            <w:pPr>
              <w:pStyle w:val="TableText0"/>
              <w:widowControl w:val="0"/>
            </w:pPr>
            <w:r w:rsidRPr="00AD3857">
              <w:t>Not used</w:t>
            </w:r>
          </w:p>
        </w:tc>
      </w:tr>
      <w:tr w:rsidR="007F4F51" w:rsidRPr="00AD3857" w14:paraId="43CCAAA9" w14:textId="77777777" w:rsidTr="00DD79CD">
        <w:trPr>
          <w:cantSplit/>
        </w:trPr>
        <w:tc>
          <w:tcPr>
            <w:tcW w:w="507" w:type="pct"/>
            <w:vAlign w:val="center"/>
          </w:tcPr>
          <w:p w14:paraId="05558EFA" w14:textId="77777777" w:rsidR="007F4F51" w:rsidRPr="00AD3857" w:rsidRDefault="007F4F51" w:rsidP="00F55E21">
            <w:pPr>
              <w:pStyle w:val="TableText0"/>
              <w:widowControl w:val="0"/>
            </w:pPr>
            <w:r w:rsidRPr="00AD3857">
              <w:t>Soter 2001</w:t>
            </w:r>
          </w:p>
        </w:tc>
        <w:tc>
          <w:tcPr>
            <w:tcW w:w="537" w:type="pct"/>
            <w:vAlign w:val="center"/>
          </w:tcPr>
          <w:p w14:paraId="3E5ABC53" w14:textId="77777777" w:rsidR="007F4F51" w:rsidRPr="00AD3857" w:rsidRDefault="007F4F51" w:rsidP="00F55E21">
            <w:pPr>
              <w:pStyle w:val="TableText0"/>
              <w:widowControl w:val="0"/>
            </w:pPr>
            <w:r w:rsidRPr="00AD3857">
              <w:t>421/631</w:t>
            </w:r>
            <w:r w:rsidRPr="00AD3857">
              <w:rPr>
                <w:vertAlign w:val="superscript"/>
              </w:rPr>
              <w:t>b</w:t>
            </w:r>
          </w:p>
          <w:p w14:paraId="39F79C23" w14:textId="77777777" w:rsidR="007F4F51" w:rsidRPr="00AD3857" w:rsidRDefault="007F4F51" w:rsidP="00F55E21">
            <w:pPr>
              <w:pStyle w:val="TableText0"/>
              <w:widowControl w:val="0"/>
            </w:pPr>
            <w:r w:rsidRPr="00AD3857">
              <w:t>adults</w:t>
            </w:r>
          </w:p>
        </w:tc>
        <w:tc>
          <w:tcPr>
            <w:tcW w:w="680" w:type="pct"/>
            <w:vMerge/>
            <w:vAlign w:val="center"/>
          </w:tcPr>
          <w:p w14:paraId="6B2DB857" w14:textId="77777777" w:rsidR="007F4F51" w:rsidRPr="00AD3857" w:rsidRDefault="007F4F51" w:rsidP="00F55E21">
            <w:pPr>
              <w:pStyle w:val="TableText0"/>
              <w:widowControl w:val="0"/>
            </w:pPr>
          </w:p>
        </w:tc>
        <w:tc>
          <w:tcPr>
            <w:tcW w:w="591" w:type="pct"/>
            <w:vAlign w:val="center"/>
          </w:tcPr>
          <w:p w14:paraId="5405C256" w14:textId="77777777" w:rsidR="007F4F51" w:rsidRPr="00AD3857" w:rsidRDefault="007F4F51" w:rsidP="00F55E21">
            <w:pPr>
              <w:pStyle w:val="TableText0"/>
              <w:widowControl w:val="0"/>
            </w:pPr>
            <w:r w:rsidRPr="00AD3857">
              <w:t>Low</w:t>
            </w:r>
          </w:p>
        </w:tc>
        <w:tc>
          <w:tcPr>
            <w:tcW w:w="607" w:type="pct"/>
            <w:vMerge/>
            <w:vAlign w:val="center"/>
          </w:tcPr>
          <w:p w14:paraId="7BFD4A42" w14:textId="77777777" w:rsidR="007F4F51" w:rsidRPr="00AD3857" w:rsidRDefault="007F4F51" w:rsidP="00F55E21">
            <w:pPr>
              <w:pStyle w:val="TableText0"/>
              <w:widowControl w:val="0"/>
            </w:pPr>
          </w:p>
        </w:tc>
        <w:tc>
          <w:tcPr>
            <w:tcW w:w="1542" w:type="pct"/>
            <w:vAlign w:val="center"/>
          </w:tcPr>
          <w:p w14:paraId="3F16D132" w14:textId="77777777" w:rsidR="007F4F51" w:rsidRPr="00AD3857" w:rsidRDefault="007F4F51" w:rsidP="00F55E21">
            <w:pPr>
              <w:pStyle w:val="TableText0"/>
              <w:widowControl w:val="0"/>
            </w:pPr>
            <w:r w:rsidRPr="00AD3857">
              <w:t>Safety</w:t>
            </w:r>
          </w:p>
        </w:tc>
        <w:tc>
          <w:tcPr>
            <w:tcW w:w="535" w:type="pct"/>
            <w:vAlign w:val="center"/>
          </w:tcPr>
          <w:p w14:paraId="69643185" w14:textId="77777777" w:rsidR="007F4F51" w:rsidRPr="00AD3857" w:rsidRDefault="007F4F51" w:rsidP="00F55E21">
            <w:pPr>
              <w:pStyle w:val="TableText0"/>
              <w:widowControl w:val="0"/>
            </w:pPr>
            <w:r w:rsidRPr="00AD3857">
              <w:t>Not used</w:t>
            </w:r>
          </w:p>
        </w:tc>
      </w:tr>
      <w:tr w:rsidR="007F4F51" w:rsidRPr="00AD3857" w14:paraId="1CF14C95" w14:textId="77777777" w:rsidTr="00DD79CD">
        <w:trPr>
          <w:cantSplit/>
          <w:trHeight w:val="175"/>
        </w:trPr>
        <w:tc>
          <w:tcPr>
            <w:tcW w:w="507" w:type="pct"/>
            <w:vAlign w:val="center"/>
          </w:tcPr>
          <w:p w14:paraId="1DBBEC17" w14:textId="77777777" w:rsidR="007F4F51" w:rsidRPr="00AD3857" w:rsidRDefault="007F4F51" w:rsidP="00F55E21">
            <w:pPr>
              <w:pStyle w:val="TableText0"/>
              <w:widowControl w:val="0"/>
            </w:pPr>
            <w:r w:rsidRPr="00AD3857">
              <w:t>Drake 2001</w:t>
            </w:r>
          </w:p>
        </w:tc>
        <w:tc>
          <w:tcPr>
            <w:tcW w:w="537" w:type="pct"/>
            <w:vAlign w:val="center"/>
          </w:tcPr>
          <w:p w14:paraId="4D5CE7E6" w14:textId="77777777" w:rsidR="007F4F51" w:rsidRPr="00AD3857" w:rsidRDefault="007F4F51" w:rsidP="00F55E21">
            <w:pPr>
              <w:pStyle w:val="TableText0"/>
              <w:widowControl w:val="0"/>
            </w:pPr>
            <w:r w:rsidRPr="00AD3857">
              <w:t>579/632</w:t>
            </w:r>
          </w:p>
          <w:p w14:paraId="00394F94" w14:textId="77777777" w:rsidR="007F4F51" w:rsidRPr="00AD3857" w:rsidRDefault="007F4F51" w:rsidP="00F55E21">
            <w:pPr>
              <w:pStyle w:val="TableText0"/>
              <w:widowControl w:val="0"/>
            </w:pPr>
            <w:r w:rsidRPr="00AD3857">
              <w:t>adults</w:t>
            </w:r>
          </w:p>
        </w:tc>
        <w:tc>
          <w:tcPr>
            <w:tcW w:w="680" w:type="pct"/>
            <w:vMerge/>
            <w:vAlign w:val="center"/>
          </w:tcPr>
          <w:p w14:paraId="31AE9F42" w14:textId="77777777" w:rsidR="007F4F51" w:rsidRPr="00AD3857" w:rsidRDefault="007F4F51" w:rsidP="00F55E21">
            <w:pPr>
              <w:pStyle w:val="TableText0"/>
              <w:widowControl w:val="0"/>
            </w:pPr>
          </w:p>
        </w:tc>
        <w:tc>
          <w:tcPr>
            <w:tcW w:w="591" w:type="pct"/>
            <w:vAlign w:val="center"/>
          </w:tcPr>
          <w:p w14:paraId="13206D30" w14:textId="77777777" w:rsidR="007F4F51" w:rsidRPr="00AD3857" w:rsidRDefault="007F4F51" w:rsidP="00F55E21">
            <w:pPr>
              <w:pStyle w:val="TableText0"/>
              <w:widowControl w:val="0"/>
            </w:pPr>
            <w:r w:rsidRPr="00AD3857">
              <w:t>Uncertain</w:t>
            </w:r>
            <w:r w:rsidRPr="00AD3857">
              <w:rPr>
                <w:vertAlign w:val="superscript"/>
              </w:rPr>
              <w:t>c</w:t>
            </w:r>
          </w:p>
        </w:tc>
        <w:tc>
          <w:tcPr>
            <w:tcW w:w="607" w:type="pct"/>
            <w:vMerge/>
            <w:vAlign w:val="center"/>
          </w:tcPr>
          <w:p w14:paraId="5E0993DE" w14:textId="77777777" w:rsidR="007F4F51" w:rsidRPr="00AD3857" w:rsidRDefault="007F4F51" w:rsidP="00F55E21">
            <w:pPr>
              <w:pStyle w:val="TableText0"/>
              <w:widowControl w:val="0"/>
            </w:pPr>
          </w:p>
        </w:tc>
        <w:tc>
          <w:tcPr>
            <w:tcW w:w="1542" w:type="pct"/>
            <w:vAlign w:val="center"/>
          </w:tcPr>
          <w:p w14:paraId="307A85CA" w14:textId="77777777" w:rsidR="007F4F51" w:rsidRPr="00AD3857" w:rsidRDefault="007F4F51" w:rsidP="00F55E21">
            <w:pPr>
              <w:pStyle w:val="TableText0"/>
              <w:widowControl w:val="0"/>
            </w:pPr>
            <w:r w:rsidRPr="00AD3857">
              <w:t xml:space="preserve">Change in DLQI score from baseline to end of treatment </w:t>
            </w:r>
          </w:p>
        </w:tc>
        <w:tc>
          <w:tcPr>
            <w:tcW w:w="535" w:type="pct"/>
            <w:vAlign w:val="center"/>
          </w:tcPr>
          <w:p w14:paraId="676B5D90" w14:textId="77777777" w:rsidR="007F4F51" w:rsidRPr="00AD3857" w:rsidRDefault="007F4F51" w:rsidP="00F55E21">
            <w:pPr>
              <w:pStyle w:val="TableText0"/>
              <w:widowControl w:val="0"/>
            </w:pPr>
            <w:r w:rsidRPr="00AD3857">
              <w:t>Not used</w:t>
            </w:r>
          </w:p>
        </w:tc>
      </w:tr>
      <w:tr w:rsidR="007F4F51" w:rsidRPr="00AD3857" w14:paraId="40B3F23A" w14:textId="77777777" w:rsidTr="00DD79CD">
        <w:trPr>
          <w:cantSplit/>
        </w:trPr>
        <w:tc>
          <w:tcPr>
            <w:tcW w:w="5000" w:type="pct"/>
            <w:gridSpan w:val="7"/>
            <w:vAlign w:val="center"/>
          </w:tcPr>
          <w:p w14:paraId="7013BFDA" w14:textId="77777777" w:rsidR="007F4F51" w:rsidRPr="00AD3857" w:rsidRDefault="007F4F51" w:rsidP="00F55E21">
            <w:pPr>
              <w:pStyle w:val="TableText0"/>
              <w:widowControl w:val="0"/>
              <w:rPr>
                <w:b/>
                <w:bCs w:val="0"/>
              </w:rPr>
            </w:pPr>
            <w:r w:rsidRPr="00AD3857">
              <w:rPr>
                <w:b/>
                <w:bCs w:val="0"/>
              </w:rPr>
              <w:t>Long-term maintenance treatment (0.1% TAC vs VO)</w:t>
            </w:r>
          </w:p>
        </w:tc>
      </w:tr>
      <w:tr w:rsidR="007F4F51" w:rsidRPr="00AD3857" w14:paraId="6A78055E" w14:textId="77777777" w:rsidTr="00DD79CD">
        <w:trPr>
          <w:cantSplit/>
        </w:trPr>
        <w:tc>
          <w:tcPr>
            <w:tcW w:w="507" w:type="pct"/>
            <w:vMerge w:val="restart"/>
            <w:vAlign w:val="center"/>
          </w:tcPr>
          <w:p w14:paraId="5260616D" w14:textId="77777777" w:rsidR="007F4F51" w:rsidRPr="00AD3857" w:rsidRDefault="007F4F51" w:rsidP="00F55E21">
            <w:pPr>
              <w:pStyle w:val="TableText0"/>
              <w:widowControl w:val="0"/>
            </w:pPr>
            <w:r w:rsidRPr="00AD3857">
              <w:t>Wollenberg 2008</w:t>
            </w:r>
          </w:p>
          <w:p w14:paraId="568681F1" w14:textId="77777777" w:rsidR="007F4F51" w:rsidRPr="00AD3857" w:rsidRDefault="007F4F51" w:rsidP="00F55E21">
            <w:pPr>
              <w:pStyle w:val="TableText0"/>
              <w:widowControl w:val="0"/>
            </w:pPr>
            <w:r w:rsidRPr="00AD3857">
              <w:t>(CONTROL study)</w:t>
            </w:r>
          </w:p>
        </w:tc>
        <w:tc>
          <w:tcPr>
            <w:tcW w:w="537" w:type="pct"/>
            <w:vMerge w:val="restart"/>
            <w:vAlign w:val="center"/>
          </w:tcPr>
          <w:p w14:paraId="0133D13F" w14:textId="77777777" w:rsidR="007F4F51" w:rsidRPr="00AD3857" w:rsidRDefault="007F4F51" w:rsidP="00F55E21">
            <w:pPr>
              <w:pStyle w:val="TableText0"/>
              <w:widowControl w:val="0"/>
            </w:pPr>
            <w:r w:rsidRPr="00AD3857">
              <w:t>257</w:t>
            </w:r>
          </w:p>
          <w:p w14:paraId="3BEF176F" w14:textId="77777777" w:rsidR="007F4F51" w:rsidRPr="00AD3857" w:rsidRDefault="007F4F51" w:rsidP="00F55E21">
            <w:pPr>
              <w:pStyle w:val="TableText0"/>
              <w:widowControl w:val="0"/>
            </w:pPr>
            <w:r w:rsidRPr="00AD3857">
              <w:t>adults</w:t>
            </w:r>
          </w:p>
        </w:tc>
        <w:tc>
          <w:tcPr>
            <w:tcW w:w="680" w:type="pct"/>
            <w:vMerge w:val="restart"/>
            <w:vAlign w:val="center"/>
          </w:tcPr>
          <w:p w14:paraId="5E62C3FB" w14:textId="77777777" w:rsidR="007F4F51" w:rsidRPr="00AD3857" w:rsidRDefault="007F4F51" w:rsidP="00F55E21">
            <w:pPr>
              <w:pStyle w:val="TableText0"/>
              <w:widowControl w:val="0"/>
            </w:pPr>
            <w:r w:rsidRPr="00AD3857">
              <w:t>Phase 3, MC, RCT</w:t>
            </w:r>
          </w:p>
          <w:p w14:paraId="0E056481" w14:textId="77777777" w:rsidR="007F4F51" w:rsidRPr="00AD3857" w:rsidRDefault="007F4F51" w:rsidP="00F55E21">
            <w:pPr>
              <w:pStyle w:val="TableText0"/>
              <w:widowControl w:val="0"/>
            </w:pPr>
            <w:r w:rsidRPr="00AD3857">
              <w:t>12 months</w:t>
            </w:r>
          </w:p>
        </w:tc>
        <w:tc>
          <w:tcPr>
            <w:tcW w:w="591" w:type="pct"/>
            <w:vMerge w:val="restart"/>
            <w:vAlign w:val="center"/>
          </w:tcPr>
          <w:p w14:paraId="7FED670D" w14:textId="77777777" w:rsidR="007F4F51" w:rsidRPr="00AD3857" w:rsidRDefault="007F4F51" w:rsidP="00F55E21">
            <w:pPr>
              <w:pStyle w:val="TableText0"/>
              <w:widowControl w:val="0"/>
            </w:pPr>
            <w:r w:rsidRPr="00AD3857">
              <w:t>Low</w:t>
            </w:r>
          </w:p>
        </w:tc>
        <w:tc>
          <w:tcPr>
            <w:tcW w:w="607" w:type="pct"/>
            <w:vMerge w:val="restart"/>
            <w:vAlign w:val="center"/>
          </w:tcPr>
          <w:p w14:paraId="519754C8" w14:textId="77777777" w:rsidR="007F4F51" w:rsidRPr="00AD3857" w:rsidRDefault="007F4F51" w:rsidP="00F55E21">
            <w:pPr>
              <w:pStyle w:val="TableText0"/>
              <w:widowControl w:val="0"/>
            </w:pPr>
            <w:r w:rsidRPr="00AD3857">
              <w:t>Adults ≥16 years with mild to severe AD</w:t>
            </w:r>
          </w:p>
        </w:tc>
        <w:tc>
          <w:tcPr>
            <w:tcW w:w="1542" w:type="pct"/>
            <w:tcBorders>
              <w:top w:val="single" w:sz="4" w:space="0" w:color="auto"/>
            </w:tcBorders>
            <w:vAlign w:val="center"/>
          </w:tcPr>
          <w:p w14:paraId="359C6EA0" w14:textId="77777777" w:rsidR="007F4F51" w:rsidRPr="00AD3857" w:rsidRDefault="007F4F51" w:rsidP="00F55E21">
            <w:pPr>
              <w:pStyle w:val="TableText0"/>
              <w:widowControl w:val="0"/>
            </w:pPr>
            <w:r w:rsidRPr="00AD3857">
              <w:t>Number of any flares</w:t>
            </w:r>
          </w:p>
          <w:p w14:paraId="4D4CAE2A" w14:textId="77777777" w:rsidR="007F4F51" w:rsidRPr="00AD3857" w:rsidRDefault="007F4F51" w:rsidP="00F55E21">
            <w:pPr>
              <w:pStyle w:val="TableText0"/>
            </w:pPr>
            <w:r w:rsidRPr="00AD3857">
              <w:t>Tacrolimus ointment use</w:t>
            </w:r>
          </w:p>
        </w:tc>
        <w:tc>
          <w:tcPr>
            <w:tcW w:w="535" w:type="pct"/>
            <w:tcBorders>
              <w:top w:val="single" w:sz="4" w:space="0" w:color="auto"/>
            </w:tcBorders>
            <w:vAlign w:val="center"/>
          </w:tcPr>
          <w:p w14:paraId="11C26A63" w14:textId="77777777" w:rsidR="007F4F51" w:rsidRPr="00AD3857" w:rsidRDefault="007F4F51" w:rsidP="00F55E21">
            <w:pPr>
              <w:pStyle w:val="TableText0"/>
              <w:widowControl w:val="0"/>
            </w:pPr>
            <w:r w:rsidRPr="00AD3857">
              <w:t>Used</w:t>
            </w:r>
          </w:p>
        </w:tc>
      </w:tr>
      <w:tr w:rsidR="007F4F51" w:rsidRPr="00AD3857" w14:paraId="0F5C02C3" w14:textId="77777777" w:rsidTr="00DD79CD">
        <w:trPr>
          <w:cantSplit/>
        </w:trPr>
        <w:tc>
          <w:tcPr>
            <w:tcW w:w="507" w:type="pct"/>
            <w:vMerge/>
            <w:vAlign w:val="center"/>
          </w:tcPr>
          <w:p w14:paraId="1972EA33" w14:textId="77777777" w:rsidR="007F4F51" w:rsidRPr="00AD3857" w:rsidRDefault="007F4F51" w:rsidP="00F55E21">
            <w:pPr>
              <w:pStyle w:val="TableText0"/>
              <w:widowControl w:val="0"/>
            </w:pPr>
          </w:p>
        </w:tc>
        <w:tc>
          <w:tcPr>
            <w:tcW w:w="537" w:type="pct"/>
            <w:vMerge/>
            <w:vAlign w:val="center"/>
          </w:tcPr>
          <w:p w14:paraId="688F7473" w14:textId="77777777" w:rsidR="007F4F51" w:rsidRPr="00AD3857" w:rsidRDefault="007F4F51" w:rsidP="00F55E21">
            <w:pPr>
              <w:pStyle w:val="TableText0"/>
              <w:widowControl w:val="0"/>
            </w:pPr>
          </w:p>
        </w:tc>
        <w:tc>
          <w:tcPr>
            <w:tcW w:w="680" w:type="pct"/>
            <w:vMerge/>
            <w:vAlign w:val="center"/>
          </w:tcPr>
          <w:p w14:paraId="62735C62" w14:textId="77777777" w:rsidR="007F4F51" w:rsidRPr="00AD3857" w:rsidRDefault="007F4F51" w:rsidP="00F55E21">
            <w:pPr>
              <w:pStyle w:val="TableText0"/>
              <w:widowControl w:val="0"/>
            </w:pPr>
          </w:p>
        </w:tc>
        <w:tc>
          <w:tcPr>
            <w:tcW w:w="591" w:type="pct"/>
            <w:vMerge/>
            <w:vAlign w:val="center"/>
          </w:tcPr>
          <w:p w14:paraId="7EABF80F" w14:textId="77777777" w:rsidR="007F4F51" w:rsidRPr="00AD3857" w:rsidRDefault="007F4F51" w:rsidP="00F55E21">
            <w:pPr>
              <w:pStyle w:val="TableText0"/>
              <w:widowControl w:val="0"/>
            </w:pPr>
          </w:p>
        </w:tc>
        <w:tc>
          <w:tcPr>
            <w:tcW w:w="607" w:type="pct"/>
            <w:vMerge/>
            <w:vAlign w:val="center"/>
          </w:tcPr>
          <w:p w14:paraId="26585D33" w14:textId="77777777" w:rsidR="007F4F51" w:rsidRPr="00AD3857" w:rsidRDefault="007F4F51" w:rsidP="00F55E21">
            <w:pPr>
              <w:pStyle w:val="TableText0"/>
              <w:widowControl w:val="0"/>
            </w:pPr>
          </w:p>
        </w:tc>
        <w:tc>
          <w:tcPr>
            <w:tcW w:w="1542" w:type="pct"/>
            <w:vAlign w:val="center"/>
          </w:tcPr>
          <w:p w14:paraId="26FC29D9" w14:textId="77777777" w:rsidR="007F4F51" w:rsidRPr="00AD3857" w:rsidRDefault="007F4F51" w:rsidP="00F55E21">
            <w:pPr>
              <w:pStyle w:val="TableText0"/>
              <w:widowControl w:val="0"/>
              <w:rPr>
                <w:u w:val="single"/>
              </w:rPr>
            </w:pPr>
            <w:r w:rsidRPr="00AD3857">
              <w:t>Safety</w:t>
            </w:r>
          </w:p>
        </w:tc>
        <w:tc>
          <w:tcPr>
            <w:tcW w:w="535" w:type="pct"/>
            <w:vAlign w:val="center"/>
          </w:tcPr>
          <w:p w14:paraId="32DE25C7" w14:textId="77777777" w:rsidR="007F4F51" w:rsidRPr="00AD3857" w:rsidRDefault="007F4F51" w:rsidP="00F55E21">
            <w:pPr>
              <w:pStyle w:val="TableText0"/>
              <w:widowControl w:val="0"/>
            </w:pPr>
            <w:r w:rsidRPr="00AD3857">
              <w:t>Not used</w:t>
            </w:r>
          </w:p>
        </w:tc>
      </w:tr>
      <w:tr w:rsidR="007F4F51" w:rsidRPr="00AD3857" w14:paraId="799CF49F" w14:textId="77777777" w:rsidTr="00DD79CD">
        <w:trPr>
          <w:cantSplit/>
        </w:trPr>
        <w:tc>
          <w:tcPr>
            <w:tcW w:w="507" w:type="pct"/>
            <w:vMerge w:val="restart"/>
            <w:vAlign w:val="center"/>
          </w:tcPr>
          <w:p w14:paraId="57E2A08C" w14:textId="77777777" w:rsidR="007F4F51" w:rsidRPr="00AD3857" w:rsidRDefault="007F4F51" w:rsidP="00F55E21">
            <w:pPr>
              <w:pStyle w:val="TableText0"/>
              <w:widowControl w:val="0"/>
            </w:pPr>
            <w:r w:rsidRPr="00AD3857">
              <w:t>Reitamo 2010</w:t>
            </w:r>
          </w:p>
        </w:tc>
        <w:tc>
          <w:tcPr>
            <w:tcW w:w="537" w:type="pct"/>
            <w:vMerge w:val="restart"/>
            <w:vAlign w:val="center"/>
          </w:tcPr>
          <w:p w14:paraId="2C35ED0F" w14:textId="77777777" w:rsidR="007F4F51" w:rsidRPr="00AD3857" w:rsidRDefault="007F4F51" w:rsidP="00F55E21">
            <w:pPr>
              <w:pStyle w:val="TableText0"/>
              <w:widowControl w:val="0"/>
            </w:pPr>
            <w:r w:rsidRPr="00AD3857">
              <w:t>183</w:t>
            </w:r>
          </w:p>
          <w:p w14:paraId="2BD415E4" w14:textId="77777777" w:rsidR="007F4F51" w:rsidRPr="00AD3857" w:rsidRDefault="007F4F51" w:rsidP="00F55E21">
            <w:pPr>
              <w:pStyle w:val="TableText0"/>
              <w:widowControl w:val="0"/>
            </w:pPr>
            <w:r w:rsidRPr="00AD3857">
              <w:t>adults</w:t>
            </w:r>
          </w:p>
        </w:tc>
        <w:tc>
          <w:tcPr>
            <w:tcW w:w="680" w:type="pct"/>
            <w:vMerge w:val="restart"/>
            <w:vAlign w:val="center"/>
          </w:tcPr>
          <w:p w14:paraId="0258A393" w14:textId="77777777" w:rsidR="007F4F51" w:rsidRPr="00AD3857" w:rsidRDefault="007F4F51" w:rsidP="00F55E21">
            <w:pPr>
              <w:pStyle w:val="TableText0"/>
              <w:widowControl w:val="0"/>
            </w:pPr>
            <w:r w:rsidRPr="0008659F">
              <w:rPr>
                <w:i/>
                <w:iCs/>
              </w:rPr>
              <w:t>Post hoc</w:t>
            </w:r>
            <w:r w:rsidRPr="00AD3857">
              <w:t xml:space="preserve"> subgroup analysis of Wollenberg 2008</w:t>
            </w:r>
          </w:p>
        </w:tc>
        <w:tc>
          <w:tcPr>
            <w:tcW w:w="591" w:type="pct"/>
            <w:vMerge w:val="restart"/>
            <w:vAlign w:val="center"/>
          </w:tcPr>
          <w:p w14:paraId="1D87E66B" w14:textId="77777777" w:rsidR="007F4F51" w:rsidRPr="00AD3857" w:rsidRDefault="007F4F51" w:rsidP="00F55E21">
            <w:pPr>
              <w:pStyle w:val="TableText0"/>
              <w:widowControl w:val="0"/>
            </w:pPr>
            <w:r w:rsidRPr="00AD3857">
              <w:t>High</w:t>
            </w:r>
          </w:p>
        </w:tc>
        <w:tc>
          <w:tcPr>
            <w:tcW w:w="607" w:type="pct"/>
            <w:vMerge w:val="restart"/>
            <w:vAlign w:val="center"/>
          </w:tcPr>
          <w:p w14:paraId="019F4A34" w14:textId="77777777" w:rsidR="007F4F51" w:rsidRPr="00AD3857" w:rsidRDefault="007F4F51" w:rsidP="00F55E21">
            <w:pPr>
              <w:pStyle w:val="TableText0"/>
              <w:widowControl w:val="0"/>
            </w:pPr>
            <w:r w:rsidRPr="00AD3857">
              <w:t>Adults ≥16 years with moderate to severe AD</w:t>
            </w:r>
          </w:p>
        </w:tc>
        <w:tc>
          <w:tcPr>
            <w:tcW w:w="1542" w:type="pct"/>
            <w:vAlign w:val="center"/>
          </w:tcPr>
          <w:p w14:paraId="56EE6144" w14:textId="77777777" w:rsidR="007F4F51" w:rsidRPr="00AD3857" w:rsidRDefault="007F4F51" w:rsidP="00F55E21">
            <w:pPr>
              <w:pStyle w:val="TableText0"/>
              <w:widowControl w:val="0"/>
            </w:pPr>
            <w:r w:rsidRPr="00AD3857">
              <w:t>Number of major flares</w:t>
            </w:r>
            <w:r w:rsidRPr="00AD3857">
              <w:rPr>
                <w:vertAlign w:val="superscript"/>
              </w:rPr>
              <w:t>g</w:t>
            </w:r>
          </w:p>
          <w:p w14:paraId="12164646" w14:textId="77777777" w:rsidR="007F4F51" w:rsidRPr="00AD3857" w:rsidRDefault="007F4F51" w:rsidP="00F55E21">
            <w:pPr>
              <w:pStyle w:val="TableText0"/>
              <w:widowControl w:val="0"/>
            </w:pPr>
            <w:r w:rsidRPr="00AD3857">
              <w:t>Number of any flares</w:t>
            </w:r>
          </w:p>
          <w:p w14:paraId="7B929ED4" w14:textId="77777777" w:rsidR="007F4F51" w:rsidRPr="00AD3857" w:rsidRDefault="007F4F51" w:rsidP="00F55E21">
            <w:pPr>
              <w:pStyle w:val="TableText0"/>
              <w:widowControl w:val="0"/>
            </w:pPr>
            <w:r w:rsidRPr="00AD3857">
              <w:t>Number of patients without a major flare</w:t>
            </w:r>
          </w:p>
          <w:p w14:paraId="42E41C15" w14:textId="77777777" w:rsidR="007F4F51" w:rsidRPr="00AD3857" w:rsidRDefault="007F4F51" w:rsidP="00F55E21">
            <w:pPr>
              <w:pStyle w:val="TableText0"/>
              <w:widowControl w:val="0"/>
            </w:pPr>
            <w:r w:rsidRPr="00AD3857">
              <w:t>Number of patients without a flare</w:t>
            </w:r>
          </w:p>
          <w:p w14:paraId="44162F37" w14:textId="77777777" w:rsidR="007F4F51" w:rsidRPr="00AD3857" w:rsidRDefault="007F4F51" w:rsidP="00F55E21">
            <w:pPr>
              <w:pStyle w:val="TableText0"/>
              <w:widowControl w:val="0"/>
            </w:pPr>
            <w:r w:rsidRPr="00AD3857">
              <w:t>Time to first major flare</w:t>
            </w:r>
          </w:p>
        </w:tc>
        <w:tc>
          <w:tcPr>
            <w:tcW w:w="535" w:type="pct"/>
            <w:vAlign w:val="center"/>
          </w:tcPr>
          <w:p w14:paraId="221E25CD" w14:textId="77777777" w:rsidR="007F4F51" w:rsidRPr="00AD3857" w:rsidRDefault="007F4F51" w:rsidP="00F55E21">
            <w:pPr>
              <w:pStyle w:val="TableText0"/>
              <w:widowControl w:val="0"/>
            </w:pPr>
            <w:r w:rsidRPr="00AD3857">
              <w:t>Used</w:t>
            </w:r>
          </w:p>
        </w:tc>
      </w:tr>
      <w:tr w:rsidR="007F4F51" w:rsidRPr="00AD3857" w14:paraId="1BBCF11D" w14:textId="77777777" w:rsidTr="00DD79CD">
        <w:trPr>
          <w:cantSplit/>
        </w:trPr>
        <w:tc>
          <w:tcPr>
            <w:tcW w:w="507" w:type="pct"/>
            <w:vMerge/>
            <w:vAlign w:val="center"/>
          </w:tcPr>
          <w:p w14:paraId="15617F16" w14:textId="77777777" w:rsidR="007F4F51" w:rsidRPr="00AD3857" w:rsidRDefault="007F4F51">
            <w:pPr>
              <w:pStyle w:val="TableText0"/>
              <w:keepNext w:val="0"/>
              <w:keepLines w:val="0"/>
              <w:widowControl w:val="0"/>
            </w:pPr>
          </w:p>
        </w:tc>
        <w:tc>
          <w:tcPr>
            <w:tcW w:w="537" w:type="pct"/>
            <w:vMerge/>
            <w:vAlign w:val="center"/>
          </w:tcPr>
          <w:p w14:paraId="58552444" w14:textId="77777777" w:rsidR="007F4F51" w:rsidRPr="00AD3857" w:rsidRDefault="007F4F51">
            <w:pPr>
              <w:pStyle w:val="TableText0"/>
              <w:keepNext w:val="0"/>
              <w:keepLines w:val="0"/>
              <w:widowControl w:val="0"/>
            </w:pPr>
          </w:p>
        </w:tc>
        <w:tc>
          <w:tcPr>
            <w:tcW w:w="680" w:type="pct"/>
            <w:vMerge/>
            <w:vAlign w:val="center"/>
          </w:tcPr>
          <w:p w14:paraId="555D2429" w14:textId="77777777" w:rsidR="007F4F51" w:rsidRPr="00AD3857" w:rsidRDefault="007F4F51">
            <w:pPr>
              <w:pStyle w:val="TableText0"/>
              <w:keepNext w:val="0"/>
              <w:keepLines w:val="0"/>
              <w:widowControl w:val="0"/>
            </w:pPr>
          </w:p>
        </w:tc>
        <w:tc>
          <w:tcPr>
            <w:tcW w:w="591" w:type="pct"/>
            <w:vMerge/>
            <w:vAlign w:val="center"/>
          </w:tcPr>
          <w:p w14:paraId="71412277" w14:textId="77777777" w:rsidR="007F4F51" w:rsidRPr="00AD3857" w:rsidRDefault="007F4F51">
            <w:pPr>
              <w:pStyle w:val="TableText0"/>
              <w:keepNext w:val="0"/>
              <w:keepLines w:val="0"/>
              <w:widowControl w:val="0"/>
            </w:pPr>
          </w:p>
        </w:tc>
        <w:tc>
          <w:tcPr>
            <w:tcW w:w="607" w:type="pct"/>
            <w:vMerge/>
            <w:vAlign w:val="center"/>
          </w:tcPr>
          <w:p w14:paraId="6AD42CCF" w14:textId="77777777" w:rsidR="007F4F51" w:rsidRPr="00AD3857" w:rsidRDefault="007F4F51">
            <w:pPr>
              <w:pStyle w:val="TableText0"/>
              <w:keepNext w:val="0"/>
              <w:keepLines w:val="0"/>
              <w:widowControl w:val="0"/>
            </w:pPr>
          </w:p>
        </w:tc>
        <w:tc>
          <w:tcPr>
            <w:tcW w:w="1542" w:type="pct"/>
            <w:vAlign w:val="center"/>
          </w:tcPr>
          <w:p w14:paraId="68C7EB85" w14:textId="77777777" w:rsidR="007F4F51" w:rsidRPr="00AD3857" w:rsidRDefault="007F4F51">
            <w:pPr>
              <w:pStyle w:val="TableText0"/>
              <w:keepNext w:val="0"/>
              <w:keepLines w:val="0"/>
              <w:widowControl w:val="0"/>
            </w:pPr>
            <w:r w:rsidRPr="00AD3857">
              <w:t>Number of days of flare treatment</w:t>
            </w:r>
          </w:p>
          <w:p w14:paraId="58A343ED" w14:textId="77777777" w:rsidR="007F4F51" w:rsidRPr="00AD3857" w:rsidRDefault="007F4F51">
            <w:pPr>
              <w:pStyle w:val="TableText0"/>
              <w:keepNext w:val="0"/>
              <w:keepLines w:val="0"/>
              <w:widowControl w:val="0"/>
            </w:pPr>
            <w:r w:rsidRPr="00AD3857">
              <w:t>Time to first flare</w:t>
            </w:r>
          </w:p>
          <w:p w14:paraId="0A71C98C" w14:textId="77777777" w:rsidR="007F4F51" w:rsidRPr="00AD3857" w:rsidRDefault="007F4F51">
            <w:pPr>
              <w:pStyle w:val="TableText0"/>
              <w:keepNext w:val="0"/>
              <w:keepLines w:val="0"/>
              <w:widowControl w:val="0"/>
            </w:pPr>
            <w:r w:rsidRPr="00AD3857">
              <w:t>Tacrolimus ointment use</w:t>
            </w:r>
          </w:p>
          <w:p w14:paraId="4A4DA94B" w14:textId="77777777" w:rsidR="007F4F51" w:rsidRPr="00AD3857" w:rsidRDefault="007F4F51">
            <w:pPr>
              <w:pStyle w:val="TableText0"/>
              <w:keepNext w:val="0"/>
              <w:keepLines w:val="0"/>
              <w:widowControl w:val="0"/>
            </w:pPr>
            <w:r w:rsidRPr="00AD3857">
              <w:t>DLQI score</w:t>
            </w:r>
          </w:p>
          <w:p w14:paraId="20648D3F" w14:textId="77777777" w:rsidR="007F4F51" w:rsidRPr="00AD3857" w:rsidRDefault="007F4F51">
            <w:pPr>
              <w:pStyle w:val="TableText0"/>
              <w:keepNext w:val="0"/>
              <w:keepLines w:val="0"/>
              <w:widowControl w:val="0"/>
            </w:pPr>
            <w:r w:rsidRPr="00AD3857">
              <w:t>Safety</w:t>
            </w:r>
          </w:p>
        </w:tc>
        <w:tc>
          <w:tcPr>
            <w:tcW w:w="535" w:type="pct"/>
            <w:vAlign w:val="center"/>
          </w:tcPr>
          <w:p w14:paraId="4C8B6C0C" w14:textId="77777777" w:rsidR="007F4F51" w:rsidRPr="00AD3857" w:rsidRDefault="007F4F51">
            <w:pPr>
              <w:pStyle w:val="TableText0"/>
              <w:keepNext w:val="0"/>
              <w:keepLines w:val="0"/>
              <w:widowControl w:val="0"/>
            </w:pPr>
            <w:r w:rsidRPr="00AD3857">
              <w:t>Not used</w:t>
            </w:r>
          </w:p>
        </w:tc>
      </w:tr>
      <w:tr w:rsidR="007F4F51" w:rsidRPr="00AD3857" w14:paraId="0BEB1E2A" w14:textId="77777777" w:rsidTr="00DD79CD">
        <w:trPr>
          <w:cantSplit/>
        </w:trPr>
        <w:tc>
          <w:tcPr>
            <w:tcW w:w="5000" w:type="pct"/>
            <w:gridSpan w:val="7"/>
            <w:vAlign w:val="center"/>
          </w:tcPr>
          <w:p w14:paraId="3A7A9677" w14:textId="0AE4FF3A" w:rsidR="007F4F51" w:rsidRPr="00AD3857" w:rsidRDefault="007F4F51">
            <w:pPr>
              <w:pStyle w:val="TableText0"/>
              <w:keepNext w:val="0"/>
              <w:keepLines w:val="0"/>
              <w:widowControl w:val="0"/>
              <w:rPr>
                <w:b/>
                <w:bCs w:val="0"/>
              </w:rPr>
            </w:pPr>
            <w:r w:rsidRPr="00AD3857">
              <w:rPr>
                <w:b/>
                <w:bCs w:val="0"/>
              </w:rPr>
              <w:t>Long-term extension study</w:t>
            </w:r>
            <w:r w:rsidR="00072C71" w:rsidRPr="00AD3857">
              <w:rPr>
                <w:b/>
                <w:bCs w:val="0"/>
              </w:rPr>
              <w:t xml:space="preserve"> of Wollenberg 2008</w:t>
            </w:r>
          </w:p>
        </w:tc>
      </w:tr>
      <w:tr w:rsidR="007F4F51" w:rsidRPr="00AD3857" w14:paraId="11EFF6C3" w14:textId="77777777" w:rsidTr="00DD79CD">
        <w:trPr>
          <w:cantSplit/>
        </w:trPr>
        <w:tc>
          <w:tcPr>
            <w:tcW w:w="507" w:type="pct"/>
            <w:vAlign w:val="center"/>
          </w:tcPr>
          <w:p w14:paraId="55F0D6F2" w14:textId="77777777" w:rsidR="007F4F51" w:rsidRPr="00AD3857" w:rsidRDefault="007F4F51">
            <w:pPr>
              <w:pStyle w:val="TableText0"/>
              <w:keepNext w:val="0"/>
              <w:keepLines w:val="0"/>
              <w:widowControl w:val="0"/>
            </w:pPr>
            <w:r w:rsidRPr="00AD3857">
              <w:t>Hanifin 2005</w:t>
            </w:r>
          </w:p>
        </w:tc>
        <w:tc>
          <w:tcPr>
            <w:tcW w:w="537" w:type="pct"/>
            <w:vAlign w:val="center"/>
          </w:tcPr>
          <w:p w14:paraId="1372E9C5" w14:textId="77777777" w:rsidR="007F4F51" w:rsidRPr="00AD3857" w:rsidRDefault="007F4F51">
            <w:pPr>
              <w:pStyle w:val="TableText0"/>
              <w:keepNext w:val="0"/>
              <w:keepLines w:val="0"/>
              <w:widowControl w:val="0"/>
            </w:pPr>
            <w:r w:rsidRPr="00AD3857">
              <w:t>408</w:t>
            </w:r>
          </w:p>
          <w:p w14:paraId="3A7ED49A" w14:textId="77777777" w:rsidR="007F4F51" w:rsidRPr="00AD3857" w:rsidRDefault="007F4F51">
            <w:pPr>
              <w:pStyle w:val="TableText0"/>
              <w:keepNext w:val="0"/>
              <w:keepLines w:val="0"/>
              <w:widowControl w:val="0"/>
            </w:pPr>
            <w:r w:rsidRPr="00AD3857">
              <w:t>adults</w:t>
            </w:r>
          </w:p>
        </w:tc>
        <w:tc>
          <w:tcPr>
            <w:tcW w:w="680" w:type="pct"/>
            <w:vAlign w:val="center"/>
          </w:tcPr>
          <w:p w14:paraId="2EAEEDF7" w14:textId="77777777" w:rsidR="007F4F51" w:rsidRPr="00AD3857" w:rsidRDefault="007F4F51">
            <w:pPr>
              <w:pStyle w:val="TableText0"/>
              <w:keepNext w:val="0"/>
              <w:keepLines w:val="0"/>
              <w:widowControl w:val="0"/>
            </w:pPr>
            <w:r w:rsidRPr="00AD3857">
              <w:t>OL, NC study</w:t>
            </w:r>
          </w:p>
          <w:p w14:paraId="07EBE44A" w14:textId="77777777" w:rsidR="007F4F51" w:rsidRPr="00AD3857" w:rsidRDefault="007F4F51">
            <w:pPr>
              <w:pStyle w:val="TableText0"/>
              <w:keepNext w:val="0"/>
              <w:keepLines w:val="0"/>
              <w:widowControl w:val="0"/>
            </w:pPr>
            <w:r w:rsidRPr="00AD3857">
              <w:t>Up to 4 years</w:t>
            </w:r>
          </w:p>
        </w:tc>
        <w:tc>
          <w:tcPr>
            <w:tcW w:w="591" w:type="pct"/>
            <w:vAlign w:val="center"/>
          </w:tcPr>
          <w:p w14:paraId="7FA1B043" w14:textId="77777777" w:rsidR="007F4F51" w:rsidRPr="00AD3857" w:rsidRDefault="007F4F51">
            <w:pPr>
              <w:pStyle w:val="TableText0"/>
              <w:keepNext w:val="0"/>
              <w:keepLines w:val="0"/>
              <w:widowControl w:val="0"/>
            </w:pPr>
            <w:r w:rsidRPr="00AD3857">
              <w:t>Uncertain</w:t>
            </w:r>
          </w:p>
        </w:tc>
        <w:tc>
          <w:tcPr>
            <w:tcW w:w="607" w:type="pct"/>
            <w:vAlign w:val="center"/>
          </w:tcPr>
          <w:p w14:paraId="78F4022F" w14:textId="77777777" w:rsidR="007F4F51" w:rsidRPr="00AD3857" w:rsidRDefault="007F4F51">
            <w:pPr>
              <w:pStyle w:val="TableText0"/>
              <w:keepNext w:val="0"/>
              <w:keepLines w:val="0"/>
              <w:widowControl w:val="0"/>
            </w:pPr>
            <w:r w:rsidRPr="00AD3857">
              <w:t>Adults ≥16 years with active AD</w:t>
            </w:r>
          </w:p>
        </w:tc>
        <w:tc>
          <w:tcPr>
            <w:tcW w:w="1542" w:type="pct"/>
            <w:vAlign w:val="center"/>
          </w:tcPr>
          <w:p w14:paraId="4404AB0D" w14:textId="3B3FD500" w:rsidR="007F4F51" w:rsidRPr="00AD3857" w:rsidRDefault="007F4F51">
            <w:pPr>
              <w:pStyle w:val="TableText0"/>
              <w:keepNext w:val="0"/>
              <w:keepLines w:val="0"/>
              <w:widowControl w:val="0"/>
            </w:pPr>
            <w:r w:rsidRPr="00AD3857">
              <w:t>Safety</w:t>
            </w:r>
          </w:p>
        </w:tc>
        <w:tc>
          <w:tcPr>
            <w:tcW w:w="535" w:type="pct"/>
            <w:vAlign w:val="center"/>
          </w:tcPr>
          <w:p w14:paraId="0222F3CF" w14:textId="1ADB2364" w:rsidR="007F4F51" w:rsidRPr="00AD3857" w:rsidRDefault="007F4F51">
            <w:pPr>
              <w:pStyle w:val="TableText0"/>
              <w:keepNext w:val="0"/>
              <w:keepLines w:val="0"/>
              <w:widowControl w:val="0"/>
            </w:pPr>
            <w:r w:rsidRPr="00AD3857">
              <w:t>Not used</w:t>
            </w:r>
          </w:p>
        </w:tc>
      </w:tr>
      <w:tr w:rsidR="007F4F51" w:rsidRPr="00AD3857" w14:paraId="7B5EE2B7" w14:textId="77777777" w:rsidTr="00DD79CD">
        <w:trPr>
          <w:cantSplit/>
        </w:trPr>
        <w:tc>
          <w:tcPr>
            <w:tcW w:w="5000" w:type="pct"/>
            <w:gridSpan w:val="7"/>
            <w:vAlign w:val="center"/>
          </w:tcPr>
          <w:p w14:paraId="3DDA50E9" w14:textId="63E96441" w:rsidR="007F4F51" w:rsidRPr="00AD3857" w:rsidRDefault="007F4F51">
            <w:pPr>
              <w:pStyle w:val="TableText0"/>
              <w:keepNext w:val="0"/>
              <w:keepLines w:val="0"/>
              <w:widowControl w:val="0"/>
              <w:rPr>
                <w:b/>
                <w:bCs w:val="0"/>
              </w:rPr>
            </w:pPr>
            <w:r w:rsidRPr="00AD3857">
              <w:rPr>
                <w:b/>
                <w:bCs w:val="0"/>
              </w:rPr>
              <w:t>Treatment of moderate AD flares on the face and eyelids (0.1% TAC vs 1% PIM)</w:t>
            </w:r>
          </w:p>
        </w:tc>
      </w:tr>
      <w:tr w:rsidR="007F4F51" w:rsidRPr="00AD3857" w14:paraId="25095DF2" w14:textId="77777777" w:rsidTr="00DD79CD">
        <w:trPr>
          <w:cantSplit/>
        </w:trPr>
        <w:tc>
          <w:tcPr>
            <w:tcW w:w="507" w:type="pct"/>
            <w:vAlign w:val="center"/>
          </w:tcPr>
          <w:p w14:paraId="022C9227" w14:textId="0BB802E9" w:rsidR="007F4F51" w:rsidRPr="00AD3857" w:rsidRDefault="007F4F51">
            <w:pPr>
              <w:pStyle w:val="TableText0"/>
              <w:keepNext w:val="0"/>
              <w:keepLines w:val="0"/>
              <w:widowControl w:val="0"/>
            </w:pPr>
            <w:r w:rsidRPr="00AD3857">
              <w:t>Paller 2005</w:t>
            </w:r>
          </w:p>
        </w:tc>
        <w:tc>
          <w:tcPr>
            <w:tcW w:w="537" w:type="pct"/>
            <w:vAlign w:val="center"/>
          </w:tcPr>
          <w:p w14:paraId="02EF8577" w14:textId="77777777" w:rsidR="007F4F51" w:rsidRPr="00AD3857" w:rsidRDefault="007F4F51">
            <w:pPr>
              <w:pStyle w:val="TableText0"/>
              <w:keepNext w:val="0"/>
              <w:keepLines w:val="0"/>
              <w:widowControl w:val="0"/>
            </w:pPr>
            <w:r w:rsidRPr="00AD3857">
              <w:t>413</w:t>
            </w:r>
          </w:p>
          <w:p w14:paraId="39DFC88D" w14:textId="77777777" w:rsidR="007F4F51" w:rsidRPr="00AD3857" w:rsidRDefault="007F4F51">
            <w:pPr>
              <w:pStyle w:val="TableText0"/>
              <w:keepNext w:val="0"/>
              <w:keepLines w:val="0"/>
              <w:widowControl w:val="0"/>
            </w:pPr>
            <w:r w:rsidRPr="00AD3857">
              <w:t>adults</w:t>
            </w:r>
          </w:p>
        </w:tc>
        <w:tc>
          <w:tcPr>
            <w:tcW w:w="680" w:type="pct"/>
            <w:vAlign w:val="center"/>
          </w:tcPr>
          <w:p w14:paraId="591D9B0A" w14:textId="77777777" w:rsidR="007F4F51" w:rsidRPr="00AD3857" w:rsidRDefault="007F4F51">
            <w:pPr>
              <w:pStyle w:val="TableText0"/>
              <w:keepNext w:val="0"/>
              <w:keepLines w:val="0"/>
              <w:widowControl w:val="0"/>
            </w:pPr>
            <w:r w:rsidRPr="00AD3857">
              <w:t>IB, MC, three RCTs</w:t>
            </w:r>
          </w:p>
          <w:p w14:paraId="5FD1AE51" w14:textId="77777777" w:rsidR="007F4F51" w:rsidRPr="00AD3857" w:rsidRDefault="007F4F51">
            <w:pPr>
              <w:pStyle w:val="TableText0"/>
              <w:keepNext w:val="0"/>
              <w:keepLines w:val="0"/>
              <w:widowControl w:val="0"/>
            </w:pPr>
            <w:r w:rsidRPr="00AD3857">
              <w:t>Up to 6 weeks</w:t>
            </w:r>
          </w:p>
        </w:tc>
        <w:tc>
          <w:tcPr>
            <w:tcW w:w="591" w:type="pct"/>
            <w:vAlign w:val="center"/>
          </w:tcPr>
          <w:p w14:paraId="0A19318C" w14:textId="77777777" w:rsidR="007F4F51" w:rsidRPr="00AD3857" w:rsidRDefault="007F4F51">
            <w:pPr>
              <w:pStyle w:val="TableText0"/>
              <w:keepNext w:val="0"/>
              <w:keepLines w:val="0"/>
              <w:widowControl w:val="0"/>
            </w:pPr>
            <w:r w:rsidRPr="00AD3857">
              <w:t>Uncertain</w:t>
            </w:r>
          </w:p>
        </w:tc>
        <w:tc>
          <w:tcPr>
            <w:tcW w:w="607" w:type="pct"/>
            <w:vAlign w:val="center"/>
          </w:tcPr>
          <w:p w14:paraId="038E6C5A" w14:textId="77777777" w:rsidR="007F4F51" w:rsidRPr="00AD3857" w:rsidRDefault="007F4F51">
            <w:pPr>
              <w:pStyle w:val="TableText0"/>
              <w:keepNext w:val="0"/>
              <w:keepLines w:val="0"/>
              <w:widowControl w:val="0"/>
            </w:pPr>
            <w:r w:rsidRPr="00AD3857">
              <w:t>Adults ≥16 years with mild to very severe AD</w:t>
            </w:r>
          </w:p>
        </w:tc>
        <w:tc>
          <w:tcPr>
            <w:tcW w:w="1542" w:type="pct"/>
            <w:vMerge w:val="restart"/>
            <w:vAlign w:val="center"/>
          </w:tcPr>
          <w:p w14:paraId="09DF7DC8" w14:textId="77777777" w:rsidR="007F4F51" w:rsidRPr="00AD3857" w:rsidRDefault="007F4F51">
            <w:pPr>
              <w:pStyle w:val="TableText0"/>
              <w:keepNext w:val="0"/>
              <w:keepLines w:val="0"/>
              <w:widowControl w:val="0"/>
            </w:pPr>
            <w:r w:rsidRPr="00AD3857">
              <w:t>Change in EASI score</w:t>
            </w:r>
          </w:p>
          <w:p w14:paraId="5DE92743" w14:textId="77777777" w:rsidR="007F4F51" w:rsidRPr="00AD3857" w:rsidRDefault="007F4F51">
            <w:pPr>
              <w:pStyle w:val="TableText0"/>
              <w:keepNext w:val="0"/>
              <w:keepLines w:val="0"/>
              <w:widowControl w:val="0"/>
            </w:pPr>
            <w:r w:rsidRPr="00AD3857">
              <w:t>Success of therapy based on the IGADA</w:t>
            </w:r>
          </w:p>
          <w:p w14:paraId="54942BBA" w14:textId="77777777" w:rsidR="007F4F51" w:rsidRPr="00AD3857" w:rsidRDefault="007F4F51">
            <w:pPr>
              <w:pStyle w:val="TableText0"/>
              <w:keepNext w:val="0"/>
              <w:keepLines w:val="0"/>
              <w:widowControl w:val="0"/>
            </w:pPr>
            <w:r w:rsidRPr="00AD3857">
              <w:t>Improvement in IGADA</w:t>
            </w:r>
          </w:p>
          <w:p w14:paraId="535E581C" w14:textId="77777777" w:rsidR="007F4F51" w:rsidRPr="00AD3857" w:rsidRDefault="007F4F51">
            <w:pPr>
              <w:pStyle w:val="TableText0"/>
              <w:keepNext w:val="0"/>
              <w:keepLines w:val="0"/>
              <w:widowControl w:val="0"/>
            </w:pPr>
            <w:r w:rsidRPr="00AD3857">
              <w:t>The Physician’s assessment of Individual Signs</w:t>
            </w:r>
          </w:p>
          <w:p w14:paraId="65670655" w14:textId="77777777" w:rsidR="007F4F51" w:rsidRPr="00AD3857" w:rsidRDefault="007F4F51">
            <w:pPr>
              <w:pStyle w:val="TableText0"/>
              <w:keepNext w:val="0"/>
              <w:keepLines w:val="0"/>
              <w:widowControl w:val="0"/>
            </w:pPr>
            <w:r w:rsidRPr="00AD3857">
              <w:t>%BSA affected</w:t>
            </w:r>
          </w:p>
          <w:p w14:paraId="3C6AD4C1" w14:textId="77777777" w:rsidR="007F4F51" w:rsidRPr="00AD3857" w:rsidRDefault="007F4F51">
            <w:pPr>
              <w:pStyle w:val="TableText0"/>
              <w:keepNext w:val="0"/>
              <w:keepLines w:val="0"/>
              <w:widowControl w:val="0"/>
            </w:pPr>
            <w:r w:rsidRPr="00AD3857">
              <w:t>Safety</w:t>
            </w:r>
          </w:p>
        </w:tc>
        <w:tc>
          <w:tcPr>
            <w:tcW w:w="535" w:type="pct"/>
            <w:vMerge w:val="restart"/>
            <w:vAlign w:val="center"/>
          </w:tcPr>
          <w:p w14:paraId="6970BCD6" w14:textId="77777777" w:rsidR="007F4F51" w:rsidRPr="00AD3857" w:rsidRDefault="007F4F51">
            <w:pPr>
              <w:pStyle w:val="TableText0"/>
              <w:keepNext w:val="0"/>
              <w:keepLines w:val="0"/>
              <w:widowControl w:val="0"/>
            </w:pPr>
            <w:r w:rsidRPr="00AD3857">
              <w:t>Not used</w:t>
            </w:r>
          </w:p>
        </w:tc>
      </w:tr>
      <w:tr w:rsidR="007F4F51" w:rsidRPr="00AD3857" w14:paraId="2F73A3FF" w14:textId="77777777" w:rsidTr="00DD79CD">
        <w:trPr>
          <w:cantSplit/>
        </w:trPr>
        <w:tc>
          <w:tcPr>
            <w:tcW w:w="507" w:type="pct"/>
            <w:vAlign w:val="center"/>
          </w:tcPr>
          <w:p w14:paraId="7365DE95" w14:textId="77777777" w:rsidR="007F4F51" w:rsidRPr="00AD3857" w:rsidRDefault="007F4F51">
            <w:pPr>
              <w:pStyle w:val="TableText0"/>
              <w:keepNext w:val="0"/>
              <w:keepLines w:val="0"/>
              <w:widowControl w:val="0"/>
            </w:pPr>
            <w:r w:rsidRPr="00AD3857">
              <w:t>Fleischer 2007</w:t>
            </w:r>
          </w:p>
        </w:tc>
        <w:tc>
          <w:tcPr>
            <w:tcW w:w="537" w:type="pct"/>
            <w:vAlign w:val="center"/>
          </w:tcPr>
          <w:p w14:paraId="2618F9E2" w14:textId="77777777" w:rsidR="007F4F51" w:rsidRPr="00AD3857" w:rsidRDefault="007F4F51">
            <w:pPr>
              <w:pStyle w:val="TableText0"/>
              <w:keepNext w:val="0"/>
              <w:keepLines w:val="0"/>
              <w:widowControl w:val="0"/>
            </w:pPr>
            <w:r w:rsidRPr="00AD3857">
              <w:t>281</w:t>
            </w:r>
          </w:p>
          <w:p w14:paraId="27372167" w14:textId="77777777" w:rsidR="007F4F51" w:rsidRPr="00AD3857" w:rsidRDefault="007F4F51">
            <w:pPr>
              <w:pStyle w:val="TableText0"/>
              <w:keepNext w:val="0"/>
              <w:keepLines w:val="0"/>
              <w:widowControl w:val="0"/>
            </w:pPr>
            <w:r w:rsidRPr="00AD3857">
              <w:t>adults</w:t>
            </w:r>
          </w:p>
        </w:tc>
        <w:tc>
          <w:tcPr>
            <w:tcW w:w="680" w:type="pct"/>
            <w:vAlign w:val="center"/>
          </w:tcPr>
          <w:p w14:paraId="09093F24" w14:textId="77777777" w:rsidR="007F4F51" w:rsidRPr="00AD3857" w:rsidRDefault="007F4F51">
            <w:pPr>
              <w:pStyle w:val="TableText0"/>
              <w:keepNext w:val="0"/>
              <w:keepLines w:val="0"/>
              <w:widowControl w:val="0"/>
            </w:pPr>
            <w:r w:rsidRPr="0008659F">
              <w:rPr>
                <w:i/>
                <w:iCs/>
              </w:rPr>
              <w:t>Post hoc</w:t>
            </w:r>
            <w:r w:rsidRPr="00AD3857">
              <w:t xml:space="preserve"> subgroup analysis of Paller 2005</w:t>
            </w:r>
          </w:p>
        </w:tc>
        <w:tc>
          <w:tcPr>
            <w:tcW w:w="591" w:type="pct"/>
            <w:vAlign w:val="center"/>
          </w:tcPr>
          <w:p w14:paraId="42C80FEF" w14:textId="77777777" w:rsidR="007F4F51" w:rsidRPr="00AD3857" w:rsidRDefault="007F4F51">
            <w:pPr>
              <w:pStyle w:val="TableText0"/>
              <w:keepNext w:val="0"/>
              <w:keepLines w:val="0"/>
              <w:widowControl w:val="0"/>
            </w:pPr>
            <w:r w:rsidRPr="00AD3857">
              <w:t>High</w:t>
            </w:r>
          </w:p>
        </w:tc>
        <w:tc>
          <w:tcPr>
            <w:tcW w:w="607" w:type="pct"/>
            <w:vAlign w:val="center"/>
          </w:tcPr>
          <w:p w14:paraId="10182516" w14:textId="77777777" w:rsidR="007F4F51" w:rsidRPr="00AD3857" w:rsidRDefault="007F4F51">
            <w:pPr>
              <w:pStyle w:val="TableText0"/>
              <w:keepNext w:val="0"/>
              <w:keepLines w:val="0"/>
              <w:widowControl w:val="0"/>
            </w:pPr>
            <w:r w:rsidRPr="00AD3857">
              <w:t>Adults ≥16 years with moderate to very severe AD</w:t>
            </w:r>
          </w:p>
        </w:tc>
        <w:tc>
          <w:tcPr>
            <w:tcW w:w="1542" w:type="pct"/>
            <w:vMerge/>
            <w:vAlign w:val="center"/>
          </w:tcPr>
          <w:p w14:paraId="095367A1" w14:textId="77777777" w:rsidR="007F4F51" w:rsidRPr="00AD3857" w:rsidRDefault="007F4F51">
            <w:pPr>
              <w:pStyle w:val="TableText0"/>
              <w:keepNext w:val="0"/>
              <w:keepLines w:val="0"/>
              <w:widowControl w:val="0"/>
            </w:pPr>
          </w:p>
        </w:tc>
        <w:tc>
          <w:tcPr>
            <w:tcW w:w="535" w:type="pct"/>
            <w:vMerge/>
            <w:vAlign w:val="center"/>
          </w:tcPr>
          <w:p w14:paraId="5FBB4C86" w14:textId="77777777" w:rsidR="007F4F51" w:rsidRPr="00AD3857" w:rsidRDefault="007F4F51">
            <w:pPr>
              <w:pStyle w:val="TableText0"/>
              <w:keepNext w:val="0"/>
              <w:keepLines w:val="0"/>
              <w:widowControl w:val="0"/>
            </w:pPr>
          </w:p>
        </w:tc>
      </w:tr>
      <w:tr w:rsidR="007F4F51" w:rsidRPr="00AD3857" w14:paraId="5ACCBD88" w14:textId="77777777" w:rsidTr="00DD79CD">
        <w:trPr>
          <w:cantSplit/>
        </w:trPr>
        <w:tc>
          <w:tcPr>
            <w:tcW w:w="507" w:type="pct"/>
            <w:vAlign w:val="center"/>
          </w:tcPr>
          <w:p w14:paraId="02673606" w14:textId="77777777" w:rsidR="007F4F51" w:rsidRPr="00AD3857" w:rsidRDefault="007F4F51">
            <w:pPr>
              <w:pStyle w:val="TableText0"/>
              <w:keepNext w:val="0"/>
              <w:keepLines w:val="0"/>
              <w:widowControl w:val="0"/>
            </w:pPr>
            <w:r w:rsidRPr="00AD3857">
              <w:t>Abramovits 2008</w:t>
            </w:r>
          </w:p>
        </w:tc>
        <w:tc>
          <w:tcPr>
            <w:tcW w:w="537" w:type="pct"/>
            <w:vAlign w:val="center"/>
          </w:tcPr>
          <w:p w14:paraId="4C902320" w14:textId="77777777" w:rsidR="007F4F51" w:rsidRPr="00AD3857" w:rsidRDefault="007F4F51">
            <w:pPr>
              <w:pStyle w:val="TableText0"/>
              <w:keepNext w:val="0"/>
              <w:keepLines w:val="0"/>
              <w:widowControl w:val="0"/>
            </w:pPr>
            <w:r w:rsidRPr="00AD3857">
              <w:t>188</w:t>
            </w:r>
          </w:p>
          <w:p w14:paraId="50A05D24" w14:textId="77777777" w:rsidR="007F4F51" w:rsidRPr="00AD3857" w:rsidRDefault="007F4F51">
            <w:pPr>
              <w:pStyle w:val="TableText0"/>
              <w:keepNext w:val="0"/>
              <w:keepLines w:val="0"/>
              <w:widowControl w:val="0"/>
            </w:pPr>
            <w:r w:rsidRPr="00AD3857">
              <w:t>adults</w:t>
            </w:r>
          </w:p>
        </w:tc>
        <w:tc>
          <w:tcPr>
            <w:tcW w:w="680" w:type="pct"/>
            <w:vAlign w:val="center"/>
          </w:tcPr>
          <w:p w14:paraId="332208BE" w14:textId="77777777" w:rsidR="007F4F51" w:rsidRPr="00AD3857" w:rsidRDefault="007F4F51">
            <w:pPr>
              <w:pStyle w:val="TableText0"/>
              <w:keepNext w:val="0"/>
              <w:keepLines w:val="0"/>
              <w:widowControl w:val="0"/>
            </w:pPr>
            <w:r w:rsidRPr="0008659F">
              <w:rPr>
                <w:i/>
                <w:iCs/>
              </w:rPr>
              <w:t>Post hoc</w:t>
            </w:r>
            <w:r w:rsidRPr="00AD3857">
              <w:t xml:space="preserve"> subgroup analysis of Paller 2005</w:t>
            </w:r>
          </w:p>
        </w:tc>
        <w:tc>
          <w:tcPr>
            <w:tcW w:w="591" w:type="pct"/>
            <w:vAlign w:val="center"/>
          </w:tcPr>
          <w:p w14:paraId="3BB6329F" w14:textId="77777777" w:rsidR="007F4F51" w:rsidRPr="00AD3857" w:rsidRDefault="007F4F51">
            <w:pPr>
              <w:pStyle w:val="TableText0"/>
              <w:keepNext w:val="0"/>
              <w:keepLines w:val="0"/>
              <w:widowControl w:val="0"/>
            </w:pPr>
            <w:r w:rsidRPr="00AD3857">
              <w:t>High</w:t>
            </w:r>
          </w:p>
        </w:tc>
        <w:tc>
          <w:tcPr>
            <w:tcW w:w="607" w:type="pct"/>
            <w:vAlign w:val="center"/>
          </w:tcPr>
          <w:p w14:paraId="57C0D02F" w14:textId="77777777" w:rsidR="007F4F51" w:rsidRPr="00AD3857" w:rsidRDefault="007F4F51">
            <w:pPr>
              <w:pStyle w:val="TableText0"/>
              <w:keepNext w:val="0"/>
              <w:keepLines w:val="0"/>
              <w:widowControl w:val="0"/>
            </w:pPr>
            <w:r w:rsidRPr="00AD3857">
              <w:t>Adults ≥16 years with moderate AD</w:t>
            </w:r>
          </w:p>
        </w:tc>
        <w:tc>
          <w:tcPr>
            <w:tcW w:w="1542" w:type="pct"/>
            <w:vMerge/>
            <w:vAlign w:val="center"/>
          </w:tcPr>
          <w:p w14:paraId="1AFF6D6C" w14:textId="77777777" w:rsidR="007F4F51" w:rsidRPr="00AD3857" w:rsidRDefault="007F4F51">
            <w:pPr>
              <w:pStyle w:val="TableText0"/>
              <w:keepNext w:val="0"/>
              <w:keepLines w:val="0"/>
              <w:widowControl w:val="0"/>
            </w:pPr>
          </w:p>
        </w:tc>
        <w:tc>
          <w:tcPr>
            <w:tcW w:w="535" w:type="pct"/>
            <w:vMerge/>
            <w:vAlign w:val="center"/>
          </w:tcPr>
          <w:p w14:paraId="5415939D" w14:textId="77777777" w:rsidR="007F4F51" w:rsidRPr="00AD3857" w:rsidRDefault="007F4F51">
            <w:pPr>
              <w:pStyle w:val="TableText0"/>
              <w:keepNext w:val="0"/>
              <w:keepLines w:val="0"/>
              <w:widowControl w:val="0"/>
            </w:pPr>
          </w:p>
        </w:tc>
      </w:tr>
    </w:tbl>
    <w:bookmarkEnd w:id="41"/>
    <w:p w14:paraId="7B8FFFE4" w14:textId="77777777" w:rsidR="007F4F51" w:rsidRPr="00E25906" w:rsidRDefault="007F4F51" w:rsidP="007F4F51">
      <w:pPr>
        <w:pStyle w:val="TableFigureFooter"/>
      </w:pPr>
      <w:r w:rsidRPr="00E25906">
        <w:t>Source: Table 2-5, p53 of the submission.</w:t>
      </w:r>
    </w:p>
    <w:p w14:paraId="5E58C6D6" w14:textId="77777777" w:rsidR="007F4F51" w:rsidRDefault="007F4F51" w:rsidP="007F4F51">
      <w:pPr>
        <w:pStyle w:val="TableFigureFooter"/>
      </w:pPr>
      <w:r w:rsidRPr="00E25906">
        <w:t xml:space="preserve">AD = atopic dermatitis; AE = adverse event; </w:t>
      </w:r>
      <w:r>
        <w:t xml:space="preserve">BSA = body surface area; </w:t>
      </w:r>
      <w:r w:rsidRPr="00E25906">
        <w:t xml:space="preserve">DB = double blind; DCP = disease control period; DLQI = Dermatology Life Quality Index; EASI = Eczema Area and Severity Index; IB = investigator-blinded; </w:t>
      </w:r>
      <w:r>
        <w:t>IGADA = Investigator Global Atopic Dermatitis</w:t>
      </w:r>
    </w:p>
    <w:p w14:paraId="0ED0E712" w14:textId="738C2B28" w:rsidR="007F4F51" w:rsidRPr="00E25906" w:rsidRDefault="007F4F51" w:rsidP="007F4F51">
      <w:pPr>
        <w:pStyle w:val="TableFigureFooter"/>
      </w:pPr>
      <w:r>
        <w:t xml:space="preserve">Assessment; </w:t>
      </w:r>
      <w:r w:rsidRPr="00E25906">
        <w:t>MC = multi-centre; NC = non-comparative; OL = open label; RCT = randomised controlled trial.</w:t>
      </w:r>
    </w:p>
    <w:p w14:paraId="7F3D6385" w14:textId="77777777" w:rsidR="007F4F51" w:rsidRPr="00E25906" w:rsidRDefault="007F4F51" w:rsidP="007F4F51">
      <w:pPr>
        <w:pStyle w:val="TableFigureFooter"/>
      </w:pPr>
      <w:r w:rsidRPr="00E25906">
        <w:rPr>
          <w:vertAlign w:val="superscript"/>
        </w:rPr>
        <w:t>a</w:t>
      </w:r>
      <w:r w:rsidRPr="00E25906">
        <w:t xml:space="preserve"> n/N is number of adults receiving 0.1% TAC or VO/the total number of adults </w:t>
      </w:r>
    </w:p>
    <w:p w14:paraId="711FD82E" w14:textId="77777777" w:rsidR="007F4F51" w:rsidRPr="00E25906" w:rsidRDefault="007F4F51" w:rsidP="007F4F51">
      <w:pPr>
        <w:pStyle w:val="TableFigureFooter"/>
      </w:pPr>
      <w:r w:rsidRPr="00E25906">
        <w:rPr>
          <w:vertAlign w:val="superscript"/>
        </w:rPr>
        <w:t>b</w:t>
      </w:r>
      <w:r w:rsidRPr="00E25906">
        <w:t xml:space="preserve"> Data for one 15-year-old patient enrolled in the adult study was not included.</w:t>
      </w:r>
    </w:p>
    <w:p w14:paraId="6DB54815" w14:textId="77777777" w:rsidR="007F4F51" w:rsidRPr="00E25906" w:rsidRDefault="007F4F51" w:rsidP="007F4F51">
      <w:pPr>
        <w:pStyle w:val="TableFigureFooter"/>
      </w:pPr>
      <w:r w:rsidRPr="00E25906">
        <w:rPr>
          <w:vertAlign w:val="superscript"/>
        </w:rPr>
        <w:t>c</w:t>
      </w:r>
      <w:r w:rsidRPr="00E25906">
        <w:t xml:space="preserve"> Includes patients receiving 0.03% TAC; the number of adults in the individual treatment arms included in the QoL analysis was not stated</w:t>
      </w:r>
      <w:r>
        <w:t xml:space="preserve"> and therefore the risk of bias was uncertain</w:t>
      </w:r>
    </w:p>
    <w:p w14:paraId="5E9B32B5" w14:textId="77777777" w:rsidR="007F4F51" w:rsidRPr="00E25906" w:rsidRDefault="007F4F51" w:rsidP="007F4F51">
      <w:pPr>
        <w:pStyle w:val="TableFigureFooter"/>
      </w:pPr>
      <w:r w:rsidRPr="003B4D07">
        <w:rPr>
          <w:vertAlign w:val="superscript"/>
        </w:rPr>
        <w:t>d</w:t>
      </w:r>
      <w:r>
        <w:t xml:space="preserve"> </w:t>
      </w:r>
      <w:r w:rsidRPr="003B4D07">
        <w:t>Score</w:t>
      </w:r>
      <w:r w:rsidRPr="00E25906">
        <w:t xml:space="preserve"> 1 = Change in the sum of the scores for erythema, oedema, and pruritus in the treated area from baseline to the completion of treatment</w:t>
      </w:r>
    </w:p>
    <w:p w14:paraId="02F524F2" w14:textId="77777777" w:rsidR="007F4F51" w:rsidRPr="00E25906" w:rsidRDefault="007F4F51" w:rsidP="007F4F51">
      <w:pPr>
        <w:pStyle w:val="TableFigureFooter"/>
      </w:pPr>
      <w:r w:rsidRPr="003B4D07">
        <w:rPr>
          <w:vertAlign w:val="superscript"/>
        </w:rPr>
        <w:t>e</w:t>
      </w:r>
      <w:r>
        <w:t xml:space="preserve"> </w:t>
      </w:r>
      <w:r w:rsidRPr="00E25906">
        <w:t>Score 2 = the sum of score 1 and the scores for oozing or crusting, excoriation, and lichenification of involved skin and dryness of non-involved skin from baseline to the completion of treatment</w:t>
      </w:r>
    </w:p>
    <w:p w14:paraId="11970D91" w14:textId="77777777" w:rsidR="007F4F51" w:rsidRDefault="007F4F51" w:rsidP="007F4F51">
      <w:pPr>
        <w:pStyle w:val="TableFigureFooter"/>
      </w:pPr>
      <w:r w:rsidRPr="003B4D07">
        <w:rPr>
          <w:vertAlign w:val="superscript"/>
        </w:rPr>
        <w:t xml:space="preserve">f </w:t>
      </w:r>
      <w:r w:rsidRPr="00E25906">
        <w:t>Treatment success defined as cleared or excellent improvement (90%-100% improvement) based physician’s global evaluation of clinical response.</w:t>
      </w:r>
    </w:p>
    <w:p w14:paraId="6AF02940" w14:textId="77777777" w:rsidR="007F4F51" w:rsidRDefault="007F4F51" w:rsidP="007F4F51">
      <w:pPr>
        <w:pStyle w:val="TableFigureFooter"/>
        <w:rPr>
          <w:vertAlign w:val="superscript"/>
        </w:rPr>
      </w:pPr>
      <w:r>
        <w:rPr>
          <w:vertAlign w:val="superscript"/>
        </w:rPr>
        <w:t>g</w:t>
      </w:r>
      <w:r>
        <w:t xml:space="preserve"> </w:t>
      </w:r>
      <w:r w:rsidRPr="00E25906">
        <w:t>Flare requiring a substantial therapeutic intervention which was defined as the use of 0.1% tacrolimus ointment for &gt;7 days to treat an IGA of 3–5 measured on day 1 of the DE treatment period. [IGA classification: 0, clear; 1, almost clear; 2, mild; 3, moderate; 4, severe; 5, very severe disease]. If a patient had two such flares with &lt;7 days separating them (with or without any type of treatment) then the episodes were combined and considered as one flare.</w:t>
      </w:r>
      <w:r w:rsidRPr="003B4D07">
        <w:rPr>
          <w:vertAlign w:val="superscript"/>
        </w:rPr>
        <w:t xml:space="preserve"> </w:t>
      </w:r>
    </w:p>
    <w:p w14:paraId="258A22CF" w14:textId="29EB572B" w:rsidR="007F4F51" w:rsidRPr="00E25906" w:rsidRDefault="007F4F51" w:rsidP="007F4F51">
      <w:pPr>
        <w:pStyle w:val="TableFigureFooter"/>
      </w:pPr>
      <w:r>
        <w:rPr>
          <w:vertAlign w:val="superscript"/>
        </w:rPr>
        <w:t>h</w:t>
      </w:r>
      <w:r>
        <w:t xml:space="preserve"> Investigator Global Atopic Dermatitis Assessment (IGADA) is a five-point severity rating scale from [0] clear to [5] severe AD.</w:t>
      </w:r>
    </w:p>
    <w:p w14:paraId="3F661958" w14:textId="77777777" w:rsidR="007F4F51" w:rsidRPr="006862A5" w:rsidRDefault="007F4F51" w:rsidP="007F4F51">
      <w:pPr>
        <w:pStyle w:val="3-BodyText"/>
        <w:rPr>
          <w:color w:val="0066FF"/>
        </w:rPr>
      </w:pPr>
      <w:r w:rsidRPr="00D86D87">
        <w:t xml:space="preserve">The </w:t>
      </w:r>
      <w:r>
        <w:t>key evidence was as follows:</w:t>
      </w:r>
      <w:r w:rsidRPr="00D86D87">
        <w:t xml:space="preserve"> </w:t>
      </w:r>
    </w:p>
    <w:p w14:paraId="4AE71D02" w14:textId="62665016" w:rsidR="007F4F51" w:rsidRPr="00224061" w:rsidRDefault="007F4F51" w:rsidP="007F4F51">
      <w:pPr>
        <w:pStyle w:val="3-BodyText"/>
        <w:numPr>
          <w:ilvl w:val="0"/>
          <w:numId w:val="0"/>
        </w:numPr>
        <w:ind w:left="720"/>
        <w:rPr>
          <w:b/>
        </w:rPr>
      </w:pPr>
      <w:r w:rsidRPr="00224061">
        <w:rPr>
          <w:b/>
        </w:rPr>
        <w:t>Treatment of moderate to severe AD flares (0.1% TAC vs VO twice daily)</w:t>
      </w:r>
      <w:r w:rsidR="002C6240" w:rsidRPr="00224061">
        <w:rPr>
          <w:b/>
        </w:rPr>
        <w:t>:</w:t>
      </w:r>
    </w:p>
    <w:p w14:paraId="1F50BFFA" w14:textId="77777777" w:rsidR="007F4F51" w:rsidRDefault="007F4F51" w:rsidP="00C0701D">
      <w:pPr>
        <w:pStyle w:val="3-BodyText"/>
        <w:numPr>
          <w:ilvl w:val="0"/>
          <w:numId w:val="20"/>
        </w:numPr>
      </w:pPr>
      <w:r w:rsidRPr="006862A5">
        <w:t xml:space="preserve">One 3-week </w:t>
      </w:r>
      <w:r>
        <w:t xml:space="preserve">RCT </w:t>
      </w:r>
      <w:r w:rsidRPr="006862A5">
        <w:t xml:space="preserve">of 0.1% </w:t>
      </w:r>
      <w:r>
        <w:t>TAC</w:t>
      </w:r>
      <w:r w:rsidRPr="006862A5">
        <w:t xml:space="preserve"> versus </w:t>
      </w:r>
      <w:r>
        <w:t>VO</w:t>
      </w:r>
      <w:r w:rsidRPr="006862A5">
        <w:t xml:space="preserve"> in adults with moderate to severe AD</w:t>
      </w:r>
      <w:r>
        <w:t xml:space="preserve"> (Ruzicka, 1997)</w:t>
      </w:r>
      <w:bookmarkStart w:id="43" w:name="_Ref198459553"/>
      <w:r>
        <w:rPr>
          <w:rStyle w:val="FootnoteReference"/>
        </w:rPr>
        <w:footnoteReference w:id="5"/>
      </w:r>
      <w:bookmarkEnd w:id="43"/>
    </w:p>
    <w:p w14:paraId="77E1A306" w14:textId="190B024D" w:rsidR="007F4F51" w:rsidRDefault="007F4F51" w:rsidP="00C0701D">
      <w:pPr>
        <w:pStyle w:val="3-BodyText"/>
        <w:numPr>
          <w:ilvl w:val="0"/>
          <w:numId w:val="20"/>
        </w:numPr>
      </w:pPr>
      <w:r>
        <w:t xml:space="preserve">Two </w:t>
      </w:r>
      <w:r w:rsidR="005B3B98">
        <w:t>identically designed</w:t>
      </w:r>
      <w:r>
        <w:t xml:space="preserve"> 12-week RCTs</w:t>
      </w:r>
      <w:r w:rsidRPr="00D86D87">
        <w:t xml:space="preserve"> </w:t>
      </w:r>
      <w:r>
        <w:t xml:space="preserve">in adults </w:t>
      </w:r>
      <w:r>
        <w:rPr>
          <w:rFonts w:cstheme="minorHAnsi"/>
        </w:rPr>
        <w:t>≥</w:t>
      </w:r>
      <w:r>
        <w:t>16 years with moderate to severe AD were reported in the following publications:</w:t>
      </w:r>
    </w:p>
    <w:p w14:paraId="263808C7" w14:textId="77777777" w:rsidR="007F4F51" w:rsidRDefault="007F4F51" w:rsidP="00C0701D">
      <w:pPr>
        <w:pStyle w:val="3-BodyText"/>
        <w:numPr>
          <w:ilvl w:val="0"/>
          <w:numId w:val="17"/>
        </w:numPr>
      </w:pPr>
      <w:r w:rsidRPr="006862A5">
        <w:t>efficacy outcomes for whole population</w:t>
      </w:r>
      <w:r>
        <w:t xml:space="preserve"> (Hanifin, 2001)</w:t>
      </w:r>
      <w:bookmarkStart w:id="44" w:name="_Ref198558571"/>
      <w:r>
        <w:rPr>
          <w:rStyle w:val="FootnoteReference"/>
        </w:rPr>
        <w:footnoteReference w:id="6"/>
      </w:r>
      <w:bookmarkEnd w:id="44"/>
    </w:p>
    <w:p w14:paraId="4EB58DD6" w14:textId="77777777" w:rsidR="007F4F51" w:rsidRDefault="007F4F51" w:rsidP="00C0701D">
      <w:pPr>
        <w:pStyle w:val="3-BodyText"/>
        <w:numPr>
          <w:ilvl w:val="0"/>
          <w:numId w:val="17"/>
        </w:numPr>
      </w:pPr>
      <w:r w:rsidRPr="006862A5">
        <w:t>safety outcomes</w:t>
      </w:r>
      <w:r>
        <w:t xml:space="preserve"> (Soter, 2001)</w:t>
      </w:r>
      <w:bookmarkStart w:id="45" w:name="_Ref198639516"/>
      <w:r>
        <w:rPr>
          <w:rStyle w:val="FootnoteReference"/>
        </w:rPr>
        <w:footnoteReference w:id="7"/>
      </w:r>
      <w:bookmarkEnd w:id="45"/>
    </w:p>
    <w:p w14:paraId="260F38E4" w14:textId="77777777" w:rsidR="007F4F51" w:rsidRDefault="007F4F51" w:rsidP="00C0701D">
      <w:pPr>
        <w:pStyle w:val="3-BodyText"/>
        <w:numPr>
          <w:ilvl w:val="0"/>
          <w:numId w:val="17"/>
        </w:numPr>
      </w:pPr>
      <w:r>
        <w:t xml:space="preserve">efficacy in </w:t>
      </w:r>
      <w:r w:rsidRPr="006862A5">
        <w:t>head/neck region</w:t>
      </w:r>
      <w:r>
        <w:t xml:space="preserve"> (Kang, 2003)</w:t>
      </w:r>
      <w:bookmarkStart w:id="46" w:name="_Ref198556728"/>
      <w:r>
        <w:rPr>
          <w:rStyle w:val="FootnoteReference"/>
        </w:rPr>
        <w:footnoteReference w:id="8"/>
      </w:r>
      <w:bookmarkEnd w:id="46"/>
    </w:p>
    <w:p w14:paraId="310636C1" w14:textId="77777777" w:rsidR="007F4F51" w:rsidRDefault="007F4F51" w:rsidP="00C0701D">
      <w:pPr>
        <w:pStyle w:val="3-BodyText"/>
        <w:numPr>
          <w:ilvl w:val="0"/>
          <w:numId w:val="17"/>
        </w:numPr>
      </w:pPr>
      <w:r>
        <w:t xml:space="preserve">analysis of </w:t>
      </w:r>
      <w:r w:rsidRPr="006862A5">
        <w:t>QoL outcomes</w:t>
      </w:r>
      <w:r>
        <w:t xml:space="preserve"> (Drake, 2001)</w:t>
      </w:r>
      <w:bookmarkStart w:id="47" w:name="_Ref198490607"/>
      <w:r>
        <w:rPr>
          <w:rStyle w:val="FootnoteReference"/>
        </w:rPr>
        <w:footnoteReference w:id="9"/>
      </w:r>
      <w:bookmarkEnd w:id="47"/>
    </w:p>
    <w:p w14:paraId="566F5F3B" w14:textId="3496AD06" w:rsidR="007F4F51" w:rsidRPr="00224061" w:rsidRDefault="007F4F51" w:rsidP="00E96237">
      <w:pPr>
        <w:pStyle w:val="3-BodyText"/>
        <w:keepNext/>
        <w:keepLines/>
        <w:numPr>
          <w:ilvl w:val="0"/>
          <w:numId w:val="0"/>
        </w:numPr>
        <w:ind w:left="720"/>
        <w:rPr>
          <w:b/>
        </w:rPr>
      </w:pPr>
      <w:bookmarkStart w:id="48" w:name="_Hlk198633856"/>
      <w:r w:rsidRPr="00224061">
        <w:rPr>
          <w:b/>
        </w:rPr>
        <w:t>Long-term maintenance treatment (0.1% TAC vs VO twice weekly)</w:t>
      </w:r>
      <w:r w:rsidR="002C6240" w:rsidRPr="00224061">
        <w:rPr>
          <w:b/>
        </w:rPr>
        <w:t>:</w:t>
      </w:r>
    </w:p>
    <w:bookmarkEnd w:id="48"/>
    <w:p w14:paraId="09A54177" w14:textId="77777777" w:rsidR="007F4F51" w:rsidRDefault="007F4F51" w:rsidP="00C0701D">
      <w:pPr>
        <w:pStyle w:val="3-BodyText"/>
        <w:keepNext/>
        <w:keepLines/>
        <w:numPr>
          <w:ilvl w:val="0"/>
          <w:numId w:val="21"/>
        </w:numPr>
      </w:pPr>
      <w:r w:rsidRPr="00A07AC7">
        <w:t>One 12-month,</w:t>
      </w:r>
      <w:r>
        <w:t xml:space="preserve"> RCT</w:t>
      </w:r>
      <w:r w:rsidRPr="00A07AC7">
        <w:t xml:space="preserve"> </w:t>
      </w:r>
      <w:r>
        <w:t xml:space="preserve">(CONTROL study) </w:t>
      </w:r>
      <w:r w:rsidRPr="00A07AC7">
        <w:t xml:space="preserve">comparing </w:t>
      </w:r>
      <w:r>
        <w:t>proactive maintenance treatment with</w:t>
      </w:r>
      <w:r w:rsidRPr="00A07AC7">
        <w:t xml:space="preserve"> 0.1% </w:t>
      </w:r>
      <w:r>
        <w:t>TAC</w:t>
      </w:r>
      <w:r w:rsidRPr="00A07AC7">
        <w:t xml:space="preserve"> twice weekly </w:t>
      </w:r>
      <w:r>
        <w:t xml:space="preserve">versus VO twice weekly in adults </w:t>
      </w:r>
      <w:r>
        <w:rPr>
          <w:rFonts w:cstheme="minorHAnsi"/>
        </w:rPr>
        <w:t>≥</w:t>
      </w:r>
      <w:r>
        <w:t>16 years with mild to severe AD</w:t>
      </w:r>
      <w:r w:rsidRPr="00A07AC7">
        <w:t xml:space="preserve"> </w:t>
      </w:r>
      <w:r>
        <w:t>was a reported in the following publications:</w:t>
      </w:r>
    </w:p>
    <w:p w14:paraId="23CD1C58" w14:textId="77777777" w:rsidR="007F4F51" w:rsidRDefault="007F4F51" w:rsidP="00C0701D">
      <w:pPr>
        <w:pStyle w:val="3-BodyText"/>
        <w:numPr>
          <w:ilvl w:val="0"/>
          <w:numId w:val="16"/>
        </w:numPr>
      </w:pPr>
      <w:r>
        <w:t>whole study population (Wollenberg 2008)</w:t>
      </w:r>
      <w:r>
        <w:rPr>
          <w:rStyle w:val="FootnoteReference"/>
        </w:rPr>
        <w:footnoteReference w:id="10"/>
      </w:r>
    </w:p>
    <w:p w14:paraId="0EC51298" w14:textId="77777777" w:rsidR="007F4F51" w:rsidRDefault="007F4F51" w:rsidP="00C0701D">
      <w:pPr>
        <w:pStyle w:val="3-BodyText"/>
        <w:numPr>
          <w:ilvl w:val="0"/>
          <w:numId w:val="16"/>
        </w:numPr>
      </w:pPr>
      <w:r w:rsidRPr="00125D07">
        <w:rPr>
          <w:i/>
          <w:iCs/>
        </w:rPr>
        <w:t>post hoc</w:t>
      </w:r>
      <w:r>
        <w:t xml:space="preserve"> subgroup analysis in adults with moderate to severe AD (Reitamo 2010)</w:t>
      </w:r>
      <w:bookmarkStart w:id="49" w:name="_Ref198491521"/>
      <w:r>
        <w:rPr>
          <w:rStyle w:val="FootnoteReference"/>
        </w:rPr>
        <w:footnoteReference w:id="11"/>
      </w:r>
      <w:bookmarkEnd w:id="49"/>
    </w:p>
    <w:p w14:paraId="396714A8" w14:textId="3A02444F" w:rsidR="007F4F51" w:rsidRPr="00224061" w:rsidRDefault="007F4F51" w:rsidP="007F4F51">
      <w:pPr>
        <w:pStyle w:val="3-BodyText"/>
        <w:numPr>
          <w:ilvl w:val="0"/>
          <w:numId w:val="0"/>
        </w:numPr>
        <w:ind w:left="720"/>
        <w:rPr>
          <w:b/>
        </w:rPr>
      </w:pPr>
      <w:r w:rsidRPr="00224061">
        <w:rPr>
          <w:b/>
        </w:rPr>
        <w:t>Treatment of moderate AD flares (0.1% TAC vs 1% PIM twice daily)</w:t>
      </w:r>
      <w:r w:rsidR="002C6240" w:rsidRPr="00224061">
        <w:rPr>
          <w:b/>
        </w:rPr>
        <w:t>:</w:t>
      </w:r>
    </w:p>
    <w:p w14:paraId="429036CA" w14:textId="77777777" w:rsidR="007F4F51" w:rsidRDefault="007F4F51" w:rsidP="00C0701D">
      <w:pPr>
        <w:pStyle w:val="3-BodyText"/>
        <w:numPr>
          <w:ilvl w:val="0"/>
          <w:numId w:val="21"/>
        </w:numPr>
      </w:pPr>
      <w:r w:rsidRPr="000E3D90">
        <w:t xml:space="preserve">One </w:t>
      </w:r>
      <w:r>
        <w:t>6-week RCT</w:t>
      </w:r>
      <w:r w:rsidRPr="000E3D90">
        <w:t xml:space="preserve"> </w:t>
      </w:r>
      <w:r>
        <w:t xml:space="preserve">in adults </w:t>
      </w:r>
      <w:r w:rsidRPr="000E3D90">
        <w:t xml:space="preserve">≥16 years with mild to </w:t>
      </w:r>
      <w:r>
        <w:t xml:space="preserve">very </w:t>
      </w:r>
      <w:r w:rsidRPr="000E3D90">
        <w:t xml:space="preserve">severe AD comparing 0.1% </w:t>
      </w:r>
      <w:r>
        <w:t>TAC</w:t>
      </w:r>
      <w:r w:rsidRPr="000E3D90">
        <w:t xml:space="preserve"> </w:t>
      </w:r>
      <w:r>
        <w:t>vs</w:t>
      </w:r>
      <w:r w:rsidRPr="000E3D90">
        <w:t xml:space="preserve"> 1% </w:t>
      </w:r>
      <w:r>
        <w:t xml:space="preserve">PIM </w:t>
      </w:r>
      <w:r w:rsidRPr="00643BD4">
        <w:t>was a reported in the following publications:</w:t>
      </w:r>
    </w:p>
    <w:p w14:paraId="3192C158" w14:textId="77777777" w:rsidR="007F4F51" w:rsidRDefault="007F4F51" w:rsidP="00C0701D">
      <w:pPr>
        <w:pStyle w:val="3-BodyText"/>
        <w:numPr>
          <w:ilvl w:val="0"/>
          <w:numId w:val="18"/>
        </w:numPr>
      </w:pPr>
      <w:r w:rsidRPr="00202A4C">
        <w:t>efficacy and safety for whole trial population</w:t>
      </w:r>
      <w:r>
        <w:t xml:space="preserve"> (Paller 2005)</w:t>
      </w:r>
      <w:bookmarkStart w:id="50" w:name="_Ref198495649"/>
      <w:r>
        <w:rPr>
          <w:rStyle w:val="FootnoteReference"/>
        </w:rPr>
        <w:footnoteReference w:id="12"/>
      </w:r>
      <w:bookmarkEnd w:id="50"/>
      <w:r>
        <w:t xml:space="preserve"> </w:t>
      </w:r>
    </w:p>
    <w:p w14:paraId="66101E44" w14:textId="77777777" w:rsidR="007F4F51" w:rsidRDefault="007F4F51" w:rsidP="00C0701D">
      <w:pPr>
        <w:pStyle w:val="3-BodyText"/>
        <w:numPr>
          <w:ilvl w:val="0"/>
          <w:numId w:val="18"/>
        </w:numPr>
      </w:pPr>
      <w:r w:rsidRPr="00202A4C">
        <w:rPr>
          <w:i/>
          <w:iCs/>
        </w:rPr>
        <w:t>post hoc</w:t>
      </w:r>
      <w:r>
        <w:t xml:space="preserve"> subgroup analysis </w:t>
      </w:r>
      <w:r w:rsidRPr="0090386C">
        <w:t xml:space="preserve">of efficacy and safety </w:t>
      </w:r>
      <w:r>
        <w:t xml:space="preserve">in adults </w:t>
      </w:r>
      <w:r w:rsidRPr="00F65178">
        <w:t xml:space="preserve">≥16 years </w:t>
      </w:r>
      <w:r>
        <w:t xml:space="preserve">with </w:t>
      </w:r>
      <w:r w:rsidRPr="00202A4C">
        <w:t>moderate to very severe AD</w:t>
      </w:r>
      <w:r>
        <w:t xml:space="preserve"> (Fleischer 2007)</w:t>
      </w:r>
      <w:r>
        <w:rPr>
          <w:rStyle w:val="FootnoteReference"/>
        </w:rPr>
        <w:footnoteReference w:id="13"/>
      </w:r>
    </w:p>
    <w:p w14:paraId="1365F39E" w14:textId="77777777" w:rsidR="007F4F51" w:rsidRPr="00851647" w:rsidRDefault="007F4F51" w:rsidP="00C0701D">
      <w:pPr>
        <w:pStyle w:val="3-BodyText"/>
        <w:numPr>
          <w:ilvl w:val="0"/>
          <w:numId w:val="18"/>
        </w:numPr>
      </w:pPr>
      <w:r w:rsidRPr="00202A4C">
        <w:rPr>
          <w:i/>
          <w:iCs/>
        </w:rPr>
        <w:t>post hoc</w:t>
      </w:r>
      <w:r w:rsidRPr="00202A4C">
        <w:t xml:space="preserve"> subgroup analysis </w:t>
      </w:r>
      <w:bookmarkStart w:id="51" w:name="_Hlk198633279"/>
      <w:r w:rsidRPr="0090386C">
        <w:t xml:space="preserve">of efficacy and safety </w:t>
      </w:r>
      <w:bookmarkEnd w:id="51"/>
      <w:r w:rsidRPr="00202A4C">
        <w:t xml:space="preserve">in adults </w:t>
      </w:r>
      <w:r w:rsidRPr="00F65178">
        <w:t xml:space="preserve">≥16 years </w:t>
      </w:r>
      <w:r w:rsidRPr="00202A4C">
        <w:t>with moderate AD</w:t>
      </w:r>
      <w:r>
        <w:t xml:space="preserve"> (Abramovits 2008)</w:t>
      </w:r>
      <w:bookmarkStart w:id="52" w:name="_Ref198639056"/>
      <w:r>
        <w:rPr>
          <w:rStyle w:val="FootnoteReference"/>
        </w:rPr>
        <w:footnoteReference w:id="14"/>
      </w:r>
      <w:bookmarkEnd w:id="52"/>
      <w:r>
        <w:t>.</w:t>
      </w:r>
    </w:p>
    <w:p w14:paraId="493FB0DE" w14:textId="77777777" w:rsidR="007F4F51" w:rsidRDefault="007F4F51" w:rsidP="007F4F51">
      <w:pPr>
        <w:pStyle w:val="3-BodyText"/>
      </w:pPr>
      <w:r w:rsidRPr="00A42CA0">
        <w:t xml:space="preserve">The long-term safety of 0.1% TAC was based on evidence from four non-comparative extension studies. The results from six meta-analyses were also summarised and presented in the submission as additional supporting evidence assessing the relative efficacy of TCIs, in particular 0.1% TAC vs 1% PIM (Table 2). </w:t>
      </w:r>
    </w:p>
    <w:p w14:paraId="2B70FE88" w14:textId="4661FCE2" w:rsidR="007F4F51" w:rsidRPr="000D6146" w:rsidRDefault="007F4F51" w:rsidP="007F4F51">
      <w:pPr>
        <w:pStyle w:val="3-BodyText"/>
      </w:pPr>
      <w:r w:rsidRPr="000D6146">
        <w:t xml:space="preserve">Overall, there was a high risk of bias associated with the evidence presented in the submission. Most of the evidence comparing 0.1% TAC with VO as proactive maintenance treatment in moderate to severe AD and </w:t>
      </w:r>
      <w:r w:rsidR="000F57A1">
        <w:t xml:space="preserve">0.1% </w:t>
      </w:r>
      <w:r w:rsidRPr="000D6146">
        <w:t xml:space="preserve">TAC with </w:t>
      </w:r>
      <w:r w:rsidR="000F57A1">
        <w:t xml:space="preserve">1% </w:t>
      </w:r>
      <w:r w:rsidRPr="000D6146">
        <w:t xml:space="preserve">PIM as treatment of moderate AD flares was based on published </w:t>
      </w:r>
      <w:r w:rsidRPr="008705D1">
        <w:rPr>
          <w:i/>
          <w:iCs/>
        </w:rPr>
        <w:t>post hoc</w:t>
      </w:r>
      <w:r w:rsidRPr="000D6146">
        <w:t xml:space="preserve"> subgroup analyses with small patient numbers. </w:t>
      </w:r>
    </w:p>
    <w:p w14:paraId="28E15EA1" w14:textId="1EE3B254" w:rsidR="007F4F51" w:rsidRPr="000D6146" w:rsidRDefault="007F4F51" w:rsidP="007F4F51">
      <w:pPr>
        <w:pStyle w:val="3-BodyText"/>
      </w:pPr>
      <w:r w:rsidRPr="000D6146">
        <w:t>Results based on graphical illustrations from published articles may depict data for non-TGA approved doses or ointment concentrations of TAC (0.03% and 0.3%)</w:t>
      </w:r>
      <w:r w:rsidR="008705D1">
        <w:t xml:space="preserve"> which are not being considered in this submission</w:t>
      </w:r>
      <w:r w:rsidR="00AE6055">
        <w:t>.</w:t>
      </w:r>
      <w:r w:rsidRPr="000D6146">
        <w:t xml:space="preserve"> </w:t>
      </w:r>
    </w:p>
    <w:p w14:paraId="68F81B4E" w14:textId="77777777" w:rsidR="007F4F51" w:rsidRPr="00D86D87" w:rsidRDefault="007F4F51" w:rsidP="007F4F51">
      <w:pPr>
        <w:pStyle w:val="4-SubsectionHeading"/>
      </w:pPr>
      <w:bookmarkStart w:id="53" w:name="_Toc22897641"/>
      <w:bookmarkStart w:id="54" w:name="_Toc187925087"/>
      <w:bookmarkStart w:id="55" w:name="_Toc197979893"/>
      <w:bookmarkStart w:id="56" w:name="_Toc198710820"/>
      <w:r w:rsidRPr="00D86D87">
        <w:t>Comparative effectiveness</w:t>
      </w:r>
      <w:bookmarkEnd w:id="53"/>
      <w:bookmarkEnd w:id="54"/>
      <w:bookmarkEnd w:id="55"/>
      <w:bookmarkEnd w:id="56"/>
    </w:p>
    <w:p w14:paraId="113C70DB" w14:textId="77777777" w:rsidR="007F4F51" w:rsidRDefault="007F4F51" w:rsidP="007F4F51">
      <w:pPr>
        <w:pStyle w:val="5-SubsectionSubheading"/>
      </w:pPr>
      <w:r>
        <w:t>Treatment of moderate to severe AD flares</w:t>
      </w:r>
    </w:p>
    <w:p w14:paraId="56C23C27" w14:textId="5017821A" w:rsidR="007F4F51" w:rsidRPr="001B12EA" w:rsidRDefault="007F4F51" w:rsidP="007F4F51">
      <w:pPr>
        <w:pStyle w:val="3-BodyText"/>
        <w:numPr>
          <w:ilvl w:val="0"/>
          <w:numId w:val="0"/>
        </w:numPr>
        <w:ind w:left="720" w:hanging="720"/>
        <w:rPr>
          <w:u w:val="single"/>
        </w:rPr>
      </w:pPr>
      <w:r w:rsidRPr="001B12EA">
        <w:rPr>
          <w:u w:val="single"/>
        </w:rPr>
        <w:t>Ruzicka et al (1997)</w:t>
      </w:r>
    </w:p>
    <w:p w14:paraId="748A7FA7" w14:textId="2E70CA49" w:rsidR="007F4F51" w:rsidRPr="000D6146" w:rsidRDefault="007F4F51" w:rsidP="007F4F51">
      <w:pPr>
        <w:pStyle w:val="3-BodyText"/>
      </w:pPr>
      <w:r w:rsidRPr="000D6146">
        <w:t>In a Phase 2 double-blind RCT by Ruzicka et al (1997) comparing 0.1% TAC (n=54) versus VO (n=54) in patients with moderate to severe AD</w:t>
      </w:r>
      <w:r w:rsidRPr="000D6146">
        <w:rPr>
          <w:rFonts w:cstheme="minorHAnsi"/>
        </w:rPr>
        <w:t xml:space="preserve"> ≥</w:t>
      </w:r>
      <w:r w:rsidRPr="000D6146">
        <w:t>13 years of age</w:t>
      </w:r>
      <w:r w:rsidRPr="000D6146">
        <w:fldChar w:fldCharType="begin"/>
      </w:r>
      <w:r w:rsidRPr="000D6146">
        <w:instrText xml:space="preserve"> NOTEREF _Ref197864289 \f \h </w:instrText>
      </w:r>
      <w:r w:rsidR="000D6146" w:rsidRPr="000D6146">
        <w:instrText xml:space="preserve"> \* MERGEFORMAT </w:instrText>
      </w:r>
      <w:r w:rsidRPr="000D6146">
        <w:fldChar w:fldCharType="separate"/>
      </w:r>
      <w:r w:rsidR="00124226">
        <w:rPr>
          <w:b/>
          <w:bCs/>
          <w:lang w:val="en-GB"/>
        </w:rPr>
        <w:t>Error! Bookmark not defined.</w:t>
      </w:r>
      <w:r w:rsidRPr="000D6146">
        <w:fldChar w:fldCharType="end"/>
      </w:r>
      <w:r w:rsidRPr="000D6146">
        <w:t>, the primary outcome was change from baseline to treatment completion (Week 3) in the sum of Score 1</w:t>
      </w:r>
      <w:r w:rsidRPr="000D6146">
        <w:rPr>
          <w:rStyle w:val="FootnoteReference"/>
        </w:rPr>
        <w:footnoteReference w:id="15"/>
      </w:r>
      <w:r w:rsidRPr="000D6146">
        <w:t xml:space="preserve"> (the sum of the scores for erythema, oedema, and pruritus in the treated area on a scale of 0 to 9). The secondary end point was the change from baseline in score 2 (Score 1 plus the sum of the scores for oozing or crusting, excoriation, and lichenification of involved skin and dryness of non-involved skin in the treated area).</w:t>
      </w:r>
    </w:p>
    <w:p w14:paraId="0050218F" w14:textId="094E254D" w:rsidR="007F4F51" w:rsidRPr="000D6146" w:rsidRDefault="007F4F51" w:rsidP="007F4F51">
      <w:pPr>
        <w:pStyle w:val="3-BodyText"/>
      </w:pPr>
      <w:r w:rsidRPr="000D6146">
        <w:t>Score 1 for 0.1% TAC vs VO in the ITT population</w:t>
      </w:r>
      <w:r w:rsidR="00D309D6" w:rsidRPr="000D6146">
        <w:t>,</w:t>
      </w:r>
      <w:r w:rsidRPr="000D6146">
        <w:t xml:space="preserve"> the median percentage reduction from base line to treatment completion (Week 3) was 83.3% vs 22.5% for the trunk and extremities (difference 60.8%; p&lt;0.001) and 83.3% vs 25.0% for the face and neck (difference 58.3%; p&lt;0.001).</w:t>
      </w:r>
    </w:p>
    <w:p w14:paraId="1D24100B" w14:textId="77777777" w:rsidR="007F4F51" w:rsidRPr="000D6146" w:rsidRDefault="007F4F51" w:rsidP="007F4F51">
      <w:pPr>
        <w:pStyle w:val="3-BodyText"/>
      </w:pPr>
      <w:r w:rsidRPr="000D6146">
        <w:t>There was a statistically significant difference in median decreases from baseline to Week 3 in the secondary outcome of Score 2 favouring 0.1% TAC over VO for trunk and extremities (71.4% vs. 21.8%, difference 49.6%; p&lt;0.001) and for face and neck (75.0% vs. 27.3%, difference 47.7%; p-value could not be verified).</w:t>
      </w:r>
    </w:p>
    <w:p w14:paraId="0B88261B" w14:textId="77777777" w:rsidR="007F4F51" w:rsidRPr="000D6146" w:rsidRDefault="007F4F51" w:rsidP="007F4F51">
      <w:pPr>
        <w:pStyle w:val="3-BodyText"/>
      </w:pPr>
      <w:r w:rsidRPr="000D6146">
        <w:t>The overall assessment of the treated area by the investigator and the patient was scored as symptoms: completely resolved, markedly improved, moderately improved, slightly improved, unchanged, or worse. According to the investigators’ overall assessment of the treated areas, a significantly higher proportion of patients in the 0.1% TAC arm (81.4%) versus the VO arm (9.8%) had completely resolved or markedly improved AD (p&lt;0.001). Response to primary therapy in the first cycle of the economic model was based on this data from investigator overall assessment. Percentages reported in the submission were obtained from a digitisation of a bar chart from the study publication. The length of primary therapy in the economic model was aligned with the 3-week treatment period of the study.</w:t>
      </w:r>
    </w:p>
    <w:p w14:paraId="012A8CD7" w14:textId="77777777" w:rsidR="007F4F51" w:rsidRPr="00674341" w:rsidRDefault="007F4F51" w:rsidP="00964227">
      <w:pPr>
        <w:pStyle w:val="3-BodyText"/>
        <w:keepNext/>
        <w:keepLines/>
        <w:numPr>
          <w:ilvl w:val="0"/>
          <w:numId w:val="0"/>
        </w:numPr>
        <w:rPr>
          <w:u w:val="single"/>
        </w:rPr>
      </w:pPr>
      <w:r w:rsidRPr="00674341">
        <w:rPr>
          <w:u w:val="single"/>
        </w:rPr>
        <w:t>Hanifin et al</w:t>
      </w:r>
      <w:r>
        <w:rPr>
          <w:u w:val="single"/>
        </w:rPr>
        <w:t xml:space="preserve"> (</w:t>
      </w:r>
      <w:r w:rsidRPr="00674341">
        <w:rPr>
          <w:u w:val="single"/>
        </w:rPr>
        <w:t>2001</w:t>
      </w:r>
      <w:r>
        <w:rPr>
          <w:u w:val="single"/>
        </w:rPr>
        <w:t>)</w:t>
      </w:r>
    </w:p>
    <w:p w14:paraId="5869BBF7" w14:textId="32813EE2" w:rsidR="007F4F51" w:rsidRPr="000D6146" w:rsidRDefault="007F4F51" w:rsidP="00964227">
      <w:pPr>
        <w:pStyle w:val="3-BodyText"/>
        <w:keepNext/>
        <w:keepLines/>
      </w:pPr>
      <w:r w:rsidRPr="000D6146">
        <w:t xml:space="preserve">Hanifin et al (2001) presented efficacy data from two identical double-blind RCTs which compared 0.1% TAC (n=209) with VO (n=212) treatment for 12 weeks (or until approximately 1 week after complete AD clearance) in adults </w:t>
      </w:r>
      <w:r w:rsidRPr="000D6146">
        <w:rPr>
          <w:rFonts w:cstheme="minorHAnsi"/>
        </w:rPr>
        <w:t>≥</w:t>
      </w:r>
      <w:r w:rsidRPr="000D6146">
        <w:t>16 years with moderate to severe AD</w:t>
      </w:r>
      <w:bookmarkStart w:id="57" w:name="_Ref197678179"/>
      <w:r w:rsidRPr="000D6146">
        <w:fldChar w:fldCharType="begin"/>
      </w:r>
      <w:r w:rsidRPr="000D6146">
        <w:instrText xml:space="preserve"> NOTEREF _Ref197864362 \f \h </w:instrText>
      </w:r>
      <w:r w:rsidR="000D6146" w:rsidRPr="000D6146">
        <w:instrText xml:space="preserve"> \* MERGEFORMAT </w:instrText>
      </w:r>
      <w:r w:rsidRPr="000D6146">
        <w:fldChar w:fldCharType="separate"/>
      </w:r>
      <w:r w:rsidR="00124226">
        <w:rPr>
          <w:b/>
          <w:bCs/>
          <w:lang w:val="en-GB"/>
        </w:rPr>
        <w:t>Error! Bookmark not defined.</w:t>
      </w:r>
      <w:r w:rsidRPr="000D6146">
        <w:fldChar w:fldCharType="end"/>
      </w:r>
      <w:r w:rsidRPr="000D6146">
        <w:t>.</w:t>
      </w:r>
      <w:bookmarkEnd w:id="57"/>
      <w:r w:rsidRPr="000D6146">
        <w:t xml:space="preserve"> The primary outcome was physician’s global evaluation of clinical response at the end of treatment, with success defined as 90% - 100% improvement (cleared or excellent improvement)</w:t>
      </w:r>
      <w:r w:rsidR="00253ACF" w:rsidRPr="000D6146">
        <w:t xml:space="preserve"> (</w:t>
      </w:r>
      <w:r w:rsidR="00253ACF" w:rsidRPr="000D6146">
        <w:fldChar w:fldCharType="begin"/>
      </w:r>
      <w:r w:rsidR="00253ACF" w:rsidRPr="000D6146">
        <w:instrText xml:space="preserve"> REF _Ref197961584 \h </w:instrText>
      </w:r>
      <w:r w:rsidR="000D6146" w:rsidRPr="000D6146">
        <w:instrText xml:space="preserve"> \* MERGEFORMAT </w:instrText>
      </w:r>
      <w:r w:rsidR="00253ACF" w:rsidRPr="000D6146">
        <w:fldChar w:fldCharType="separate"/>
      </w:r>
      <w:r w:rsidR="00124226">
        <w:t xml:space="preserve">Table </w:t>
      </w:r>
      <w:r w:rsidR="00124226">
        <w:rPr>
          <w:noProof/>
        </w:rPr>
        <w:t>4</w:t>
      </w:r>
      <w:r w:rsidR="00253ACF" w:rsidRPr="000D6146">
        <w:fldChar w:fldCharType="end"/>
      </w:r>
      <w:r w:rsidR="00253ACF" w:rsidRPr="000D6146">
        <w:t>)</w:t>
      </w:r>
      <w:r w:rsidRPr="000D6146">
        <w:t>.  Other outcomes included the physician’s assessment of clinical signs of AD, the Eczema Area and Severity Index (EASI), the percent of BSA (%BSA) affected, and the patient’s assessment of pruritus (itch).</w:t>
      </w:r>
    </w:p>
    <w:p w14:paraId="6B5CE4D8" w14:textId="75742141" w:rsidR="007F4F51" w:rsidRPr="000D6146" w:rsidRDefault="007F4F51" w:rsidP="002C6240">
      <w:pPr>
        <w:pStyle w:val="3-BodyText"/>
        <w:spacing w:after="120"/>
      </w:pPr>
      <w:r w:rsidRPr="000D6146">
        <w:t xml:space="preserve">Around two thirds of patients were </w:t>
      </w:r>
      <w:r w:rsidR="005B3B98" w:rsidRPr="000D6146">
        <w:t>Caucasian,</w:t>
      </w:r>
      <w:r w:rsidRPr="000D6146">
        <w:t xml:space="preserve"> and a quarter were African American. Individuals with skin of colour are more susceptible to AD development and may have more severe AD compared to Caucasians. Scoring of AD disease severity and treatment response using measures such as the EASI is more difficult for skin of colour as AD presentation and symptoms differ to that observed in Caucasians. Therefore, the accuracy of the scoring is less reliable. People with skin of colour are often underrepresented in clinical studies of AD.</w:t>
      </w:r>
    </w:p>
    <w:p w14:paraId="65C43045" w14:textId="59A2CF76" w:rsidR="007F4F51" w:rsidRDefault="007F4F51" w:rsidP="007F4F51">
      <w:pPr>
        <w:pStyle w:val="Caption"/>
      </w:pPr>
      <w:bookmarkStart w:id="58" w:name="_Ref197961584"/>
      <w:r>
        <w:t xml:space="preserve">Table </w:t>
      </w:r>
      <w:r>
        <w:fldChar w:fldCharType="begin"/>
      </w:r>
      <w:r>
        <w:instrText xml:space="preserve"> SEQ Table \* ARABIC </w:instrText>
      </w:r>
      <w:r>
        <w:fldChar w:fldCharType="separate"/>
      </w:r>
      <w:r w:rsidR="00124226">
        <w:rPr>
          <w:noProof/>
        </w:rPr>
        <w:t>4</w:t>
      </w:r>
      <w:r>
        <w:rPr>
          <w:noProof/>
        </w:rPr>
        <w:fldChar w:fldCharType="end"/>
      </w:r>
      <w:bookmarkEnd w:id="58"/>
      <w:r>
        <w:t xml:space="preserve">: </w:t>
      </w:r>
      <w:r w:rsidRPr="00EB60A5">
        <w:t xml:space="preserve">Success rates </w:t>
      </w:r>
      <w:r w:rsidRPr="00793FD4">
        <w:t xml:space="preserve">from Hanifin et al (2001) </w:t>
      </w:r>
      <w:r>
        <w:t xml:space="preserve">defined as </w:t>
      </w:r>
      <w:r w:rsidRPr="00EB60A5">
        <w:t>≥90% improvement based on physician’s global evaluation</w:t>
      </w:r>
    </w:p>
    <w:tbl>
      <w:tblPr>
        <w:tblStyle w:val="TableGrid"/>
        <w:tblW w:w="5000" w:type="pct"/>
        <w:tblLook w:val="04A0" w:firstRow="1" w:lastRow="0" w:firstColumn="1" w:lastColumn="0" w:noHBand="0" w:noVBand="1"/>
        <w:tblCaption w:val="Table 4: Success rates from Hanifin et al (2001) defined as ≥90% improvement based on physician’s global evaluation"/>
      </w:tblPr>
      <w:tblGrid>
        <w:gridCol w:w="2255"/>
        <w:gridCol w:w="2254"/>
        <w:gridCol w:w="2254"/>
        <w:gridCol w:w="2254"/>
      </w:tblGrid>
      <w:tr w:rsidR="007F4F51" w14:paraId="20964597" w14:textId="77777777">
        <w:tc>
          <w:tcPr>
            <w:tcW w:w="1250" w:type="pct"/>
            <w:vMerge w:val="restart"/>
          </w:tcPr>
          <w:p w14:paraId="327CC65F" w14:textId="77777777" w:rsidR="007F4F51" w:rsidRDefault="007F4F51">
            <w:pPr>
              <w:pStyle w:val="In-tableHeading"/>
            </w:pPr>
            <w:r>
              <w:t>Study</w:t>
            </w:r>
          </w:p>
        </w:tc>
        <w:tc>
          <w:tcPr>
            <w:tcW w:w="2500" w:type="pct"/>
            <w:gridSpan w:val="2"/>
          </w:tcPr>
          <w:p w14:paraId="77D2F549" w14:textId="77777777" w:rsidR="007F4F51" w:rsidRDefault="007F4F51">
            <w:pPr>
              <w:pStyle w:val="In-tableHeading"/>
            </w:pPr>
            <w:r>
              <w:t>Treatment group</w:t>
            </w:r>
          </w:p>
        </w:tc>
        <w:tc>
          <w:tcPr>
            <w:tcW w:w="1250" w:type="pct"/>
            <w:vMerge w:val="restart"/>
          </w:tcPr>
          <w:p w14:paraId="7318FC5C" w14:textId="77777777" w:rsidR="007F4F51" w:rsidRDefault="007F4F51">
            <w:pPr>
              <w:pStyle w:val="In-tableHeading"/>
            </w:pPr>
            <w:r w:rsidRPr="00EB60A5">
              <w:rPr>
                <w:i/>
                <w:iCs/>
              </w:rPr>
              <w:t xml:space="preserve">P </w:t>
            </w:r>
            <w:r>
              <w:t>value</w:t>
            </w:r>
          </w:p>
        </w:tc>
      </w:tr>
      <w:tr w:rsidR="007F4F51" w14:paraId="434FA385" w14:textId="77777777">
        <w:tc>
          <w:tcPr>
            <w:tcW w:w="1250" w:type="pct"/>
            <w:vMerge/>
          </w:tcPr>
          <w:p w14:paraId="3FF8888C" w14:textId="77777777" w:rsidR="007F4F51" w:rsidRDefault="007F4F51">
            <w:pPr>
              <w:pStyle w:val="TableText0"/>
            </w:pPr>
          </w:p>
        </w:tc>
        <w:tc>
          <w:tcPr>
            <w:tcW w:w="1250" w:type="pct"/>
          </w:tcPr>
          <w:p w14:paraId="3C9B42C5" w14:textId="77777777" w:rsidR="007F4F51" w:rsidRDefault="007F4F51">
            <w:pPr>
              <w:pStyle w:val="In-tableHeading"/>
            </w:pPr>
            <w:r>
              <w:t>0.1% TAC</w:t>
            </w:r>
          </w:p>
        </w:tc>
        <w:tc>
          <w:tcPr>
            <w:tcW w:w="1250" w:type="pct"/>
          </w:tcPr>
          <w:p w14:paraId="2B5D463A" w14:textId="77777777" w:rsidR="007F4F51" w:rsidRDefault="007F4F51">
            <w:pPr>
              <w:pStyle w:val="In-tableHeading"/>
            </w:pPr>
            <w:r>
              <w:t>VO</w:t>
            </w:r>
          </w:p>
        </w:tc>
        <w:tc>
          <w:tcPr>
            <w:tcW w:w="1250" w:type="pct"/>
            <w:vMerge/>
          </w:tcPr>
          <w:p w14:paraId="345BDD90" w14:textId="77777777" w:rsidR="007F4F51" w:rsidRDefault="007F4F51">
            <w:pPr>
              <w:pStyle w:val="TableText0"/>
            </w:pPr>
          </w:p>
        </w:tc>
      </w:tr>
      <w:tr w:rsidR="007F4F51" w14:paraId="0382AEA0" w14:textId="77777777">
        <w:tc>
          <w:tcPr>
            <w:tcW w:w="1250" w:type="pct"/>
          </w:tcPr>
          <w:p w14:paraId="614106B9" w14:textId="77777777" w:rsidR="007F4F51" w:rsidRDefault="007F4F51">
            <w:pPr>
              <w:pStyle w:val="TableText0"/>
            </w:pPr>
            <w:r>
              <w:t>Pooled data</w:t>
            </w:r>
          </w:p>
        </w:tc>
        <w:tc>
          <w:tcPr>
            <w:tcW w:w="1250" w:type="pct"/>
          </w:tcPr>
          <w:p w14:paraId="16ABC625" w14:textId="77777777" w:rsidR="007F4F51" w:rsidRDefault="007F4F51">
            <w:pPr>
              <w:pStyle w:val="TableText0"/>
            </w:pPr>
            <w:r w:rsidRPr="00EB60A5">
              <w:t>77/209 (36.8%)</w:t>
            </w:r>
          </w:p>
        </w:tc>
        <w:tc>
          <w:tcPr>
            <w:tcW w:w="1250" w:type="pct"/>
          </w:tcPr>
          <w:p w14:paraId="56DD323C" w14:textId="77777777" w:rsidR="007F4F51" w:rsidRDefault="007F4F51">
            <w:pPr>
              <w:pStyle w:val="TableText0"/>
            </w:pPr>
            <w:r w:rsidRPr="00EB60A5">
              <w:t>14/212 (6.6%)</w:t>
            </w:r>
          </w:p>
        </w:tc>
        <w:tc>
          <w:tcPr>
            <w:tcW w:w="1250" w:type="pct"/>
          </w:tcPr>
          <w:p w14:paraId="7EDD1BDB" w14:textId="77777777" w:rsidR="007F4F51" w:rsidRDefault="007F4F51">
            <w:pPr>
              <w:pStyle w:val="TableText0"/>
            </w:pPr>
            <w:r w:rsidRPr="00EB60A5">
              <w:t>&lt;</w:t>
            </w:r>
            <w:r>
              <w:t>0</w:t>
            </w:r>
            <w:r w:rsidRPr="00EB60A5">
              <w:t>.001</w:t>
            </w:r>
          </w:p>
        </w:tc>
      </w:tr>
      <w:tr w:rsidR="007F4F51" w14:paraId="24CD372C" w14:textId="77777777">
        <w:tc>
          <w:tcPr>
            <w:tcW w:w="1250" w:type="pct"/>
          </w:tcPr>
          <w:p w14:paraId="4771F296" w14:textId="77777777" w:rsidR="007F4F51" w:rsidRDefault="007F4F51">
            <w:pPr>
              <w:pStyle w:val="TableText0"/>
            </w:pPr>
            <w:r>
              <w:t>Study 1</w:t>
            </w:r>
          </w:p>
        </w:tc>
        <w:tc>
          <w:tcPr>
            <w:tcW w:w="1250" w:type="pct"/>
          </w:tcPr>
          <w:p w14:paraId="797442C0" w14:textId="77777777" w:rsidR="007F4F51" w:rsidRDefault="007F4F51">
            <w:pPr>
              <w:pStyle w:val="TableText0"/>
            </w:pPr>
            <w:r w:rsidRPr="00EB60A5">
              <w:t>35/99 (35.4%)</w:t>
            </w:r>
          </w:p>
        </w:tc>
        <w:tc>
          <w:tcPr>
            <w:tcW w:w="1250" w:type="pct"/>
          </w:tcPr>
          <w:p w14:paraId="7C31ACEB" w14:textId="77777777" w:rsidR="007F4F51" w:rsidRDefault="007F4F51">
            <w:pPr>
              <w:pStyle w:val="TableText0"/>
            </w:pPr>
            <w:r w:rsidRPr="00EB60A5">
              <w:t>8/102 (7.8%)</w:t>
            </w:r>
          </w:p>
        </w:tc>
        <w:tc>
          <w:tcPr>
            <w:tcW w:w="1250" w:type="pct"/>
          </w:tcPr>
          <w:p w14:paraId="18C3A63D" w14:textId="77777777" w:rsidR="007F4F51" w:rsidRDefault="007F4F51">
            <w:pPr>
              <w:pStyle w:val="TableText0"/>
            </w:pPr>
            <w:r w:rsidRPr="003240A6">
              <w:t>&lt;0.001</w:t>
            </w:r>
          </w:p>
        </w:tc>
      </w:tr>
      <w:tr w:rsidR="007F4F51" w14:paraId="2A7512E8" w14:textId="77777777">
        <w:tc>
          <w:tcPr>
            <w:tcW w:w="1250" w:type="pct"/>
          </w:tcPr>
          <w:p w14:paraId="6FCA519F" w14:textId="77777777" w:rsidR="007F4F51" w:rsidRDefault="007F4F51">
            <w:pPr>
              <w:pStyle w:val="TableText0"/>
            </w:pPr>
            <w:r>
              <w:t>Study 2</w:t>
            </w:r>
          </w:p>
        </w:tc>
        <w:tc>
          <w:tcPr>
            <w:tcW w:w="1250" w:type="pct"/>
          </w:tcPr>
          <w:p w14:paraId="3FAA3B45" w14:textId="77777777" w:rsidR="007F4F51" w:rsidRDefault="007F4F51">
            <w:pPr>
              <w:pStyle w:val="TableText0"/>
            </w:pPr>
            <w:r w:rsidRPr="00EB60A5">
              <w:t>42/110 (38.2%)</w:t>
            </w:r>
          </w:p>
        </w:tc>
        <w:tc>
          <w:tcPr>
            <w:tcW w:w="1250" w:type="pct"/>
          </w:tcPr>
          <w:p w14:paraId="00B09F4F" w14:textId="77777777" w:rsidR="007F4F51" w:rsidRDefault="007F4F51">
            <w:pPr>
              <w:pStyle w:val="TableText0"/>
            </w:pPr>
            <w:r w:rsidRPr="00EB60A5">
              <w:t>6/110 (5.5%)</w:t>
            </w:r>
          </w:p>
        </w:tc>
        <w:tc>
          <w:tcPr>
            <w:tcW w:w="1250" w:type="pct"/>
          </w:tcPr>
          <w:p w14:paraId="12DC59FE" w14:textId="77777777" w:rsidR="007F4F51" w:rsidRDefault="007F4F51">
            <w:pPr>
              <w:pStyle w:val="TableText0"/>
            </w:pPr>
            <w:r w:rsidRPr="003240A6">
              <w:t>&lt;0.001</w:t>
            </w:r>
          </w:p>
        </w:tc>
      </w:tr>
    </w:tbl>
    <w:p w14:paraId="68632502" w14:textId="2F6F25EE" w:rsidR="007F4F51" w:rsidRDefault="007F4F51" w:rsidP="007F4F51">
      <w:pPr>
        <w:pStyle w:val="FooterTableFigure"/>
      </w:pPr>
      <w:r>
        <w:t xml:space="preserve">Source: Table 2-24, p82 of the submission; </w:t>
      </w:r>
      <w:r w:rsidRPr="00793FD4">
        <w:t>Hanifin et al (2001</w:t>
      </w:r>
      <w:r>
        <w:t>)</w:t>
      </w:r>
      <w:r>
        <w:fldChar w:fldCharType="begin"/>
      </w:r>
      <w:r>
        <w:instrText xml:space="preserve"> NOTEREF _Ref198558571 \f \h </w:instrText>
      </w:r>
      <w:r>
        <w:fldChar w:fldCharType="separate"/>
      </w:r>
      <w:r w:rsidR="00124226" w:rsidRPr="00124226">
        <w:rPr>
          <w:rStyle w:val="FootnoteReference"/>
        </w:rPr>
        <w:t>5</w:t>
      </w:r>
      <w:r>
        <w:fldChar w:fldCharType="end"/>
      </w:r>
    </w:p>
    <w:p w14:paraId="2A04C5CA" w14:textId="238719D8" w:rsidR="007F4F51" w:rsidRDefault="007F4F51" w:rsidP="007F4F51">
      <w:pPr>
        <w:pStyle w:val="FooterTableFigure"/>
      </w:pPr>
      <w:r>
        <w:t>TAC = tacrolimus; VO = vehicle ointment.</w:t>
      </w:r>
    </w:p>
    <w:p w14:paraId="1424ABBB" w14:textId="1BAE3B65" w:rsidR="007F4F51" w:rsidRDefault="007F4F51" w:rsidP="002C6240">
      <w:pPr>
        <w:pStyle w:val="3-BodyText"/>
        <w:spacing w:after="120"/>
      </w:pPr>
      <w:r w:rsidRPr="00B33BA3">
        <w:t>Based on pooled data from the two studies, 36.8% of patients treated with 0.1% TAC versus 6.6% treated with VO had treatment success defined as ≥90% improvement in physician’s global evaluation of clinical response at the end of treatment.</w:t>
      </w:r>
    </w:p>
    <w:p w14:paraId="50B8FBA6" w14:textId="68299D25" w:rsidR="00AC68BE" w:rsidRDefault="00AC68BE" w:rsidP="002C6240">
      <w:pPr>
        <w:pStyle w:val="3-BodyText"/>
        <w:spacing w:after="120"/>
      </w:pPr>
      <w:r w:rsidRPr="00C348FD">
        <w:t>Cumulative percentages of patients with improve</w:t>
      </w:r>
      <w:r>
        <w:t>d</w:t>
      </w:r>
      <w:r w:rsidRPr="00C348FD">
        <w:t xml:space="preserve"> ratings for the physician’s global</w:t>
      </w:r>
      <w:r>
        <w:t xml:space="preserve"> </w:t>
      </w:r>
      <w:r w:rsidRPr="00C348FD">
        <w:t>evaluation of clinical response</w:t>
      </w:r>
      <w:r>
        <w:t xml:space="preserve"> differed for patients treated with 0.1% TAC vs VO are presented in </w:t>
      </w:r>
      <w:r>
        <w:fldChar w:fldCharType="begin"/>
      </w:r>
      <w:r>
        <w:instrText xml:space="preserve"> REF _Ref197979969 \h </w:instrText>
      </w:r>
      <w:r>
        <w:fldChar w:fldCharType="separate"/>
      </w:r>
      <w:r w:rsidR="00124226">
        <w:t xml:space="preserve">Figure </w:t>
      </w:r>
      <w:r w:rsidR="00124226">
        <w:rPr>
          <w:noProof/>
        </w:rPr>
        <w:t>1</w:t>
      </w:r>
      <w:r>
        <w:fldChar w:fldCharType="end"/>
      </w:r>
      <w:r>
        <w:t>.</w:t>
      </w:r>
      <w:r w:rsidR="00B829E6">
        <w:t xml:space="preserve"> At least a moderate improvement (≥50% improvement) in AD was observed for 72.7% and 19.8% of patients treated with 0.1% TAC and VO, respectively.</w:t>
      </w:r>
    </w:p>
    <w:p w14:paraId="5DDCD423" w14:textId="03EB5EB3" w:rsidR="007F4F51" w:rsidRDefault="007F4F51" w:rsidP="007F4F51">
      <w:pPr>
        <w:pStyle w:val="Caption"/>
      </w:pPr>
      <w:bookmarkStart w:id="59" w:name="_Ref197979969"/>
      <w:r>
        <w:t xml:space="preserve">Figure </w:t>
      </w:r>
      <w:r w:rsidR="002C6240">
        <w:fldChar w:fldCharType="begin"/>
      </w:r>
      <w:r w:rsidR="002C6240">
        <w:instrText xml:space="preserve"> SEQ Figure \* ARABIC </w:instrText>
      </w:r>
      <w:r w:rsidR="002C6240">
        <w:fldChar w:fldCharType="separate"/>
      </w:r>
      <w:r w:rsidR="00124226">
        <w:rPr>
          <w:noProof/>
        </w:rPr>
        <w:t>1</w:t>
      </w:r>
      <w:r w:rsidR="002C6240">
        <w:rPr>
          <w:noProof/>
        </w:rPr>
        <w:fldChar w:fldCharType="end"/>
      </w:r>
      <w:bookmarkEnd w:id="59"/>
      <w:r>
        <w:t xml:space="preserve">: </w:t>
      </w:r>
      <w:r w:rsidRPr="00C348FD">
        <w:t>Cumulative percentages of patients with improvement ratings for the physician’s global evaluation of clinical response</w:t>
      </w:r>
      <w:r>
        <w:t xml:space="preserve"> (ITT)</w:t>
      </w:r>
    </w:p>
    <w:p w14:paraId="7BC32D2F" w14:textId="77777777" w:rsidR="007F4F51" w:rsidRDefault="007F4F51" w:rsidP="007F4F51">
      <w:r w:rsidRPr="009662E7">
        <w:rPr>
          <w:rFonts w:eastAsia="MS Gothic" w:cs="Times New Roman"/>
          <w:noProof/>
          <w:sz w:val="22"/>
          <w:szCs w:val="22"/>
          <w:lang w:eastAsia="en-US" w:bidi="en-US"/>
        </w:rPr>
        <w:drawing>
          <wp:inline distT="0" distB="0" distL="0" distR="0" wp14:anchorId="683FD58E" wp14:editId="183154A1">
            <wp:extent cx="4101524" cy="2683823"/>
            <wp:effectExtent l="0" t="0" r="0" b="2540"/>
            <wp:docPr id="2055751571" name="Picture 1" descr="Figure 1: Cumulative percentages of patients with improvement ratings for the physician’s global evaluation of clinical response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51571" name="Picture 1" descr="Figure 1: Cumulative percentages of patients with improvement ratings for the physician’s global evaluation of clinical response (ITT)"/>
                    <pic:cNvPicPr/>
                  </pic:nvPicPr>
                  <pic:blipFill>
                    <a:blip r:embed="rId11"/>
                    <a:stretch>
                      <a:fillRect/>
                    </a:stretch>
                  </pic:blipFill>
                  <pic:spPr>
                    <a:xfrm>
                      <a:off x="0" y="0"/>
                      <a:ext cx="4111202" cy="2690156"/>
                    </a:xfrm>
                    <a:prstGeom prst="rect">
                      <a:avLst/>
                    </a:prstGeom>
                  </pic:spPr>
                </pic:pic>
              </a:graphicData>
            </a:graphic>
          </wp:inline>
        </w:drawing>
      </w:r>
    </w:p>
    <w:p w14:paraId="09A9688D" w14:textId="77777777" w:rsidR="007F4F51" w:rsidRPr="0030219C" w:rsidRDefault="007F4F51" w:rsidP="007F4F51">
      <w:pPr>
        <w:pStyle w:val="TableFigureFooter"/>
      </w:pPr>
      <w:r w:rsidRPr="0030219C">
        <w:t>Source: Figure 2-6, p83 of the submission.</w:t>
      </w:r>
    </w:p>
    <w:p w14:paraId="431CA218" w14:textId="77777777" w:rsidR="007F4F51" w:rsidRPr="0030219C" w:rsidRDefault="007F4F51" w:rsidP="007F4F51">
      <w:pPr>
        <w:pStyle w:val="TableFigureFooter"/>
      </w:pPr>
      <w:r w:rsidRPr="0030219C">
        <w:t>Cleared (100% improvement, solid bars), excellent (90%-99% improvement, hatched bars), marked (75%-89% improvement, open bars), or moderate (50%-74% improvement, speckled bars).</w:t>
      </w:r>
    </w:p>
    <w:p w14:paraId="3C834763" w14:textId="77777777" w:rsidR="007F4F51" w:rsidRPr="00C348FD" w:rsidRDefault="007F4F51" w:rsidP="007F4F51">
      <w:pPr>
        <w:pStyle w:val="TableFigureFooter"/>
      </w:pPr>
      <w:r>
        <w:t>Data for 0.03% TAC is not relevant to the submission.</w:t>
      </w:r>
    </w:p>
    <w:p w14:paraId="1356848C" w14:textId="7F9C6986" w:rsidR="007F4F51" w:rsidRDefault="00B829E6" w:rsidP="00B829E6">
      <w:pPr>
        <w:pStyle w:val="3-BodyText"/>
        <w:spacing w:after="120"/>
      </w:pPr>
      <w:r w:rsidDel="00DD06D9">
        <w:t>Improvements in AD were significantly higher in patients treated with 0.1% TAC compared with patients treated with VO with respect to EASI scores, total and clinical scores of individual signs of AD (</w:t>
      </w:r>
      <w:r w:rsidDel="00DD06D9">
        <w:fldChar w:fldCharType="begin"/>
      </w:r>
      <w:r w:rsidDel="00DD06D9">
        <w:instrText xml:space="preserve"> REF _Ref197626642 \h </w:instrText>
      </w:r>
      <w:r w:rsidDel="00DD06D9">
        <w:fldChar w:fldCharType="separate"/>
      </w:r>
      <w:r w:rsidR="00124226">
        <w:t xml:space="preserve">Figure </w:t>
      </w:r>
      <w:r w:rsidR="00124226">
        <w:rPr>
          <w:noProof/>
        </w:rPr>
        <w:t>2</w:t>
      </w:r>
      <w:r w:rsidDel="00DD06D9">
        <w:fldChar w:fldCharType="end"/>
      </w:r>
      <w:r w:rsidDel="00DD06D9">
        <w:t>), % BSA affected, and the patient’s assessment of itch (p&lt;0.001). Improvement was observed as early as 1 week after the start of treatment with 0.1% TAC.</w:t>
      </w:r>
    </w:p>
    <w:p w14:paraId="67F5761C" w14:textId="12B50A89" w:rsidR="007F4F51" w:rsidRDefault="007F4F51" w:rsidP="007F4F51">
      <w:pPr>
        <w:pStyle w:val="Caption"/>
      </w:pPr>
      <w:bookmarkStart w:id="60" w:name="_Ref197626642"/>
      <w:r>
        <w:t xml:space="preserve">Figure </w:t>
      </w:r>
      <w:r>
        <w:fldChar w:fldCharType="begin"/>
      </w:r>
      <w:r>
        <w:instrText xml:space="preserve"> SEQ Figure \* ARABIC </w:instrText>
      </w:r>
      <w:r>
        <w:fldChar w:fldCharType="separate"/>
      </w:r>
      <w:r w:rsidR="00124226">
        <w:rPr>
          <w:noProof/>
        </w:rPr>
        <w:t>2</w:t>
      </w:r>
      <w:r>
        <w:rPr>
          <w:noProof/>
        </w:rPr>
        <w:fldChar w:fldCharType="end"/>
      </w:r>
      <w:bookmarkEnd w:id="60"/>
      <w:r>
        <w:t>: Change in total clinical score for signs of AD and EASI score</w:t>
      </w:r>
      <w:r w:rsidRPr="00CF3C39">
        <w:t xml:space="preserve"> </w:t>
      </w:r>
      <w:r>
        <w:t xml:space="preserve">from baseline to the end of </w:t>
      </w:r>
    </w:p>
    <w:p w14:paraId="5B317780" w14:textId="6AE44205" w:rsidR="007F4F51" w:rsidRDefault="007F4F51" w:rsidP="007F4F51">
      <w:pPr>
        <w:pStyle w:val="Caption"/>
      </w:pPr>
      <w:r>
        <w:t xml:space="preserve">treatment </w:t>
      </w:r>
      <w:r w:rsidRPr="00793FD4">
        <w:t>from Hanifin et al (2001)</w:t>
      </w:r>
      <w:r w:rsidR="00A443CC" w:rsidRPr="00D770B1">
        <w:rPr>
          <w:rFonts w:eastAsia="MS Gothic" w:cs="Times New Roman"/>
          <w:noProof/>
          <w:sz w:val="22"/>
          <w:szCs w:val="22"/>
          <w:lang w:eastAsia="en-US" w:bidi="en-US"/>
        </w:rPr>
        <w:drawing>
          <wp:anchor distT="0" distB="0" distL="114300" distR="114300" simplePos="0" relativeHeight="251658240" behindDoc="0" locked="0" layoutInCell="1" allowOverlap="1" wp14:anchorId="377E4972" wp14:editId="095341AA">
            <wp:simplePos x="0" y="0"/>
            <wp:positionH relativeFrom="margin">
              <wp:posOffset>0</wp:posOffset>
            </wp:positionH>
            <wp:positionV relativeFrom="paragraph">
              <wp:posOffset>149225</wp:posOffset>
            </wp:positionV>
            <wp:extent cx="4116070" cy="2371725"/>
            <wp:effectExtent l="0" t="0" r="0" b="9525"/>
            <wp:wrapTopAndBottom/>
            <wp:docPr id="340636861" name="Picture 1" descr="Figure 2: Change in total clinical score for signs of AD and EASI score from baseline to the end of &#10;treatment from Hanifin et al (2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36861" name="Picture 1" descr="Figure 2: Change in total clinical score for signs of AD and EASI score from baseline to the end of &#10;treatment from Hanifin et al (2001)&#10;"/>
                    <pic:cNvPicPr/>
                  </pic:nvPicPr>
                  <pic:blipFill>
                    <a:blip r:embed="rId12"/>
                    <a:stretch>
                      <a:fillRect/>
                    </a:stretch>
                  </pic:blipFill>
                  <pic:spPr>
                    <a:xfrm>
                      <a:off x="0" y="0"/>
                      <a:ext cx="4116070" cy="2371725"/>
                    </a:xfrm>
                    <a:prstGeom prst="rect">
                      <a:avLst/>
                    </a:prstGeom>
                  </pic:spPr>
                </pic:pic>
              </a:graphicData>
            </a:graphic>
            <wp14:sizeRelH relativeFrom="margin">
              <wp14:pctWidth>0</wp14:pctWidth>
            </wp14:sizeRelH>
            <wp14:sizeRelV relativeFrom="margin">
              <wp14:pctHeight>0</wp14:pctHeight>
            </wp14:sizeRelV>
          </wp:anchor>
        </w:drawing>
      </w:r>
    </w:p>
    <w:p w14:paraId="13C24F55" w14:textId="6488B0C2" w:rsidR="007F4F51" w:rsidRDefault="007F4F51" w:rsidP="007F4F51">
      <w:pPr>
        <w:pStyle w:val="TableFigureFooter"/>
      </w:pPr>
      <w:r>
        <w:t xml:space="preserve">Source; </w:t>
      </w:r>
      <w:r w:rsidRPr="009C0937">
        <w:t>Figure 2-7, p83 of the submission</w:t>
      </w:r>
      <w:r>
        <w:t>; Hanifin et al (2001)</w:t>
      </w:r>
      <w:r>
        <w:fldChar w:fldCharType="begin"/>
      </w:r>
      <w:r>
        <w:instrText xml:space="preserve"> NOTEREF _Ref198558571 \f \h </w:instrText>
      </w:r>
      <w:r>
        <w:fldChar w:fldCharType="separate"/>
      </w:r>
      <w:r w:rsidR="00124226" w:rsidRPr="00124226">
        <w:rPr>
          <w:rStyle w:val="FootnoteReference"/>
        </w:rPr>
        <w:t>5</w:t>
      </w:r>
      <w:r>
        <w:fldChar w:fldCharType="end"/>
      </w:r>
    </w:p>
    <w:p w14:paraId="206A1D96" w14:textId="77777777" w:rsidR="007F4F51" w:rsidRDefault="007F4F51" w:rsidP="007F4F51">
      <w:pPr>
        <w:pStyle w:val="TableFigureFooter"/>
      </w:pPr>
      <w:r>
        <w:t>AD=atopic dermatitis; EASI=</w:t>
      </w:r>
      <w:r w:rsidRPr="00C866F3">
        <w:t>Eczema Area and Severity Index</w:t>
      </w:r>
      <w:r>
        <w:t>; TAC=tacrolimus ointment; VO=vehicle ointment.</w:t>
      </w:r>
    </w:p>
    <w:p w14:paraId="21FDD5B1" w14:textId="77777777" w:rsidR="007F4F51" w:rsidRDefault="007F4F51" w:rsidP="007F4F51">
      <w:pPr>
        <w:pStyle w:val="TableFigureFooter"/>
      </w:pPr>
      <w:r w:rsidRPr="008D641C">
        <w:t>VO (shaded bars) and 0.1% TAC (solid bars).</w:t>
      </w:r>
      <w:r w:rsidRPr="00CF3C39">
        <w:t xml:space="preserve"> </w:t>
      </w:r>
    </w:p>
    <w:p w14:paraId="21FBA4BF" w14:textId="49E94980" w:rsidR="007F4F51" w:rsidRPr="00B55BB0" w:rsidRDefault="007F4F51" w:rsidP="007F4F51">
      <w:pPr>
        <w:pStyle w:val="TableFigureFooter"/>
      </w:pPr>
      <w:r w:rsidRPr="00B55BB0">
        <w:t>Note: Data for 0.03% TAC (open bars) are not relevant to the submission.</w:t>
      </w:r>
    </w:p>
    <w:p w14:paraId="4DEBE4C4" w14:textId="77777777" w:rsidR="007F4F51" w:rsidRDefault="007F4F51" w:rsidP="007F4F51">
      <w:pPr>
        <w:pStyle w:val="TableFigureFooter"/>
      </w:pPr>
      <w:r w:rsidRPr="00D770B1">
        <w:t xml:space="preserve">* Significantly greater improvement compared with </w:t>
      </w:r>
      <w:r>
        <w:t>VO</w:t>
      </w:r>
      <w:r w:rsidRPr="00D770B1">
        <w:t xml:space="preserve"> (</w:t>
      </w:r>
      <w:r>
        <w:rPr>
          <w:i/>
          <w:iCs/>
        </w:rPr>
        <w:t>p</w:t>
      </w:r>
      <w:r w:rsidRPr="00D770B1">
        <w:rPr>
          <w:i/>
          <w:iCs/>
        </w:rPr>
        <w:t xml:space="preserve"> </w:t>
      </w:r>
      <w:r w:rsidRPr="00D770B1">
        <w:t>&lt;</w:t>
      </w:r>
      <w:r>
        <w:t>0</w:t>
      </w:r>
      <w:r w:rsidRPr="00D770B1">
        <w:t>.001).</w:t>
      </w:r>
    </w:p>
    <w:p w14:paraId="6FF3A050" w14:textId="2CDBB3BB" w:rsidR="007F4F51" w:rsidRPr="000D6146" w:rsidRDefault="007F4F51" w:rsidP="007F4F51">
      <w:pPr>
        <w:pStyle w:val="3-BodyText"/>
      </w:pPr>
      <w:r w:rsidRPr="000D6146">
        <w:t>Data published by Hanifin et al (2001) was not included in the economic model. The trial populations in Hanifen et al (2001) were not aligned with the proposed PBS population</w:t>
      </w:r>
      <w:r w:rsidRPr="000D6146">
        <w:fldChar w:fldCharType="begin"/>
      </w:r>
      <w:r w:rsidRPr="000D6146">
        <w:instrText xml:space="preserve"> NOTEREF _Ref197864362 \f \h </w:instrText>
      </w:r>
      <w:r w:rsidR="000D6146">
        <w:instrText xml:space="preserve"> \* MERGEFORMAT </w:instrText>
      </w:r>
      <w:r w:rsidRPr="000D6146">
        <w:fldChar w:fldCharType="separate"/>
      </w:r>
      <w:r w:rsidR="00124226">
        <w:rPr>
          <w:b/>
          <w:bCs/>
          <w:lang w:val="en-GB"/>
        </w:rPr>
        <w:t>Error! Bookmark not defined.</w:t>
      </w:r>
      <w:r w:rsidRPr="000D6146">
        <w:fldChar w:fldCharType="end"/>
      </w:r>
      <w:r w:rsidR="00B272E9" w:rsidRPr="000D6146">
        <w:t xml:space="preserve"> as t</w:t>
      </w:r>
      <w:r w:rsidRPr="000D6146">
        <w:t>here was no information to indicate that patients had not been able to achieve satisfactory disease control with intermittent (moderate or potent) TCS therapy</w:t>
      </w:r>
      <w:r w:rsidRPr="000D6146" w:rsidDel="004C3F33">
        <w:t xml:space="preserve"> </w:t>
      </w:r>
      <w:r w:rsidRPr="000D6146">
        <w:t>or were unsuitable/contraindicated for TCS. Adults that have not responded adequately to moderate or potent TCS may represent a “harder to treat population” and may also not respond as well to TCIs and other AD therapies.</w:t>
      </w:r>
    </w:p>
    <w:p w14:paraId="705A05A9" w14:textId="77777777" w:rsidR="007F4F51" w:rsidRPr="006866D0" w:rsidRDefault="007F4F51" w:rsidP="007F4F51">
      <w:pPr>
        <w:pStyle w:val="3-BodyText"/>
        <w:numPr>
          <w:ilvl w:val="0"/>
          <w:numId w:val="0"/>
        </w:numPr>
      </w:pPr>
      <w:r w:rsidRPr="006866D0">
        <w:rPr>
          <w:u w:val="single"/>
        </w:rPr>
        <w:t>Drake at al (2001</w:t>
      </w:r>
      <w:r>
        <w:t>)</w:t>
      </w:r>
    </w:p>
    <w:p w14:paraId="4898141D" w14:textId="2A6DA6EF" w:rsidR="007F4F51" w:rsidRPr="000D6146" w:rsidRDefault="007F4F51" w:rsidP="008F141A">
      <w:pPr>
        <w:pStyle w:val="3-BodyText"/>
        <w:spacing w:after="120"/>
      </w:pPr>
      <w:r w:rsidRPr="000D6146">
        <w:t xml:space="preserve">Drake at al (2001) presented data on </w:t>
      </w:r>
      <w:r w:rsidR="005B131A">
        <w:t>quality of life (</w:t>
      </w:r>
      <w:r w:rsidRPr="000D6146">
        <w:t>QoL</w:t>
      </w:r>
      <w:r w:rsidR="005B131A">
        <w:t>)</w:t>
      </w:r>
      <w:r w:rsidRPr="000D6146">
        <w:t xml:space="preserve"> outcomes from three multicentre RCTs (including the two adult RCTs by Hanifin et al 2001</w:t>
      </w:r>
      <w:r w:rsidRPr="000D6146">
        <w:fldChar w:fldCharType="begin"/>
      </w:r>
      <w:r w:rsidRPr="000D6146">
        <w:instrText xml:space="preserve"> NOTEREF _Ref198558571 \f \h </w:instrText>
      </w:r>
      <w:r w:rsidR="000D6146" w:rsidRPr="000D6146">
        <w:instrText xml:space="preserve"> \* MERGEFORMAT </w:instrText>
      </w:r>
      <w:r w:rsidRPr="000D6146">
        <w:fldChar w:fldCharType="separate"/>
      </w:r>
      <w:r w:rsidR="00124226" w:rsidRPr="00124226">
        <w:rPr>
          <w:rStyle w:val="FootnoteReference"/>
        </w:rPr>
        <w:t>5</w:t>
      </w:r>
      <w:r w:rsidRPr="000D6146">
        <w:fldChar w:fldCharType="end"/>
      </w:r>
      <w:r w:rsidRPr="000D6146">
        <w:t>) comparing 0.1% TAC versus VO in both adult and paediatric patients with moderate to severe AD</w:t>
      </w:r>
      <w:r w:rsidRPr="000D6146">
        <w:rPr>
          <w:rStyle w:val="FootnoteReference"/>
        </w:rPr>
        <w:footnoteReference w:id="16"/>
      </w:r>
      <w:r w:rsidRPr="000D6146">
        <w:t xml:space="preserve">. The paediatric trial in Drake et al (2001) was not discussed in the submission; only data for the two adult studies </w:t>
      </w:r>
      <w:r w:rsidR="00B829E6" w:rsidRPr="000D6146">
        <w:t>were</w:t>
      </w:r>
      <w:r w:rsidRPr="000D6146">
        <w:t xml:space="preserve"> presented.  QoL was assessed at baseline, Week 3, and Week 12 or at the end of treatment using the Dermatology Life Quality Index (DLQI)</w:t>
      </w:r>
      <w:r w:rsidR="0046281A" w:rsidRPr="000D6146">
        <w:t xml:space="preserve"> (</w:t>
      </w:r>
      <w:r w:rsidR="0046281A" w:rsidRPr="000D6146">
        <w:fldChar w:fldCharType="begin"/>
      </w:r>
      <w:r w:rsidR="0046281A" w:rsidRPr="000D6146">
        <w:instrText xml:space="preserve"> REF _Ref197957210 \h </w:instrText>
      </w:r>
      <w:r w:rsidR="000D6146" w:rsidRPr="000D6146">
        <w:instrText xml:space="preserve"> \* MERGEFORMAT </w:instrText>
      </w:r>
      <w:r w:rsidR="0046281A" w:rsidRPr="000D6146">
        <w:fldChar w:fldCharType="separate"/>
      </w:r>
      <w:r w:rsidR="00124226">
        <w:t xml:space="preserve">Table </w:t>
      </w:r>
      <w:r w:rsidR="00124226">
        <w:rPr>
          <w:noProof/>
        </w:rPr>
        <w:t>5</w:t>
      </w:r>
      <w:r w:rsidR="0046281A" w:rsidRPr="000D6146">
        <w:fldChar w:fldCharType="end"/>
      </w:r>
      <w:r w:rsidR="0046281A" w:rsidRPr="000D6146">
        <w:t>)</w:t>
      </w:r>
      <w:r w:rsidRPr="000D6146">
        <w:t xml:space="preserve">. The DLQI contains ten items that comprise six categories used to assess the impact of the patient’s skin condition during the last week. The higher the score, the more QoL is impaired. Baseline demographics and clinical severity were comparable across treatment arms for the 579 adults included in the QoL assessment using the DLQI. The number of adults included in each treatment arm was not stated in the study publication. </w:t>
      </w:r>
    </w:p>
    <w:p w14:paraId="2EF51DEE" w14:textId="579ADED6" w:rsidR="007F4F51" w:rsidRDefault="007F4F51" w:rsidP="007F4F51">
      <w:pPr>
        <w:pStyle w:val="Caption"/>
      </w:pPr>
      <w:bookmarkStart w:id="61" w:name="_Ref197957210"/>
      <w:r>
        <w:t xml:space="preserve">Table </w:t>
      </w:r>
      <w:r>
        <w:fldChar w:fldCharType="begin"/>
      </w:r>
      <w:r>
        <w:instrText xml:space="preserve"> SEQ Table \* ARABIC </w:instrText>
      </w:r>
      <w:r>
        <w:fldChar w:fldCharType="separate"/>
      </w:r>
      <w:r w:rsidR="00124226">
        <w:rPr>
          <w:noProof/>
        </w:rPr>
        <w:t>5</w:t>
      </w:r>
      <w:r>
        <w:rPr>
          <w:noProof/>
        </w:rPr>
        <w:fldChar w:fldCharType="end"/>
      </w:r>
      <w:bookmarkEnd w:id="61"/>
      <w:r>
        <w:t>: C</w:t>
      </w:r>
      <w:r w:rsidRPr="009A1A0F">
        <w:t xml:space="preserve">hange </w:t>
      </w:r>
      <w:r>
        <w:t xml:space="preserve">in </w:t>
      </w:r>
      <w:r w:rsidRPr="009A1A0F">
        <w:t>DLQI scores from baseline to end of treatment for adults receiving 0.1% TAC versus VO</w:t>
      </w:r>
      <w:r>
        <w:t xml:space="preserve"> from </w:t>
      </w:r>
      <w:r w:rsidRPr="00600A55">
        <w:t>Drake et al (2001)</w:t>
      </w:r>
    </w:p>
    <w:tbl>
      <w:tblPr>
        <w:tblStyle w:val="ASDTable11"/>
        <w:tblW w:w="5000" w:type="pct"/>
        <w:tblLook w:val="04A0" w:firstRow="1" w:lastRow="0" w:firstColumn="1" w:lastColumn="0" w:noHBand="0" w:noVBand="1"/>
        <w:tblCaption w:val="Table 5: Change in DLQI scores from baseline to end of treatment for adults receiving 0.1% TAC versus VO from Drake et al (2001)"/>
      </w:tblPr>
      <w:tblGrid>
        <w:gridCol w:w="2413"/>
        <w:gridCol w:w="2564"/>
        <w:gridCol w:w="2332"/>
        <w:gridCol w:w="1708"/>
      </w:tblGrid>
      <w:tr w:rsidR="007F4F51" w:rsidRPr="0020475D" w14:paraId="1B5AD7B8" w14:textId="77777777">
        <w:trPr>
          <w:trHeight w:val="480"/>
        </w:trPr>
        <w:tc>
          <w:tcPr>
            <w:tcW w:w="1338" w:type="pct"/>
          </w:tcPr>
          <w:p w14:paraId="0C89F7E0"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 xml:space="preserve">DLQI scale </w:t>
            </w:r>
          </w:p>
        </w:tc>
        <w:tc>
          <w:tcPr>
            <w:tcW w:w="1422" w:type="pct"/>
          </w:tcPr>
          <w:p w14:paraId="23F6F9A2"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 xml:space="preserve">0.1% TAC </w:t>
            </w:r>
          </w:p>
          <w:p w14:paraId="54D38A9A"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LS Mean ± SE</w:t>
            </w:r>
          </w:p>
        </w:tc>
        <w:tc>
          <w:tcPr>
            <w:tcW w:w="1293" w:type="pct"/>
          </w:tcPr>
          <w:p w14:paraId="52790C1D"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 xml:space="preserve">VO </w:t>
            </w:r>
          </w:p>
          <w:p w14:paraId="08D28A08"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LS Mean ± SE</w:t>
            </w:r>
          </w:p>
        </w:tc>
        <w:tc>
          <w:tcPr>
            <w:tcW w:w="947" w:type="pct"/>
          </w:tcPr>
          <w:p w14:paraId="1006120D"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i/>
                <w:iCs/>
                <w:sz w:val="20"/>
              </w:rPr>
              <w:t>P</w:t>
            </w:r>
            <w:r w:rsidRPr="0020475D">
              <w:rPr>
                <w:rFonts w:ascii="Arial Narrow" w:hAnsi="Arial Narrow" w:cs="Times New Roman"/>
                <w:b/>
                <w:sz w:val="20"/>
              </w:rPr>
              <w:t xml:space="preserve"> value</w:t>
            </w:r>
          </w:p>
          <w:p w14:paraId="53EF3897" w14:textId="77777777" w:rsidR="007F4F51" w:rsidRPr="0020475D" w:rsidRDefault="007F4F51">
            <w:pPr>
              <w:keepNext/>
              <w:keepLines/>
              <w:rPr>
                <w:rFonts w:ascii="Arial Narrow" w:hAnsi="Arial Narrow" w:cs="Times New Roman"/>
                <w:b/>
                <w:sz w:val="20"/>
              </w:rPr>
            </w:pPr>
            <w:r w:rsidRPr="0020475D">
              <w:rPr>
                <w:rFonts w:ascii="Arial Narrow" w:hAnsi="Arial Narrow" w:cs="Times New Roman"/>
                <w:b/>
                <w:sz w:val="20"/>
              </w:rPr>
              <w:t>VO vs 0.1% TAC</w:t>
            </w:r>
          </w:p>
        </w:tc>
      </w:tr>
      <w:tr w:rsidR="007F4F51" w:rsidRPr="0020475D" w14:paraId="3CEB3E87" w14:textId="77777777" w:rsidTr="00347EBA">
        <w:trPr>
          <w:trHeight w:val="74"/>
        </w:trPr>
        <w:tc>
          <w:tcPr>
            <w:tcW w:w="1338" w:type="pct"/>
          </w:tcPr>
          <w:p w14:paraId="07125FAD"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Symptoms and Feelings </w:t>
            </w:r>
          </w:p>
        </w:tc>
        <w:tc>
          <w:tcPr>
            <w:tcW w:w="1422" w:type="pct"/>
          </w:tcPr>
          <w:p w14:paraId="66ED1B4E"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–41.1 ± 1.9</w:t>
            </w:r>
          </w:p>
        </w:tc>
        <w:tc>
          <w:tcPr>
            <w:tcW w:w="1293" w:type="pct"/>
          </w:tcPr>
          <w:p w14:paraId="313D66AA"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–10.4 ± 1.9</w:t>
            </w:r>
          </w:p>
        </w:tc>
        <w:tc>
          <w:tcPr>
            <w:tcW w:w="947" w:type="pct"/>
          </w:tcPr>
          <w:p w14:paraId="1B984DBE"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6502F754" w14:textId="77777777" w:rsidTr="00347EBA">
        <w:trPr>
          <w:trHeight w:val="74"/>
        </w:trPr>
        <w:tc>
          <w:tcPr>
            <w:tcW w:w="1338" w:type="pct"/>
          </w:tcPr>
          <w:p w14:paraId="27CA85FB"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Daily Activities </w:t>
            </w:r>
          </w:p>
        </w:tc>
        <w:tc>
          <w:tcPr>
            <w:tcW w:w="1422" w:type="pct"/>
          </w:tcPr>
          <w:p w14:paraId="1F82A5DC"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–28.4 ± 1.8</w:t>
            </w:r>
          </w:p>
        </w:tc>
        <w:tc>
          <w:tcPr>
            <w:tcW w:w="1293" w:type="pct"/>
          </w:tcPr>
          <w:p w14:paraId="72219AD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–6.0 ± 1.8</w:t>
            </w:r>
          </w:p>
        </w:tc>
        <w:tc>
          <w:tcPr>
            <w:tcW w:w="947" w:type="pct"/>
          </w:tcPr>
          <w:p w14:paraId="0E3D697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3F128F5F" w14:textId="77777777">
        <w:trPr>
          <w:trHeight w:val="239"/>
        </w:trPr>
        <w:tc>
          <w:tcPr>
            <w:tcW w:w="1338" w:type="pct"/>
          </w:tcPr>
          <w:p w14:paraId="3DD74535"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Leisure </w:t>
            </w:r>
          </w:p>
        </w:tc>
        <w:tc>
          <w:tcPr>
            <w:tcW w:w="1422" w:type="pct"/>
          </w:tcPr>
          <w:p w14:paraId="0686C71E"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–28.6 ± 1.8</w:t>
            </w:r>
          </w:p>
        </w:tc>
        <w:tc>
          <w:tcPr>
            <w:tcW w:w="1293" w:type="pct"/>
          </w:tcPr>
          <w:p w14:paraId="7B917A99"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–7.3 ± 1.8</w:t>
            </w:r>
          </w:p>
        </w:tc>
        <w:tc>
          <w:tcPr>
            <w:tcW w:w="947" w:type="pct"/>
          </w:tcPr>
          <w:p w14:paraId="17194256"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61B25B08" w14:textId="77777777">
        <w:trPr>
          <w:trHeight w:val="225"/>
        </w:trPr>
        <w:tc>
          <w:tcPr>
            <w:tcW w:w="1338" w:type="pct"/>
          </w:tcPr>
          <w:p w14:paraId="4612F6D8"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Work/School </w:t>
            </w:r>
          </w:p>
        </w:tc>
        <w:tc>
          <w:tcPr>
            <w:tcW w:w="1422" w:type="pct"/>
          </w:tcPr>
          <w:p w14:paraId="6094934F"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–31.8 ± 2.5</w:t>
            </w:r>
          </w:p>
        </w:tc>
        <w:tc>
          <w:tcPr>
            <w:tcW w:w="1293" w:type="pct"/>
          </w:tcPr>
          <w:p w14:paraId="3EE42B8B"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–5.7 ± 2.5</w:t>
            </w:r>
          </w:p>
        </w:tc>
        <w:tc>
          <w:tcPr>
            <w:tcW w:w="947" w:type="pct"/>
          </w:tcPr>
          <w:p w14:paraId="52675846"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0E430C33" w14:textId="77777777" w:rsidTr="00347EBA">
        <w:trPr>
          <w:trHeight w:val="53"/>
        </w:trPr>
        <w:tc>
          <w:tcPr>
            <w:tcW w:w="1338" w:type="pct"/>
          </w:tcPr>
          <w:p w14:paraId="125B2770"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Personal Relationships </w:t>
            </w:r>
          </w:p>
        </w:tc>
        <w:tc>
          <w:tcPr>
            <w:tcW w:w="1422" w:type="pct"/>
          </w:tcPr>
          <w:p w14:paraId="4E04ABE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–15.1 ± 1.5</w:t>
            </w:r>
          </w:p>
        </w:tc>
        <w:tc>
          <w:tcPr>
            <w:tcW w:w="1293" w:type="pct"/>
          </w:tcPr>
          <w:p w14:paraId="2442DFC9"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–0.6 ± 1.5</w:t>
            </w:r>
          </w:p>
        </w:tc>
        <w:tc>
          <w:tcPr>
            <w:tcW w:w="947" w:type="pct"/>
          </w:tcPr>
          <w:p w14:paraId="348FDDF7"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1E79E31B" w14:textId="77777777">
        <w:trPr>
          <w:trHeight w:val="225"/>
        </w:trPr>
        <w:tc>
          <w:tcPr>
            <w:tcW w:w="1338" w:type="pct"/>
          </w:tcPr>
          <w:p w14:paraId="3D37AE3C"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Treatment </w:t>
            </w:r>
          </w:p>
        </w:tc>
        <w:tc>
          <w:tcPr>
            <w:tcW w:w="1422" w:type="pct"/>
          </w:tcPr>
          <w:p w14:paraId="1C2405FF"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–14.8 ± 1.9</w:t>
            </w:r>
          </w:p>
        </w:tc>
        <w:tc>
          <w:tcPr>
            <w:tcW w:w="1293" w:type="pct"/>
          </w:tcPr>
          <w:p w14:paraId="2D06C514"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–3.1 ± 1.9</w:t>
            </w:r>
          </w:p>
        </w:tc>
        <w:tc>
          <w:tcPr>
            <w:tcW w:w="947" w:type="pct"/>
          </w:tcPr>
          <w:p w14:paraId="77C36801"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 xml:space="preserve"> a</w:t>
            </w:r>
          </w:p>
        </w:tc>
      </w:tr>
      <w:tr w:rsidR="007F4F51" w:rsidRPr="0020475D" w14:paraId="5F21FF4C" w14:textId="77777777" w:rsidTr="00347EBA">
        <w:trPr>
          <w:trHeight w:val="53"/>
        </w:trPr>
        <w:tc>
          <w:tcPr>
            <w:tcW w:w="1338" w:type="pct"/>
          </w:tcPr>
          <w:p w14:paraId="450A3649"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 xml:space="preserve">Total score </w:t>
            </w:r>
          </w:p>
        </w:tc>
        <w:tc>
          <w:tcPr>
            <w:tcW w:w="1422" w:type="pct"/>
          </w:tcPr>
          <w:p w14:paraId="33D16031"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–27.1 ± 1.4</w:t>
            </w:r>
          </w:p>
        </w:tc>
        <w:tc>
          <w:tcPr>
            <w:tcW w:w="1293" w:type="pct"/>
          </w:tcPr>
          <w:p w14:paraId="02641132"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–5.6 ± 1.4</w:t>
            </w:r>
          </w:p>
        </w:tc>
        <w:tc>
          <w:tcPr>
            <w:tcW w:w="947" w:type="pct"/>
          </w:tcPr>
          <w:p w14:paraId="53F45306" w14:textId="77777777" w:rsidR="007F4F51" w:rsidRPr="0020475D" w:rsidRDefault="007F4F51">
            <w:pPr>
              <w:keepNext/>
              <w:keepLines/>
              <w:rPr>
                <w:rFonts w:ascii="Arial Narrow" w:hAnsi="Arial Narrow" w:cs="Times New Roman"/>
                <w:bCs/>
                <w:sz w:val="20"/>
              </w:rPr>
            </w:pPr>
            <w:r w:rsidRPr="0020475D">
              <w:rPr>
                <w:rFonts w:ascii="Arial Narrow" w:hAnsi="Arial Narrow" w:cs="Times New Roman"/>
                <w:bCs/>
                <w:sz w:val="20"/>
              </w:rPr>
              <w:t>0.000</w:t>
            </w:r>
            <w:r w:rsidRPr="0020475D">
              <w:rPr>
                <w:rFonts w:ascii="Arial Narrow" w:hAnsi="Arial Narrow" w:cs="Times New Roman"/>
                <w:bCs/>
                <w:sz w:val="20"/>
                <w:vertAlign w:val="superscript"/>
              </w:rPr>
              <w:t>a</w:t>
            </w:r>
          </w:p>
        </w:tc>
      </w:tr>
    </w:tbl>
    <w:p w14:paraId="364BE997" w14:textId="66EB9DBD" w:rsidR="007F4F51" w:rsidRPr="009A1A0F" w:rsidRDefault="007F4F51" w:rsidP="007F4F51">
      <w:pPr>
        <w:pStyle w:val="FooterTableFigure"/>
      </w:pPr>
      <w:r w:rsidRPr="009A1A0F">
        <w:t>Source: Table 2-25, p87 of the submission</w:t>
      </w:r>
      <w:r>
        <w:t xml:space="preserve">; </w:t>
      </w:r>
      <w:r w:rsidRPr="00600A55">
        <w:t>Drake et al (2001)</w:t>
      </w:r>
      <w:r>
        <w:fldChar w:fldCharType="begin"/>
      </w:r>
      <w:r>
        <w:instrText xml:space="preserve"> NOTEREF _Ref198490607 \f \h </w:instrText>
      </w:r>
      <w:r>
        <w:fldChar w:fldCharType="separate"/>
      </w:r>
      <w:r w:rsidR="00124226" w:rsidRPr="00124226">
        <w:rPr>
          <w:rStyle w:val="FootnoteReference"/>
        </w:rPr>
        <w:t>8</w:t>
      </w:r>
      <w:r>
        <w:fldChar w:fldCharType="end"/>
      </w:r>
    </w:p>
    <w:p w14:paraId="194D1DAD" w14:textId="77777777" w:rsidR="007F4F51" w:rsidRPr="009A1A0F" w:rsidRDefault="007F4F51" w:rsidP="007F4F51">
      <w:pPr>
        <w:pStyle w:val="FooterTableFigure"/>
        <w:rPr>
          <w:iCs/>
        </w:rPr>
      </w:pPr>
      <w:r w:rsidRPr="009A1A0F">
        <w:rPr>
          <w:iCs/>
        </w:rPr>
        <w:t>DLQI = Dermatology Life Quality Index; LS Mean = Least squares mean reported from the analysis of covariance model; N = number; SE = standard error of the mean; TAC = tacrolimus ointment; VO = vehicle ointment.</w:t>
      </w:r>
    </w:p>
    <w:p w14:paraId="2229AE96" w14:textId="183DF6B7" w:rsidR="007F4F51" w:rsidRDefault="007F4F51" w:rsidP="007F4F51">
      <w:pPr>
        <w:pStyle w:val="FooterTableFigure"/>
      </w:pPr>
      <w:r w:rsidRPr="009A1A0F">
        <w:rPr>
          <w:vertAlign w:val="superscript"/>
        </w:rPr>
        <w:t>a</w:t>
      </w:r>
      <w:r w:rsidRPr="009A1A0F" w:rsidDel="00246C67">
        <w:t xml:space="preserve"> </w:t>
      </w:r>
      <w:r w:rsidRPr="009A1A0F">
        <w:t xml:space="preserve">Differences are significantly different (analysis of covariance, </w:t>
      </w:r>
      <w:r w:rsidRPr="009A1A0F">
        <w:rPr>
          <w:i/>
        </w:rPr>
        <w:t xml:space="preserve">P </w:t>
      </w:r>
      <w:r w:rsidRPr="009A1A0F">
        <w:t>&lt; 0.05).</w:t>
      </w:r>
    </w:p>
    <w:p w14:paraId="1C55160F" w14:textId="2DAE375B" w:rsidR="007F4F51" w:rsidRDefault="007F4F51" w:rsidP="007F4F51">
      <w:pPr>
        <w:pStyle w:val="3-BodyText"/>
      </w:pPr>
      <w:r>
        <w:t xml:space="preserve">Adults receiving 0.1% TAC experienced greater QoL improvements from baseline to end of treatment compared with VO for all seven QoL categories (p&lt;0.001). </w:t>
      </w:r>
      <w:r w:rsidRPr="009A1A0F">
        <w:t>The differences were most substantial for the Symptoms and Feelings and Work/School categories</w:t>
      </w:r>
      <w:r>
        <w:t>.</w:t>
      </w:r>
    </w:p>
    <w:p w14:paraId="073BF653" w14:textId="77777777" w:rsidR="007F4F51" w:rsidRPr="000D6146" w:rsidRDefault="007F4F51" w:rsidP="007F4F51">
      <w:pPr>
        <w:pStyle w:val="3-BodyText"/>
      </w:pPr>
      <w:r w:rsidRPr="000D6146">
        <w:t>The number of adults with QoL data from the DLQI receiving 0.1% TAC and VO included in the studies by Hanifin et al (2001) was not stated and therefore QoL outcomes observed may not be representative of all adults receiving 0.1% TAC and VO. Additionally, these patients were not aligned with the proposed PBS population and therefore benefits of 0.1% TAC in the proposed PBS population may differ from those reported by Drake et al (2001).</w:t>
      </w:r>
    </w:p>
    <w:p w14:paraId="146A13F4" w14:textId="77777777" w:rsidR="007F4F51" w:rsidRDefault="007F4F51" w:rsidP="007F4F51">
      <w:pPr>
        <w:pStyle w:val="5-SubsectionSubheading"/>
      </w:pPr>
      <w:r>
        <w:t>M</w:t>
      </w:r>
      <w:r w:rsidRPr="00921C38">
        <w:t>aintenance treatment</w:t>
      </w:r>
    </w:p>
    <w:p w14:paraId="448C348F" w14:textId="77777777" w:rsidR="007F4F51" w:rsidRPr="00BA28A4" w:rsidRDefault="007F4F51" w:rsidP="007F4F51">
      <w:pPr>
        <w:pStyle w:val="3-BodyText"/>
        <w:numPr>
          <w:ilvl w:val="0"/>
          <w:numId w:val="0"/>
        </w:numPr>
        <w:ind w:left="720" w:hanging="720"/>
        <w:rPr>
          <w:u w:val="single"/>
        </w:rPr>
      </w:pPr>
      <w:r w:rsidRPr="00BA28A4">
        <w:rPr>
          <w:u w:val="single"/>
        </w:rPr>
        <w:t>Reitamo at al (2010)</w:t>
      </w:r>
    </w:p>
    <w:p w14:paraId="51C91F46" w14:textId="737792D4" w:rsidR="007F4F51" w:rsidRPr="000D6146" w:rsidRDefault="007F4F51" w:rsidP="007F4F51">
      <w:pPr>
        <w:pStyle w:val="3-BodyText"/>
      </w:pPr>
      <w:r w:rsidRPr="000D6146">
        <w:t xml:space="preserve">Supporting evidence for proactive maintenance treatment for adults with moderate to severe AD was from a </w:t>
      </w:r>
      <w:r w:rsidRPr="0008659F">
        <w:rPr>
          <w:i/>
          <w:iCs/>
        </w:rPr>
        <w:t>post hoc</w:t>
      </w:r>
      <w:r w:rsidRPr="000D6146">
        <w:t xml:space="preserve"> subgroup analysis of the CONTROL study by Reitamo at al (2010) in 183 adults ≥16 years with moderate to severe AD</w:t>
      </w:r>
      <w:r w:rsidRPr="000D6146">
        <w:rPr>
          <w:rStyle w:val="FootnoteReference"/>
        </w:rPr>
        <w:footnoteReference w:id="17"/>
      </w:r>
      <w:r w:rsidRPr="000D6146">
        <w:t xml:space="preserve">. In total, 155 patients who achieved an investigator global assessment (IGA) of AD score of &lt;2 with twice daily 0.1% TAC treatment during the open-label phase were randomised in the 12-month, double-blind disease control period to receive proactive maintenance treatment with either 0.1% TAC twice-weekly or VO twice-weekly (standard regimen). Patients in both study arms applied emollient daily throughout the study. If a patient experienced an AD flare, they switched to open-label twice-daily 0.1% TAC treatment for 1–6 weeks until the flare resolved, defined as an IGA≤2. </w:t>
      </w:r>
    </w:p>
    <w:p w14:paraId="2BC1ABA7" w14:textId="7D3D5B32" w:rsidR="007F4F51" w:rsidRPr="000D6146" w:rsidRDefault="007F4F51" w:rsidP="007F4F51">
      <w:pPr>
        <w:pStyle w:val="3-BodyText"/>
      </w:pPr>
      <w:r w:rsidRPr="000D6146">
        <w:t>The most common reason for withdrawal in the adult study was an IGA score &gt;2 after 6 weeks of open-label 0.1% TAC treatment (n = 19; 10.4%]; of these, 16 patients had severe AD at screening. The 6-week treatment period is applicable to the time that eligibility is assessed for maintenance treatment. There is a selection bias as most of the patients not eligible for randomisation into the disease control period had severe AD at study screening.</w:t>
      </w:r>
    </w:p>
    <w:p w14:paraId="3FE2FCBC" w14:textId="4483BD52" w:rsidR="007F4F51" w:rsidRPr="000D6146" w:rsidRDefault="007F4F51" w:rsidP="007F4F51">
      <w:pPr>
        <w:pStyle w:val="3-BodyText"/>
      </w:pPr>
      <w:r w:rsidRPr="000D6146">
        <w:t>The population was not aligned with the proposed PBS restriction of failure to achieve satisfactory disease control with intermittent (moderate or potent) TCS or intolerance/contraindicated for TCS treatment.</w:t>
      </w:r>
    </w:p>
    <w:p w14:paraId="020694B0" w14:textId="3A124A69" w:rsidR="007F4F51" w:rsidRPr="000D6146" w:rsidRDefault="007F4F51" w:rsidP="007F4F51">
      <w:pPr>
        <w:pStyle w:val="3-BodyText"/>
      </w:pPr>
      <w:r w:rsidRPr="000D6146">
        <w:t>The primary endpoint was the number of major flares</w:t>
      </w:r>
      <w:r w:rsidRPr="000D6146">
        <w:rPr>
          <w:rStyle w:val="FootnoteReference"/>
        </w:rPr>
        <w:footnoteReference w:id="18"/>
      </w:r>
      <w:r w:rsidRPr="000D6146">
        <w:t xml:space="preserve"> during the disease control period. Patients who experienced a flare that lasted &gt;6 weeks were withdrawn from the study. Other efficacy endpoints included the total number of flares during the </w:t>
      </w:r>
      <w:bookmarkStart w:id="62" w:name="_Hlk198597361"/>
      <w:r w:rsidRPr="000D6146">
        <w:t>disease control period</w:t>
      </w:r>
      <w:bookmarkEnd w:id="62"/>
      <w:r w:rsidRPr="000D6146">
        <w:t>, the percentage of days of flare treatment, the time to the first flare, patients’ perception of itch, QoL with the DLQI and amount of 0.1% TAC used.</w:t>
      </w:r>
    </w:p>
    <w:p w14:paraId="5182D5FD" w14:textId="77777777" w:rsidR="007F4F51" w:rsidRPr="000D6146" w:rsidRDefault="007F4F51" w:rsidP="007F4F51">
      <w:pPr>
        <w:pStyle w:val="3-BodyText"/>
      </w:pPr>
      <w:r w:rsidRPr="000D6146">
        <w:t xml:space="preserve">A higher percentage of patients using VO (standard regimen) discontinued treatment compared with the twice-weekly TAC regimen (53.4% vs 35.0%). </w:t>
      </w:r>
    </w:p>
    <w:p w14:paraId="0B99940F" w14:textId="31F93976" w:rsidR="003E47C6" w:rsidRPr="000D6146" w:rsidRDefault="002215AC" w:rsidP="007F4F51">
      <w:pPr>
        <w:pStyle w:val="3-BodyText"/>
      </w:pPr>
      <w:r w:rsidRPr="000D6146">
        <w:fldChar w:fldCharType="begin"/>
      </w:r>
      <w:r w:rsidRPr="000D6146">
        <w:instrText xml:space="preserve"> REF _Ref198643644 \h </w:instrText>
      </w:r>
      <w:r w:rsidR="000D6146" w:rsidRPr="000D6146">
        <w:instrText xml:space="preserve"> \* MERGEFORMAT </w:instrText>
      </w:r>
      <w:r w:rsidRPr="000D6146">
        <w:fldChar w:fldCharType="separate"/>
      </w:r>
      <w:r w:rsidR="00124226" w:rsidDel="00FB5703">
        <w:t xml:space="preserve">Figure </w:t>
      </w:r>
      <w:r w:rsidR="00124226">
        <w:rPr>
          <w:noProof/>
        </w:rPr>
        <w:t>3</w:t>
      </w:r>
      <w:r w:rsidRPr="000D6146">
        <w:fldChar w:fldCharType="end"/>
      </w:r>
      <w:r w:rsidRPr="000D6146">
        <w:t xml:space="preserve"> presents the time to first major flare and </w:t>
      </w:r>
      <w:r w:rsidRPr="000D6146">
        <w:fldChar w:fldCharType="begin"/>
      </w:r>
      <w:r w:rsidRPr="000D6146">
        <w:instrText xml:space="preserve"> REF _Ref198643649 \h </w:instrText>
      </w:r>
      <w:r w:rsidR="000D6146" w:rsidRPr="000D6146">
        <w:instrText xml:space="preserve"> \* MERGEFORMAT </w:instrText>
      </w:r>
      <w:r w:rsidRPr="000D6146">
        <w:fldChar w:fldCharType="separate"/>
      </w:r>
      <w:r w:rsidR="00124226">
        <w:t xml:space="preserve">Figure </w:t>
      </w:r>
      <w:r w:rsidR="00124226">
        <w:rPr>
          <w:noProof/>
        </w:rPr>
        <w:t>4</w:t>
      </w:r>
      <w:r w:rsidRPr="000D6146">
        <w:fldChar w:fldCharType="end"/>
      </w:r>
      <w:r w:rsidRPr="000D6146">
        <w:t xml:space="preserve"> presents the total number of flares over the </w:t>
      </w:r>
      <w:r w:rsidR="00F81FCD" w:rsidRPr="000D6146">
        <w:t>12 month trial period from Reitamo et al (2010).</w:t>
      </w:r>
    </w:p>
    <w:p w14:paraId="235831A4" w14:textId="77777777" w:rsidR="007F4F51" w:rsidRPr="000D6146" w:rsidRDefault="007F4F51" w:rsidP="007F4F51">
      <w:pPr>
        <w:pStyle w:val="Caption"/>
      </w:pPr>
      <w:bookmarkStart w:id="63" w:name="_Ref197978923"/>
    </w:p>
    <w:p w14:paraId="09752C2F" w14:textId="4D877864" w:rsidR="007F4F51" w:rsidDel="00FB5703" w:rsidRDefault="007F4F51" w:rsidP="007F4F51">
      <w:pPr>
        <w:pStyle w:val="Caption"/>
      </w:pPr>
      <w:bookmarkStart w:id="64" w:name="_Ref198643644"/>
      <w:r w:rsidDel="00FB5703">
        <w:t xml:space="preserve">Figure </w:t>
      </w:r>
      <w:r>
        <w:fldChar w:fldCharType="begin"/>
      </w:r>
      <w:r>
        <w:instrText xml:space="preserve"> SEQ Figure \* ARABIC </w:instrText>
      </w:r>
      <w:r>
        <w:fldChar w:fldCharType="separate"/>
      </w:r>
      <w:r w:rsidR="00124226">
        <w:rPr>
          <w:noProof/>
        </w:rPr>
        <w:t>3</w:t>
      </w:r>
      <w:r>
        <w:rPr>
          <w:noProof/>
        </w:rPr>
        <w:fldChar w:fldCharType="end"/>
      </w:r>
      <w:bookmarkEnd w:id="64"/>
      <w:r w:rsidDel="00FB5703">
        <w:t xml:space="preserve">: </w:t>
      </w:r>
      <w:r w:rsidRPr="00C81EFE" w:rsidDel="00FB5703">
        <w:t xml:space="preserve">Time to first major flare </w:t>
      </w:r>
      <w:r w:rsidDel="00FB5703">
        <w:t xml:space="preserve">in the </w:t>
      </w:r>
      <w:r>
        <w:t>disease control period from Reitamo et al (2010)</w:t>
      </w:r>
    </w:p>
    <w:p w14:paraId="6F2CC51D" w14:textId="77777777" w:rsidR="007F4F51" w:rsidDel="00FB5703" w:rsidRDefault="007F4F51" w:rsidP="002745AB">
      <w:r w:rsidDel="00FB5703">
        <w:rPr>
          <w:noProof/>
        </w:rPr>
        <w:drawing>
          <wp:inline distT="0" distB="0" distL="0" distR="0" wp14:anchorId="064C2E57" wp14:editId="2B07085A">
            <wp:extent cx="4508475" cy="2346385"/>
            <wp:effectExtent l="0" t="0" r="6985" b="0"/>
            <wp:docPr id="742685533" name="Picture 1" descr="Figure 3: Time to first major flare in the disease control period from Reitamo et 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5533" name="Picture 1" descr="Figure 3: Time to first major flare in the disease control period from Reitamo et al (2010)"/>
                    <pic:cNvPicPr/>
                  </pic:nvPicPr>
                  <pic:blipFill>
                    <a:blip r:embed="rId13"/>
                    <a:stretch>
                      <a:fillRect/>
                    </a:stretch>
                  </pic:blipFill>
                  <pic:spPr>
                    <a:xfrm>
                      <a:off x="0" y="0"/>
                      <a:ext cx="4526622" cy="2355830"/>
                    </a:xfrm>
                    <a:prstGeom prst="rect">
                      <a:avLst/>
                    </a:prstGeom>
                  </pic:spPr>
                </pic:pic>
              </a:graphicData>
            </a:graphic>
          </wp:inline>
        </w:drawing>
      </w:r>
    </w:p>
    <w:p w14:paraId="2392D2A9" w14:textId="3FB0C03F" w:rsidR="007F4F51" w:rsidDel="00FB5703" w:rsidRDefault="007F4F51" w:rsidP="007F4F51">
      <w:pPr>
        <w:pStyle w:val="TableFigureFooter"/>
      </w:pPr>
      <w:r w:rsidDel="00FB5703">
        <w:t>Source: Figure 2-17, p93 of the submission</w:t>
      </w:r>
      <w:r>
        <w:t xml:space="preserve">; </w:t>
      </w:r>
      <w:r w:rsidRPr="00000235">
        <w:t>Reitamo at al (2010)</w:t>
      </w:r>
      <w:r>
        <w:fldChar w:fldCharType="begin"/>
      </w:r>
      <w:r>
        <w:instrText xml:space="preserve"> NOTEREF _Ref198491521 \f \h </w:instrText>
      </w:r>
      <w:r>
        <w:fldChar w:fldCharType="separate"/>
      </w:r>
      <w:r w:rsidR="00124226" w:rsidRPr="00124226">
        <w:rPr>
          <w:rStyle w:val="FootnoteReference"/>
        </w:rPr>
        <w:t>10</w:t>
      </w:r>
      <w:r>
        <w:fldChar w:fldCharType="end"/>
      </w:r>
    </w:p>
    <w:p w14:paraId="230D14D1" w14:textId="4BC0F43D" w:rsidR="007F4F51" w:rsidRDefault="007F4F51" w:rsidP="002745AB">
      <w:pPr>
        <w:pStyle w:val="TableFigureFooter"/>
      </w:pPr>
      <w:r w:rsidRPr="00A4288D" w:rsidDel="00FB5703">
        <w:t>*Defined as disease</w:t>
      </w:r>
      <w:r w:rsidDel="00FB5703">
        <w:t xml:space="preserve"> </w:t>
      </w:r>
      <w:r w:rsidRPr="00A4288D" w:rsidDel="00FB5703">
        <w:t xml:space="preserve">exacerbations with IGA &gt; 2 on day 1 of the exacerbation, that required the use of twice-daily </w:t>
      </w:r>
      <w:r w:rsidDel="00FB5703">
        <w:t>0.1% TAC</w:t>
      </w:r>
      <w:r w:rsidRPr="00A4288D" w:rsidDel="00FB5703">
        <w:t xml:space="preserve"> for &gt;</w:t>
      </w:r>
      <w:r w:rsidDel="00FB5703">
        <w:t xml:space="preserve"> </w:t>
      </w:r>
      <w:r w:rsidRPr="00A4288D" w:rsidDel="00FB5703">
        <w:t>7 days.</w:t>
      </w:r>
    </w:p>
    <w:p w14:paraId="47E45FBB" w14:textId="53DC10ED" w:rsidR="007F4F51" w:rsidRDefault="007F4F51" w:rsidP="007F4F51">
      <w:pPr>
        <w:pStyle w:val="Caption"/>
      </w:pPr>
      <w:bookmarkStart w:id="65" w:name="_Ref198643649"/>
      <w:r>
        <w:t xml:space="preserve">Figure </w:t>
      </w:r>
      <w:r w:rsidR="002745AB">
        <w:fldChar w:fldCharType="begin"/>
      </w:r>
      <w:r w:rsidR="002745AB">
        <w:instrText xml:space="preserve"> SEQ Figure \* ARABIC </w:instrText>
      </w:r>
      <w:r w:rsidR="002745AB">
        <w:fldChar w:fldCharType="separate"/>
      </w:r>
      <w:r w:rsidR="00124226">
        <w:rPr>
          <w:noProof/>
        </w:rPr>
        <w:t>4</w:t>
      </w:r>
      <w:r w:rsidR="002745AB">
        <w:rPr>
          <w:noProof/>
        </w:rPr>
        <w:fldChar w:fldCharType="end"/>
      </w:r>
      <w:bookmarkEnd w:id="63"/>
      <w:bookmarkEnd w:id="65"/>
      <w:r>
        <w:t xml:space="preserve">: </w:t>
      </w:r>
      <w:r w:rsidRPr="00535D2F">
        <w:t>Number of major flares</w:t>
      </w:r>
      <w:r>
        <w:t xml:space="preserve"> over the </w:t>
      </w:r>
      <w:r w:rsidRPr="00C22828">
        <w:t>disease control period</w:t>
      </w:r>
      <w:r>
        <w:t xml:space="preserve"> from Reitamo et al (2010)</w:t>
      </w:r>
    </w:p>
    <w:p w14:paraId="1F395F8E" w14:textId="77777777" w:rsidR="007F4F51" w:rsidRDefault="007F4F51" w:rsidP="007F4F51">
      <w:r>
        <w:rPr>
          <w:noProof/>
        </w:rPr>
        <w:drawing>
          <wp:inline distT="0" distB="0" distL="0" distR="0" wp14:anchorId="46CDA358" wp14:editId="7A77A24D">
            <wp:extent cx="4364966" cy="1914357"/>
            <wp:effectExtent l="0" t="0" r="0" b="0"/>
            <wp:docPr id="782108652" name="Picture 1" descr="Figure 4: Number of major flares over the disease control period from Reitamo et 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08652" name="Picture 1" descr="Figure 4: Number of major flares over the disease control period from Reitamo et al (2010)"/>
                    <pic:cNvPicPr/>
                  </pic:nvPicPr>
                  <pic:blipFill>
                    <a:blip r:embed="rId14"/>
                    <a:stretch>
                      <a:fillRect/>
                    </a:stretch>
                  </pic:blipFill>
                  <pic:spPr>
                    <a:xfrm>
                      <a:off x="0" y="0"/>
                      <a:ext cx="4381667" cy="1921682"/>
                    </a:xfrm>
                    <a:prstGeom prst="rect">
                      <a:avLst/>
                    </a:prstGeom>
                  </pic:spPr>
                </pic:pic>
              </a:graphicData>
            </a:graphic>
          </wp:inline>
        </w:drawing>
      </w:r>
    </w:p>
    <w:p w14:paraId="77137D29" w14:textId="00FF8F38" w:rsidR="007F4F51" w:rsidRPr="006350FE" w:rsidRDefault="007F4F51" w:rsidP="007F4F51">
      <w:pPr>
        <w:pStyle w:val="TableFigureFooter"/>
      </w:pPr>
      <w:r w:rsidRPr="006350FE">
        <w:t>Source: Figure 2-15, p92 of the submission</w:t>
      </w:r>
      <w:r>
        <w:t xml:space="preserve">; </w:t>
      </w:r>
      <w:r w:rsidRPr="00000235">
        <w:t>Reitamo at al (2010)</w:t>
      </w:r>
      <w:r>
        <w:fldChar w:fldCharType="begin"/>
      </w:r>
      <w:r>
        <w:instrText xml:space="preserve"> NOTEREF _Ref198491521 \f \h </w:instrText>
      </w:r>
      <w:r>
        <w:fldChar w:fldCharType="separate"/>
      </w:r>
      <w:r w:rsidR="00124226" w:rsidRPr="00124226">
        <w:rPr>
          <w:rStyle w:val="FootnoteReference"/>
        </w:rPr>
        <w:t>10</w:t>
      </w:r>
      <w:r>
        <w:fldChar w:fldCharType="end"/>
      </w:r>
    </w:p>
    <w:p w14:paraId="41B57F09" w14:textId="77777777" w:rsidR="007F4F51" w:rsidRPr="006350FE" w:rsidRDefault="007F4F51" w:rsidP="007F4F51">
      <w:pPr>
        <w:pStyle w:val="TableFigureFooter"/>
      </w:pPr>
      <w:r w:rsidRPr="006350FE">
        <w:t>*Defined as disease exacerbations with IGA &gt; 2 on day 1 of the exacerbation, that required the use of twice-daily tacrolimus ointment for &gt; 7 days. Adjusted for length of time at risk. Values for 1, 2 or 3 flares correspond to 0.5–&lt;1.5, 1.5–&lt;2.5 and 2.5–&lt;3.5 flares, etc., in the adjusted analysis.</w:t>
      </w:r>
    </w:p>
    <w:p w14:paraId="4B084194" w14:textId="6EDEF987" w:rsidR="00F81FCD" w:rsidRDefault="00F81FCD" w:rsidP="00F81FCD">
      <w:pPr>
        <w:pStyle w:val="3-BodyText"/>
      </w:pPr>
      <w:r>
        <w:t>A</w:t>
      </w:r>
      <w:r w:rsidRPr="009F5396">
        <w:t xml:space="preserve">fter </w:t>
      </w:r>
      <w:r>
        <w:t>treatment of moderate to severe AD flares during the open-label phase</w:t>
      </w:r>
      <w:r w:rsidRPr="009F5396">
        <w:t xml:space="preserve">, </w:t>
      </w:r>
      <w:r>
        <w:t xml:space="preserve">proactive maintenance treatment of skin </w:t>
      </w:r>
      <w:r w:rsidRPr="009F5396">
        <w:t xml:space="preserve">previously affected </w:t>
      </w:r>
      <w:r>
        <w:t>by AD lesions</w:t>
      </w:r>
      <w:r w:rsidRPr="009F5396">
        <w:t xml:space="preserve"> with twice</w:t>
      </w:r>
      <w:r>
        <w:t xml:space="preserve"> </w:t>
      </w:r>
      <w:r w:rsidRPr="009F5396">
        <w:t xml:space="preserve">weekly </w:t>
      </w:r>
      <w:r>
        <w:t>0.1% TAC</w:t>
      </w:r>
      <w:r w:rsidRPr="009F5396">
        <w:t xml:space="preserve"> prevented the occurrence of flares and</w:t>
      </w:r>
      <w:r>
        <w:t xml:space="preserve"> </w:t>
      </w:r>
      <w:r w:rsidRPr="009F5396">
        <w:t>significantly prolonged flare-free intervals compared</w:t>
      </w:r>
      <w:r>
        <w:t xml:space="preserve"> </w:t>
      </w:r>
      <w:r w:rsidRPr="009F5396">
        <w:t>with</w:t>
      </w:r>
      <w:r>
        <w:t xml:space="preserve"> </w:t>
      </w:r>
      <w:r w:rsidRPr="009F5396">
        <w:t>a</w:t>
      </w:r>
      <w:r>
        <w:t xml:space="preserve"> standard treatment regimen </w:t>
      </w:r>
      <w:r w:rsidRPr="009F5396">
        <w:t>in adults</w:t>
      </w:r>
      <w:r>
        <w:t xml:space="preserve">. Proactive </w:t>
      </w:r>
      <w:r w:rsidRPr="00A52B66">
        <w:t>maintenance treatment</w:t>
      </w:r>
      <w:r>
        <w:t xml:space="preserve"> with</w:t>
      </w:r>
      <w:r w:rsidRPr="00A52B66">
        <w:t xml:space="preserve"> 0.1% TAC </w:t>
      </w:r>
      <w:r>
        <w:t xml:space="preserve">increased the </w:t>
      </w:r>
      <w:r w:rsidRPr="00A52B66">
        <w:t xml:space="preserve">median time to first major flare </w:t>
      </w:r>
      <w:r>
        <w:t xml:space="preserve">to 142 days compared to 15 days with the standard regimen and </w:t>
      </w:r>
      <w:r w:rsidRPr="00535D2F">
        <w:t>significantly reduced the number of major flares</w:t>
      </w:r>
      <w:r>
        <w:t xml:space="preserve"> over the disease control period.</w:t>
      </w:r>
    </w:p>
    <w:p w14:paraId="64CAAC71" w14:textId="16AD3473" w:rsidR="007F4F51" w:rsidRDefault="007F4F51" w:rsidP="002745AB">
      <w:pPr>
        <w:pStyle w:val="3-BodyText"/>
      </w:pPr>
      <w:r>
        <w:t>M</w:t>
      </w:r>
      <w:r w:rsidRPr="006C7E31">
        <w:t xml:space="preserve">ore than three times as many patients </w:t>
      </w:r>
      <w:r>
        <w:t xml:space="preserve">receiving proactive maintenance treatment with </w:t>
      </w:r>
      <w:r w:rsidRPr="006C7E31">
        <w:t xml:space="preserve">0.1% TAC had no flares of any severity </w:t>
      </w:r>
      <w:r>
        <w:t>over 12 months</w:t>
      </w:r>
      <w:r w:rsidRPr="006C7E31">
        <w:t xml:space="preserve"> compared with the </w:t>
      </w:r>
      <w:r>
        <w:t>standard regimen</w:t>
      </w:r>
      <w:r w:rsidRPr="006C7E31">
        <w:t xml:space="preserve"> (</w:t>
      </w:r>
      <w:r>
        <w:t>42.5% vs 12.3%; P</w:t>
      </w:r>
      <w:r w:rsidRPr="006C7E31">
        <w:t>&lt;0.001)</w:t>
      </w:r>
      <w:r>
        <w:t xml:space="preserve"> and the </w:t>
      </w:r>
      <w:r w:rsidRPr="006C7E31">
        <w:t xml:space="preserve">percentage of days with flare treatment </w:t>
      </w:r>
      <w:r>
        <w:t xml:space="preserve">during the 12-month </w:t>
      </w:r>
      <w:r w:rsidRPr="00C22828">
        <w:t>disease control period</w:t>
      </w:r>
      <w:r>
        <w:t xml:space="preserve"> </w:t>
      </w:r>
      <w:r w:rsidRPr="006C7E31">
        <w:t xml:space="preserve">was substantially lower in patients receiving </w:t>
      </w:r>
      <w:r>
        <w:t>proactive</w:t>
      </w:r>
      <w:r w:rsidRPr="006C7E31">
        <w:t xml:space="preserve"> maintenance</w:t>
      </w:r>
      <w:r>
        <w:t xml:space="preserve"> treatment with</w:t>
      </w:r>
      <w:r w:rsidRPr="006C7E31">
        <w:t xml:space="preserve"> 0.1% TAC</w:t>
      </w:r>
      <w:r>
        <w:t xml:space="preserve"> at </w:t>
      </w:r>
      <w:r w:rsidRPr="006C7E31">
        <w:t>16.2% vs 39.4% of days</w:t>
      </w:r>
      <w:r>
        <w:t>. The amount of 0.1% TAC used per day over 12 months was similar in the 0.1% TAC maintenance treatment versus VO treatment regimen (1.68 vs 2.2 g/day, respectively which included any 0.1% TAC used to treat AD flares during the maintenance period).</w:t>
      </w:r>
    </w:p>
    <w:p w14:paraId="4E464F3B" w14:textId="77777777" w:rsidR="007F4F51" w:rsidRPr="00AB66F7" w:rsidRDefault="007F4F51" w:rsidP="007F4F51">
      <w:pPr>
        <w:pStyle w:val="3-BodyText"/>
      </w:pPr>
      <w:r w:rsidRPr="00AB66F7">
        <w:t xml:space="preserve">QoL was assessed using the DLQI during the 12-month disease control period. Mean total DLQI scores at baseline and Month 12 were 3.9 ± 3.5 and 3.5 ± 2.9, respectively, with twice-weekly 0.1% TAC and 5.6 ± 4.8 and 5.9 ± 5.6 with twice-weekly VO. As the proportion of patients included in the QoL analysis was not reported in the study publication, these QoL estimates may be unreliable. </w:t>
      </w:r>
    </w:p>
    <w:p w14:paraId="109CC313" w14:textId="77777777" w:rsidR="007F4F51" w:rsidRDefault="007F4F51" w:rsidP="00E96237">
      <w:pPr>
        <w:pStyle w:val="5-SubsectionSubheading"/>
      </w:pPr>
      <w:r>
        <w:t>Treatment of moderate AD flares on the face and eyelids</w:t>
      </w:r>
    </w:p>
    <w:p w14:paraId="68F4664C" w14:textId="77777777" w:rsidR="007F4F51" w:rsidRPr="00CF631B" w:rsidRDefault="007F4F51" w:rsidP="00E96237">
      <w:pPr>
        <w:pStyle w:val="3-BodyText"/>
        <w:keepNext/>
        <w:keepLines/>
        <w:numPr>
          <w:ilvl w:val="0"/>
          <w:numId w:val="0"/>
        </w:numPr>
        <w:ind w:left="720" w:hanging="720"/>
        <w:rPr>
          <w:u w:val="single"/>
        </w:rPr>
      </w:pPr>
      <w:r w:rsidRPr="00CF631B">
        <w:rPr>
          <w:u w:val="single"/>
        </w:rPr>
        <w:t>Abramovits et al (2008)</w:t>
      </w:r>
    </w:p>
    <w:p w14:paraId="03056CDF" w14:textId="50C9C9A1" w:rsidR="007F4F51" w:rsidRPr="00B86885" w:rsidRDefault="007F4F51" w:rsidP="00E96237">
      <w:pPr>
        <w:pStyle w:val="3-BodyText"/>
        <w:keepNext/>
        <w:keepLines/>
      </w:pPr>
      <w:r w:rsidRPr="00B86885">
        <w:t xml:space="preserve">Abramovits et al (2008) presented a </w:t>
      </w:r>
      <w:r w:rsidRPr="000B7472">
        <w:rPr>
          <w:i/>
          <w:iCs/>
        </w:rPr>
        <w:t>post hoc</w:t>
      </w:r>
      <w:r w:rsidRPr="00B86885">
        <w:t xml:space="preserve"> subgroup analysis of the study by Paller 2005</w:t>
      </w:r>
      <w:r w:rsidRPr="00B86885">
        <w:fldChar w:fldCharType="begin"/>
      </w:r>
      <w:r w:rsidRPr="00B86885">
        <w:instrText xml:space="preserve"> NOTEREF _Ref198495649 \f \h </w:instrText>
      </w:r>
      <w:r w:rsidR="00B86885" w:rsidRPr="00B86885">
        <w:instrText xml:space="preserve"> \* MERGEFORMAT </w:instrText>
      </w:r>
      <w:r w:rsidRPr="00B86885">
        <w:fldChar w:fldCharType="separate"/>
      </w:r>
      <w:r w:rsidR="00124226" w:rsidRPr="00124226">
        <w:rPr>
          <w:rStyle w:val="FootnoteReference"/>
        </w:rPr>
        <w:t>11</w:t>
      </w:r>
      <w:r w:rsidRPr="00B86885">
        <w:fldChar w:fldCharType="end"/>
      </w:r>
      <w:r w:rsidRPr="00B86885">
        <w:t xml:space="preserve"> in 188 adults aged ≥16 years with moderate AD anywhere on the body including the head and neck provided supporting evidence for the comparison of 0.1% TAC (n=98) versus 1% PIM (n=90)</w:t>
      </w:r>
      <w:bookmarkStart w:id="66" w:name="_Ref197687794"/>
      <w:r w:rsidRPr="00B86885">
        <w:rPr>
          <w:rStyle w:val="FootnoteReference"/>
        </w:rPr>
        <w:footnoteReference w:id="19"/>
      </w:r>
      <w:bookmarkEnd w:id="66"/>
      <w:r w:rsidRPr="00B86885">
        <w:t>. A thin layer of the assigned study medication was applied twice daily to all affected areas for up to 6 weeks or until 1 week after the affected area(s) was completely cleared, whichever came first. At baseline, 62.2% and 64.4% patients in the 0.1% TAC and 1% PIM groups, had moderate AD affecting their head and neck. Baseline patient demographics and characteristics were balanced between treatment groups; around half of patients were Caucasian and a third were African American. The primary outcome was EASI score</w:t>
      </w:r>
      <w:r w:rsidR="001D34DD" w:rsidRPr="00B86885">
        <w:t>,</w:t>
      </w:r>
      <w:r w:rsidRPr="00B86885">
        <w:t xml:space="preserve"> and secondary outcomes reported included improvement in signs and symptoms of AD for the head and neck region, improvement in their Investigator Global Atopic Dermatitis Assessment (IGADA) score, success of therapy based on the IGADA and %BSA affected</w:t>
      </w:r>
      <w:r w:rsidR="001D34DD" w:rsidRPr="00B86885">
        <w:t xml:space="preserve"> (</w:t>
      </w:r>
      <w:r w:rsidR="001D34DD" w:rsidRPr="00B86885">
        <w:fldChar w:fldCharType="begin"/>
      </w:r>
      <w:r w:rsidR="001D34DD" w:rsidRPr="00B86885">
        <w:instrText xml:space="preserve"> REF _Ref197960666 \h </w:instrText>
      </w:r>
      <w:r w:rsidR="00B86885" w:rsidRPr="00B86885">
        <w:instrText xml:space="preserve"> \* MERGEFORMAT </w:instrText>
      </w:r>
      <w:r w:rsidR="001D34DD" w:rsidRPr="00B86885">
        <w:fldChar w:fldCharType="separate"/>
      </w:r>
      <w:r w:rsidR="00124226">
        <w:t xml:space="preserve">Table </w:t>
      </w:r>
      <w:r w:rsidR="00124226">
        <w:rPr>
          <w:noProof/>
        </w:rPr>
        <w:t>6</w:t>
      </w:r>
      <w:r w:rsidR="001D34DD" w:rsidRPr="00B86885">
        <w:fldChar w:fldCharType="end"/>
      </w:r>
      <w:r w:rsidR="001D34DD" w:rsidRPr="00B86885">
        <w:t>)</w:t>
      </w:r>
      <w:r w:rsidRPr="00B86885">
        <w:t>.</w:t>
      </w:r>
    </w:p>
    <w:p w14:paraId="022E52C6" w14:textId="77777777" w:rsidR="007F4F51" w:rsidRPr="00B86885" w:rsidRDefault="007F4F51" w:rsidP="007F4F51">
      <w:pPr>
        <w:pStyle w:val="3-BodyText"/>
      </w:pPr>
      <w:r w:rsidRPr="00B86885">
        <w:t>As 30% of adults in the adult ITT population of the RCT had mild AD at baseline, the population was not applicable to the proposed PBS restriction or the TGA approved indication for 0.1% TAC</w:t>
      </w:r>
      <w:bookmarkStart w:id="67" w:name="_Ref197675279"/>
      <w:r w:rsidRPr="00B86885">
        <w:rPr>
          <w:rStyle w:val="FootnoteReference"/>
        </w:rPr>
        <w:footnoteReference w:id="20"/>
      </w:r>
      <w:bookmarkEnd w:id="67"/>
      <w:r w:rsidRPr="00B86885">
        <w:t xml:space="preserve">. As the clinical claim for 0.1% TAC is based on treatment of moderate AD on the face and eyelids, the </w:t>
      </w:r>
      <w:r w:rsidRPr="000B7472">
        <w:rPr>
          <w:i/>
          <w:iCs/>
        </w:rPr>
        <w:t>post hoc</w:t>
      </w:r>
      <w:r w:rsidRPr="00B86885">
        <w:t xml:space="preserve"> subgroup analysis which includes adults with moderate AD anywhere on the body including the head and neck region was the most appropriate. </w:t>
      </w:r>
    </w:p>
    <w:p w14:paraId="462A2C68" w14:textId="77777777" w:rsidR="007F4F51" w:rsidRPr="00B86885" w:rsidRDefault="007F4F51" w:rsidP="007F4F51">
      <w:pPr>
        <w:pStyle w:val="3-BodyText"/>
      </w:pPr>
      <w:r w:rsidRPr="00B86885">
        <w:t xml:space="preserve">The 6-week treatment period corresponds to the proposed 0.1% TAC PBS restriction in which the patient must have responded to up to 6 weeks of twice-daily treatment in order to be eligible for 0.1% TAC maintenance treatment. </w:t>
      </w:r>
    </w:p>
    <w:p w14:paraId="5AF65E47" w14:textId="77777777" w:rsidR="007F4F51" w:rsidRPr="00B86885" w:rsidRDefault="007F4F51" w:rsidP="0039606A">
      <w:pPr>
        <w:pStyle w:val="3-BodyText"/>
        <w:spacing w:after="120"/>
      </w:pPr>
      <w:r w:rsidRPr="00B86885">
        <w:t>The population in the study did not align with the proposed PBS restriction in terms of unsatisfactory response to, or intolerance/contraindication to TCS use. Therefore, it is not possible to confirm if the treatment response in this population would be representative of treatment response in the population proposed for PBS funding.</w:t>
      </w:r>
    </w:p>
    <w:p w14:paraId="6189DE94" w14:textId="2D6446DE" w:rsidR="007F4F51" w:rsidRDefault="007F4F51" w:rsidP="007F4F51">
      <w:pPr>
        <w:pStyle w:val="Caption"/>
      </w:pPr>
      <w:bookmarkStart w:id="68" w:name="_Ref197960666"/>
      <w:r>
        <w:t xml:space="preserve">Table </w:t>
      </w:r>
      <w:r>
        <w:fldChar w:fldCharType="begin"/>
      </w:r>
      <w:r>
        <w:instrText xml:space="preserve"> SEQ Table \* ARABIC </w:instrText>
      </w:r>
      <w:r>
        <w:fldChar w:fldCharType="separate"/>
      </w:r>
      <w:r w:rsidR="00124226">
        <w:rPr>
          <w:noProof/>
        </w:rPr>
        <w:t>6</w:t>
      </w:r>
      <w:r>
        <w:rPr>
          <w:noProof/>
        </w:rPr>
        <w:fldChar w:fldCharType="end"/>
      </w:r>
      <w:bookmarkEnd w:id="68"/>
      <w:r>
        <w:t xml:space="preserve">: </w:t>
      </w:r>
      <w:r w:rsidRPr="00A150E5">
        <w:t>Outcomes observed for adults with moderate AD treated with 0.1% TAC versus 1% PIM</w:t>
      </w:r>
      <w:r>
        <w:t xml:space="preserve"> from </w:t>
      </w:r>
      <w:r w:rsidRPr="00000235">
        <w:t>Abramovits et al (2008)</w:t>
      </w:r>
    </w:p>
    <w:tbl>
      <w:tblPr>
        <w:tblStyle w:val="TableGrid"/>
        <w:tblW w:w="5000" w:type="pct"/>
        <w:tblLook w:val="04A0" w:firstRow="1" w:lastRow="0" w:firstColumn="1" w:lastColumn="0" w:noHBand="0" w:noVBand="1"/>
        <w:tblCaption w:val="Table 6: Outcomes observed for adults with moderate AD treated with 0.1% TAC versus 1% PIM from Abramovits et al (2008)"/>
      </w:tblPr>
      <w:tblGrid>
        <w:gridCol w:w="2573"/>
        <w:gridCol w:w="1574"/>
        <w:gridCol w:w="1432"/>
        <w:gridCol w:w="1719"/>
        <w:gridCol w:w="1719"/>
      </w:tblGrid>
      <w:tr w:rsidR="007F4F51" w14:paraId="1B7C584D" w14:textId="77777777" w:rsidTr="00027829">
        <w:tc>
          <w:tcPr>
            <w:tcW w:w="1427" w:type="pct"/>
            <w:tcMar>
              <w:left w:w="20" w:type="dxa"/>
              <w:right w:w="20" w:type="dxa"/>
            </w:tcMar>
          </w:tcPr>
          <w:p w14:paraId="012CD0C0" w14:textId="77777777" w:rsidR="007F4F51" w:rsidRDefault="007F4F51">
            <w:pPr>
              <w:pStyle w:val="TableFigureHeading"/>
            </w:pPr>
            <w:r>
              <w:t>Outcome</w:t>
            </w:r>
          </w:p>
        </w:tc>
        <w:tc>
          <w:tcPr>
            <w:tcW w:w="873" w:type="pct"/>
            <w:tcMar>
              <w:left w:w="20" w:type="dxa"/>
              <w:right w:w="20" w:type="dxa"/>
            </w:tcMar>
          </w:tcPr>
          <w:p w14:paraId="2F510854" w14:textId="77777777" w:rsidR="007F4F51" w:rsidRDefault="007F4F51">
            <w:pPr>
              <w:pStyle w:val="TableFigureHeading"/>
            </w:pPr>
            <w:r>
              <w:t>Time</w:t>
            </w:r>
          </w:p>
        </w:tc>
        <w:tc>
          <w:tcPr>
            <w:tcW w:w="794" w:type="pct"/>
            <w:tcMar>
              <w:left w:w="20" w:type="dxa"/>
              <w:right w:w="20" w:type="dxa"/>
            </w:tcMar>
          </w:tcPr>
          <w:p w14:paraId="52B9494B" w14:textId="77777777" w:rsidR="007F4F51" w:rsidRDefault="007F4F51">
            <w:pPr>
              <w:pStyle w:val="TableFigureHeading"/>
            </w:pPr>
            <w:r>
              <w:t>0.1% TAC</w:t>
            </w:r>
          </w:p>
          <w:p w14:paraId="293DB23A" w14:textId="77777777" w:rsidR="007F4F51" w:rsidRDefault="007F4F51">
            <w:pPr>
              <w:pStyle w:val="TableFigureHeading"/>
            </w:pPr>
            <w:r>
              <w:t>(n=98)</w:t>
            </w:r>
          </w:p>
        </w:tc>
        <w:tc>
          <w:tcPr>
            <w:tcW w:w="953" w:type="pct"/>
            <w:tcMar>
              <w:left w:w="20" w:type="dxa"/>
              <w:right w:w="20" w:type="dxa"/>
            </w:tcMar>
          </w:tcPr>
          <w:p w14:paraId="3EEB337C" w14:textId="77777777" w:rsidR="007F4F51" w:rsidRDefault="007F4F51">
            <w:pPr>
              <w:pStyle w:val="TableFigureHeading"/>
            </w:pPr>
            <w:r>
              <w:t>1% PIM</w:t>
            </w:r>
          </w:p>
          <w:p w14:paraId="602302C6" w14:textId="77777777" w:rsidR="007F4F51" w:rsidRDefault="007F4F51">
            <w:pPr>
              <w:pStyle w:val="TableFigureHeading"/>
            </w:pPr>
            <w:r>
              <w:t>(n=90)</w:t>
            </w:r>
          </w:p>
        </w:tc>
        <w:tc>
          <w:tcPr>
            <w:tcW w:w="953" w:type="pct"/>
            <w:tcMar>
              <w:left w:w="20" w:type="dxa"/>
              <w:right w:w="20" w:type="dxa"/>
            </w:tcMar>
          </w:tcPr>
          <w:p w14:paraId="3A2E40E5" w14:textId="77777777" w:rsidR="007F4F51" w:rsidRDefault="007F4F51">
            <w:pPr>
              <w:pStyle w:val="TableFigureHeading"/>
            </w:pPr>
            <w:r w:rsidRPr="00081EE5">
              <w:rPr>
                <w:i/>
                <w:iCs/>
              </w:rPr>
              <w:t>P</w:t>
            </w:r>
            <w:r>
              <w:t xml:space="preserve"> value</w:t>
            </w:r>
          </w:p>
        </w:tc>
      </w:tr>
      <w:tr w:rsidR="007F4F51" w14:paraId="6D23F82D" w14:textId="77777777" w:rsidTr="00027829">
        <w:tc>
          <w:tcPr>
            <w:tcW w:w="1427" w:type="pct"/>
            <w:vMerge w:val="restart"/>
            <w:tcMar>
              <w:left w:w="20" w:type="dxa"/>
              <w:right w:w="20" w:type="dxa"/>
            </w:tcMar>
          </w:tcPr>
          <w:p w14:paraId="17BE157E" w14:textId="2C949827" w:rsidR="007F4F51" w:rsidRDefault="007F4F51" w:rsidP="006C235D">
            <w:pPr>
              <w:pStyle w:val="TableText0"/>
            </w:pPr>
            <w:r>
              <w:t>Percentage improvement in EASI score from baseline</w:t>
            </w:r>
            <w:r w:rsidR="006C235D">
              <w:t xml:space="preserve">, </w:t>
            </w:r>
            <w:r>
              <w:t>(LS mean) %</w:t>
            </w:r>
          </w:p>
        </w:tc>
        <w:tc>
          <w:tcPr>
            <w:tcW w:w="873" w:type="pct"/>
            <w:tcMar>
              <w:left w:w="20" w:type="dxa"/>
              <w:right w:w="20" w:type="dxa"/>
            </w:tcMar>
          </w:tcPr>
          <w:p w14:paraId="724B4010" w14:textId="77777777" w:rsidR="007F4F51" w:rsidRDefault="007F4F51">
            <w:pPr>
              <w:pStyle w:val="TableText0"/>
            </w:pPr>
            <w:r>
              <w:t>Week 1</w:t>
            </w:r>
          </w:p>
        </w:tc>
        <w:tc>
          <w:tcPr>
            <w:tcW w:w="794" w:type="pct"/>
            <w:tcMar>
              <w:left w:w="20" w:type="dxa"/>
              <w:right w:w="20" w:type="dxa"/>
            </w:tcMar>
          </w:tcPr>
          <w:p w14:paraId="4BE595FB" w14:textId="77777777" w:rsidR="007F4F51" w:rsidRDefault="007F4F51">
            <w:pPr>
              <w:pStyle w:val="TableText0"/>
            </w:pPr>
            <w:r>
              <w:t>41.7</w:t>
            </w:r>
          </w:p>
        </w:tc>
        <w:tc>
          <w:tcPr>
            <w:tcW w:w="953" w:type="pct"/>
            <w:tcMar>
              <w:left w:w="20" w:type="dxa"/>
              <w:right w:w="20" w:type="dxa"/>
            </w:tcMar>
          </w:tcPr>
          <w:p w14:paraId="41B794E0" w14:textId="77777777" w:rsidR="007F4F51" w:rsidRDefault="007F4F51">
            <w:pPr>
              <w:pStyle w:val="TableText0"/>
            </w:pPr>
            <w:r>
              <w:t>33.8</w:t>
            </w:r>
          </w:p>
        </w:tc>
        <w:tc>
          <w:tcPr>
            <w:tcW w:w="953" w:type="pct"/>
            <w:tcMar>
              <w:left w:w="20" w:type="dxa"/>
              <w:right w:w="20" w:type="dxa"/>
            </w:tcMar>
          </w:tcPr>
          <w:p w14:paraId="3AD73549" w14:textId="77777777" w:rsidR="007F4F51" w:rsidRDefault="007F4F51">
            <w:pPr>
              <w:pStyle w:val="TableText0"/>
            </w:pPr>
            <w:r>
              <w:t>0.05</w:t>
            </w:r>
          </w:p>
        </w:tc>
      </w:tr>
      <w:tr w:rsidR="007F4F51" w14:paraId="4CE076EE" w14:textId="77777777" w:rsidTr="00027829">
        <w:tc>
          <w:tcPr>
            <w:tcW w:w="1427" w:type="pct"/>
            <w:vMerge/>
            <w:tcMar>
              <w:left w:w="20" w:type="dxa"/>
              <w:right w:w="20" w:type="dxa"/>
            </w:tcMar>
          </w:tcPr>
          <w:p w14:paraId="17F4BB34" w14:textId="77777777" w:rsidR="007F4F51" w:rsidRDefault="007F4F51">
            <w:pPr>
              <w:pStyle w:val="TableText0"/>
            </w:pPr>
          </w:p>
        </w:tc>
        <w:tc>
          <w:tcPr>
            <w:tcW w:w="873" w:type="pct"/>
            <w:tcMar>
              <w:left w:w="20" w:type="dxa"/>
              <w:right w:w="20" w:type="dxa"/>
            </w:tcMar>
          </w:tcPr>
          <w:p w14:paraId="22BE8040" w14:textId="77777777" w:rsidR="007F4F51" w:rsidRDefault="007F4F51">
            <w:pPr>
              <w:pStyle w:val="TableText0"/>
            </w:pPr>
            <w:r>
              <w:t>Week 3</w:t>
            </w:r>
          </w:p>
        </w:tc>
        <w:tc>
          <w:tcPr>
            <w:tcW w:w="794" w:type="pct"/>
            <w:tcMar>
              <w:left w:w="20" w:type="dxa"/>
              <w:right w:w="20" w:type="dxa"/>
            </w:tcMar>
          </w:tcPr>
          <w:p w14:paraId="014AE03C" w14:textId="77777777" w:rsidR="007F4F51" w:rsidRDefault="007F4F51">
            <w:pPr>
              <w:pStyle w:val="TableText0"/>
            </w:pPr>
            <w:r>
              <w:t>53.2</w:t>
            </w:r>
          </w:p>
        </w:tc>
        <w:tc>
          <w:tcPr>
            <w:tcW w:w="953" w:type="pct"/>
            <w:tcMar>
              <w:left w:w="20" w:type="dxa"/>
              <w:right w:w="20" w:type="dxa"/>
            </w:tcMar>
          </w:tcPr>
          <w:p w14:paraId="30890E20" w14:textId="77777777" w:rsidR="007F4F51" w:rsidRDefault="007F4F51">
            <w:pPr>
              <w:pStyle w:val="TableText0"/>
            </w:pPr>
            <w:r>
              <w:t>42.1</w:t>
            </w:r>
          </w:p>
        </w:tc>
        <w:tc>
          <w:tcPr>
            <w:tcW w:w="953" w:type="pct"/>
            <w:tcMar>
              <w:left w:w="20" w:type="dxa"/>
              <w:right w:w="20" w:type="dxa"/>
            </w:tcMar>
          </w:tcPr>
          <w:p w14:paraId="14EFC18A" w14:textId="77777777" w:rsidR="007F4F51" w:rsidRDefault="007F4F51">
            <w:pPr>
              <w:pStyle w:val="TableText0"/>
            </w:pPr>
            <w:r>
              <w:t>0.03</w:t>
            </w:r>
          </w:p>
        </w:tc>
      </w:tr>
      <w:tr w:rsidR="007F4F51" w14:paraId="608AC9F6" w14:textId="77777777" w:rsidTr="00027829">
        <w:tc>
          <w:tcPr>
            <w:tcW w:w="1427" w:type="pct"/>
            <w:vMerge/>
            <w:tcMar>
              <w:left w:w="20" w:type="dxa"/>
              <w:right w:w="20" w:type="dxa"/>
            </w:tcMar>
          </w:tcPr>
          <w:p w14:paraId="5A3F5599" w14:textId="77777777" w:rsidR="007F4F51" w:rsidRDefault="007F4F51">
            <w:pPr>
              <w:pStyle w:val="TableText0"/>
            </w:pPr>
          </w:p>
        </w:tc>
        <w:tc>
          <w:tcPr>
            <w:tcW w:w="873" w:type="pct"/>
            <w:tcMar>
              <w:left w:w="20" w:type="dxa"/>
              <w:right w:w="20" w:type="dxa"/>
            </w:tcMar>
          </w:tcPr>
          <w:p w14:paraId="4AC3BB87" w14:textId="77777777" w:rsidR="007F4F51" w:rsidRDefault="007F4F51">
            <w:pPr>
              <w:pStyle w:val="TableText0"/>
            </w:pPr>
            <w:r>
              <w:t>Week 6/EOS</w:t>
            </w:r>
          </w:p>
        </w:tc>
        <w:tc>
          <w:tcPr>
            <w:tcW w:w="794" w:type="pct"/>
            <w:tcMar>
              <w:left w:w="20" w:type="dxa"/>
              <w:right w:w="20" w:type="dxa"/>
            </w:tcMar>
          </w:tcPr>
          <w:p w14:paraId="51FE07ED" w14:textId="77777777" w:rsidR="007F4F51" w:rsidRDefault="007F4F51">
            <w:pPr>
              <w:pStyle w:val="TableText0"/>
            </w:pPr>
            <w:r>
              <w:t>59.0</w:t>
            </w:r>
          </w:p>
        </w:tc>
        <w:tc>
          <w:tcPr>
            <w:tcW w:w="953" w:type="pct"/>
            <w:tcMar>
              <w:left w:w="20" w:type="dxa"/>
              <w:right w:w="20" w:type="dxa"/>
            </w:tcMar>
          </w:tcPr>
          <w:p w14:paraId="1982FFCB" w14:textId="77777777" w:rsidR="007F4F51" w:rsidRDefault="007F4F51">
            <w:pPr>
              <w:pStyle w:val="TableText0"/>
            </w:pPr>
            <w:r>
              <w:t>42.8</w:t>
            </w:r>
          </w:p>
        </w:tc>
        <w:tc>
          <w:tcPr>
            <w:tcW w:w="953" w:type="pct"/>
            <w:tcMar>
              <w:left w:w="20" w:type="dxa"/>
              <w:right w:w="20" w:type="dxa"/>
            </w:tcMar>
          </w:tcPr>
          <w:p w14:paraId="519BC96A" w14:textId="77777777" w:rsidR="007F4F51" w:rsidRDefault="007F4F51">
            <w:pPr>
              <w:pStyle w:val="TableText0"/>
            </w:pPr>
            <w:r>
              <w:t>0.01</w:t>
            </w:r>
          </w:p>
        </w:tc>
      </w:tr>
      <w:tr w:rsidR="007F4F51" w14:paraId="00078BC7" w14:textId="77777777" w:rsidTr="00027829">
        <w:tc>
          <w:tcPr>
            <w:tcW w:w="1427" w:type="pct"/>
            <w:vMerge w:val="restart"/>
            <w:tcMar>
              <w:left w:w="20" w:type="dxa"/>
              <w:right w:w="20" w:type="dxa"/>
            </w:tcMar>
          </w:tcPr>
          <w:p w14:paraId="4772D622" w14:textId="7505BD31" w:rsidR="007F4F51" w:rsidRDefault="007F4F51">
            <w:pPr>
              <w:pStyle w:val="TableText0"/>
            </w:pPr>
            <w:r>
              <w:t xml:space="preserve">Percentage of patients with improvement in IGADA </w:t>
            </w:r>
            <w:r w:rsidRPr="00DF4479">
              <w:t>by 1 or more grades</w:t>
            </w:r>
            <w:r w:rsidR="006C235D">
              <w:t>,</w:t>
            </w:r>
            <w:r>
              <w:t xml:space="preserve"> %</w:t>
            </w:r>
          </w:p>
        </w:tc>
        <w:tc>
          <w:tcPr>
            <w:tcW w:w="873" w:type="pct"/>
            <w:tcMar>
              <w:left w:w="20" w:type="dxa"/>
              <w:right w:w="20" w:type="dxa"/>
            </w:tcMar>
          </w:tcPr>
          <w:p w14:paraId="1B8DA22E" w14:textId="77777777" w:rsidR="007F4F51" w:rsidRDefault="007F4F51">
            <w:pPr>
              <w:pStyle w:val="TableText0"/>
            </w:pPr>
            <w:r>
              <w:t>Week 1</w:t>
            </w:r>
          </w:p>
        </w:tc>
        <w:tc>
          <w:tcPr>
            <w:tcW w:w="794" w:type="pct"/>
            <w:tcMar>
              <w:left w:w="20" w:type="dxa"/>
              <w:right w:w="20" w:type="dxa"/>
            </w:tcMar>
          </w:tcPr>
          <w:p w14:paraId="239391A9" w14:textId="77777777" w:rsidR="007F4F51" w:rsidRDefault="007F4F51">
            <w:pPr>
              <w:pStyle w:val="TableText0"/>
            </w:pPr>
            <w:r>
              <w:t>65.3</w:t>
            </w:r>
          </w:p>
        </w:tc>
        <w:tc>
          <w:tcPr>
            <w:tcW w:w="953" w:type="pct"/>
            <w:tcMar>
              <w:left w:w="20" w:type="dxa"/>
              <w:right w:w="20" w:type="dxa"/>
            </w:tcMar>
          </w:tcPr>
          <w:p w14:paraId="6F47B6CA" w14:textId="77777777" w:rsidR="007F4F51" w:rsidRDefault="007F4F51">
            <w:pPr>
              <w:pStyle w:val="TableText0"/>
            </w:pPr>
            <w:r>
              <w:t>47.8</w:t>
            </w:r>
          </w:p>
        </w:tc>
        <w:tc>
          <w:tcPr>
            <w:tcW w:w="953" w:type="pct"/>
            <w:tcMar>
              <w:left w:w="20" w:type="dxa"/>
              <w:right w:w="20" w:type="dxa"/>
            </w:tcMar>
          </w:tcPr>
          <w:p w14:paraId="2D3C5EA4" w14:textId="77777777" w:rsidR="007F4F51" w:rsidRDefault="007F4F51">
            <w:pPr>
              <w:pStyle w:val="TableText0"/>
            </w:pPr>
            <w:r>
              <w:t>&lt;0.02</w:t>
            </w:r>
          </w:p>
        </w:tc>
      </w:tr>
      <w:tr w:rsidR="007F4F51" w14:paraId="7CEDB2B6" w14:textId="77777777" w:rsidTr="00027829">
        <w:tc>
          <w:tcPr>
            <w:tcW w:w="1427" w:type="pct"/>
            <w:vMerge/>
            <w:tcMar>
              <w:left w:w="20" w:type="dxa"/>
              <w:right w:w="20" w:type="dxa"/>
            </w:tcMar>
          </w:tcPr>
          <w:p w14:paraId="3C8A0EBC" w14:textId="77777777" w:rsidR="007F4F51" w:rsidRDefault="007F4F51">
            <w:pPr>
              <w:pStyle w:val="TableText0"/>
            </w:pPr>
          </w:p>
        </w:tc>
        <w:tc>
          <w:tcPr>
            <w:tcW w:w="873" w:type="pct"/>
            <w:tcMar>
              <w:left w:w="20" w:type="dxa"/>
              <w:right w:w="20" w:type="dxa"/>
            </w:tcMar>
          </w:tcPr>
          <w:p w14:paraId="17641A0B" w14:textId="77777777" w:rsidR="007F4F51" w:rsidRDefault="007F4F51">
            <w:pPr>
              <w:pStyle w:val="TableText0"/>
            </w:pPr>
            <w:r>
              <w:t>Week 3</w:t>
            </w:r>
          </w:p>
        </w:tc>
        <w:tc>
          <w:tcPr>
            <w:tcW w:w="794" w:type="pct"/>
            <w:tcMar>
              <w:left w:w="20" w:type="dxa"/>
              <w:right w:w="20" w:type="dxa"/>
            </w:tcMar>
          </w:tcPr>
          <w:p w14:paraId="7647CDA4" w14:textId="77777777" w:rsidR="007F4F51" w:rsidRDefault="007F4F51">
            <w:pPr>
              <w:pStyle w:val="TableText0"/>
            </w:pPr>
            <w:r>
              <w:t>71.4</w:t>
            </w:r>
          </w:p>
        </w:tc>
        <w:tc>
          <w:tcPr>
            <w:tcW w:w="953" w:type="pct"/>
            <w:tcMar>
              <w:left w:w="20" w:type="dxa"/>
              <w:right w:w="20" w:type="dxa"/>
            </w:tcMar>
          </w:tcPr>
          <w:p w14:paraId="3BA90EE1" w14:textId="77777777" w:rsidR="007F4F51" w:rsidRDefault="007F4F51">
            <w:pPr>
              <w:pStyle w:val="TableText0"/>
            </w:pPr>
            <w:r>
              <w:t>55.6</w:t>
            </w:r>
          </w:p>
        </w:tc>
        <w:tc>
          <w:tcPr>
            <w:tcW w:w="953" w:type="pct"/>
            <w:tcMar>
              <w:left w:w="20" w:type="dxa"/>
              <w:right w:w="20" w:type="dxa"/>
            </w:tcMar>
          </w:tcPr>
          <w:p w14:paraId="5FACA2C8" w14:textId="77777777" w:rsidR="007F4F51" w:rsidRDefault="007F4F51">
            <w:pPr>
              <w:pStyle w:val="TableText0"/>
            </w:pPr>
            <w:r>
              <w:t>0.03</w:t>
            </w:r>
          </w:p>
        </w:tc>
      </w:tr>
      <w:tr w:rsidR="007F4F51" w14:paraId="3B8634D6" w14:textId="77777777" w:rsidTr="00027829">
        <w:tc>
          <w:tcPr>
            <w:tcW w:w="1427" w:type="pct"/>
            <w:vMerge/>
            <w:tcMar>
              <w:left w:w="20" w:type="dxa"/>
              <w:right w:w="20" w:type="dxa"/>
            </w:tcMar>
          </w:tcPr>
          <w:p w14:paraId="45EDEB13" w14:textId="77777777" w:rsidR="007F4F51" w:rsidRDefault="007F4F51">
            <w:pPr>
              <w:pStyle w:val="TableText0"/>
            </w:pPr>
          </w:p>
        </w:tc>
        <w:tc>
          <w:tcPr>
            <w:tcW w:w="873" w:type="pct"/>
            <w:tcMar>
              <w:left w:w="20" w:type="dxa"/>
              <w:right w:w="20" w:type="dxa"/>
            </w:tcMar>
          </w:tcPr>
          <w:p w14:paraId="53601496" w14:textId="77777777" w:rsidR="007F4F51" w:rsidRDefault="007F4F51">
            <w:pPr>
              <w:pStyle w:val="TableText0"/>
            </w:pPr>
            <w:r>
              <w:t>Week 6/EOS</w:t>
            </w:r>
          </w:p>
        </w:tc>
        <w:tc>
          <w:tcPr>
            <w:tcW w:w="794" w:type="pct"/>
            <w:tcMar>
              <w:left w:w="20" w:type="dxa"/>
              <w:right w:w="20" w:type="dxa"/>
            </w:tcMar>
          </w:tcPr>
          <w:p w14:paraId="2802B2C8" w14:textId="77777777" w:rsidR="007F4F51" w:rsidRDefault="007F4F51">
            <w:pPr>
              <w:pStyle w:val="TableText0"/>
            </w:pPr>
            <w:r>
              <w:t>78.6</w:t>
            </w:r>
          </w:p>
        </w:tc>
        <w:tc>
          <w:tcPr>
            <w:tcW w:w="953" w:type="pct"/>
            <w:tcMar>
              <w:left w:w="20" w:type="dxa"/>
              <w:right w:w="20" w:type="dxa"/>
            </w:tcMar>
          </w:tcPr>
          <w:p w14:paraId="0A9178E7" w14:textId="77777777" w:rsidR="007F4F51" w:rsidRDefault="007F4F51">
            <w:pPr>
              <w:pStyle w:val="TableText0"/>
            </w:pPr>
            <w:r>
              <w:t>62.2</w:t>
            </w:r>
          </w:p>
        </w:tc>
        <w:tc>
          <w:tcPr>
            <w:tcW w:w="953" w:type="pct"/>
            <w:tcMar>
              <w:left w:w="20" w:type="dxa"/>
              <w:right w:w="20" w:type="dxa"/>
            </w:tcMar>
          </w:tcPr>
          <w:p w14:paraId="09D7EC05" w14:textId="77777777" w:rsidR="007F4F51" w:rsidRDefault="007F4F51">
            <w:pPr>
              <w:pStyle w:val="TableText0"/>
            </w:pPr>
            <w:r>
              <w:t>&lt;0.02</w:t>
            </w:r>
          </w:p>
        </w:tc>
      </w:tr>
      <w:tr w:rsidR="007F4F51" w14:paraId="7F922FDD" w14:textId="77777777" w:rsidTr="00027829">
        <w:tc>
          <w:tcPr>
            <w:tcW w:w="1427" w:type="pct"/>
            <w:vMerge w:val="restart"/>
            <w:tcMar>
              <w:left w:w="20" w:type="dxa"/>
              <w:right w:w="20" w:type="dxa"/>
            </w:tcMar>
          </w:tcPr>
          <w:p w14:paraId="26A5D85A" w14:textId="77777777" w:rsidR="007F4F51" w:rsidRPr="00DF4479" w:rsidRDefault="007F4F51">
            <w:pPr>
              <w:pStyle w:val="TableText0"/>
            </w:pPr>
            <w:r w:rsidRPr="002F0599">
              <w:t xml:space="preserve">Percentage of patients with </w:t>
            </w:r>
            <w:r>
              <w:t>s</w:t>
            </w:r>
            <w:r w:rsidRPr="00DF4479">
              <w:t>uccess of therapy</w:t>
            </w:r>
          </w:p>
          <w:p w14:paraId="4369A9AB" w14:textId="78A343E0" w:rsidR="007F4F51" w:rsidRDefault="007F4F51">
            <w:pPr>
              <w:pStyle w:val="TableText0"/>
            </w:pPr>
            <w:r w:rsidRPr="00DF4479">
              <w:t>defined as clear or almost clear by IGADA score</w:t>
            </w:r>
            <w:r w:rsidR="006C235D">
              <w:t>,</w:t>
            </w:r>
            <w:r>
              <w:t xml:space="preserve"> %</w:t>
            </w:r>
          </w:p>
        </w:tc>
        <w:tc>
          <w:tcPr>
            <w:tcW w:w="873" w:type="pct"/>
            <w:tcMar>
              <w:left w:w="20" w:type="dxa"/>
              <w:right w:w="20" w:type="dxa"/>
            </w:tcMar>
          </w:tcPr>
          <w:p w14:paraId="479EEF12" w14:textId="77777777" w:rsidR="007F4F51" w:rsidRDefault="007F4F51">
            <w:pPr>
              <w:pStyle w:val="TableText0"/>
            </w:pPr>
            <w:r>
              <w:t>Week 1</w:t>
            </w:r>
          </w:p>
        </w:tc>
        <w:tc>
          <w:tcPr>
            <w:tcW w:w="794" w:type="pct"/>
            <w:tcMar>
              <w:left w:w="20" w:type="dxa"/>
              <w:right w:w="20" w:type="dxa"/>
            </w:tcMar>
          </w:tcPr>
          <w:p w14:paraId="3746593C" w14:textId="77777777" w:rsidR="007F4F51" w:rsidRDefault="007F4F51">
            <w:pPr>
              <w:pStyle w:val="TableText0"/>
            </w:pPr>
            <w:r>
              <w:t>15.3</w:t>
            </w:r>
          </w:p>
        </w:tc>
        <w:tc>
          <w:tcPr>
            <w:tcW w:w="953" w:type="pct"/>
            <w:tcMar>
              <w:left w:w="20" w:type="dxa"/>
              <w:right w:w="20" w:type="dxa"/>
            </w:tcMar>
          </w:tcPr>
          <w:p w14:paraId="20DA2884" w14:textId="77777777" w:rsidR="007F4F51" w:rsidRDefault="007F4F51">
            <w:pPr>
              <w:pStyle w:val="TableText0"/>
            </w:pPr>
            <w:r>
              <w:t>12.2</w:t>
            </w:r>
          </w:p>
        </w:tc>
        <w:tc>
          <w:tcPr>
            <w:tcW w:w="953" w:type="pct"/>
            <w:tcMar>
              <w:left w:w="20" w:type="dxa"/>
              <w:right w:w="20" w:type="dxa"/>
            </w:tcMar>
          </w:tcPr>
          <w:p w14:paraId="6C5121FF" w14:textId="77777777" w:rsidR="007F4F51" w:rsidRDefault="007F4F51">
            <w:pPr>
              <w:pStyle w:val="TableText0"/>
            </w:pPr>
            <w:r>
              <w:t>0.47</w:t>
            </w:r>
          </w:p>
        </w:tc>
      </w:tr>
      <w:tr w:rsidR="007F4F51" w14:paraId="269A3105" w14:textId="77777777" w:rsidTr="00027829">
        <w:tc>
          <w:tcPr>
            <w:tcW w:w="1427" w:type="pct"/>
            <w:vMerge/>
            <w:tcMar>
              <w:left w:w="20" w:type="dxa"/>
              <w:right w:w="20" w:type="dxa"/>
            </w:tcMar>
          </w:tcPr>
          <w:p w14:paraId="264337C9" w14:textId="77777777" w:rsidR="007F4F51" w:rsidRDefault="007F4F51">
            <w:pPr>
              <w:pStyle w:val="TableText0"/>
            </w:pPr>
          </w:p>
        </w:tc>
        <w:tc>
          <w:tcPr>
            <w:tcW w:w="873" w:type="pct"/>
            <w:tcMar>
              <w:left w:w="20" w:type="dxa"/>
              <w:right w:w="20" w:type="dxa"/>
            </w:tcMar>
          </w:tcPr>
          <w:p w14:paraId="7BBFCF4A" w14:textId="77777777" w:rsidR="007F4F51" w:rsidRDefault="007F4F51">
            <w:pPr>
              <w:pStyle w:val="TableText0"/>
            </w:pPr>
            <w:r>
              <w:t>Week 3</w:t>
            </w:r>
          </w:p>
        </w:tc>
        <w:tc>
          <w:tcPr>
            <w:tcW w:w="794" w:type="pct"/>
            <w:tcMar>
              <w:left w:w="20" w:type="dxa"/>
              <w:right w:w="20" w:type="dxa"/>
            </w:tcMar>
          </w:tcPr>
          <w:p w14:paraId="08804FB5" w14:textId="77777777" w:rsidR="007F4F51" w:rsidRDefault="007F4F51">
            <w:pPr>
              <w:pStyle w:val="TableText0"/>
            </w:pPr>
            <w:r>
              <w:t>32.7</w:t>
            </w:r>
          </w:p>
        </w:tc>
        <w:tc>
          <w:tcPr>
            <w:tcW w:w="953" w:type="pct"/>
            <w:tcMar>
              <w:left w:w="20" w:type="dxa"/>
              <w:right w:w="20" w:type="dxa"/>
            </w:tcMar>
          </w:tcPr>
          <w:p w14:paraId="3D7E961D" w14:textId="77777777" w:rsidR="007F4F51" w:rsidRDefault="007F4F51">
            <w:pPr>
              <w:pStyle w:val="TableText0"/>
            </w:pPr>
            <w:r>
              <w:t>20.0</w:t>
            </w:r>
          </w:p>
        </w:tc>
        <w:tc>
          <w:tcPr>
            <w:tcW w:w="953" w:type="pct"/>
            <w:tcMar>
              <w:left w:w="20" w:type="dxa"/>
              <w:right w:w="20" w:type="dxa"/>
            </w:tcMar>
          </w:tcPr>
          <w:p w14:paraId="3C51BBB0" w14:textId="77777777" w:rsidR="007F4F51" w:rsidRDefault="007F4F51">
            <w:pPr>
              <w:pStyle w:val="TableText0"/>
            </w:pPr>
            <w:r>
              <w:t>0.03</w:t>
            </w:r>
          </w:p>
        </w:tc>
      </w:tr>
      <w:tr w:rsidR="007F4F51" w14:paraId="585044AB" w14:textId="77777777" w:rsidTr="00027829">
        <w:tc>
          <w:tcPr>
            <w:tcW w:w="1427" w:type="pct"/>
            <w:vMerge/>
            <w:tcMar>
              <w:left w:w="20" w:type="dxa"/>
              <w:right w:w="20" w:type="dxa"/>
            </w:tcMar>
          </w:tcPr>
          <w:p w14:paraId="04575DBE" w14:textId="77777777" w:rsidR="007F4F51" w:rsidRDefault="007F4F51">
            <w:pPr>
              <w:pStyle w:val="TableText0"/>
            </w:pPr>
          </w:p>
        </w:tc>
        <w:tc>
          <w:tcPr>
            <w:tcW w:w="873" w:type="pct"/>
            <w:tcMar>
              <w:left w:w="20" w:type="dxa"/>
              <w:right w:w="20" w:type="dxa"/>
            </w:tcMar>
          </w:tcPr>
          <w:p w14:paraId="26B3FC18" w14:textId="77777777" w:rsidR="007F4F51" w:rsidRDefault="007F4F51">
            <w:pPr>
              <w:pStyle w:val="TableText0"/>
            </w:pPr>
            <w:r>
              <w:t>Week 6/EOS</w:t>
            </w:r>
          </w:p>
        </w:tc>
        <w:tc>
          <w:tcPr>
            <w:tcW w:w="794" w:type="pct"/>
            <w:tcMar>
              <w:left w:w="20" w:type="dxa"/>
              <w:right w:w="20" w:type="dxa"/>
            </w:tcMar>
          </w:tcPr>
          <w:p w14:paraId="61DAF5CA" w14:textId="77777777" w:rsidR="007F4F51" w:rsidRDefault="007F4F51">
            <w:pPr>
              <w:pStyle w:val="TableText0"/>
            </w:pPr>
            <w:r>
              <w:t>44.9</w:t>
            </w:r>
          </w:p>
        </w:tc>
        <w:tc>
          <w:tcPr>
            <w:tcW w:w="953" w:type="pct"/>
            <w:tcMar>
              <w:left w:w="20" w:type="dxa"/>
              <w:right w:w="20" w:type="dxa"/>
            </w:tcMar>
          </w:tcPr>
          <w:p w14:paraId="281434C1" w14:textId="77777777" w:rsidR="007F4F51" w:rsidRDefault="007F4F51">
            <w:pPr>
              <w:pStyle w:val="TableText0"/>
            </w:pPr>
            <w:r>
              <w:t>31.1</w:t>
            </w:r>
          </w:p>
        </w:tc>
        <w:tc>
          <w:tcPr>
            <w:tcW w:w="953" w:type="pct"/>
            <w:tcMar>
              <w:left w:w="20" w:type="dxa"/>
              <w:right w:w="20" w:type="dxa"/>
            </w:tcMar>
          </w:tcPr>
          <w:p w14:paraId="2A3898F2" w14:textId="77777777" w:rsidR="007F4F51" w:rsidRDefault="007F4F51">
            <w:pPr>
              <w:pStyle w:val="TableText0"/>
            </w:pPr>
            <w:r>
              <w:t>0.04</w:t>
            </w:r>
          </w:p>
        </w:tc>
      </w:tr>
      <w:tr w:rsidR="007F4F51" w14:paraId="5287C2D8" w14:textId="77777777" w:rsidTr="00027829">
        <w:tc>
          <w:tcPr>
            <w:tcW w:w="1427" w:type="pct"/>
            <w:vMerge w:val="restart"/>
            <w:tcMar>
              <w:left w:w="20" w:type="dxa"/>
              <w:right w:w="20" w:type="dxa"/>
            </w:tcMar>
          </w:tcPr>
          <w:p w14:paraId="05800F57" w14:textId="336A8352" w:rsidR="007F4F51" w:rsidRDefault="007F4F51">
            <w:pPr>
              <w:pStyle w:val="TableText0"/>
            </w:pPr>
            <w:r>
              <w:t>Percentage i</w:t>
            </w:r>
            <w:r w:rsidRPr="00DF4479">
              <w:t>mprovement in signs and symptoms of</w:t>
            </w:r>
            <w:r>
              <w:t xml:space="preserve"> AD on the head and neck</w:t>
            </w:r>
            <w:r w:rsidR="006C235D">
              <w:t xml:space="preserve">, </w:t>
            </w:r>
            <w:r>
              <w:t>(LS mean) %</w:t>
            </w:r>
          </w:p>
        </w:tc>
        <w:tc>
          <w:tcPr>
            <w:tcW w:w="873" w:type="pct"/>
            <w:tcMar>
              <w:left w:w="20" w:type="dxa"/>
              <w:right w:w="20" w:type="dxa"/>
            </w:tcMar>
          </w:tcPr>
          <w:p w14:paraId="1CD94224" w14:textId="77777777" w:rsidR="007F4F51" w:rsidRDefault="007F4F51">
            <w:pPr>
              <w:pStyle w:val="TableText0"/>
            </w:pPr>
            <w:r>
              <w:t>Week 1</w:t>
            </w:r>
          </w:p>
        </w:tc>
        <w:tc>
          <w:tcPr>
            <w:tcW w:w="794" w:type="pct"/>
            <w:tcMar>
              <w:left w:w="20" w:type="dxa"/>
              <w:right w:w="20" w:type="dxa"/>
            </w:tcMar>
          </w:tcPr>
          <w:p w14:paraId="55CB2822" w14:textId="77777777" w:rsidR="007F4F51" w:rsidRDefault="007F4F51">
            <w:pPr>
              <w:pStyle w:val="TableText0"/>
            </w:pPr>
            <w:r>
              <w:t>44.5</w:t>
            </w:r>
          </w:p>
        </w:tc>
        <w:tc>
          <w:tcPr>
            <w:tcW w:w="953" w:type="pct"/>
            <w:tcMar>
              <w:left w:w="20" w:type="dxa"/>
              <w:right w:w="20" w:type="dxa"/>
            </w:tcMar>
          </w:tcPr>
          <w:p w14:paraId="6DCF7E02" w14:textId="77777777" w:rsidR="007F4F51" w:rsidRDefault="007F4F51">
            <w:pPr>
              <w:pStyle w:val="TableText0"/>
            </w:pPr>
            <w:r>
              <w:t>39.2</w:t>
            </w:r>
          </w:p>
        </w:tc>
        <w:tc>
          <w:tcPr>
            <w:tcW w:w="953" w:type="pct"/>
            <w:tcMar>
              <w:left w:w="20" w:type="dxa"/>
              <w:right w:w="20" w:type="dxa"/>
            </w:tcMar>
          </w:tcPr>
          <w:p w14:paraId="4C2214E0" w14:textId="77777777" w:rsidR="007F4F51" w:rsidRDefault="007F4F51">
            <w:pPr>
              <w:pStyle w:val="TableText0"/>
            </w:pPr>
            <w:r>
              <w:t>0.52</w:t>
            </w:r>
          </w:p>
        </w:tc>
      </w:tr>
      <w:tr w:rsidR="007F4F51" w14:paraId="28CC50DE" w14:textId="77777777" w:rsidTr="00027829">
        <w:tc>
          <w:tcPr>
            <w:tcW w:w="1427" w:type="pct"/>
            <w:vMerge/>
            <w:tcMar>
              <w:left w:w="20" w:type="dxa"/>
              <w:right w:w="20" w:type="dxa"/>
            </w:tcMar>
          </w:tcPr>
          <w:p w14:paraId="3D4AC0C5" w14:textId="77777777" w:rsidR="007F4F51" w:rsidRDefault="007F4F51">
            <w:pPr>
              <w:pStyle w:val="TableText0"/>
            </w:pPr>
          </w:p>
        </w:tc>
        <w:tc>
          <w:tcPr>
            <w:tcW w:w="873" w:type="pct"/>
            <w:tcMar>
              <w:left w:w="20" w:type="dxa"/>
              <w:right w:w="20" w:type="dxa"/>
            </w:tcMar>
          </w:tcPr>
          <w:p w14:paraId="77D21968" w14:textId="77777777" w:rsidR="007F4F51" w:rsidRDefault="007F4F51">
            <w:pPr>
              <w:pStyle w:val="TableText0"/>
            </w:pPr>
            <w:r>
              <w:t>Week 3</w:t>
            </w:r>
          </w:p>
        </w:tc>
        <w:tc>
          <w:tcPr>
            <w:tcW w:w="794" w:type="pct"/>
            <w:tcMar>
              <w:left w:w="20" w:type="dxa"/>
              <w:right w:w="20" w:type="dxa"/>
            </w:tcMar>
          </w:tcPr>
          <w:p w14:paraId="5225B4CC" w14:textId="77777777" w:rsidR="007F4F51" w:rsidRDefault="007F4F51">
            <w:pPr>
              <w:pStyle w:val="TableText0"/>
            </w:pPr>
            <w:r>
              <w:t>68.8</w:t>
            </w:r>
          </w:p>
        </w:tc>
        <w:tc>
          <w:tcPr>
            <w:tcW w:w="953" w:type="pct"/>
            <w:tcMar>
              <w:left w:w="20" w:type="dxa"/>
              <w:right w:w="20" w:type="dxa"/>
            </w:tcMar>
          </w:tcPr>
          <w:p w14:paraId="0B95E66E" w14:textId="77777777" w:rsidR="007F4F51" w:rsidRDefault="007F4F51">
            <w:pPr>
              <w:pStyle w:val="TableText0"/>
            </w:pPr>
            <w:r>
              <w:t>50.3</w:t>
            </w:r>
          </w:p>
        </w:tc>
        <w:tc>
          <w:tcPr>
            <w:tcW w:w="953" w:type="pct"/>
            <w:tcMar>
              <w:left w:w="20" w:type="dxa"/>
              <w:right w:w="20" w:type="dxa"/>
            </w:tcMar>
          </w:tcPr>
          <w:p w14:paraId="10B5C828" w14:textId="77777777" w:rsidR="007F4F51" w:rsidRDefault="007F4F51">
            <w:pPr>
              <w:pStyle w:val="TableText0"/>
            </w:pPr>
            <w:r>
              <w:t>0.05</w:t>
            </w:r>
          </w:p>
        </w:tc>
      </w:tr>
      <w:tr w:rsidR="007F4F51" w14:paraId="6412BF8A" w14:textId="77777777" w:rsidTr="00027829">
        <w:tc>
          <w:tcPr>
            <w:tcW w:w="1427" w:type="pct"/>
            <w:vMerge/>
            <w:tcMar>
              <w:left w:w="20" w:type="dxa"/>
              <w:right w:w="20" w:type="dxa"/>
            </w:tcMar>
          </w:tcPr>
          <w:p w14:paraId="4147202D" w14:textId="77777777" w:rsidR="007F4F51" w:rsidRDefault="007F4F51">
            <w:pPr>
              <w:pStyle w:val="TableText0"/>
            </w:pPr>
          </w:p>
        </w:tc>
        <w:tc>
          <w:tcPr>
            <w:tcW w:w="873" w:type="pct"/>
            <w:tcMar>
              <w:left w:w="20" w:type="dxa"/>
              <w:right w:w="20" w:type="dxa"/>
            </w:tcMar>
          </w:tcPr>
          <w:p w14:paraId="60AA3BC8" w14:textId="77777777" w:rsidR="007F4F51" w:rsidRDefault="007F4F51">
            <w:pPr>
              <w:pStyle w:val="TableText0"/>
            </w:pPr>
            <w:r>
              <w:t>Week 6/EOS</w:t>
            </w:r>
          </w:p>
        </w:tc>
        <w:tc>
          <w:tcPr>
            <w:tcW w:w="794" w:type="pct"/>
            <w:tcMar>
              <w:left w:w="20" w:type="dxa"/>
              <w:right w:w="20" w:type="dxa"/>
            </w:tcMar>
          </w:tcPr>
          <w:p w14:paraId="7DC454E6" w14:textId="77777777" w:rsidR="007F4F51" w:rsidRDefault="007F4F51">
            <w:pPr>
              <w:pStyle w:val="TableText0"/>
            </w:pPr>
            <w:r>
              <w:t>75.2</w:t>
            </w:r>
          </w:p>
        </w:tc>
        <w:tc>
          <w:tcPr>
            <w:tcW w:w="953" w:type="pct"/>
            <w:tcMar>
              <w:left w:w="20" w:type="dxa"/>
              <w:right w:w="20" w:type="dxa"/>
            </w:tcMar>
          </w:tcPr>
          <w:p w14:paraId="6FF9F550" w14:textId="77777777" w:rsidR="007F4F51" w:rsidRDefault="007F4F51">
            <w:pPr>
              <w:pStyle w:val="TableText0"/>
            </w:pPr>
            <w:r>
              <w:t>54.1</w:t>
            </w:r>
          </w:p>
        </w:tc>
        <w:tc>
          <w:tcPr>
            <w:tcW w:w="953" w:type="pct"/>
            <w:tcMar>
              <w:left w:w="20" w:type="dxa"/>
              <w:right w:w="20" w:type="dxa"/>
            </w:tcMar>
          </w:tcPr>
          <w:p w14:paraId="6344DE58" w14:textId="77777777" w:rsidR="007F4F51" w:rsidRDefault="007F4F51">
            <w:pPr>
              <w:pStyle w:val="TableText0"/>
            </w:pPr>
            <w:r>
              <w:t>0.04</w:t>
            </w:r>
          </w:p>
        </w:tc>
      </w:tr>
      <w:tr w:rsidR="007F4F51" w14:paraId="7515543C" w14:textId="77777777" w:rsidTr="00027829">
        <w:tc>
          <w:tcPr>
            <w:tcW w:w="1427" w:type="pct"/>
            <w:vMerge w:val="restart"/>
            <w:tcMar>
              <w:left w:w="20" w:type="dxa"/>
              <w:right w:w="20" w:type="dxa"/>
            </w:tcMar>
          </w:tcPr>
          <w:p w14:paraId="60804670" w14:textId="751CE457" w:rsidR="007F4F51" w:rsidRDefault="007F4F51">
            <w:pPr>
              <w:pStyle w:val="TableText0"/>
            </w:pPr>
            <w:r>
              <w:t>Percentage improvement in %BSA affected</w:t>
            </w:r>
            <w:r w:rsidR="006C235D">
              <w:t xml:space="preserve">, </w:t>
            </w:r>
            <w:r>
              <w:t>(LS mean) %</w:t>
            </w:r>
          </w:p>
        </w:tc>
        <w:tc>
          <w:tcPr>
            <w:tcW w:w="873" w:type="pct"/>
            <w:tcMar>
              <w:left w:w="20" w:type="dxa"/>
              <w:right w:w="20" w:type="dxa"/>
            </w:tcMar>
          </w:tcPr>
          <w:p w14:paraId="341B2D3A" w14:textId="77777777" w:rsidR="007F4F51" w:rsidRDefault="007F4F51">
            <w:pPr>
              <w:pStyle w:val="TableText0"/>
            </w:pPr>
            <w:r>
              <w:t>Week 1</w:t>
            </w:r>
          </w:p>
        </w:tc>
        <w:tc>
          <w:tcPr>
            <w:tcW w:w="794" w:type="pct"/>
            <w:tcMar>
              <w:left w:w="20" w:type="dxa"/>
              <w:right w:w="20" w:type="dxa"/>
            </w:tcMar>
          </w:tcPr>
          <w:p w14:paraId="11A2CB30" w14:textId="77777777" w:rsidR="007F4F51" w:rsidRDefault="007F4F51">
            <w:pPr>
              <w:pStyle w:val="TableText0"/>
            </w:pPr>
            <w:r>
              <w:t>31.9</w:t>
            </w:r>
          </w:p>
        </w:tc>
        <w:tc>
          <w:tcPr>
            <w:tcW w:w="953" w:type="pct"/>
            <w:tcMar>
              <w:left w:w="20" w:type="dxa"/>
              <w:right w:w="20" w:type="dxa"/>
            </w:tcMar>
          </w:tcPr>
          <w:p w14:paraId="2D599DFF" w14:textId="77777777" w:rsidR="007F4F51" w:rsidRDefault="007F4F51">
            <w:pPr>
              <w:pStyle w:val="TableText0"/>
            </w:pPr>
            <w:r>
              <w:t>29.1</w:t>
            </w:r>
          </w:p>
        </w:tc>
        <w:tc>
          <w:tcPr>
            <w:tcW w:w="953" w:type="pct"/>
            <w:tcMar>
              <w:left w:w="20" w:type="dxa"/>
              <w:right w:w="20" w:type="dxa"/>
            </w:tcMar>
          </w:tcPr>
          <w:p w14:paraId="620F03E5" w14:textId="77777777" w:rsidR="007F4F51" w:rsidRDefault="007F4F51">
            <w:pPr>
              <w:pStyle w:val="TableText0"/>
            </w:pPr>
            <w:r>
              <w:t>0.42</w:t>
            </w:r>
          </w:p>
        </w:tc>
      </w:tr>
      <w:tr w:rsidR="007F4F51" w14:paraId="6A0837EE" w14:textId="77777777" w:rsidTr="00027829">
        <w:tc>
          <w:tcPr>
            <w:tcW w:w="1427" w:type="pct"/>
            <w:vMerge/>
            <w:tcMar>
              <w:left w:w="20" w:type="dxa"/>
              <w:right w:w="20" w:type="dxa"/>
            </w:tcMar>
          </w:tcPr>
          <w:p w14:paraId="4E4D7F27" w14:textId="77777777" w:rsidR="007F4F51" w:rsidRDefault="007F4F51">
            <w:pPr>
              <w:pStyle w:val="TableText0"/>
            </w:pPr>
          </w:p>
        </w:tc>
        <w:tc>
          <w:tcPr>
            <w:tcW w:w="873" w:type="pct"/>
            <w:tcMar>
              <w:left w:w="20" w:type="dxa"/>
              <w:right w:w="20" w:type="dxa"/>
            </w:tcMar>
          </w:tcPr>
          <w:p w14:paraId="0E13D0AA" w14:textId="77777777" w:rsidR="007F4F51" w:rsidRDefault="007F4F51">
            <w:pPr>
              <w:pStyle w:val="TableText0"/>
            </w:pPr>
            <w:r>
              <w:t>Week 3</w:t>
            </w:r>
          </w:p>
        </w:tc>
        <w:tc>
          <w:tcPr>
            <w:tcW w:w="794" w:type="pct"/>
            <w:tcMar>
              <w:left w:w="20" w:type="dxa"/>
              <w:right w:w="20" w:type="dxa"/>
            </w:tcMar>
          </w:tcPr>
          <w:p w14:paraId="2938C6E7" w14:textId="77777777" w:rsidR="007F4F51" w:rsidRDefault="007F4F51">
            <w:pPr>
              <w:pStyle w:val="TableText0"/>
            </w:pPr>
            <w:r>
              <w:t>44.4</w:t>
            </w:r>
          </w:p>
        </w:tc>
        <w:tc>
          <w:tcPr>
            <w:tcW w:w="953" w:type="pct"/>
            <w:tcMar>
              <w:left w:w="20" w:type="dxa"/>
              <w:right w:w="20" w:type="dxa"/>
            </w:tcMar>
          </w:tcPr>
          <w:p w14:paraId="023347CA" w14:textId="77777777" w:rsidR="007F4F51" w:rsidRDefault="007F4F51">
            <w:pPr>
              <w:pStyle w:val="TableText0"/>
            </w:pPr>
            <w:r>
              <w:t>37.3</w:t>
            </w:r>
          </w:p>
        </w:tc>
        <w:tc>
          <w:tcPr>
            <w:tcW w:w="953" w:type="pct"/>
            <w:tcMar>
              <w:left w:w="20" w:type="dxa"/>
              <w:right w:w="20" w:type="dxa"/>
            </w:tcMar>
          </w:tcPr>
          <w:p w14:paraId="0455C8E2" w14:textId="77777777" w:rsidR="007F4F51" w:rsidRDefault="007F4F51">
            <w:pPr>
              <w:pStyle w:val="TableText0"/>
            </w:pPr>
            <w:r>
              <w:t>0.16</w:t>
            </w:r>
          </w:p>
        </w:tc>
      </w:tr>
      <w:tr w:rsidR="007F4F51" w14:paraId="029D8775" w14:textId="77777777" w:rsidTr="00027829">
        <w:tc>
          <w:tcPr>
            <w:tcW w:w="1427" w:type="pct"/>
            <w:vMerge/>
            <w:tcMar>
              <w:left w:w="20" w:type="dxa"/>
              <w:right w:w="20" w:type="dxa"/>
            </w:tcMar>
          </w:tcPr>
          <w:p w14:paraId="58568E46" w14:textId="77777777" w:rsidR="007F4F51" w:rsidRDefault="007F4F51">
            <w:pPr>
              <w:pStyle w:val="TableText0"/>
            </w:pPr>
          </w:p>
        </w:tc>
        <w:tc>
          <w:tcPr>
            <w:tcW w:w="873" w:type="pct"/>
            <w:tcMar>
              <w:left w:w="20" w:type="dxa"/>
              <w:right w:w="20" w:type="dxa"/>
            </w:tcMar>
          </w:tcPr>
          <w:p w14:paraId="0B9D08C5" w14:textId="77777777" w:rsidR="007F4F51" w:rsidRDefault="007F4F51">
            <w:pPr>
              <w:pStyle w:val="TableText0"/>
            </w:pPr>
            <w:r>
              <w:t>Week 6/EOS</w:t>
            </w:r>
          </w:p>
        </w:tc>
        <w:tc>
          <w:tcPr>
            <w:tcW w:w="794" w:type="pct"/>
            <w:tcMar>
              <w:left w:w="20" w:type="dxa"/>
              <w:right w:w="20" w:type="dxa"/>
            </w:tcMar>
          </w:tcPr>
          <w:p w14:paraId="22663247" w14:textId="77777777" w:rsidR="007F4F51" w:rsidRDefault="007F4F51">
            <w:pPr>
              <w:pStyle w:val="TableText0"/>
            </w:pPr>
            <w:r>
              <w:t>49.6</w:t>
            </w:r>
          </w:p>
        </w:tc>
        <w:tc>
          <w:tcPr>
            <w:tcW w:w="953" w:type="pct"/>
            <w:tcMar>
              <w:left w:w="20" w:type="dxa"/>
              <w:right w:w="20" w:type="dxa"/>
            </w:tcMar>
          </w:tcPr>
          <w:p w14:paraId="45A396EC" w14:textId="77777777" w:rsidR="007F4F51" w:rsidRDefault="007F4F51">
            <w:pPr>
              <w:pStyle w:val="TableText0"/>
            </w:pPr>
            <w:r>
              <w:t>36.1</w:t>
            </w:r>
          </w:p>
        </w:tc>
        <w:tc>
          <w:tcPr>
            <w:tcW w:w="953" w:type="pct"/>
            <w:tcMar>
              <w:left w:w="20" w:type="dxa"/>
              <w:right w:w="20" w:type="dxa"/>
            </w:tcMar>
          </w:tcPr>
          <w:p w14:paraId="2FE1C05D" w14:textId="77777777" w:rsidR="007F4F51" w:rsidRDefault="007F4F51">
            <w:pPr>
              <w:pStyle w:val="TableText0"/>
            </w:pPr>
            <w:r>
              <w:t>0.10</w:t>
            </w:r>
          </w:p>
        </w:tc>
      </w:tr>
    </w:tbl>
    <w:p w14:paraId="7062348B" w14:textId="48A4F460" w:rsidR="007F4F51" w:rsidRDefault="007F4F51" w:rsidP="007F4F51">
      <w:pPr>
        <w:pStyle w:val="TableFigureFooter"/>
      </w:pPr>
      <w:r>
        <w:t xml:space="preserve">Source: Figure 2-30, p103; Figure 2-31, p103; Figure 2-32, p104; Figure 2-33, p105 of the submission; </w:t>
      </w:r>
      <w:r w:rsidRPr="00000235">
        <w:t>Abramovits et al (2008)</w:t>
      </w:r>
      <w:r>
        <w:fldChar w:fldCharType="begin"/>
      </w:r>
      <w:r>
        <w:instrText xml:space="preserve"> NOTEREF _Ref198639056 \f \h </w:instrText>
      </w:r>
      <w:r>
        <w:fldChar w:fldCharType="separate"/>
      </w:r>
      <w:r w:rsidR="00124226" w:rsidRPr="00124226">
        <w:rPr>
          <w:rStyle w:val="FootnoteReference"/>
        </w:rPr>
        <w:t>13</w:t>
      </w:r>
      <w:r>
        <w:fldChar w:fldCharType="end"/>
      </w:r>
    </w:p>
    <w:p w14:paraId="0600ECED" w14:textId="74145D4E" w:rsidR="007F4F51" w:rsidRPr="00A150E5" w:rsidRDefault="007F4F51" w:rsidP="007F4F51">
      <w:pPr>
        <w:pStyle w:val="TableFigureFooter"/>
      </w:pPr>
      <w:r>
        <w:t xml:space="preserve">AD = atopic dermatitis; BSA = body surface area; IGADA = </w:t>
      </w:r>
      <w:r w:rsidRPr="00FF0BEA">
        <w:t>Investigator Global Atopic Dermatitis</w:t>
      </w:r>
      <w:r>
        <w:t xml:space="preserve"> Assessment; EASI = Eczema Area Severity Index; EOS = end of study; LS mean = least square mean; PIM = pimecrolimus; TAC = tacrolimus.</w:t>
      </w:r>
    </w:p>
    <w:p w14:paraId="6C8DFCCA" w14:textId="328D7008" w:rsidR="007F4F51" w:rsidRPr="00B86885" w:rsidRDefault="007F4F51" w:rsidP="007F4F51">
      <w:pPr>
        <w:pStyle w:val="3-BodyText"/>
      </w:pPr>
      <w:r w:rsidRPr="00B86885">
        <w:t xml:space="preserve">A significantly greater percentage mean </w:t>
      </w:r>
      <w:bookmarkStart w:id="69" w:name="_Hlk197672093"/>
      <w:r w:rsidRPr="00B86885">
        <w:t xml:space="preserve">improvement in EASI score </w:t>
      </w:r>
      <w:bookmarkEnd w:id="69"/>
      <w:r w:rsidRPr="00B86885">
        <w:t>was observed in patients with moderate AD anywhere on the body treated with 0.1% TAC vs 1% PIM at all time points assessed to Week 6.</w:t>
      </w:r>
    </w:p>
    <w:p w14:paraId="1E27C72A" w14:textId="770FA810" w:rsidR="007F4F51" w:rsidRPr="00B86885" w:rsidRDefault="007F4F51" w:rsidP="007F4F51">
      <w:pPr>
        <w:pStyle w:val="3-BodyText"/>
      </w:pPr>
      <w:r w:rsidRPr="00B86885">
        <w:t>For treatment of the head and neck region, significantly greater improvement was observed for the signs and symptoms of AD score in patients treated with 0.1% TAC versus 1% PIM group. The efficacy data reported to support the claim is for the head and neck rather than specifically for use on the face and eyelids. Whether there would be a difference in treatment response between these areas is unclear.</w:t>
      </w:r>
    </w:p>
    <w:p w14:paraId="77104F46" w14:textId="2EAF60C1" w:rsidR="007F4F51" w:rsidRPr="00B86885" w:rsidRDefault="007F4F51" w:rsidP="007F4F51">
      <w:pPr>
        <w:pStyle w:val="3-BodyText"/>
      </w:pPr>
      <w:r w:rsidRPr="00B86885">
        <w:t>A significantly greater proportion of patients with moderate AD affecting their whole body treated in the 0.1% TAC group compared with the 1% PIM group had an improvement in their Investigator Global Atopic Dermatitis Assessment (IGADA) score (≥1 grades) at all time points to Week 6 or end of study (EOS). Results were similar for treatment success (defined as clear or almost clear based on the patient’s IGADA) at Week 3 and Week 6/EOS.</w:t>
      </w:r>
    </w:p>
    <w:p w14:paraId="47BE3966" w14:textId="72860849" w:rsidR="007F4F51" w:rsidRDefault="007F4F51" w:rsidP="007F4F51">
      <w:pPr>
        <w:pStyle w:val="3-BodyText"/>
      </w:pPr>
      <w:r w:rsidRPr="00B86885">
        <w:t xml:space="preserve">A significant improvement was observed at Week 3 and Week 6/EOS for all outcomes assessed except percentage improvement in %BSA where a trend towards greater improvement was observed in patients treated with 0.1% TAC. No standard errors were presented for the LS mean </w:t>
      </w:r>
      <w:r w:rsidR="00912DCC" w:rsidRPr="00B86885">
        <w:t>data,</w:t>
      </w:r>
      <w:r w:rsidRPr="00B86885">
        <w:t xml:space="preserve"> so it was not possible to assess the precision of the LS means reported. </w:t>
      </w:r>
    </w:p>
    <w:p w14:paraId="48416057" w14:textId="48B590FD" w:rsidR="00A51B34" w:rsidRPr="00A207C3" w:rsidRDefault="00A51B34" w:rsidP="00A51B34">
      <w:pPr>
        <w:pStyle w:val="3-BodyText"/>
        <w:numPr>
          <w:ilvl w:val="0"/>
          <w:numId w:val="0"/>
        </w:numPr>
        <w:rPr>
          <w:b/>
          <w:bCs/>
          <w:i/>
          <w:iCs/>
        </w:rPr>
      </w:pPr>
      <w:r w:rsidRPr="00A207C3">
        <w:rPr>
          <w:b/>
          <w:bCs/>
          <w:i/>
          <w:iCs/>
        </w:rPr>
        <w:t>Meta-analyses</w:t>
      </w:r>
    </w:p>
    <w:p w14:paraId="59C288BB" w14:textId="0DD2F98A" w:rsidR="000A3DB4" w:rsidRPr="00BF0496" w:rsidRDefault="00BA2BF2" w:rsidP="007F4F51">
      <w:pPr>
        <w:pStyle w:val="3-BodyText"/>
      </w:pPr>
      <w:bookmarkStart w:id="70" w:name="_Ref203644575"/>
      <w:r w:rsidRPr="00BF0496">
        <w:t>The ESC noted that 6 meta-analyses</w:t>
      </w:r>
      <w:r w:rsidR="00011216" w:rsidRPr="00BF0496">
        <w:t xml:space="preserve"> </w:t>
      </w:r>
      <w:r w:rsidRPr="00BF0496">
        <w:t xml:space="preserve">were presented </w:t>
      </w:r>
      <w:r w:rsidR="00011216" w:rsidRPr="00BF0496">
        <w:t>as additional supporting ev</w:t>
      </w:r>
      <w:r w:rsidR="008B1507" w:rsidRPr="00BF0496">
        <w:t xml:space="preserve">idence. The ESC noted the results of the most recent </w:t>
      </w:r>
      <w:r w:rsidR="006977D0" w:rsidRPr="00BF0496">
        <w:t xml:space="preserve">Cochrane </w:t>
      </w:r>
      <w:r w:rsidR="008B1507" w:rsidRPr="00BF0496">
        <w:t>meta-analysis</w:t>
      </w:r>
      <w:r w:rsidR="006977D0" w:rsidRPr="00BF0496">
        <w:t xml:space="preserve"> of topical anti-inflammatory</w:t>
      </w:r>
      <w:r w:rsidR="00EC1BB7" w:rsidRPr="00BF0496">
        <w:t xml:space="preserve"> treatments</w:t>
      </w:r>
      <w:r w:rsidR="008B1507" w:rsidRPr="00BF0496">
        <w:t>, Lax et al (2024)</w:t>
      </w:r>
      <w:r w:rsidR="000560D1" w:rsidRPr="00BF0496">
        <w:t xml:space="preserve"> which included 291 studies</w:t>
      </w:r>
      <w:r w:rsidR="00501DC3" w:rsidRPr="00BF0496">
        <w:t xml:space="preserve"> involving TCS, TCI, PDE-4 inhibitors, JAK inhibitors and hydrocarbon receptor</w:t>
      </w:r>
      <w:r w:rsidR="00753BA8" w:rsidRPr="00BF0496">
        <w:t xml:space="preserve"> activators</w:t>
      </w:r>
      <w:r w:rsidR="000560D1" w:rsidRPr="00BF0496">
        <w:t xml:space="preserve">, </w:t>
      </w:r>
      <w:r w:rsidR="000A3DB4" w:rsidRPr="00BF0496">
        <w:t>reported that for:</w:t>
      </w:r>
      <w:bookmarkEnd w:id="70"/>
    </w:p>
    <w:p w14:paraId="1DBA11B6" w14:textId="77777777" w:rsidR="00D25A90" w:rsidRPr="00BF0496" w:rsidRDefault="000A3DB4" w:rsidP="00C0701D">
      <w:pPr>
        <w:pStyle w:val="3-BodyText"/>
        <w:numPr>
          <w:ilvl w:val="1"/>
          <w:numId w:val="24"/>
        </w:numPr>
        <w:ind w:left="1080"/>
      </w:pPr>
      <w:r w:rsidRPr="00BF0496">
        <w:t>Patient reported symptoms, the most effective agents were 0.1% TAC, potent TCS and ruxolitinib</w:t>
      </w:r>
      <w:r w:rsidR="00D25A90" w:rsidRPr="00BF0496">
        <w:t>, with 0.1% TAC exhibiting similar efficacy to potent TCS;</w:t>
      </w:r>
    </w:p>
    <w:p w14:paraId="27CF7ABE" w14:textId="77777777" w:rsidR="00824E24" w:rsidRPr="00BF0496" w:rsidRDefault="00824E24" w:rsidP="00C0701D">
      <w:pPr>
        <w:pStyle w:val="3-BodyText"/>
        <w:numPr>
          <w:ilvl w:val="1"/>
          <w:numId w:val="24"/>
        </w:numPr>
        <w:ind w:left="1080"/>
      </w:pPr>
      <w:r w:rsidRPr="00BF0496">
        <w:t>Clinician reported outcomes, the most effective treatments were potent TCS, 0.1% TAC and ruxolitinib;</w:t>
      </w:r>
    </w:p>
    <w:p w14:paraId="4FE3DDEE" w14:textId="77777777" w:rsidR="00BE4BC4" w:rsidRPr="00BF0496" w:rsidRDefault="00824E24" w:rsidP="00C0701D">
      <w:pPr>
        <w:pStyle w:val="3-BodyText"/>
        <w:numPr>
          <w:ilvl w:val="1"/>
          <w:numId w:val="24"/>
        </w:numPr>
        <w:ind w:left="1080"/>
      </w:pPr>
      <w:r w:rsidRPr="00BF0496">
        <w:t xml:space="preserve">Investigator Global Assessment, </w:t>
      </w:r>
      <w:r w:rsidR="00BE4BC4" w:rsidRPr="00BF0496">
        <w:t>0.1% TAC was among the most effective agents.</w:t>
      </w:r>
    </w:p>
    <w:p w14:paraId="3D8A5E2D" w14:textId="1B4674A1" w:rsidR="00A51B34" w:rsidRPr="00BF0496" w:rsidRDefault="00BE4BC4" w:rsidP="007F4F51">
      <w:pPr>
        <w:pStyle w:val="3-BodyText"/>
      </w:pPr>
      <w:bookmarkStart w:id="71" w:name="_Ref203644585"/>
      <w:r w:rsidRPr="00BF0496">
        <w:t>Overall, the meta-an</w:t>
      </w:r>
      <w:r w:rsidR="00753BA8" w:rsidRPr="00BF0496">
        <w:t>alysis concluded that potent TCS, JAK inhibitors and 0.1% TAC were consistently ranked as the most effective</w:t>
      </w:r>
      <w:r w:rsidR="00EC1BB7" w:rsidRPr="00BF0496">
        <w:t xml:space="preserve"> topical </w:t>
      </w:r>
      <w:r w:rsidR="00C94DEF" w:rsidRPr="00BF0496">
        <w:t>anti-inflammatory treatments</w:t>
      </w:r>
      <w:r w:rsidR="00A207C3" w:rsidRPr="00BF0496">
        <w:t>.</w:t>
      </w:r>
      <w:bookmarkEnd w:id="71"/>
    </w:p>
    <w:p w14:paraId="3F4382A4" w14:textId="77777777" w:rsidR="007F4F51" w:rsidRPr="00D86D87" w:rsidRDefault="007F4F51" w:rsidP="007F4F51">
      <w:pPr>
        <w:pStyle w:val="4-SubsectionHeading"/>
      </w:pPr>
      <w:bookmarkStart w:id="72" w:name="_Toc22897642"/>
      <w:bookmarkStart w:id="73" w:name="_Toc187925088"/>
      <w:bookmarkStart w:id="74" w:name="_Toc197979894"/>
      <w:bookmarkStart w:id="75" w:name="_Toc198710821"/>
      <w:r w:rsidRPr="00D86D87">
        <w:t>Comparative harms</w:t>
      </w:r>
      <w:bookmarkEnd w:id="72"/>
      <w:bookmarkEnd w:id="73"/>
      <w:bookmarkEnd w:id="74"/>
      <w:bookmarkEnd w:id="75"/>
    </w:p>
    <w:p w14:paraId="08207710" w14:textId="06F20FB4" w:rsidR="007F4F51" w:rsidRDefault="007F4F51" w:rsidP="00CD736B">
      <w:pPr>
        <w:pStyle w:val="3-BodyText"/>
      </w:pPr>
      <w:r w:rsidRPr="00CD736B">
        <w:t>Safety</w:t>
      </w:r>
      <w:r>
        <w:t xml:space="preserve"> data was reported by Soter et al (2001) for the </w:t>
      </w:r>
      <w:r w:rsidRPr="00D33A7D">
        <w:t xml:space="preserve">two identical, 12-week RCTs </w:t>
      </w:r>
      <w:r>
        <w:t xml:space="preserve">in </w:t>
      </w:r>
      <w:r w:rsidRPr="00D33A7D">
        <w:t>631 adults ≥16 years with moderate to severe AD</w:t>
      </w:r>
      <w:r>
        <w:t xml:space="preserve"> treated with 0.1% TAC vs VO</w:t>
      </w:r>
      <w:bookmarkStart w:id="76" w:name="_Ref197962159"/>
      <w:bookmarkStart w:id="77" w:name="_Ref198547061"/>
      <w:r>
        <w:rPr>
          <w:rStyle w:val="FootnoteReference"/>
        </w:rPr>
        <w:footnoteReference w:id="21"/>
      </w:r>
      <w:bookmarkEnd w:id="76"/>
      <w:bookmarkEnd w:id="77"/>
      <w:r>
        <w:t>.</w:t>
      </w:r>
      <w:r w:rsidRPr="00D33A7D">
        <w:t xml:space="preserve"> </w:t>
      </w:r>
      <w:r w:rsidRPr="00EE037C">
        <w:t xml:space="preserve">Treatment exposure based on the median number of treatment days was lower for VO than 0.1% TAC (22 days vs 84 days). This reflected the higher discontinuation rate with VO treatment vs 0.1% TAC (68.4% vs 24.9%), mainly attributed to lack of efficacy (44.8% vs 8.6%) and AEs (12.3% vs 5.3%). </w:t>
      </w:r>
    </w:p>
    <w:p w14:paraId="48DB06B6" w14:textId="77777777" w:rsidR="00124226" w:rsidRDefault="00CD736B">
      <w:pPr>
        <w:jc w:val="left"/>
        <w:rPr>
          <w:rFonts w:ascii="Arial Narrow" w:hAnsi="Arial Narrow"/>
          <w:b/>
          <w:bCs/>
          <w:sz w:val="20"/>
          <w:szCs w:val="18"/>
        </w:rPr>
      </w:pPr>
      <w:r w:rsidRPr="00FB6AA3">
        <w:t>The reported 12-week incidence rate</w:t>
      </w:r>
      <w:r>
        <w:t>s</w:t>
      </w:r>
      <w:r w:rsidRPr="00FB6AA3">
        <w:t xml:space="preserve"> of AE</w:t>
      </w:r>
      <w:r>
        <w:t>s</w:t>
      </w:r>
      <w:r w:rsidRPr="00FB6AA3">
        <w:t xml:space="preserve"> </w:t>
      </w:r>
      <w:r>
        <w:t>were</w:t>
      </w:r>
      <w:r w:rsidRPr="00FB6AA3">
        <w:t xml:space="preserve"> adjusted for treatment exposure</w:t>
      </w:r>
      <w:r>
        <w:t xml:space="preserve"> </w:t>
      </w:r>
      <w:r w:rsidRPr="00FB6AA3">
        <w:t>(</w:t>
      </w:r>
      <w:r w:rsidRPr="00FB6AA3">
        <w:fldChar w:fldCharType="begin"/>
      </w:r>
      <w:r w:rsidRPr="00FB6AA3">
        <w:instrText xml:space="preserve"> REF _Ref197680633 \h </w:instrText>
      </w:r>
      <w:r w:rsidRPr="00FB6AA3">
        <w:fldChar w:fldCharType="separate"/>
      </w:r>
      <w:r w:rsidR="00124226">
        <w:br w:type="page"/>
      </w:r>
    </w:p>
    <w:p w14:paraId="40896685" w14:textId="4C717C72" w:rsidR="00CD736B" w:rsidRDefault="00124226" w:rsidP="00CD736B">
      <w:pPr>
        <w:pStyle w:val="3-BodyText"/>
      </w:pPr>
      <w:r>
        <w:t xml:space="preserve">Table </w:t>
      </w:r>
      <w:r>
        <w:rPr>
          <w:noProof/>
        </w:rPr>
        <w:t>7</w:t>
      </w:r>
      <w:r w:rsidR="00CD736B" w:rsidRPr="00FB6AA3">
        <w:fldChar w:fldCharType="end"/>
      </w:r>
      <w:r w:rsidR="00CD736B" w:rsidRPr="00FB6AA3">
        <w:t>).</w:t>
      </w:r>
    </w:p>
    <w:p w14:paraId="10E4F44E" w14:textId="77777777" w:rsidR="0006319B" w:rsidRDefault="0006319B">
      <w:pPr>
        <w:jc w:val="left"/>
        <w:rPr>
          <w:rFonts w:ascii="Arial Narrow" w:hAnsi="Arial Narrow"/>
          <w:b/>
          <w:bCs/>
          <w:sz w:val="20"/>
          <w:szCs w:val="18"/>
        </w:rPr>
      </w:pPr>
      <w:bookmarkStart w:id="78" w:name="_Ref197680633"/>
      <w:r>
        <w:br w:type="page"/>
      </w:r>
    </w:p>
    <w:p w14:paraId="608452A3" w14:textId="534FDDE2" w:rsidR="007F4F51" w:rsidRDefault="007F4F51" w:rsidP="007F4F51">
      <w:pPr>
        <w:pStyle w:val="Caption"/>
      </w:pPr>
      <w:r>
        <w:t xml:space="preserve">Table </w:t>
      </w:r>
      <w:r w:rsidR="00CD736B">
        <w:fldChar w:fldCharType="begin"/>
      </w:r>
      <w:r w:rsidR="00CD736B">
        <w:instrText xml:space="preserve"> SEQ Table \* ARABIC </w:instrText>
      </w:r>
      <w:r w:rsidR="00CD736B">
        <w:fldChar w:fldCharType="separate"/>
      </w:r>
      <w:r w:rsidR="00124226">
        <w:rPr>
          <w:noProof/>
        </w:rPr>
        <w:t>7</w:t>
      </w:r>
      <w:r w:rsidR="00CD736B">
        <w:rPr>
          <w:noProof/>
        </w:rPr>
        <w:fldChar w:fldCharType="end"/>
      </w:r>
      <w:bookmarkEnd w:id="78"/>
      <w:r>
        <w:t>: Incidence</w:t>
      </w:r>
      <w:r w:rsidRPr="00133002">
        <w:t xml:space="preserve"> of adverse events</w:t>
      </w:r>
      <w:r>
        <w:t xml:space="preserve"> observed adjusted for treatment exposure as reported by </w:t>
      </w:r>
      <w:r w:rsidRPr="00F242D1">
        <w:t>Soter et al (2001)</w:t>
      </w:r>
    </w:p>
    <w:tbl>
      <w:tblPr>
        <w:tblStyle w:val="ASDTable11"/>
        <w:tblW w:w="8881" w:type="dxa"/>
        <w:tblLook w:val="04A0" w:firstRow="1" w:lastRow="0" w:firstColumn="1" w:lastColumn="0" w:noHBand="0" w:noVBand="1"/>
        <w:tblCaption w:val="Table 7: Incidence of adverse events observed adjusted for treatment exposure as reported by Soter et al (2001)"/>
      </w:tblPr>
      <w:tblGrid>
        <w:gridCol w:w="2996"/>
        <w:gridCol w:w="2107"/>
        <w:gridCol w:w="2240"/>
        <w:gridCol w:w="1538"/>
      </w:tblGrid>
      <w:tr w:rsidR="007F4F51" w:rsidRPr="00CA62D3" w14:paraId="2675112B" w14:textId="77777777">
        <w:trPr>
          <w:trHeight w:val="488"/>
        </w:trPr>
        <w:tc>
          <w:tcPr>
            <w:tcW w:w="2996" w:type="dxa"/>
          </w:tcPr>
          <w:p w14:paraId="4F632F66" w14:textId="77777777" w:rsidR="007F4F51" w:rsidRPr="00CA62D3" w:rsidRDefault="007F4F51">
            <w:pPr>
              <w:pStyle w:val="In-tableHeading"/>
              <w:keepNext w:val="0"/>
              <w:keepLines w:val="0"/>
              <w:widowControl w:val="0"/>
            </w:pPr>
            <w:r w:rsidRPr="00CA62D3">
              <w:t>Adverse Event</w:t>
            </w:r>
          </w:p>
        </w:tc>
        <w:tc>
          <w:tcPr>
            <w:tcW w:w="2107" w:type="dxa"/>
          </w:tcPr>
          <w:p w14:paraId="2B1E4362" w14:textId="77777777" w:rsidR="007F4F51" w:rsidRDefault="007F4F51">
            <w:pPr>
              <w:pStyle w:val="In-tableHeading"/>
              <w:keepNext w:val="0"/>
              <w:keepLines w:val="0"/>
              <w:widowControl w:val="0"/>
            </w:pPr>
            <w:r w:rsidRPr="00CA62D3">
              <w:t>0.1%</w:t>
            </w:r>
            <w:r>
              <w:t xml:space="preserve"> TAC</w:t>
            </w:r>
          </w:p>
          <w:p w14:paraId="430BCC96" w14:textId="77777777" w:rsidR="007F4F51" w:rsidRDefault="007F4F51">
            <w:pPr>
              <w:pStyle w:val="In-tableHeading"/>
              <w:keepNext w:val="0"/>
              <w:keepLines w:val="0"/>
              <w:widowControl w:val="0"/>
            </w:pPr>
            <w:r w:rsidRPr="00CA62D3">
              <w:t>(n = 209)</w:t>
            </w:r>
          </w:p>
        </w:tc>
        <w:tc>
          <w:tcPr>
            <w:tcW w:w="2240" w:type="dxa"/>
          </w:tcPr>
          <w:p w14:paraId="36B462FF" w14:textId="77777777" w:rsidR="007F4F51" w:rsidRDefault="007F4F51">
            <w:pPr>
              <w:pStyle w:val="In-tableHeading"/>
              <w:keepNext w:val="0"/>
              <w:keepLines w:val="0"/>
              <w:widowControl w:val="0"/>
            </w:pPr>
            <w:r>
              <w:t>VO</w:t>
            </w:r>
          </w:p>
          <w:p w14:paraId="41469592" w14:textId="77777777" w:rsidR="007F4F51" w:rsidRPr="00CA62D3" w:rsidRDefault="007F4F51">
            <w:pPr>
              <w:pStyle w:val="In-tableHeading"/>
              <w:keepNext w:val="0"/>
              <w:keepLines w:val="0"/>
              <w:widowControl w:val="0"/>
            </w:pPr>
            <w:r w:rsidRPr="00CA62D3">
              <w:t>(n = 212)</w:t>
            </w:r>
          </w:p>
        </w:tc>
        <w:tc>
          <w:tcPr>
            <w:tcW w:w="1538" w:type="dxa"/>
          </w:tcPr>
          <w:p w14:paraId="4BE4E013" w14:textId="77777777" w:rsidR="007F4F51" w:rsidRPr="00CA62D3" w:rsidRDefault="007F4F51">
            <w:pPr>
              <w:pStyle w:val="In-tableHeading"/>
              <w:keepNext w:val="0"/>
              <w:keepLines w:val="0"/>
              <w:widowControl w:val="0"/>
            </w:pPr>
            <w:r>
              <w:t>P value</w:t>
            </w:r>
          </w:p>
        </w:tc>
      </w:tr>
      <w:tr w:rsidR="007F4F51" w:rsidRPr="00CA62D3" w14:paraId="7C4259DD" w14:textId="77777777">
        <w:trPr>
          <w:trHeight w:val="229"/>
        </w:trPr>
        <w:tc>
          <w:tcPr>
            <w:tcW w:w="2996" w:type="dxa"/>
          </w:tcPr>
          <w:p w14:paraId="74207769" w14:textId="77777777" w:rsidR="007F4F51" w:rsidRPr="00CA62D3" w:rsidRDefault="007F4F51">
            <w:pPr>
              <w:pStyle w:val="TableText0"/>
              <w:keepNext w:val="0"/>
              <w:keepLines w:val="0"/>
              <w:widowControl w:val="0"/>
            </w:pPr>
            <w:r w:rsidRPr="00CA62D3">
              <w:t xml:space="preserve">Skin burning </w:t>
            </w:r>
          </w:p>
        </w:tc>
        <w:tc>
          <w:tcPr>
            <w:tcW w:w="2107" w:type="dxa"/>
          </w:tcPr>
          <w:p w14:paraId="1C91DA5A" w14:textId="77777777" w:rsidR="007F4F51" w:rsidRPr="00CA62D3" w:rsidRDefault="007F4F51">
            <w:pPr>
              <w:pStyle w:val="TableText0"/>
              <w:keepNext w:val="0"/>
              <w:keepLines w:val="0"/>
              <w:widowControl w:val="0"/>
            </w:pPr>
            <w:r w:rsidRPr="00CA62D3">
              <w:t>57.7 ± 3.52</w:t>
            </w:r>
          </w:p>
        </w:tc>
        <w:tc>
          <w:tcPr>
            <w:tcW w:w="2240" w:type="dxa"/>
          </w:tcPr>
          <w:p w14:paraId="2272750E" w14:textId="77777777" w:rsidR="007F4F51" w:rsidRPr="00CA62D3" w:rsidRDefault="007F4F51">
            <w:pPr>
              <w:pStyle w:val="TableText0"/>
              <w:keepNext w:val="0"/>
              <w:keepLines w:val="0"/>
              <w:widowControl w:val="0"/>
            </w:pPr>
            <w:r w:rsidRPr="00CA62D3">
              <w:t>25.8 ± 3.43</w:t>
            </w:r>
          </w:p>
        </w:tc>
        <w:tc>
          <w:tcPr>
            <w:tcW w:w="1538" w:type="dxa"/>
          </w:tcPr>
          <w:p w14:paraId="1C016312" w14:textId="77777777" w:rsidR="007F4F51" w:rsidRPr="00CA62D3" w:rsidRDefault="007F4F51">
            <w:pPr>
              <w:pStyle w:val="TableText0"/>
              <w:keepNext w:val="0"/>
              <w:keepLines w:val="0"/>
              <w:widowControl w:val="0"/>
            </w:pPr>
            <w:r w:rsidRPr="00CA62D3">
              <w:t>&lt;</w:t>
            </w:r>
            <w:r>
              <w:t>0</w:t>
            </w:r>
            <w:r w:rsidRPr="00CA62D3">
              <w:t>.001</w:t>
            </w:r>
          </w:p>
        </w:tc>
      </w:tr>
      <w:tr w:rsidR="007F4F51" w:rsidRPr="00CA62D3" w14:paraId="7F0C07B5" w14:textId="77777777">
        <w:trPr>
          <w:trHeight w:val="244"/>
        </w:trPr>
        <w:tc>
          <w:tcPr>
            <w:tcW w:w="2996" w:type="dxa"/>
          </w:tcPr>
          <w:p w14:paraId="187E798F" w14:textId="77777777" w:rsidR="007F4F51" w:rsidRPr="00CA62D3" w:rsidRDefault="007F4F51">
            <w:pPr>
              <w:pStyle w:val="TableText0"/>
              <w:keepNext w:val="0"/>
              <w:keepLines w:val="0"/>
              <w:widowControl w:val="0"/>
            </w:pPr>
            <w:r w:rsidRPr="00CA62D3">
              <w:t xml:space="preserve">Pruritus </w:t>
            </w:r>
          </w:p>
        </w:tc>
        <w:tc>
          <w:tcPr>
            <w:tcW w:w="2107" w:type="dxa"/>
          </w:tcPr>
          <w:p w14:paraId="470A299B" w14:textId="77777777" w:rsidR="007F4F51" w:rsidRPr="00CA62D3" w:rsidRDefault="007F4F51">
            <w:pPr>
              <w:pStyle w:val="TableText0"/>
              <w:keepNext w:val="0"/>
              <w:keepLines w:val="0"/>
              <w:widowControl w:val="0"/>
            </w:pPr>
            <w:r w:rsidRPr="00CA62D3">
              <w:t>46.1 ± 3.59</w:t>
            </w:r>
          </w:p>
        </w:tc>
        <w:tc>
          <w:tcPr>
            <w:tcW w:w="2240" w:type="dxa"/>
          </w:tcPr>
          <w:p w14:paraId="6BEB0429" w14:textId="77777777" w:rsidR="007F4F51" w:rsidRPr="00CA62D3" w:rsidRDefault="007F4F51">
            <w:pPr>
              <w:pStyle w:val="TableText0"/>
              <w:keepNext w:val="0"/>
              <w:keepLines w:val="0"/>
              <w:widowControl w:val="0"/>
            </w:pPr>
            <w:r w:rsidRPr="00CA62D3">
              <w:t>36.5 ± 3.70</w:t>
            </w:r>
          </w:p>
        </w:tc>
        <w:tc>
          <w:tcPr>
            <w:tcW w:w="1538" w:type="dxa"/>
          </w:tcPr>
          <w:p w14:paraId="320B8578" w14:textId="77777777" w:rsidR="007F4F51" w:rsidRPr="00CA62D3" w:rsidRDefault="007F4F51">
            <w:pPr>
              <w:pStyle w:val="TableText0"/>
              <w:keepNext w:val="0"/>
              <w:keepLines w:val="0"/>
              <w:widowControl w:val="0"/>
            </w:pPr>
            <w:r>
              <w:t>0</w:t>
            </w:r>
            <w:r w:rsidRPr="00CA62D3">
              <w:t>.062</w:t>
            </w:r>
          </w:p>
        </w:tc>
      </w:tr>
      <w:tr w:rsidR="007F4F51" w:rsidRPr="00CA62D3" w14:paraId="427FE620" w14:textId="77777777">
        <w:trPr>
          <w:trHeight w:val="229"/>
        </w:trPr>
        <w:tc>
          <w:tcPr>
            <w:tcW w:w="2996" w:type="dxa"/>
          </w:tcPr>
          <w:p w14:paraId="0B90B706" w14:textId="77777777" w:rsidR="007F4F51" w:rsidRPr="00CA62D3" w:rsidRDefault="007F4F51">
            <w:pPr>
              <w:pStyle w:val="TableText0"/>
              <w:keepNext w:val="0"/>
              <w:keepLines w:val="0"/>
              <w:widowControl w:val="0"/>
            </w:pPr>
            <w:r w:rsidRPr="00CA62D3">
              <w:t xml:space="preserve">Flu-like symptoms </w:t>
            </w:r>
          </w:p>
        </w:tc>
        <w:tc>
          <w:tcPr>
            <w:tcW w:w="2107" w:type="dxa"/>
          </w:tcPr>
          <w:p w14:paraId="49CA15DB" w14:textId="77777777" w:rsidR="007F4F51" w:rsidRPr="00CA62D3" w:rsidRDefault="007F4F51">
            <w:pPr>
              <w:pStyle w:val="TableText0"/>
              <w:keepNext w:val="0"/>
              <w:keepLines w:val="0"/>
              <w:widowControl w:val="0"/>
            </w:pPr>
            <w:r w:rsidRPr="00CA62D3">
              <w:t>30.8 ± 3.61</w:t>
            </w:r>
          </w:p>
        </w:tc>
        <w:tc>
          <w:tcPr>
            <w:tcW w:w="2240" w:type="dxa"/>
          </w:tcPr>
          <w:p w14:paraId="68B540A2" w14:textId="77777777" w:rsidR="007F4F51" w:rsidRPr="00CA62D3" w:rsidRDefault="007F4F51">
            <w:pPr>
              <w:pStyle w:val="TableText0"/>
              <w:keepNext w:val="0"/>
              <w:keepLines w:val="0"/>
              <w:widowControl w:val="0"/>
            </w:pPr>
            <w:r w:rsidRPr="00CA62D3">
              <w:t>19.3 ± 4.06</w:t>
            </w:r>
          </w:p>
        </w:tc>
        <w:tc>
          <w:tcPr>
            <w:tcW w:w="1538" w:type="dxa"/>
          </w:tcPr>
          <w:p w14:paraId="0C7D6B09" w14:textId="77777777" w:rsidR="007F4F51" w:rsidRPr="00CA62D3" w:rsidRDefault="007F4F51">
            <w:pPr>
              <w:pStyle w:val="TableText0"/>
              <w:keepNext w:val="0"/>
              <w:keepLines w:val="0"/>
              <w:widowControl w:val="0"/>
            </w:pPr>
            <w:r>
              <w:t>0</w:t>
            </w:r>
            <w:r w:rsidRPr="00CA62D3">
              <w:t>.034</w:t>
            </w:r>
          </w:p>
        </w:tc>
      </w:tr>
      <w:tr w:rsidR="007F4F51" w:rsidRPr="00CA62D3" w14:paraId="63C5DED8" w14:textId="77777777">
        <w:trPr>
          <w:trHeight w:val="244"/>
        </w:trPr>
        <w:tc>
          <w:tcPr>
            <w:tcW w:w="2996" w:type="dxa"/>
          </w:tcPr>
          <w:p w14:paraId="3FAC39C2" w14:textId="77777777" w:rsidR="007F4F51" w:rsidRPr="00CA62D3" w:rsidRDefault="007F4F51">
            <w:pPr>
              <w:pStyle w:val="TableText0"/>
              <w:keepNext w:val="0"/>
              <w:keepLines w:val="0"/>
              <w:widowControl w:val="0"/>
            </w:pPr>
            <w:r w:rsidRPr="00CA62D3">
              <w:t xml:space="preserve">Skin erythema </w:t>
            </w:r>
          </w:p>
        </w:tc>
        <w:tc>
          <w:tcPr>
            <w:tcW w:w="2107" w:type="dxa"/>
          </w:tcPr>
          <w:p w14:paraId="4D30A30A" w14:textId="77777777" w:rsidR="007F4F51" w:rsidRPr="00CA62D3" w:rsidRDefault="007F4F51">
            <w:pPr>
              <w:pStyle w:val="TableText0"/>
              <w:keepNext w:val="0"/>
              <w:keepLines w:val="0"/>
              <w:widowControl w:val="0"/>
            </w:pPr>
            <w:r w:rsidRPr="00CA62D3">
              <w:t>27.9 ± 3.19</w:t>
            </w:r>
          </w:p>
        </w:tc>
        <w:tc>
          <w:tcPr>
            <w:tcW w:w="2240" w:type="dxa"/>
          </w:tcPr>
          <w:p w14:paraId="5DEB8F1F" w14:textId="77777777" w:rsidR="007F4F51" w:rsidRPr="00CA62D3" w:rsidRDefault="007F4F51">
            <w:pPr>
              <w:pStyle w:val="TableText0"/>
              <w:keepNext w:val="0"/>
              <w:keepLines w:val="0"/>
              <w:widowControl w:val="0"/>
            </w:pPr>
            <w:r w:rsidRPr="00CA62D3">
              <w:t>19.8 ± 3.04</w:t>
            </w:r>
          </w:p>
        </w:tc>
        <w:tc>
          <w:tcPr>
            <w:tcW w:w="1538" w:type="dxa"/>
          </w:tcPr>
          <w:p w14:paraId="30DE85F5" w14:textId="77777777" w:rsidR="007F4F51" w:rsidRPr="00CA62D3" w:rsidRDefault="007F4F51">
            <w:pPr>
              <w:pStyle w:val="TableText0"/>
              <w:keepNext w:val="0"/>
              <w:keepLines w:val="0"/>
              <w:widowControl w:val="0"/>
            </w:pPr>
            <w:r>
              <w:t>0</w:t>
            </w:r>
            <w:r w:rsidRPr="00CA62D3">
              <w:t>.066</w:t>
            </w:r>
          </w:p>
        </w:tc>
      </w:tr>
      <w:tr w:rsidR="007F4F51" w:rsidRPr="00CA62D3" w14:paraId="163E35B8" w14:textId="77777777">
        <w:trPr>
          <w:trHeight w:val="244"/>
        </w:trPr>
        <w:tc>
          <w:tcPr>
            <w:tcW w:w="2996" w:type="dxa"/>
          </w:tcPr>
          <w:p w14:paraId="3902F250" w14:textId="77777777" w:rsidR="007F4F51" w:rsidRPr="00CA62D3" w:rsidRDefault="007F4F51">
            <w:pPr>
              <w:pStyle w:val="TableText0"/>
              <w:keepNext w:val="0"/>
              <w:keepLines w:val="0"/>
              <w:widowControl w:val="0"/>
            </w:pPr>
            <w:r w:rsidRPr="00CA62D3">
              <w:t xml:space="preserve">Headache </w:t>
            </w:r>
          </w:p>
        </w:tc>
        <w:tc>
          <w:tcPr>
            <w:tcW w:w="2107" w:type="dxa"/>
          </w:tcPr>
          <w:p w14:paraId="4116CBD7" w14:textId="77777777" w:rsidR="007F4F51" w:rsidRPr="00CA62D3" w:rsidRDefault="007F4F51">
            <w:pPr>
              <w:pStyle w:val="TableText0"/>
              <w:keepNext w:val="0"/>
              <w:keepLines w:val="0"/>
              <w:widowControl w:val="0"/>
            </w:pPr>
            <w:r w:rsidRPr="00CA62D3">
              <w:t>19.2 ± 2.99</w:t>
            </w:r>
          </w:p>
        </w:tc>
        <w:tc>
          <w:tcPr>
            <w:tcW w:w="2240" w:type="dxa"/>
          </w:tcPr>
          <w:p w14:paraId="2296DCB6" w14:textId="77777777" w:rsidR="007F4F51" w:rsidRPr="00CA62D3" w:rsidRDefault="007F4F51">
            <w:pPr>
              <w:pStyle w:val="TableText0"/>
              <w:keepNext w:val="0"/>
              <w:keepLines w:val="0"/>
              <w:widowControl w:val="0"/>
            </w:pPr>
            <w:r w:rsidRPr="00CA62D3">
              <w:t>10.7 ± 2.79</w:t>
            </w:r>
          </w:p>
        </w:tc>
        <w:tc>
          <w:tcPr>
            <w:tcW w:w="1538" w:type="dxa"/>
          </w:tcPr>
          <w:p w14:paraId="109DF149" w14:textId="77777777" w:rsidR="007F4F51" w:rsidRPr="00CA62D3" w:rsidRDefault="007F4F51">
            <w:pPr>
              <w:pStyle w:val="TableText0"/>
              <w:keepNext w:val="0"/>
              <w:keepLines w:val="0"/>
              <w:widowControl w:val="0"/>
            </w:pPr>
            <w:r>
              <w:t>0</w:t>
            </w:r>
            <w:r w:rsidRPr="00CA62D3">
              <w:t>.036</w:t>
            </w:r>
          </w:p>
        </w:tc>
      </w:tr>
      <w:tr w:rsidR="007F4F51" w:rsidRPr="00CA62D3" w14:paraId="7E670C2F" w14:textId="77777777">
        <w:trPr>
          <w:trHeight w:val="229"/>
        </w:trPr>
        <w:tc>
          <w:tcPr>
            <w:tcW w:w="2996" w:type="dxa"/>
          </w:tcPr>
          <w:p w14:paraId="6B9F9029" w14:textId="77777777" w:rsidR="007F4F51" w:rsidRPr="00CA62D3" w:rsidRDefault="007F4F51">
            <w:pPr>
              <w:pStyle w:val="TableText0"/>
              <w:keepNext w:val="0"/>
              <w:keepLines w:val="0"/>
              <w:widowControl w:val="0"/>
            </w:pPr>
            <w:r w:rsidRPr="00CA62D3">
              <w:t xml:space="preserve">Skin infection </w:t>
            </w:r>
          </w:p>
        </w:tc>
        <w:tc>
          <w:tcPr>
            <w:tcW w:w="2107" w:type="dxa"/>
          </w:tcPr>
          <w:p w14:paraId="636A5733" w14:textId="77777777" w:rsidR="007F4F51" w:rsidRPr="00CA62D3" w:rsidRDefault="007F4F51">
            <w:pPr>
              <w:pStyle w:val="TableText0"/>
              <w:keepNext w:val="0"/>
              <w:keepLines w:val="0"/>
              <w:widowControl w:val="0"/>
            </w:pPr>
            <w:r w:rsidRPr="00CA62D3">
              <w:t>4.7 ± 1.65</w:t>
            </w:r>
          </w:p>
        </w:tc>
        <w:tc>
          <w:tcPr>
            <w:tcW w:w="2240" w:type="dxa"/>
          </w:tcPr>
          <w:p w14:paraId="01A0255C" w14:textId="77777777" w:rsidR="007F4F51" w:rsidRPr="00CA62D3" w:rsidRDefault="007F4F51">
            <w:pPr>
              <w:pStyle w:val="TableText0"/>
              <w:keepNext w:val="0"/>
              <w:keepLines w:val="0"/>
              <w:widowControl w:val="0"/>
            </w:pPr>
            <w:r w:rsidRPr="00CA62D3">
              <w:t>10.6 ± 2.67</w:t>
            </w:r>
          </w:p>
        </w:tc>
        <w:tc>
          <w:tcPr>
            <w:tcW w:w="1538" w:type="dxa"/>
          </w:tcPr>
          <w:p w14:paraId="77C5E820" w14:textId="77777777" w:rsidR="007F4F51" w:rsidRPr="00CA62D3" w:rsidRDefault="007F4F51">
            <w:pPr>
              <w:pStyle w:val="TableText0"/>
              <w:keepNext w:val="0"/>
              <w:keepLines w:val="0"/>
              <w:widowControl w:val="0"/>
            </w:pPr>
            <w:r>
              <w:t>0</w:t>
            </w:r>
            <w:r w:rsidRPr="00CA62D3">
              <w:t>.063</w:t>
            </w:r>
          </w:p>
        </w:tc>
      </w:tr>
      <w:tr w:rsidR="007F4F51" w:rsidRPr="00CA62D3" w14:paraId="11610E37" w14:textId="77777777">
        <w:trPr>
          <w:trHeight w:val="244"/>
        </w:trPr>
        <w:tc>
          <w:tcPr>
            <w:tcW w:w="2996" w:type="dxa"/>
          </w:tcPr>
          <w:p w14:paraId="524B567E" w14:textId="77777777" w:rsidR="007F4F51" w:rsidRPr="00CA62D3" w:rsidRDefault="007F4F51">
            <w:pPr>
              <w:pStyle w:val="TableText0"/>
              <w:keepNext w:val="0"/>
              <w:keepLines w:val="0"/>
              <w:widowControl w:val="0"/>
            </w:pPr>
            <w:r w:rsidRPr="00CA62D3">
              <w:t xml:space="preserve">Skin tingling </w:t>
            </w:r>
          </w:p>
        </w:tc>
        <w:tc>
          <w:tcPr>
            <w:tcW w:w="2107" w:type="dxa"/>
          </w:tcPr>
          <w:p w14:paraId="2F41FD83" w14:textId="77777777" w:rsidR="007F4F51" w:rsidRPr="00CA62D3" w:rsidRDefault="007F4F51">
            <w:pPr>
              <w:pStyle w:val="TableText0"/>
              <w:keepNext w:val="0"/>
              <w:keepLines w:val="0"/>
              <w:widowControl w:val="0"/>
            </w:pPr>
            <w:r w:rsidRPr="00CA62D3">
              <w:t>7.6 ± 1.91</w:t>
            </w:r>
          </w:p>
        </w:tc>
        <w:tc>
          <w:tcPr>
            <w:tcW w:w="2240" w:type="dxa"/>
          </w:tcPr>
          <w:p w14:paraId="11A746FC" w14:textId="77777777" w:rsidR="007F4F51" w:rsidRPr="00CA62D3" w:rsidRDefault="007F4F51">
            <w:pPr>
              <w:pStyle w:val="TableText0"/>
              <w:keepNext w:val="0"/>
              <w:keepLines w:val="0"/>
              <w:widowControl w:val="0"/>
            </w:pPr>
            <w:r w:rsidRPr="00CA62D3">
              <w:t>2.4 ± 1.04</w:t>
            </w:r>
          </w:p>
        </w:tc>
        <w:tc>
          <w:tcPr>
            <w:tcW w:w="1538" w:type="dxa"/>
          </w:tcPr>
          <w:p w14:paraId="595AF475" w14:textId="77777777" w:rsidR="007F4F51" w:rsidRPr="00CA62D3" w:rsidRDefault="007F4F51">
            <w:pPr>
              <w:pStyle w:val="TableText0"/>
              <w:keepNext w:val="0"/>
              <w:keepLines w:val="0"/>
              <w:widowControl w:val="0"/>
            </w:pPr>
            <w:r>
              <w:t>0</w:t>
            </w:r>
            <w:r w:rsidRPr="00CA62D3">
              <w:t>.015</w:t>
            </w:r>
          </w:p>
        </w:tc>
      </w:tr>
      <w:tr w:rsidR="007F4F51" w:rsidRPr="00CA62D3" w14:paraId="0E98E5A7" w14:textId="77777777">
        <w:trPr>
          <w:trHeight w:val="244"/>
        </w:trPr>
        <w:tc>
          <w:tcPr>
            <w:tcW w:w="2996" w:type="dxa"/>
          </w:tcPr>
          <w:p w14:paraId="536B020F" w14:textId="77777777" w:rsidR="007F4F51" w:rsidRPr="00CA62D3" w:rsidRDefault="007F4F51">
            <w:pPr>
              <w:pStyle w:val="TableText0"/>
              <w:keepNext w:val="0"/>
              <w:keepLines w:val="0"/>
              <w:widowControl w:val="0"/>
            </w:pPr>
            <w:r w:rsidRPr="00CA62D3">
              <w:t xml:space="preserve">Acne </w:t>
            </w:r>
          </w:p>
        </w:tc>
        <w:tc>
          <w:tcPr>
            <w:tcW w:w="2107" w:type="dxa"/>
          </w:tcPr>
          <w:p w14:paraId="4B3AEE7D" w14:textId="77777777" w:rsidR="007F4F51" w:rsidRPr="00CA62D3" w:rsidRDefault="007F4F51">
            <w:pPr>
              <w:pStyle w:val="TableText0"/>
              <w:keepNext w:val="0"/>
              <w:keepLines w:val="0"/>
              <w:widowControl w:val="0"/>
            </w:pPr>
            <w:r w:rsidRPr="00CA62D3">
              <w:t>7.1 ± 2.02</w:t>
            </w:r>
          </w:p>
        </w:tc>
        <w:tc>
          <w:tcPr>
            <w:tcW w:w="2240" w:type="dxa"/>
          </w:tcPr>
          <w:p w14:paraId="2EDC009C" w14:textId="77777777" w:rsidR="007F4F51" w:rsidRPr="00CA62D3" w:rsidRDefault="007F4F51">
            <w:pPr>
              <w:pStyle w:val="TableText0"/>
              <w:keepNext w:val="0"/>
              <w:keepLines w:val="0"/>
              <w:widowControl w:val="0"/>
            </w:pPr>
            <w:r w:rsidRPr="00CA62D3">
              <w:t>1.8 ± 1.30</w:t>
            </w:r>
          </w:p>
        </w:tc>
        <w:tc>
          <w:tcPr>
            <w:tcW w:w="1538" w:type="dxa"/>
          </w:tcPr>
          <w:p w14:paraId="49103A49" w14:textId="77777777" w:rsidR="007F4F51" w:rsidRPr="00CA62D3" w:rsidRDefault="007F4F51">
            <w:pPr>
              <w:pStyle w:val="TableText0"/>
              <w:keepNext w:val="0"/>
              <w:keepLines w:val="0"/>
              <w:widowControl w:val="0"/>
            </w:pPr>
            <w:r>
              <w:t>0</w:t>
            </w:r>
            <w:r w:rsidRPr="00CA62D3">
              <w:t>.028</w:t>
            </w:r>
          </w:p>
        </w:tc>
      </w:tr>
      <w:tr w:rsidR="007F4F51" w:rsidRPr="00CA62D3" w14:paraId="56C3EE93" w14:textId="77777777">
        <w:trPr>
          <w:trHeight w:val="229"/>
        </w:trPr>
        <w:tc>
          <w:tcPr>
            <w:tcW w:w="2996" w:type="dxa"/>
          </w:tcPr>
          <w:p w14:paraId="1AAEF70F" w14:textId="77777777" w:rsidR="007F4F51" w:rsidRPr="00CA62D3" w:rsidRDefault="007F4F51">
            <w:pPr>
              <w:pStyle w:val="TableText0"/>
              <w:keepNext w:val="0"/>
              <w:keepLines w:val="0"/>
              <w:widowControl w:val="0"/>
            </w:pPr>
            <w:r w:rsidRPr="00CA62D3">
              <w:t xml:space="preserve">Alcohol intolerance </w:t>
            </w:r>
          </w:p>
        </w:tc>
        <w:tc>
          <w:tcPr>
            <w:tcW w:w="2107" w:type="dxa"/>
          </w:tcPr>
          <w:p w14:paraId="4548C78D" w14:textId="77777777" w:rsidR="007F4F51" w:rsidRPr="00CA62D3" w:rsidRDefault="007F4F51">
            <w:pPr>
              <w:pStyle w:val="TableText0"/>
              <w:keepNext w:val="0"/>
              <w:keepLines w:val="0"/>
              <w:widowControl w:val="0"/>
            </w:pPr>
            <w:r w:rsidRPr="00CA62D3">
              <w:t>6.9 ± 1.92</w:t>
            </w:r>
          </w:p>
        </w:tc>
        <w:tc>
          <w:tcPr>
            <w:tcW w:w="2240" w:type="dxa"/>
          </w:tcPr>
          <w:p w14:paraId="141C428B" w14:textId="77777777" w:rsidR="007F4F51" w:rsidRPr="00CA62D3" w:rsidRDefault="007F4F51">
            <w:pPr>
              <w:pStyle w:val="TableText0"/>
              <w:keepNext w:val="0"/>
              <w:keepLines w:val="0"/>
              <w:widowControl w:val="0"/>
            </w:pPr>
            <w:r w:rsidRPr="00CA62D3">
              <w:t>0.0 ± 0.00</w:t>
            </w:r>
          </w:p>
        </w:tc>
        <w:tc>
          <w:tcPr>
            <w:tcW w:w="1538" w:type="dxa"/>
          </w:tcPr>
          <w:p w14:paraId="1B318B91" w14:textId="77777777" w:rsidR="007F4F51" w:rsidRPr="00CA62D3" w:rsidRDefault="007F4F51">
            <w:pPr>
              <w:pStyle w:val="TableText0"/>
              <w:keepNext w:val="0"/>
              <w:keepLines w:val="0"/>
              <w:widowControl w:val="0"/>
            </w:pPr>
            <w:r w:rsidRPr="00CA62D3">
              <w:t>&lt;</w:t>
            </w:r>
            <w:r>
              <w:t>0</w:t>
            </w:r>
            <w:r w:rsidRPr="00CA62D3">
              <w:t>.001</w:t>
            </w:r>
          </w:p>
        </w:tc>
      </w:tr>
      <w:tr w:rsidR="007F4F51" w:rsidRPr="00CA62D3" w14:paraId="0A02FD35" w14:textId="77777777">
        <w:trPr>
          <w:trHeight w:val="244"/>
        </w:trPr>
        <w:tc>
          <w:tcPr>
            <w:tcW w:w="2996" w:type="dxa"/>
          </w:tcPr>
          <w:p w14:paraId="35A46062" w14:textId="77777777" w:rsidR="007F4F51" w:rsidRPr="00CA62D3" w:rsidRDefault="007F4F51">
            <w:pPr>
              <w:pStyle w:val="TableText0"/>
              <w:keepNext w:val="0"/>
              <w:keepLines w:val="0"/>
              <w:widowControl w:val="0"/>
            </w:pPr>
            <w:r w:rsidRPr="00CA62D3">
              <w:t xml:space="preserve">Hyperesthesia </w:t>
            </w:r>
          </w:p>
        </w:tc>
        <w:tc>
          <w:tcPr>
            <w:tcW w:w="2107" w:type="dxa"/>
          </w:tcPr>
          <w:p w14:paraId="7E12676A" w14:textId="77777777" w:rsidR="007F4F51" w:rsidRPr="00CA62D3" w:rsidRDefault="007F4F51">
            <w:pPr>
              <w:pStyle w:val="TableText0"/>
              <w:keepNext w:val="0"/>
              <w:keepLines w:val="0"/>
              <w:widowControl w:val="0"/>
            </w:pPr>
            <w:r w:rsidRPr="00CA62D3">
              <w:t>6.5 ± 1.74</w:t>
            </w:r>
          </w:p>
        </w:tc>
        <w:tc>
          <w:tcPr>
            <w:tcW w:w="2240" w:type="dxa"/>
          </w:tcPr>
          <w:p w14:paraId="23164937" w14:textId="77777777" w:rsidR="007F4F51" w:rsidRPr="00CA62D3" w:rsidRDefault="007F4F51">
            <w:pPr>
              <w:pStyle w:val="TableText0"/>
              <w:keepNext w:val="0"/>
              <w:keepLines w:val="0"/>
              <w:widowControl w:val="0"/>
            </w:pPr>
            <w:r w:rsidRPr="00CA62D3">
              <w:t>0.5 ± 0.47</w:t>
            </w:r>
          </w:p>
        </w:tc>
        <w:tc>
          <w:tcPr>
            <w:tcW w:w="1538" w:type="dxa"/>
          </w:tcPr>
          <w:p w14:paraId="290398A0" w14:textId="77777777" w:rsidR="007F4F51" w:rsidRPr="00CA62D3" w:rsidRDefault="007F4F51">
            <w:pPr>
              <w:pStyle w:val="TableText0"/>
              <w:keepNext w:val="0"/>
              <w:keepLines w:val="0"/>
              <w:widowControl w:val="0"/>
            </w:pPr>
            <w:r>
              <w:t>0</w:t>
            </w:r>
            <w:r w:rsidRPr="00CA62D3">
              <w:t>.001</w:t>
            </w:r>
          </w:p>
        </w:tc>
      </w:tr>
      <w:tr w:rsidR="007F4F51" w:rsidRPr="00CA62D3" w14:paraId="0127F01C" w14:textId="77777777">
        <w:trPr>
          <w:trHeight w:val="229"/>
        </w:trPr>
        <w:tc>
          <w:tcPr>
            <w:tcW w:w="2996" w:type="dxa"/>
          </w:tcPr>
          <w:p w14:paraId="2FB88DE1" w14:textId="77777777" w:rsidR="007F4F51" w:rsidRPr="00CA62D3" w:rsidRDefault="007F4F51">
            <w:pPr>
              <w:pStyle w:val="TableText0"/>
              <w:keepNext w:val="0"/>
              <w:keepLines w:val="0"/>
              <w:widowControl w:val="0"/>
            </w:pPr>
            <w:r w:rsidRPr="00CA62D3">
              <w:t xml:space="preserve">Folliculitis </w:t>
            </w:r>
          </w:p>
        </w:tc>
        <w:tc>
          <w:tcPr>
            <w:tcW w:w="2107" w:type="dxa"/>
          </w:tcPr>
          <w:p w14:paraId="5627D059" w14:textId="77777777" w:rsidR="007F4F51" w:rsidRPr="00CA62D3" w:rsidRDefault="007F4F51">
            <w:pPr>
              <w:pStyle w:val="TableText0"/>
              <w:keepNext w:val="0"/>
              <w:keepLines w:val="0"/>
              <w:widowControl w:val="0"/>
            </w:pPr>
            <w:r w:rsidRPr="00CA62D3">
              <w:t>4.3 ± 1.50</w:t>
            </w:r>
          </w:p>
        </w:tc>
        <w:tc>
          <w:tcPr>
            <w:tcW w:w="2240" w:type="dxa"/>
          </w:tcPr>
          <w:p w14:paraId="5070B77B" w14:textId="77777777" w:rsidR="007F4F51" w:rsidRPr="00CA62D3" w:rsidRDefault="007F4F51">
            <w:pPr>
              <w:pStyle w:val="TableText0"/>
              <w:keepNext w:val="0"/>
              <w:keepLines w:val="0"/>
              <w:widowControl w:val="0"/>
            </w:pPr>
            <w:r w:rsidRPr="00CA62D3">
              <w:t>0.5 ± 0.51</w:t>
            </w:r>
          </w:p>
        </w:tc>
        <w:tc>
          <w:tcPr>
            <w:tcW w:w="1538" w:type="dxa"/>
          </w:tcPr>
          <w:p w14:paraId="0F3BB8A9" w14:textId="77777777" w:rsidR="007F4F51" w:rsidRPr="00CA62D3" w:rsidRDefault="007F4F51">
            <w:pPr>
              <w:pStyle w:val="TableText0"/>
              <w:keepNext w:val="0"/>
              <w:keepLines w:val="0"/>
              <w:widowControl w:val="0"/>
            </w:pPr>
            <w:r>
              <w:t>0</w:t>
            </w:r>
            <w:r w:rsidRPr="00CA62D3">
              <w:t>.016</w:t>
            </w:r>
          </w:p>
        </w:tc>
      </w:tr>
      <w:tr w:rsidR="007F4F51" w:rsidRPr="00CA62D3" w14:paraId="220546FD" w14:textId="77777777">
        <w:trPr>
          <w:trHeight w:val="244"/>
        </w:trPr>
        <w:tc>
          <w:tcPr>
            <w:tcW w:w="2996" w:type="dxa"/>
          </w:tcPr>
          <w:p w14:paraId="743304F0" w14:textId="77777777" w:rsidR="007F4F51" w:rsidRPr="00CA62D3" w:rsidRDefault="007F4F51">
            <w:pPr>
              <w:pStyle w:val="TableText0"/>
              <w:keepNext w:val="0"/>
              <w:keepLines w:val="0"/>
              <w:widowControl w:val="0"/>
            </w:pPr>
            <w:r w:rsidRPr="00CA62D3">
              <w:t xml:space="preserve">Rash </w:t>
            </w:r>
          </w:p>
        </w:tc>
        <w:tc>
          <w:tcPr>
            <w:tcW w:w="2107" w:type="dxa"/>
          </w:tcPr>
          <w:p w14:paraId="64514FD1" w14:textId="77777777" w:rsidR="007F4F51" w:rsidRPr="00CA62D3" w:rsidRDefault="007F4F51">
            <w:pPr>
              <w:pStyle w:val="TableText0"/>
              <w:keepNext w:val="0"/>
              <w:keepLines w:val="0"/>
              <w:widowControl w:val="0"/>
            </w:pPr>
            <w:r w:rsidRPr="00CA62D3">
              <w:t>2.1 ± 1.27</w:t>
            </w:r>
          </w:p>
        </w:tc>
        <w:tc>
          <w:tcPr>
            <w:tcW w:w="2240" w:type="dxa"/>
          </w:tcPr>
          <w:p w14:paraId="1E6FE835" w14:textId="77777777" w:rsidR="007F4F51" w:rsidRPr="00CA62D3" w:rsidRDefault="007F4F51">
            <w:pPr>
              <w:pStyle w:val="TableText0"/>
              <w:keepNext w:val="0"/>
              <w:keepLines w:val="0"/>
              <w:widowControl w:val="0"/>
            </w:pPr>
            <w:r w:rsidRPr="00CA62D3">
              <w:t>0.5 ± 0.50</w:t>
            </w:r>
          </w:p>
        </w:tc>
        <w:tc>
          <w:tcPr>
            <w:tcW w:w="1538" w:type="dxa"/>
          </w:tcPr>
          <w:p w14:paraId="462C0694" w14:textId="77777777" w:rsidR="007F4F51" w:rsidRPr="00CA62D3" w:rsidRDefault="007F4F51">
            <w:pPr>
              <w:pStyle w:val="TableText0"/>
              <w:keepNext w:val="0"/>
              <w:keepLines w:val="0"/>
              <w:widowControl w:val="0"/>
            </w:pPr>
            <w:r>
              <w:t>0</w:t>
            </w:r>
            <w:r w:rsidRPr="00CA62D3">
              <w:t>.230</w:t>
            </w:r>
          </w:p>
        </w:tc>
      </w:tr>
      <w:tr w:rsidR="007F4F51" w:rsidRPr="00CA62D3" w14:paraId="16930BCD" w14:textId="77777777">
        <w:trPr>
          <w:trHeight w:val="244"/>
        </w:trPr>
        <w:tc>
          <w:tcPr>
            <w:tcW w:w="2996" w:type="dxa"/>
          </w:tcPr>
          <w:p w14:paraId="3F812EFA" w14:textId="77777777" w:rsidR="007F4F51" w:rsidRPr="00CA62D3" w:rsidRDefault="007F4F51">
            <w:pPr>
              <w:pStyle w:val="TableText0"/>
              <w:keepNext w:val="0"/>
              <w:keepLines w:val="0"/>
              <w:widowControl w:val="0"/>
            </w:pPr>
            <w:r w:rsidRPr="00CA62D3">
              <w:t xml:space="preserve">Sinusitis </w:t>
            </w:r>
          </w:p>
        </w:tc>
        <w:tc>
          <w:tcPr>
            <w:tcW w:w="2107" w:type="dxa"/>
          </w:tcPr>
          <w:p w14:paraId="59F40935" w14:textId="77777777" w:rsidR="007F4F51" w:rsidRPr="00CA62D3" w:rsidRDefault="007F4F51">
            <w:pPr>
              <w:pStyle w:val="TableText0"/>
              <w:keepNext w:val="0"/>
              <w:keepLines w:val="0"/>
              <w:widowControl w:val="0"/>
            </w:pPr>
            <w:r w:rsidRPr="00CA62D3">
              <w:t>2.2 ± 1.09</w:t>
            </w:r>
          </w:p>
        </w:tc>
        <w:tc>
          <w:tcPr>
            <w:tcW w:w="2240" w:type="dxa"/>
          </w:tcPr>
          <w:p w14:paraId="02120EAC" w14:textId="77777777" w:rsidR="007F4F51" w:rsidRPr="00CA62D3" w:rsidRDefault="007F4F51">
            <w:pPr>
              <w:pStyle w:val="TableText0"/>
              <w:keepNext w:val="0"/>
              <w:keepLines w:val="0"/>
              <w:widowControl w:val="0"/>
            </w:pPr>
            <w:r w:rsidRPr="00CA62D3">
              <w:t>0.7 ± 0.68</w:t>
            </w:r>
          </w:p>
        </w:tc>
        <w:tc>
          <w:tcPr>
            <w:tcW w:w="1538" w:type="dxa"/>
          </w:tcPr>
          <w:p w14:paraId="09C99CDA" w14:textId="77777777" w:rsidR="007F4F51" w:rsidRPr="00CA62D3" w:rsidRDefault="007F4F51">
            <w:pPr>
              <w:pStyle w:val="TableText0"/>
              <w:keepNext w:val="0"/>
              <w:keepLines w:val="0"/>
              <w:widowControl w:val="0"/>
            </w:pPr>
            <w:r>
              <w:t>0</w:t>
            </w:r>
            <w:r w:rsidRPr="00CA62D3">
              <w:t>.241</w:t>
            </w:r>
          </w:p>
        </w:tc>
      </w:tr>
      <w:tr w:rsidR="007F4F51" w:rsidRPr="00CA62D3" w14:paraId="4CB23728" w14:textId="77777777">
        <w:trPr>
          <w:trHeight w:val="229"/>
        </w:trPr>
        <w:tc>
          <w:tcPr>
            <w:tcW w:w="2996" w:type="dxa"/>
          </w:tcPr>
          <w:p w14:paraId="22386F36" w14:textId="77777777" w:rsidR="007F4F51" w:rsidRPr="00CA62D3" w:rsidRDefault="007F4F51">
            <w:pPr>
              <w:pStyle w:val="TableText0"/>
              <w:keepNext w:val="0"/>
              <w:keepLines w:val="0"/>
              <w:widowControl w:val="0"/>
            </w:pPr>
            <w:r w:rsidRPr="00CA62D3">
              <w:t xml:space="preserve">Cyst </w:t>
            </w:r>
          </w:p>
        </w:tc>
        <w:tc>
          <w:tcPr>
            <w:tcW w:w="2107" w:type="dxa"/>
          </w:tcPr>
          <w:p w14:paraId="6A0F3A9A" w14:textId="77777777" w:rsidR="007F4F51" w:rsidRPr="00CA62D3" w:rsidRDefault="007F4F51">
            <w:pPr>
              <w:pStyle w:val="TableText0"/>
              <w:keepNext w:val="0"/>
              <w:keepLines w:val="0"/>
              <w:widowControl w:val="0"/>
            </w:pPr>
            <w:r w:rsidRPr="00CA62D3">
              <w:t>3.1 ± 1.55</w:t>
            </w:r>
          </w:p>
        </w:tc>
        <w:tc>
          <w:tcPr>
            <w:tcW w:w="2240" w:type="dxa"/>
          </w:tcPr>
          <w:p w14:paraId="65480F2E" w14:textId="77777777" w:rsidR="007F4F51" w:rsidRPr="00CA62D3" w:rsidRDefault="007F4F51">
            <w:pPr>
              <w:pStyle w:val="TableText0"/>
              <w:keepNext w:val="0"/>
              <w:keepLines w:val="0"/>
              <w:widowControl w:val="0"/>
            </w:pPr>
            <w:r w:rsidRPr="00CA62D3">
              <w:t>0.0 ± 0.00</w:t>
            </w:r>
          </w:p>
        </w:tc>
        <w:tc>
          <w:tcPr>
            <w:tcW w:w="1538" w:type="dxa"/>
          </w:tcPr>
          <w:p w14:paraId="187B4928" w14:textId="77777777" w:rsidR="007F4F51" w:rsidRPr="00CA62D3" w:rsidRDefault="007F4F51">
            <w:pPr>
              <w:pStyle w:val="TableText0"/>
              <w:keepNext w:val="0"/>
              <w:keepLines w:val="0"/>
              <w:widowControl w:val="0"/>
            </w:pPr>
            <w:r>
              <w:t>0</w:t>
            </w:r>
            <w:r w:rsidRPr="00CA62D3">
              <w:t>.046</w:t>
            </w:r>
          </w:p>
        </w:tc>
      </w:tr>
      <w:tr w:rsidR="007F4F51" w:rsidRPr="00CA62D3" w14:paraId="232D4990" w14:textId="77777777">
        <w:trPr>
          <w:trHeight w:val="244"/>
        </w:trPr>
        <w:tc>
          <w:tcPr>
            <w:tcW w:w="2996" w:type="dxa"/>
          </w:tcPr>
          <w:p w14:paraId="6BFAD923" w14:textId="77777777" w:rsidR="007F4F51" w:rsidRPr="00CA62D3" w:rsidRDefault="007F4F51">
            <w:pPr>
              <w:pStyle w:val="TableText0"/>
              <w:keepNext w:val="0"/>
              <w:keepLines w:val="0"/>
              <w:widowControl w:val="0"/>
            </w:pPr>
            <w:r w:rsidRPr="00CA62D3">
              <w:t xml:space="preserve">Myalgia </w:t>
            </w:r>
          </w:p>
        </w:tc>
        <w:tc>
          <w:tcPr>
            <w:tcW w:w="2107" w:type="dxa"/>
          </w:tcPr>
          <w:p w14:paraId="11690B3B" w14:textId="77777777" w:rsidR="007F4F51" w:rsidRPr="00CA62D3" w:rsidRDefault="007F4F51">
            <w:pPr>
              <w:pStyle w:val="TableText0"/>
              <w:keepNext w:val="0"/>
              <w:keepLines w:val="0"/>
              <w:widowControl w:val="0"/>
            </w:pPr>
            <w:r w:rsidRPr="00CA62D3">
              <w:t>1.6 ± 0.91</w:t>
            </w:r>
          </w:p>
        </w:tc>
        <w:tc>
          <w:tcPr>
            <w:tcW w:w="2240" w:type="dxa"/>
          </w:tcPr>
          <w:p w14:paraId="05E07F20" w14:textId="77777777" w:rsidR="007F4F51" w:rsidRPr="00CA62D3" w:rsidRDefault="007F4F51">
            <w:pPr>
              <w:pStyle w:val="TableText0"/>
              <w:keepNext w:val="0"/>
              <w:keepLines w:val="0"/>
              <w:widowControl w:val="0"/>
            </w:pPr>
            <w:r w:rsidRPr="00CA62D3">
              <w:t>0.0 ± 0.00</w:t>
            </w:r>
          </w:p>
        </w:tc>
        <w:tc>
          <w:tcPr>
            <w:tcW w:w="1538" w:type="dxa"/>
          </w:tcPr>
          <w:p w14:paraId="107993F1" w14:textId="77777777" w:rsidR="007F4F51" w:rsidRPr="00CA62D3" w:rsidRDefault="007F4F51">
            <w:pPr>
              <w:pStyle w:val="TableText0"/>
              <w:keepNext w:val="0"/>
              <w:keepLines w:val="0"/>
              <w:widowControl w:val="0"/>
            </w:pPr>
            <w:r>
              <w:t>0</w:t>
            </w:r>
            <w:r w:rsidRPr="00CA62D3">
              <w:t>.081</w:t>
            </w:r>
          </w:p>
        </w:tc>
      </w:tr>
      <w:tr w:rsidR="007F4F51" w:rsidRPr="00CA62D3" w14:paraId="2C991F98" w14:textId="77777777">
        <w:trPr>
          <w:trHeight w:val="229"/>
        </w:trPr>
        <w:tc>
          <w:tcPr>
            <w:tcW w:w="2996" w:type="dxa"/>
          </w:tcPr>
          <w:p w14:paraId="1B6BD7F5" w14:textId="77777777" w:rsidR="007F4F51" w:rsidRPr="00CA62D3" w:rsidRDefault="007F4F51">
            <w:pPr>
              <w:pStyle w:val="TableText0"/>
              <w:keepNext w:val="0"/>
              <w:keepLines w:val="0"/>
              <w:widowControl w:val="0"/>
            </w:pPr>
            <w:r w:rsidRPr="00CA62D3">
              <w:t xml:space="preserve">Back pain </w:t>
            </w:r>
          </w:p>
        </w:tc>
        <w:tc>
          <w:tcPr>
            <w:tcW w:w="2107" w:type="dxa"/>
          </w:tcPr>
          <w:p w14:paraId="13487FCA" w14:textId="77777777" w:rsidR="007F4F51" w:rsidRPr="00CA62D3" w:rsidRDefault="007F4F51">
            <w:pPr>
              <w:pStyle w:val="TableText0"/>
              <w:keepNext w:val="0"/>
              <w:keepLines w:val="0"/>
              <w:widowControl w:val="0"/>
            </w:pPr>
            <w:r w:rsidRPr="00CA62D3">
              <w:t>1.6 ± 0.92</w:t>
            </w:r>
          </w:p>
        </w:tc>
        <w:tc>
          <w:tcPr>
            <w:tcW w:w="2240" w:type="dxa"/>
          </w:tcPr>
          <w:p w14:paraId="5F5B1B2F" w14:textId="77777777" w:rsidR="007F4F51" w:rsidRPr="00CA62D3" w:rsidRDefault="007F4F51">
            <w:pPr>
              <w:pStyle w:val="TableText0"/>
              <w:keepNext w:val="0"/>
              <w:keepLines w:val="0"/>
              <w:widowControl w:val="0"/>
            </w:pPr>
            <w:r w:rsidRPr="00CA62D3">
              <w:t>0.0 ± 0.00</w:t>
            </w:r>
          </w:p>
        </w:tc>
        <w:tc>
          <w:tcPr>
            <w:tcW w:w="1538" w:type="dxa"/>
          </w:tcPr>
          <w:p w14:paraId="452EB9C2" w14:textId="77777777" w:rsidR="007F4F51" w:rsidRPr="00CA62D3" w:rsidRDefault="007F4F51">
            <w:pPr>
              <w:pStyle w:val="TableText0"/>
              <w:keepNext w:val="0"/>
              <w:keepLines w:val="0"/>
              <w:widowControl w:val="0"/>
            </w:pPr>
            <w:r>
              <w:t>0</w:t>
            </w:r>
            <w:r w:rsidRPr="00CA62D3">
              <w:t>.081</w:t>
            </w:r>
          </w:p>
        </w:tc>
      </w:tr>
    </w:tbl>
    <w:p w14:paraId="095DD513" w14:textId="24AA5E5B" w:rsidR="007F4F51" w:rsidRDefault="007F4F51" w:rsidP="007F4F51">
      <w:pPr>
        <w:pStyle w:val="TableFigureFooter"/>
      </w:pPr>
      <w:r>
        <w:t>Source: Table 2-29, p108 of the submission; Soter et al (2001)</w:t>
      </w:r>
      <w:r>
        <w:fldChar w:fldCharType="begin"/>
      </w:r>
      <w:r>
        <w:instrText xml:space="preserve"> NOTEREF _Ref197962159 \f \h </w:instrText>
      </w:r>
      <w:r>
        <w:fldChar w:fldCharType="separate"/>
      </w:r>
      <w:r w:rsidR="00124226" w:rsidRPr="00124226">
        <w:rPr>
          <w:rStyle w:val="FootnoteReference"/>
        </w:rPr>
        <w:t>20</w:t>
      </w:r>
      <w:r>
        <w:fldChar w:fldCharType="end"/>
      </w:r>
      <w:r>
        <w:t xml:space="preserve"> </w:t>
      </w:r>
    </w:p>
    <w:p w14:paraId="6FC3FEFC" w14:textId="77777777" w:rsidR="007F4F51" w:rsidRPr="00290CFB" w:rsidRDefault="007F4F51" w:rsidP="007F4F51">
      <w:pPr>
        <w:pStyle w:val="TableFigureFooter"/>
      </w:pPr>
      <w:r w:rsidRPr="00290CFB">
        <w:t>TAC = tacrolimus ointment; VO = vehicle ointment</w:t>
      </w:r>
    </w:p>
    <w:p w14:paraId="4D19F585" w14:textId="77777777" w:rsidR="007F4F51" w:rsidRPr="00290CFB" w:rsidRDefault="007F4F51" w:rsidP="007F4F51">
      <w:pPr>
        <w:pStyle w:val="TableFigureFooter"/>
      </w:pPr>
      <w:r w:rsidRPr="00290CFB">
        <w:t>Data expressed as rate ± standard error. Includes events with a statistically greater incidence between 0.1% TAC and the VO group, and events with an incidence of greater than 10% in any treatment group.</w:t>
      </w:r>
    </w:p>
    <w:p w14:paraId="77ECBF69" w14:textId="77777777" w:rsidR="007F4F51" w:rsidRPr="00290CFB" w:rsidRDefault="007F4F51" w:rsidP="007F4F51">
      <w:pPr>
        <w:pStyle w:val="TableFigureFooter"/>
      </w:pPr>
      <w:r w:rsidRPr="00290CFB">
        <w:t>The adverse event incidence rate at 12 weeks was adjusted for the number of days of treatment and was calculated based on Kaplan-</w:t>
      </w:r>
    </w:p>
    <w:p w14:paraId="50782604" w14:textId="77777777" w:rsidR="007F4F51" w:rsidRPr="00290CFB" w:rsidRDefault="007F4F51" w:rsidP="007F4F51">
      <w:pPr>
        <w:pStyle w:val="TableFigureFooter"/>
      </w:pPr>
      <w:r w:rsidRPr="00290CFB">
        <w:t>Meier estimates.</w:t>
      </w:r>
    </w:p>
    <w:p w14:paraId="2C573F7F" w14:textId="77777777" w:rsidR="007F4F51" w:rsidRDefault="007F4F51" w:rsidP="007F4F51">
      <w:pPr>
        <w:pStyle w:val="TableFigureFooter"/>
      </w:pPr>
      <w:r w:rsidRPr="00290CFB">
        <w:t>Alcohol intolerance = skin/facial flushing, redness, heat sensation, etc; flu-like symptoms = cold, common cold, influenza, upper respiratory infection, etc; hyperesthesia = generally localized, hypersensitive reaction, sensitive skin, skin sensitive to temperature changes, etc; skin burning = burning sensation, pain, stinging, soreness, etc; folliculitis = swollen or infected hair follicle</w:t>
      </w:r>
    </w:p>
    <w:p w14:paraId="68E64262" w14:textId="47C23E89" w:rsidR="007F4F51" w:rsidRPr="00B86885" w:rsidRDefault="007F4F51" w:rsidP="007F4F51">
      <w:pPr>
        <w:pStyle w:val="3-BodyText"/>
      </w:pPr>
      <w:r w:rsidRPr="00B86885">
        <w:t>Patients in the 0.1% TAC arm had a significantly higher incidence (p&lt;0.05) of skin burning sensation, flu-like symptoms, headache, skin tingling, acne, alcohol intolerance, hyperesthesia, folliculitis, and cysts than patients in the VO arm. Application site events were usually mild or moderate in severity and reduced in intensity within the first week of treatment, which may reflect resolution of the AD lesions. Sensations of skin burning and other application site AEs were more commonly reported by patients with severe AD or with &gt;75% BSA affected than by patients with moderate AD or with a lower %BSA affected. The incidence of application site AEs on the head and neck was not higher than the incidence for other body regions for both 0.1% TAC and VO</w:t>
      </w:r>
      <w:r w:rsidRPr="00B86885">
        <w:fldChar w:fldCharType="begin"/>
      </w:r>
      <w:r w:rsidRPr="00B86885">
        <w:instrText xml:space="preserve"> NOTEREF _Ref198558571 \f \h </w:instrText>
      </w:r>
      <w:r w:rsidR="00B86885" w:rsidRPr="00B86885">
        <w:instrText xml:space="preserve"> \* MERGEFORMAT </w:instrText>
      </w:r>
      <w:r w:rsidRPr="00B86885">
        <w:fldChar w:fldCharType="separate"/>
      </w:r>
      <w:r w:rsidR="00124226" w:rsidRPr="00124226">
        <w:rPr>
          <w:rStyle w:val="FootnoteReference"/>
        </w:rPr>
        <w:t>5</w:t>
      </w:r>
      <w:r w:rsidRPr="00B86885">
        <w:fldChar w:fldCharType="end"/>
      </w:r>
      <w:r w:rsidRPr="00B86885">
        <w:rPr>
          <w:vertAlign w:val="superscript"/>
        </w:rPr>
        <w:t>,</w:t>
      </w:r>
      <w:r w:rsidRPr="00B86885">
        <w:fldChar w:fldCharType="begin"/>
      </w:r>
      <w:r w:rsidRPr="00B86885">
        <w:instrText xml:space="preserve"> NOTEREF _Ref198556728 \f \h </w:instrText>
      </w:r>
      <w:r w:rsidR="00B86885" w:rsidRPr="00B86885">
        <w:instrText xml:space="preserve"> \* MERGEFORMAT </w:instrText>
      </w:r>
      <w:r w:rsidRPr="00B86885">
        <w:fldChar w:fldCharType="separate"/>
      </w:r>
      <w:r w:rsidR="00124226" w:rsidRPr="00124226">
        <w:rPr>
          <w:rStyle w:val="FootnoteReference"/>
        </w:rPr>
        <w:t>7</w:t>
      </w:r>
      <w:r w:rsidRPr="00B86885">
        <w:fldChar w:fldCharType="end"/>
      </w:r>
      <w:r w:rsidRPr="00B86885">
        <w:t>.</w:t>
      </w:r>
    </w:p>
    <w:p w14:paraId="648D9532" w14:textId="77777777" w:rsidR="007F4F51" w:rsidRPr="00B86885" w:rsidRDefault="007F4F51" w:rsidP="007F4F51">
      <w:pPr>
        <w:pStyle w:val="3-BodyText"/>
      </w:pPr>
      <w:r w:rsidRPr="00B86885">
        <w:t>Skin infections are associated with AD due to disruption of the skin barrier. There was a higher incidence in the 0.1% TAC arm versus the VO arm of folliculitis (4.3% vs 0.5%), herpes simplex infection (3.3% vs 1.9%) and molluscum contagiosum (0.5% vs 0%). The PI for 0.1% TAC</w:t>
      </w:r>
      <w:bookmarkStart w:id="79" w:name="_Ref198559516"/>
      <w:r w:rsidRPr="00B86885">
        <w:rPr>
          <w:rStyle w:val="FootnoteReference"/>
        </w:rPr>
        <w:footnoteReference w:id="22"/>
      </w:r>
      <w:bookmarkEnd w:id="79"/>
      <w:r w:rsidRPr="00B86885">
        <w:t xml:space="preserve"> states that treatment with 0.1% TAC may be associated with an increased risk of folliculitis and herpes viral infections and that in the presence of these infections, the balance of risks and benefits associated with 0.1% TAC use should be evaluated.</w:t>
      </w:r>
    </w:p>
    <w:p w14:paraId="26A19913" w14:textId="77777777" w:rsidR="007F4F51" w:rsidRPr="00B86885" w:rsidRDefault="007F4F51" w:rsidP="007F4F51">
      <w:pPr>
        <w:pStyle w:val="3-BodyText"/>
      </w:pPr>
      <w:r w:rsidRPr="00B86885">
        <w:t xml:space="preserve">Skin atrophy was not observed and there were no serious treatment-related AEs attributed to 0.1% TAC during the 12-week treatment period. </w:t>
      </w:r>
      <w:bookmarkStart w:id="80" w:name="_Hlk197686145"/>
      <w:r w:rsidRPr="00B86885">
        <w:t>There were no consistent or notable differences in laboratory profiles. The tacrolimus concentrations observed in the blood were consistent with minimal absorption of 0.1% TAC through affected skin.</w:t>
      </w:r>
    </w:p>
    <w:p w14:paraId="207A35B0" w14:textId="2FBF07E8" w:rsidR="007F4F51" w:rsidRPr="00B86885" w:rsidRDefault="007F4F51" w:rsidP="007F4F51">
      <w:pPr>
        <w:pStyle w:val="3-BodyText"/>
      </w:pPr>
      <w:r w:rsidRPr="00B86885">
        <w:t>In the 3-week RCT reported by Ruzicka et al (1997)</w:t>
      </w:r>
      <w:r w:rsidRPr="00B86885">
        <w:fldChar w:fldCharType="begin"/>
      </w:r>
      <w:r w:rsidRPr="00B86885">
        <w:instrText xml:space="preserve"> NOTEREF _Ref198639679 \f \h </w:instrText>
      </w:r>
      <w:r w:rsidR="00B86885" w:rsidRPr="00B86885">
        <w:instrText xml:space="preserve"> \* MERGEFORMAT </w:instrText>
      </w:r>
      <w:r w:rsidRPr="00B86885">
        <w:fldChar w:fldCharType="separate"/>
      </w:r>
      <w:r w:rsidR="00124226">
        <w:rPr>
          <w:b/>
          <w:bCs/>
          <w:lang w:val="en-GB"/>
        </w:rPr>
        <w:t>Error! Bookmark not defined.</w:t>
      </w:r>
      <w:r w:rsidRPr="00B86885">
        <w:fldChar w:fldCharType="end"/>
      </w:r>
      <w:r w:rsidRPr="00B86885">
        <w:t>, the most frequent reason for discontinuation of 0.1% TAC treatment was a burning sensation at the application site (3 patients). Exacerbation of AD was the most frequent reason for discontinuation of VO (3 patients).</w:t>
      </w:r>
    </w:p>
    <w:p w14:paraId="0B6A54DE" w14:textId="6C595991" w:rsidR="007F4F51" w:rsidRPr="00B86885" w:rsidRDefault="007F4F51" w:rsidP="007F4F51">
      <w:pPr>
        <w:pStyle w:val="3-BodyText"/>
      </w:pPr>
      <w:r w:rsidRPr="00B86885">
        <w:t>AEs observed by Hanifen et al (2005)</w:t>
      </w:r>
      <w:r w:rsidRPr="00B86885">
        <w:rPr>
          <w:rStyle w:val="FootnoteReference"/>
        </w:rPr>
        <w:footnoteReference w:id="23"/>
      </w:r>
      <w:r w:rsidRPr="00B86885">
        <w:t xml:space="preserve"> and Reitamo et al (2008)</w:t>
      </w:r>
      <w:r w:rsidRPr="00B86885">
        <w:rPr>
          <w:rStyle w:val="FootnoteReference"/>
        </w:rPr>
        <w:footnoteReference w:id="24"/>
      </w:r>
      <w:r w:rsidRPr="00B86885">
        <w:t xml:space="preserve"> during long-term follow-up of 0.1% TAC treatment of up to 4 years were comparable with that reported in short-term studies of 0.1% TAC</w:t>
      </w:r>
      <w:bookmarkEnd w:id="80"/>
      <w:r w:rsidRPr="00B86885">
        <w:t>; no new safety signals were identified.</w:t>
      </w:r>
    </w:p>
    <w:p w14:paraId="56E19950" w14:textId="3D8FABED" w:rsidR="007F4F51" w:rsidRPr="00B86885" w:rsidRDefault="007F4F51" w:rsidP="007F4F51">
      <w:pPr>
        <w:pStyle w:val="3-BodyText"/>
      </w:pPr>
      <w:r w:rsidRPr="00B86885">
        <w:t>Overall, there was no significant differences in safety between the 0.1% TAC and 1% PIM groups (p=0.19) reported by Abramovits et al (2008)</w:t>
      </w:r>
      <w:r w:rsidRPr="00B86885">
        <w:fldChar w:fldCharType="begin"/>
      </w:r>
      <w:r w:rsidRPr="00B86885">
        <w:instrText xml:space="preserve"> NOTEREF _Ref198639056 \f \h </w:instrText>
      </w:r>
      <w:r w:rsidR="00B86885" w:rsidRPr="00B86885">
        <w:instrText xml:space="preserve"> \* MERGEFORMAT </w:instrText>
      </w:r>
      <w:r w:rsidRPr="00B86885">
        <w:fldChar w:fldCharType="separate"/>
      </w:r>
      <w:r w:rsidR="00124226" w:rsidRPr="00124226">
        <w:rPr>
          <w:rStyle w:val="FootnoteReference"/>
        </w:rPr>
        <w:t>13</w:t>
      </w:r>
      <w:r w:rsidRPr="00B86885">
        <w:fldChar w:fldCharType="end"/>
      </w:r>
      <w:r w:rsidRPr="00B86885">
        <w:t xml:space="preserve"> over the 6-week treatment period, although there was a trend towards a higher frequency of the most common AEs in the 0.1% TAC group vs the 1% PIM group. The most common AEs for 0.1% TAC vs 1% PIM were application-site reactions, burning sensation (19.4% vs 13.3%; P=0.33) and pruritis (9.2% vs 5.6%; P=0.41). Study withdrawals due to AEs were comparable (2.0% vs 2.2%).</w:t>
      </w:r>
    </w:p>
    <w:p w14:paraId="27C367EF" w14:textId="2A07AAAB" w:rsidR="007F4F51" w:rsidRPr="00B86885" w:rsidRDefault="007F4F51" w:rsidP="007F4F51">
      <w:pPr>
        <w:pStyle w:val="3-BodyText"/>
      </w:pPr>
      <w:r w:rsidRPr="00B86885">
        <w:t>In transplant patients, prolonged systemic exposure to intense immunosuppression following systemic administration of tacrolimus has been associated with an increased risk of developing lymphomas and skin malignancies. Patients with AD treated with 0.1% TAC did not have significant levels of systemic TAC</w:t>
      </w:r>
      <w:r w:rsidRPr="00B86885">
        <w:fldChar w:fldCharType="begin"/>
      </w:r>
      <w:r w:rsidRPr="00B86885">
        <w:instrText xml:space="preserve"> NOTEREF _Ref198547061 \f \h </w:instrText>
      </w:r>
      <w:r w:rsidR="00B86885" w:rsidRPr="00B86885">
        <w:instrText xml:space="preserve"> \* MERGEFORMAT </w:instrText>
      </w:r>
      <w:r w:rsidRPr="00B86885">
        <w:fldChar w:fldCharType="separate"/>
      </w:r>
      <w:r w:rsidR="00124226" w:rsidRPr="00124226">
        <w:rPr>
          <w:rStyle w:val="FootnoteReference"/>
        </w:rPr>
        <w:t>20</w:t>
      </w:r>
      <w:r w:rsidRPr="00B86885">
        <w:fldChar w:fldCharType="end"/>
      </w:r>
      <w:r w:rsidRPr="00B86885">
        <w:t>. The 0.1% TAC PI states that based on long-term studies and post market surveillance, a link between 0.1% TAC treatment and development of cancers has not been confirmed</w:t>
      </w:r>
      <w:r w:rsidRPr="00B86885">
        <w:fldChar w:fldCharType="begin"/>
      </w:r>
      <w:r w:rsidRPr="00B86885">
        <w:instrText xml:space="preserve"> NOTEREF _Ref198559516 \f \h </w:instrText>
      </w:r>
      <w:r w:rsidR="00B86885" w:rsidRPr="00B86885">
        <w:instrText xml:space="preserve"> \* MERGEFORMAT </w:instrText>
      </w:r>
      <w:r w:rsidRPr="00B86885">
        <w:fldChar w:fldCharType="separate"/>
      </w:r>
      <w:r w:rsidR="00124226" w:rsidRPr="00124226">
        <w:rPr>
          <w:rStyle w:val="FootnoteReference"/>
        </w:rPr>
        <w:t>21</w:t>
      </w:r>
      <w:r w:rsidRPr="00B86885">
        <w:fldChar w:fldCharType="end"/>
      </w:r>
      <w:r w:rsidRPr="00B86885">
        <w:t>. However, no definitive conclusions have been reached. The PI recommends that 0.1% TAC is used at the lowest frequency for the shortest duration necessary based on the physician's evaluation of the AD.</w:t>
      </w:r>
    </w:p>
    <w:p w14:paraId="0E76F573" w14:textId="77777777" w:rsidR="007F4F51" w:rsidRDefault="007F4F51" w:rsidP="007F4F51">
      <w:pPr>
        <w:pStyle w:val="4-SubsectionHeading"/>
      </w:pPr>
      <w:bookmarkStart w:id="81" w:name="_Toc22897643"/>
      <w:bookmarkStart w:id="82" w:name="_Toc187925089"/>
      <w:bookmarkStart w:id="83" w:name="_Toc197979895"/>
      <w:bookmarkStart w:id="84" w:name="_Toc198710822"/>
      <w:r w:rsidRPr="00D86D87">
        <w:t>Benefits/harms</w:t>
      </w:r>
      <w:bookmarkEnd w:id="81"/>
      <w:bookmarkEnd w:id="82"/>
      <w:bookmarkEnd w:id="83"/>
      <w:bookmarkEnd w:id="84"/>
    </w:p>
    <w:p w14:paraId="04B2E40B" w14:textId="77777777" w:rsidR="007F4F51" w:rsidRDefault="007F4F51" w:rsidP="007F4F51">
      <w:pPr>
        <w:pStyle w:val="5-SubsectionSubheading"/>
      </w:pPr>
      <w:bookmarkStart w:id="85" w:name="_Hlk197963355"/>
      <w:r>
        <w:t xml:space="preserve">Treatment of moderate to severe AD </w:t>
      </w:r>
      <w:r w:rsidRPr="00ED41D6">
        <w:t xml:space="preserve">flares with 0.1% TAC vs </w:t>
      </w:r>
      <w:r>
        <w:t>VO</w:t>
      </w:r>
    </w:p>
    <w:p w14:paraId="5DE3345D" w14:textId="77777777" w:rsidR="007F4F51" w:rsidRPr="00721B98" w:rsidRDefault="007F4F51" w:rsidP="007F4F51">
      <w:pPr>
        <w:pStyle w:val="3-BodyText"/>
      </w:pPr>
      <w:r w:rsidRPr="00721B98">
        <w:t xml:space="preserve">On the basis of </w:t>
      </w:r>
      <w:r w:rsidRPr="00544FC3">
        <w:t>direct comparative</w:t>
      </w:r>
      <w:r w:rsidRPr="00721B98">
        <w:t xml:space="preserve"> evidence </w:t>
      </w:r>
      <w:r w:rsidRPr="00544FC3">
        <w:t xml:space="preserve">for efficacy in adults with moderate to severe AD </w:t>
      </w:r>
      <w:r w:rsidRPr="00721B98">
        <w:t>presented by the submission:</w:t>
      </w:r>
    </w:p>
    <w:p w14:paraId="705CC0BA" w14:textId="6A4583FB" w:rsidR="007F4F51" w:rsidRDefault="007F4F51" w:rsidP="00C0701D">
      <w:pPr>
        <w:pStyle w:val="3-BodyText"/>
        <w:numPr>
          <w:ilvl w:val="0"/>
          <w:numId w:val="11"/>
        </w:numPr>
        <w:ind w:left="1080"/>
      </w:pPr>
      <w:r>
        <w:t>There was an 8</w:t>
      </w:r>
      <w:r w:rsidR="002155E8">
        <w:t>3</w:t>
      </w:r>
      <w:r>
        <w:t>% reduction in s</w:t>
      </w:r>
      <w:r w:rsidRPr="00544FC3">
        <w:t xml:space="preserve">ymptoms of redness, swelling and itching after 3 weeks of treatment </w:t>
      </w:r>
      <w:r>
        <w:t>with 0.1% TAC i</w:t>
      </w:r>
      <w:r w:rsidRPr="00544FC3">
        <w:t xml:space="preserve">n comparison </w:t>
      </w:r>
      <w:r>
        <w:t>with</w:t>
      </w:r>
      <w:r w:rsidRPr="00544FC3">
        <w:t xml:space="preserve"> </w:t>
      </w:r>
      <w:r w:rsidR="002155E8">
        <w:t>approxi</w:t>
      </w:r>
      <w:r w:rsidR="00D309D6">
        <w:t>mately a</w:t>
      </w:r>
      <w:r>
        <w:t xml:space="preserve"> </w:t>
      </w:r>
      <w:r w:rsidRPr="00544FC3">
        <w:t>25%</w:t>
      </w:r>
      <w:r>
        <w:t xml:space="preserve"> reduction in these symptoms when</w:t>
      </w:r>
      <w:r w:rsidRPr="00544FC3">
        <w:t xml:space="preserve"> using VO</w:t>
      </w:r>
      <w:r w:rsidR="00843769">
        <w:t>.</w:t>
      </w:r>
      <w:r w:rsidRPr="00544FC3">
        <w:t xml:space="preserve"> TAC </w:t>
      </w:r>
      <w:r w:rsidR="00313AFE">
        <w:t>0.1% ointment</w:t>
      </w:r>
      <w:r w:rsidRPr="00544FC3">
        <w:t xml:space="preserve"> is equally effective on the body and more sensitive areas such as the face and neck.</w:t>
      </w:r>
    </w:p>
    <w:p w14:paraId="315AA3D2" w14:textId="56EAF1FD" w:rsidR="007F4F51" w:rsidRDefault="007F4F51" w:rsidP="00C0701D">
      <w:pPr>
        <w:pStyle w:val="3-BodyText"/>
        <w:numPr>
          <w:ilvl w:val="0"/>
          <w:numId w:val="11"/>
        </w:numPr>
        <w:ind w:left="1080"/>
      </w:pPr>
      <w:r>
        <w:t>For every 100 patients with moderate to severe AD treated with 0.1% TAC in comparison to emollient (VO) for three weeks, 7</w:t>
      </w:r>
      <w:r w:rsidR="008E6A11">
        <w:t>1</w:t>
      </w:r>
      <w:r>
        <w:t xml:space="preserve"> additional patients will have their AD resolved or markedly improved. </w:t>
      </w:r>
    </w:p>
    <w:p w14:paraId="7D4B79B0" w14:textId="77777777" w:rsidR="007F4F51" w:rsidRDefault="007F4F51" w:rsidP="00C0701D">
      <w:pPr>
        <w:pStyle w:val="3-BodyText"/>
        <w:numPr>
          <w:ilvl w:val="0"/>
          <w:numId w:val="11"/>
        </w:numPr>
        <w:ind w:left="1080"/>
      </w:pPr>
      <w:r w:rsidRPr="00907525">
        <w:t xml:space="preserve">For every 100 patients with moderate to severe AD treated with 0.1% TAC in comparison to its emollient (VO) for </w:t>
      </w:r>
      <w:r>
        <w:t xml:space="preserve">12 </w:t>
      </w:r>
      <w:r w:rsidRPr="00907525">
        <w:t>weeks</w:t>
      </w:r>
      <w:r>
        <w:t>, 53 additional patients would have a moderate or greater improvement in their AD.</w:t>
      </w:r>
    </w:p>
    <w:p w14:paraId="5388634D" w14:textId="77777777" w:rsidR="007F4F51" w:rsidRDefault="007F4F51" w:rsidP="00C0701D">
      <w:pPr>
        <w:pStyle w:val="3-BodyText"/>
        <w:numPr>
          <w:ilvl w:val="0"/>
          <w:numId w:val="11"/>
        </w:numPr>
        <w:ind w:left="1080"/>
      </w:pPr>
      <w:r>
        <w:t xml:space="preserve">For every 100 patients treated with 0.1% TAC in comparison with emollient (VO) over 12 weeks, </w:t>
      </w:r>
    </w:p>
    <w:p w14:paraId="32565F4F" w14:textId="77777777" w:rsidR="007F4F51" w:rsidRDefault="007F4F51" w:rsidP="00C0701D">
      <w:pPr>
        <w:pStyle w:val="3-BodyText"/>
        <w:numPr>
          <w:ilvl w:val="1"/>
          <w:numId w:val="11"/>
        </w:numPr>
        <w:ind w:left="1440"/>
      </w:pPr>
      <w:r>
        <w:t xml:space="preserve">43 less patients would discontinue treatment due to lack of efficacy. </w:t>
      </w:r>
    </w:p>
    <w:p w14:paraId="3693277A" w14:textId="77777777" w:rsidR="007F4F51" w:rsidRDefault="007F4F51" w:rsidP="00C0701D">
      <w:pPr>
        <w:pStyle w:val="3-BodyText"/>
        <w:numPr>
          <w:ilvl w:val="1"/>
          <w:numId w:val="11"/>
        </w:numPr>
        <w:ind w:left="1440"/>
      </w:pPr>
      <w:r>
        <w:t xml:space="preserve">32 additional patients would experience a burning sensation at the application site for the first few days of treatment. </w:t>
      </w:r>
    </w:p>
    <w:p w14:paraId="465E3BA0" w14:textId="77777777" w:rsidR="007F4F51" w:rsidRDefault="007F4F51" w:rsidP="007F4F51">
      <w:pPr>
        <w:pStyle w:val="5-SubsectionSubheading"/>
      </w:pPr>
      <w:r>
        <w:t xml:space="preserve">Proactive maintenance treatment for moderate to severe AD </w:t>
      </w:r>
      <w:r w:rsidRPr="00ED41D6">
        <w:t>with 0.1% TAC vs VO</w:t>
      </w:r>
    </w:p>
    <w:p w14:paraId="28224DD5" w14:textId="77777777" w:rsidR="007F4F51" w:rsidRDefault="007F4F51" w:rsidP="007F4F51">
      <w:pPr>
        <w:pStyle w:val="3-BodyText"/>
      </w:pPr>
      <w:r w:rsidRPr="00721B98">
        <w:t xml:space="preserve">On the basis of </w:t>
      </w:r>
      <w:r w:rsidRPr="00544FC3">
        <w:t>direct comparative</w:t>
      </w:r>
      <w:r w:rsidRPr="00721B98">
        <w:t xml:space="preserve"> evidence </w:t>
      </w:r>
      <w:r w:rsidRPr="00544FC3">
        <w:t xml:space="preserve">for efficacy in adults with moderate to severe AD </w:t>
      </w:r>
      <w:r w:rsidRPr="00721B98">
        <w:t>presented by the submission</w:t>
      </w:r>
      <w:r>
        <w:t>, f</w:t>
      </w:r>
      <w:r w:rsidRPr="002B12BF">
        <w:t>or every 100 patients with moderate to severe AD using proactive 0.1% TAC maintenance treatment in comparison with emollient (VO) over 12 months</w:t>
      </w:r>
      <w:r>
        <w:t>:</w:t>
      </w:r>
      <w:r w:rsidRPr="002B12BF">
        <w:t xml:space="preserve"> </w:t>
      </w:r>
    </w:p>
    <w:p w14:paraId="47109CA6" w14:textId="77777777" w:rsidR="007F4F51" w:rsidRDefault="007F4F51" w:rsidP="00C0701D">
      <w:pPr>
        <w:pStyle w:val="3-BodyText"/>
        <w:numPr>
          <w:ilvl w:val="1"/>
          <w:numId w:val="13"/>
        </w:numPr>
        <w:ind w:left="1080"/>
      </w:pPr>
      <w:r w:rsidRPr="002B12BF">
        <w:t>30 addi</w:t>
      </w:r>
      <w:r>
        <w:t xml:space="preserve">tional patients would likely not experience any AD flares; </w:t>
      </w:r>
    </w:p>
    <w:p w14:paraId="635675F4" w14:textId="77777777" w:rsidR="007F4F51" w:rsidRDefault="007F4F51" w:rsidP="00C0701D">
      <w:pPr>
        <w:pStyle w:val="3-BodyText"/>
        <w:numPr>
          <w:ilvl w:val="1"/>
          <w:numId w:val="13"/>
        </w:numPr>
        <w:ind w:left="1080"/>
      </w:pPr>
      <w:r>
        <w:t xml:space="preserve">the time to first major flare will increase from approximately 2 weeks to approximately 20 weeks. </w:t>
      </w:r>
    </w:p>
    <w:p w14:paraId="06F7EFD4" w14:textId="77777777" w:rsidR="007F4F51" w:rsidRDefault="007F4F51" w:rsidP="007F4F51">
      <w:pPr>
        <w:pStyle w:val="5-SubsectionSubheading"/>
      </w:pPr>
      <w:r>
        <w:t>Treatment of moderate AD flares with 0.1% TAC vs 1% PIM</w:t>
      </w:r>
    </w:p>
    <w:p w14:paraId="70B857DA" w14:textId="77777777" w:rsidR="007F4F51" w:rsidRDefault="007F4F51" w:rsidP="007F4F51">
      <w:pPr>
        <w:pStyle w:val="3-BodyText"/>
        <w:rPr>
          <w:lang w:eastAsia="en-US"/>
        </w:rPr>
      </w:pPr>
      <w:r w:rsidRPr="00721B98">
        <w:t xml:space="preserve">On the basis of </w:t>
      </w:r>
      <w:r w:rsidRPr="00544FC3">
        <w:t>direct comparative</w:t>
      </w:r>
      <w:r w:rsidRPr="00721B98">
        <w:t xml:space="preserve"> evidence </w:t>
      </w:r>
      <w:r w:rsidRPr="00544FC3">
        <w:t xml:space="preserve">for efficacy in adults with moderate AD </w:t>
      </w:r>
      <w:r>
        <w:t xml:space="preserve">on the face and neck </w:t>
      </w:r>
      <w:r w:rsidRPr="00721B98">
        <w:t>presented by the submission</w:t>
      </w:r>
      <w:r>
        <w:t>:</w:t>
      </w:r>
    </w:p>
    <w:p w14:paraId="6B0F3D1B" w14:textId="77777777" w:rsidR="007F4F51" w:rsidRPr="009C7FC0" w:rsidRDefault="007F4F51" w:rsidP="00C0701D">
      <w:pPr>
        <w:pStyle w:val="3-BodyText"/>
        <w:numPr>
          <w:ilvl w:val="0"/>
          <w:numId w:val="11"/>
        </w:numPr>
        <w:ind w:left="1080"/>
        <w:rPr>
          <w:lang w:eastAsia="en-US"/>
        </w:rPr>
      </w:pPr>
      <w:r>
        <w:t>Adults will experience a 75% reduction in their symptoms when treated for up to 6 weeks with 0.1% TAC compared to a 54% reduction in symptoms when treated with 1% PIM.</w:t>
      </w:r>
      <w:bookmarkEnd w:id="85"/>
    </w:p>
    <w:p w14:paraId="42A818D7" w14:textId="77777777" w:rsidR="007F4F51" w:rsidRPr="00D86D87" w:rsidRDefault="007F4F51" w:rsidP="007F4F51">
      <w:pPr>
        <w:pStyle w:val="4-SubsectionHeading"/>
      </w:pPr>
      <w:bookmarkStart w:id="86" w:name="_Toc22897644"/>
      <w:bookmarkStart w:id="87" w:name="_Toc187925090"/>
      <w:bookmarkStart w:id="88" w:name="_Toc197979896"/>
      <w:bookmarkStart w:id="89" w:name="_Toc198710823"/>
      <w:r w:rsidRPr="00D86D87">
        <w:t>Clinical claim</w:t>
      </w:r>
      <w:bookmarkEnd w:id="86"/>
      <w:bookmarkEnd w:id="87"/>
      <w:bookmarkEnd w:id="88"/>
      <w:bookmarkEnd w:id="89"/>
    </w:p>
    <w:p w14:paraId="45CDB677" w14:textId="03C0C6D6" w:rsidR="007F4F51" w:rsidRPr="00D45741" w:rsidRDefault="007F4F51" w:rsidP="007F4F51">
      <w:pPr>
        <w:pStyle w:val="3-BodyText"/>
      </w:pPr>
      <w:r w:rsidRPr="00D45741">
        <w:t>The submission presented two clinical claims</w:t>
      </w:r>
      <w:r>
        <w:t>:</w:t>
      </w:r>
    </w:p>
    <w:p w14:paraId="7FDDBC35" w14:textId="77777777" w:rsidR="007F4F51" w:rsidRPr="00D45741" w:rsidRDefault="007F4F51" w:rsidP="00C0701D">
      <w:pPr>
        <w:pStyle w:val="3-BodyText"/>
        <w:numPr>
          <w:ilvl w:val="1"/>
          <w:numId w:val="14"/>
        </w:numPr>
        <w:ind w:left="1080"/>
      </w:pPr>
      <w:r w:rsidRPr="00D45741">
        <w:t>The submission described 0.1% TAC ointment as superior in terms of efficacy and non-inferior in terms of safety compared with VO in the treatment of patients with moderate to severe AD affecting any part of the body.</w:t>
      </w:r>
    </w:p>
    <w:p w14:paraId="788A3A4E" w14:textId="77777777" w:rsidR="007F4F51" w:rsidRPr="00D45741" w:rsidRDefault="007F4F51" w:rsidP="00C0701D">
      <w:pPr>
        <w:pStyle w:val="3-BodyText"/>
        <w:numPr>
          <w:ilvl w:val="1"/>
          <w:numId w:val="14"/>
        </w:numPr>
        <w:ind w:left="1080"/>
      </w:pPr>
      <w:r w:rsidRPr="00D45741">
        <w:t>The submission described 0.1% TAC ointment as superior in terms of efficacy and non-inferior in terms of safety compared with 1% PIM in the treatment of patients with moderate AD on the face and eyelids.</w:t>
      </w:r>
    </w:p>
    <w:p w14:paraId="69EBC8AE" w14:textId="0589BDD1" w:rsidR="007F4F51" w:rsidRPr="00BF0496" w:rsidRDefault="007F4F51" w:rsidP="007F4F51">
      <w:pPr>
        <w:pStyle w:val="3-BodyText"/>
      </w:pPr>
      <w:r w:rsidRPr="00BF0496">
        <w:t xml:space="preserve">Based on the evidence provided in the submission, </w:t>
      </w:r>
      <w:r w:rsidR="00AA49BE" w:rsidRPr="00BF0496">
        <w:t xml:space="preserve">the ESC considered that </w:t>
      </w:r>
      <w:r w:rsidRPr="00BF0496">
        <w:t xml:space="preserve">0.1% TAC demonstrated superior efficacy and non-inferior safety versus VO for the treatment of flares, and as maintenance treatment in adults ≥16 years with moderate to severe AD. </w:t>
      </w:r>
      <w:r w:rsidR="00F07081" w:rsidRPr="00BF0496">
        <w:t xml:space="preserve">Thus, </w:t>
      </w:r>
      <w:r w:rsidR="00612B60" w:rsidRPr="00BF0496">
        <w:t>in</w:t>
      </w:r>
      <w:r w:rsidR="00F07081" w:rsidRPr="00BF0496">
        <w:t xml:space="preserve"> patients who were contraindicated to TCS</w:t>
      </w:r>
      <w:r w:rsidR="00612B60" w:rsidRPr="00BF0496">
        <w:t xml:space="preserve">, the ESC considered that 0.1% TAC was superior to VO. </w:t>
      </w:r>
      <w:r w:rsidRPr="00BF0496">
        <w:t xml:space="preserve">However, </w:t>
      </w:r>
      <w:r w:rsidR="00A86C38" w:rsidRPr="00BF0496">
        <w:t>as</w:t>
      </w:r>
      <w:r w:rsidR="00AA49BE" w:rsidRPr="00BF0496">
        <w:t xml:space="preserve"> </w:t>
      </w:r>
      <w:r w:rsidRPr="00BF0496">
        <w:t>the trial populations were not completely aligned with the proposed PBS population</w:t>
      </w:r>
      <w:r w:rsidR="00A86C38" w:rsidRPr="00BF0496">
        <w:t xml:space="preserve">, </w:t>
      </w:r>
      <w:r w:rsidR="0080205B" w:rsidRPr="00BF0496">
        <w:t xml:space="preserve">the ESC considered that </w:t>
      </w:r>
      <w:r w:rsidR="00D64806" w:rsidRPr="00BF0496">
        <w:t xml:space="preserve">the benefit in patients </w:t>
      </w:r>
      <w:r w:rsidRPr="00BF0496">
        <w:t xml:space="preserve">had failed to achieve satisfactory disease control with intermittent (moderate or potent) TCS </w:t>
      </w:r>
      <w:r w:rsidR="00912DCC" w:rsidRPr="00BF0496">
        <w:t>therapy</w:t>
      </w:r>
      <w:r w:rsidR="00D64806" w:rsidRPr="00BF0496">
        <w:t xml:space="preserve"> was uncertain. </w:t>
      </w:r>
    </w:p>
    <w:p w14:paraId="157EAF47" w14:textId="3188CFAB" w:rsidR="007F4F51" w:rsidRPr="00BF0496" w:rsidRDefault="00612B60" w:rsidP="007F4F51">
      <w:pPr>
        <w:pStyle w:val="3-BodyText"/>
      </w:pPr>
      <w:r w:rsidRPr="00BF0496">
        <w:t xml:space="preserve">The ESC considered that </w:t>
      </w:r>
      <w:r w:rsidR="009D7087" w:rsidRPr="00BF0496">
        <w:t xml:space="preserve">TAC </w:t>
      </w:r>
      <w:r w:rsidR="007F4F51" w:rsidRPr="00BF0496">
        <w:t xml:space="preserve">0.1% </w:t>
      </w:r>
      <w:r w:rsidR="009D7087" w:rsidRPr="00BF0496">
        <w:t>ointment</w:t>
      </w:r>
      <w:r w:rsidR="007F4F51" w:rsidRPr="00BF0496">
        <w:t xml:space="preserve"> demonstrated superior efficacy and non-inferior safety compared to 1% PIM for the treatment of flares in patients with moderate AD affecting the face and neck. </w:t>
      </w:r>
      <w:r w:rsidR="009562AF" w:rsidRPr="00BF0496">
        <w:t>Although no direct evidence was presented in the submission</w:t>
      </w:r>
      <w:r w:rsidR="00623349" w:rsidRPr="00BF0496">
        <w:t xml:space="preserve">, the ESC considered that the clinical </w:t>
      </w:r>
      <w:r w:rsidR="009E10A0" w:rsidRPr="00BF0496">
        <w:t xml:space="preserve">claims would also </w:t>
      </w:r>
      <w:r w:rsidR="008B4FB4" w:rsidRPr="00BF0496">
        <w:t>apply to moderate AD</w:t>
      </w:r>
      <w:r w:rsidR="009562AF" w:rsidRPr="00BF0496">
        <w:t xml:space="preserve"> </w:t>
      </w:r>
      <w:r w:rsidR="007F4F51" w:rsidRPr="00BF0496">
        <w:t xml:space="preserve">affecting the face and eyelids. </w:t>
      </w:r>
    </w:p>
    <w:p w14:paraId="6439F2D0" w14:textId="42DE9CCF" w:rsidR="007F4F51" w:rsidRPr="00BF0496" w:rsidRDefault="00CA27D7" w:rsidP="007F4F51">
      <w:pPr>
        <w:pStyle w:val="3-BodyText"/>
      </w:pPr>
      <w:bookmarkStart w:id="90" w:name="_Ref203563880"/>
      <w:r w:rsidRPr="00BF0496">
        <w:t>The ESC noted that there were a</w:t>
      </w:r>
      <w:r w:rsidR="003838D7" w:rsidRPr="00BF0496">
        <w:t>dditional issues with the evidence presented in the submission includ</w:t>
      </w:r>
      <w:r w:rsidRPr="00BF0496">
        <w:t>ing</w:t>
      </w:r>
      <w:r w:rsidR="007F4F51" w:rsidRPr="00BF0496">
        <w:t>:</w:t>
      </w:r>
      <w:bookmarkEnd w:id="90"/>
    </w:p>
    <w:p w14:paraId="1E24F3D3" w14:textId="2025E0C4" w:rsidR="007F4F51" w:rsidRPr="00B86885" w:rsidRDefault="007F4F51" w:rsidP="00C0701D">
      <w:pPr>
        <w:pStyle w:val="3-BodyText"/>
        <w:numPr>
          <w:ilvl w:val="0"/>
          <w:numId w:val="12"/>
        </w:numPr>
        <w:ind w:left="1080"/>
      </w:pPr>
      <w:r w:rsidRPr="00BF0496">
        <w:t>The efficacy and safety evidence</w:t>
      </w:r>
      <w:r w:rsidRPr="00B86885">
        <w:t xml:space="preserve"> were sourced from publications of pooled or combined data from several trials with limited information on the conduct of the individual studies, on the presence of selection bias in the subgroup populations and the reporting of outcomes across the studies. Concerns were raised regarding heterogeneity across the studies included in the publications, and across publications, including differences in the study population demographics and disease characteristics, measures used to assess treatment response, the clinical outcomes presented and their measurement, and the period of treatment or follow-up. This hampered an assessment of the quality of the evidence base as a whole. </w:t>
      </w:r>
    </w:p>
    <w:p w14:paraId="0AAAAC77" w14:textId="77777777" w:rsidR="007F4F51" w:rsidRPr="00B86885" w:rsidRDefault="007F4F51" w:rsidP="00C0701D">
      <w:pPr>
        <w:pStyle w:val="3-BodyText"/>
        <w:numPr>
          <w:ilvl w:val="0"/>
          <w:numId w:val="12"/>
        </w:numPr>
        <w:ind w:left="1080"/>
      </w:pPr>
      <w:r w:rsidRPr="00B86885">
        <w:t xml:space="preserve">Several of the subgroup analyses were conducted in a </w:t>
      </w:r>
      <w:r w:rsidRPr="000B7472">
        <w:rPr>
          <w:i/>
          <w:iCs/>
        </w:rPr>
        <w:t>post hoc</w:t>
      </w:r>
      <w:r w:rsidRPr="00B86885">
        <w:t xml:space="preserve"> manner and were not part of the original statistical analysis plan of the relevant trials. Furthermore, the majority of the TAC versus VO trials were conducted more than a decade ago, with some trials conducted more than two decades ago. The standard of care is likely to have improved substantially, e.g. the minimal use of irritants in emollients in current practice.</w:t>
      </w:r>
    </w:p>
    <w:p w14:paraId="50A6F74B" w14:textId="5E39C750" w:rsidR="007F4F51" w:rsidRPr="00B86885" w:rsidRDefault="007F4F51" w:rsidP="00C0701D">
      <w:pPr>
        <w:pStyle w:val="3-BodyText"/>
        <w:numPr>
          <w:ilvl w:val="0"/>
          <w:numId w:val="12"/>
        </w:numPr>
        <w:ind w:left="1080"/>
      </w:pPr>
      <w:r w:rsidRPr="00B86885">
        <w:t xml:space="preserve">The sources of the evidence in the submission did not use clinical measures recommended for the assessment of AD severity and symptoms included in the consensus statement from the ACD (e.g. SCORing Atopic Dermatitis [SCORAD], Patient Oriented Eczema Measure [POEM]). There was limited or no discussion about the disease characteristics of those adults who did not respond adequately to 0.1% TAC. Further, none of the populations enrolled in the included studies were fully aligned with the proposed PBS population in terms of prior response/intolerance to TCS treatment. </w:t>
      </w:r>
    </w:p>
    <w:p w14:paraId="3069DC94" w14:textId="77777777" w:rsidR="007F4F51" w:rsidRDefault="007F4F51" w:rsidP="00C0701D">
      <w:pPr>
        <w:pStyle w:val="3-BodyText"/>
        <w:numPr>
          <w:ilvl w:val="0"/>
          <w:numId w:val="12"/>
        </w:numPr>
        <w:ind w:left="1080"/>
      </w:pPr>
      <w:r w:rsidRPr="00B86885">
        <w:t>There may be other relevant comparators such as TCS and systemic therapies but the extent of substitution by 0.1% TAC remains uncertain.</w:t>
      </w:r>
    </w:p>
    <w:p w14:paraId="3FD624BE" w14:textId="772FA064" w:rsidR="00E053AA" w:rsidRPr="00F948AE" w:rsidRDefault="0007462A" w:rsidP="0007462A">
      <w:pPr>
        <w:pStyle w:val="3-BodyText"/>
        <w:rPr>
          <w:snapToGrid w:val="0"/>
        </w:rPr>
      </w:pPr>
      <w:bookmarkStart w:id="91" w:name="_Hlk76376200"/>
      <w:r w:rsidRPr="00F948AE">
        <w:rPr>
          <w:snapToGrid w:val="0"/>
        </w:rPr>
        <w:t xml:space="preserve">The PBAC </w:t>
      </w:r>
      <w:r w:rsidR="00E053AA" w:rsidRPr="00F948AE">
        <w:rPr>
          <w:snapToGrid w:val="0"/>
        </w:rPr>
        <w:t>noted t</w:t>
      </w:r>
      <w:r w:rsidRPr="00F948AE">
        <w:rPr>
          <w:snapToGrid w:val="0"/>
        </w:rPr>
        <w:t xml:space="preserve">hat </w:t>
      </w:r>
      <w:r w:rsidR="007A3DE0" w:rsidRPr="00F948AE">
        <w:rPr>
          <w:snapToGrid w:val="0"/>
        </w:rPr>
        <w:t xml:space="preserve">0.1% TAC was superior </w:t>
      </w:r>
      <w:r w:rsidR="003F2E12" w:rsidRPr="00F948AE">
        <w:rPr>
          <w:snapToGrid w:val="0"/>
        </w:rPr>
        <w:t xml:space="preserve">in terms of efficacy </w:t>
      </w:r>
      <w:r w:rsidR="00E053AA" w:rsidRPr="00F948AE">
        <w:rPr>
          <w:snapToGrid w:val="0"/>
        </w:rPr>
        <w:t xml:space="preserve">and non-inferior in terms of safety </w:t>
      </w:r>
      <w:r w:rsidR="003F2E12" w:rsidRPr="00F948AE">
        <w:rPr>
          <w:snapToGrid w:val="0"/>
        </w:rPr>
        <w:t xml:space="preserve">compared to VO but </w:t>
      </w:r>
      <w:r w:rsidR="00E053AA" w:rsidRPr="00F948AE">
        <w:rPr>
          <w:snapToGrid w:val="0"/>
        </w:rPr>
        <w:t>considered</w:t>
      </w:r>
      <w:r w:rsidR="003F2E12" w:rsidRPr="00F948AE">
        <w:rPr>
          <w:snapToGrid w:val="0"/>
        </w:rPr>
        <w:t xml:space="preserve"> that VO was not </w:t>
      </w:r>
      <w:r w:rsidR="00E053AA" w:rsidRPr="00F948AE">
        <w:rPr>
          <w:snapToGrid w:val="0"/>
        </w:rPr>
        <w:t>representative of standard management.</w:t>
      </w:r>
    </w:p>
    <w:p w14:paraId="4A797CEB" w14:textId="0BF0077A" w:rsidR="0007462A" w:rsidRPr="00F948AE" w:rsidRDefault="0007462A" w:rsidP="0007462A">
      <w:pPr>
        <w:pStyle w:val="3-BodyText"/>
        <w:rPr>
          <w:snapToGrid w:val="0"/>
        </w:rPr>
      </w:pPr>
      <w:r w:rsidRPr="00F948AE">
        <w:rPr>
          <w:snapToGrid w:val="0"/>
        </w:rPr>
        <w:t>The PBAC considered that the claim</w:t>
      </w:r>
      <w:r w:rsidR="00C97822" w:rsidRPr="00F948AE">
        <w:rPr>
          <w:snapToGrid w:val="0"/>
        </w:rPr>
        <w:t xml:space="preserve"> that 0.1% TAC was superior in terms of efficacy compared to 1% PIM was </w:t>
      </w:r>
      <w:r w:rsidRPr="00F948AE">
        <w:rPr>
          <w:snapToGrid w:val="0"/>
        </w:rPr>
        <w:t>not adequately supported by the data.</w:t>
      </w:r>
      <w:r w:rsidR="00C97822" w:rsidRPr="00F948AE">
        <w:rPr>
          <w:snapToGrid w:val="0"/>
        </w:rPr>
        <w:t xml:space="preserve"> O</w:t>
      </w:r>
      <w:r w:rsidR="00A13AB1" w:rsidRPr="00F948AE">
        <w:rPr>
          <w:snapToGrid w:val="0"/>
        </w:rPr>
        <w:t xml:space="preserve">n </w:t>
      </w:r>
      <w:r w:rsidR="00C97822" w:rsidRPr="00F948AE">
        <w:rPr>
          <w:snapToGrid w:val="0"/>
        </w:rPr>
        <w:t xml:space="preserve">balance, the PBAC considered that 0.1% TAC was likely non-inferior to 1% PIM in terms of efficacy and </w:t>
      </w:r>
      <w:r w:rsidR="00A13AB1" w:rsidRPr="00F948AE">
        <w:rPr>
          <w:snapToGrid w:val="0"/>
        </w:rPr>
        <w:t>safety.</w:t>
      </w:r>
    </w:p>
    <w:p w14:paraId="74A1172E" w14:textId="128C170E" w:rsidR="00B60939" w:rsidRDefault="00B60939" w:rsidP="00E9094A">
      <w:pPr>
        <w:pStyle w:val="4-SubsectionHeading"/>
      </w:pPr>
      <w:bookmarkStart w:id="92" w:name="_Toc198710824"/>
      <w:bookmarkEnd w:id="91"/>
      <w:r w:rsidRPr="00D86D87">
        <w:t>Economic analysis</w:t>
      </w:r>
      <w:bookmarkEnd w:id="2"/>
      <w:bookmarkEnd w:id="92"/>
      <w:r w:rsidR="00491B3A" w:rsidRPr="00D86D87">
        <w:t xml:space="preserve"> </w:t>
      </w:r>
    </w:p>
    <w:p w14:paraId="2B77B709" w14:textId="7D9D8E85" w:rsidR="00EE2835" w:rsidRPr="00EE2835" w:rsidRDefault="00EE2835" w:rsidP="00EE2835">
      <w:pPr>
        <w:pStyle w:val="5-SubsectionSubheading"/>
        <w:rPr>
          <w:lang w:eastAsia="en-US"/>
        </w:rPr>
      </w:pPr>
      <w:r>
        <w:rPr>
          <w:lang w:eastAsia="en-US"/>
        </w:rPr>
        <w:t xml:space="preserve">Cost-effectiveness analysis </w:t>
      </w:r>
    </w:p>
    <w:p w14:paraId="3E4F665E" w14:textId="042742C7" w:rsidR="00E20A39" w:rsidRDefault="00E20A39" w:rsidP="00E20A39">
      <w:pPr>
        <w:pStyle w:val="3-BodyText"/>
      </w:pPr>
      <w:bookmarkStart w:id="93" w:name="_Toc22897647"/>
      <w:r w:rsidRPr="008F622E">
        <w:t>The submission presented a trial-based economic evaluation based on</w:t>
      </w:r>
      <w:r w:rsidR="0090128B">
        <w:t xml:space="preserve"> </w:t>
      </w:r>
      <w:r w:rsidR="001F336C">
        <w:t xml:space="preserve">(i) </w:t>
      </w:r>
      <w:r w:rsidR="0090128B">
        <w:t>a 3-week, randomised study</w:t>
      </w:r>
      <w:r w:rsidR="0055507B">
        <w:rPr>
          <w:rStyle w:val="FootnoteReference"/>
        </w:rPr>
        <w:footnoteReference w:id="25"/>
      </w:r>
      <w:r w:rsidR="00126366">
        <w:t xml:space="preserve"> for primary treatment</w:t>
      </w:r>
      <w:r w:rsidR="00B33EA3">
        <w:t xml:space="preserve"> (Ruzicka 1997)</w:t>
      </w:r>
      <w:r w:rsidR="0090128B">
        <w:t>,</w:t>
      </w:r>
      <w:r w:rsidRPr="008F622E">
        <w:t xml:space="preserve"> </w:t>
      </w:r>
      <w:r w:rsidR="001F336C">
        <w:t xml:space="preserve">(ii) </w:t>
      </w:r>
      <w:r w:rsidRPr="008F622E">
        <w:t>CONTROL</w:t>
      </w:r>
      <w:r w:rsidR="0055507B">
        <w:rPr>
          <w:rStyle w:val="FootnoteReference"/>
        </w:rPr>
        <w:footnoteReference w:id="26"/>
      </w:r>
      <w:r w:rsidRPr="008F622E">
        <w:t xml:space="preserve">, a direct randomised trial, that compared the effectiveness of 0.1% </w:t>
      </w:r>
      <w:r w:rsidR="006402CB">
        <w:t>TAC</w:t>
      </w:r>
      <w:r w:rsidRPr="008F622E">
        <w:t xml:space="preserve"> versus </w:t>
      </w:r>
      <w:r w:rsidR="00695FD0">
        <w:t>VO</w:t>
      </w:r>
      <w:r w:rsidRPr="008F622E">
        <w:t xml:space="preserve"> for the treatment of </w:t>
      </w:r>
      <w:r w:rsidR="00755B18">
        <w:t>mild</w:t>
      </w:r>
      <w:r w:rsidR="00755B18" w:rsidRPr="008F622E">
        <w:t xml:space="preserve"> </w:t>
      </w:r>
      <w:r w:rsidRPr="008F622E">
        <w:t>to severe AD</w:t>
      </w:r>
      <w:r w:rsidR="00B33EA3">
        <w:t xml:space="preserve"> (Wollenberg 2008)</w:t>
      </w:r>
      <w:r w:rsidR="001F336C">
        <w:t>,</w:t>
      </w:r>
      <w:r w:rsidRPr="008F622E">
        <w:t xml:space="preserve"> and</w:t>
      </w:r>
      <w:r w:rsidR="001F336C">
        <w:t xml:space="preserve"> (iii)</w:t>
      </w:r>
      <w:r w:rsidRPr="008F622E">
        <w:t xml:space="preserve"> a </w:t>
      </w:r>
      <w:r w:rsidRPr="000B7472">
        <w:rPr>
          <w:i/>
          <w:iCs/>
        </w:rPr>
        <w:t>post</w:t>
      </w:r>
      <w:r w:rsidR="000B7472">
        <w:rPr>
          <w:i/>
          <w:iCs/>
        </w:rPr>
        <w:t xml:space="preserve"> </w:t>
      </w:r>
      <w:r w:rsidRPr="000B7472">
        <w:rPr>
          <w:i/>
          <w:iCs/>
        </w:rPr>
        <w:t>hoc</w:t>
      </w:r>
      <w:r w:rsidRPr="008F622E">
        <w:t xml:space="preserve"> </w:t>
      </w:r>
      <w:r w:rsidR="00755B18">
        <w:t xml:space="preserve">subgroup </w:t>
      </w:r>
      <w:r w:rsidRPr="008F622E">
        <w:t xml:space="preserve">analysis of </w:t>
      </w:r>
      <w:r w:rsidR="00755B18">
        <w:t xml:space="preserve">patients with moderate to severe AD from </w:t>
      </w:r>
      <w:r w:rsidRPr="008F622E">
        <w:t>the adult CONTROL study</w:t>
      </w:r>
      <w:bookmarkStart w:id="94" w:name="_Ref197964586"/>
      <w:r w:rsidR="00B33EA3">
        <w:t xml:space="preserve"> (Reitamo 2010)</w:t>
      </w:r>
      <w:r w:rsidR="0055507B">
        <w:rPr>
          <w:rStyle w:val="FootnoteReference"/>
        </w:rPr>
        <w:footnoteReference w:id="27"/>
      </w:r>
      <w:bookmarkEnd w:id="94"/>
      <w:r w:rsidRPr="008F622E">
        <w:t xml:space="preserve">. </w:t>
      </w:r>
    </w:p>
    <w:p w14:paraId="0717008A" w14:textId="081EE797" w:rsidR="00E20A39" w:rsidRPr="008F622E" w:rsidRDefault="00E20A39" w:rsidP="00E20A39">
      <w:pPr>
        <w:pStyle w:val="3-BodyText"/>
      </w:pPr>
      <w:r>
        <w:t xml:space="preserve">The key components of the economic evaluation are summarised in </w:t>
      </w:r>
      <w:r>
        <w:fldChar w:fldCharType="begin"/>
      </w:r>
      <w:r>
        <w:instrText xml:space="preserve"> REF _Ref197087439 \h </w:instrText>
      </w:r>
      <w:r>
        <w:fldChar w:fldCharType="separate"/>
      </w:r>
      <w:r w:rsidR="00124226" w:rsidRPr="00D86D87">
        <w:t xml:space="preserve">Table </w:t>
      </w:r>
      <w:r w:rsidR="00124226">
        <w:rPr>
          <w:noProof/>
        </w:rPr>
        <w:t>8</w:t>
      </w:r>
      <w:r>
        <w:fldChar w:fldCharType="end"/>
      </w:r>
      <w:r>
        <w:t xml:space="preserve">. </w:t>
      </w:r>
    </w:p>
    <w:p w14:paraId="187C6030" w14:textId="3BE20448" w:rsidR="00E20A39" w:rsidRPr="00D86D87" w:rsidRDefault="00E20A39" w:rsidP="0086378A">
      <w:pPr>
        <w:pStyle w:val="TableFigureHeading"/>
        <w:widowControl w:val="0"/>
        <w:rPr>
          <w:rStyle w:val="CommentReference"/>
          <w:b/>
          <w:szCs w:val="24"/>
        </w:rPr>
      </w:pPr>
      <w:bookmarkStart w:id="95" w:name="_Ref197087439"/>
      <w:r w:rsidRPr="00D86D87">
        <w:t xml:space="preserve">Table </w:t>
      </w:r>
      <w:r w:rsidR="002A692B">
        <w:fldChar w:fldCharType="begin"/>
      </w:r>
      <w:r w:rsidR="002A692B">
        <w:instrText xml:space="preserve"> SEQ Table \* ARABIC </w:instrText>
      </w:r>
      <w:r w:rsidR="002A692B">
        <w:fldChar w:fldCharType="separate"/>
      </w:r>
      <w:r w:rsidR="00124226">
        <w:rPr>
          <w:noProof/>
        </w:rPr>
        <w:t>8</w:t>
      </w:r>
      <w:r w:rsidR="002A692B">
        <w:rPr>
          <w:noProof/>
        </w:rPr>
        <w:fldChar w:fldCharType="end"/>
      </w:r>
      <w:bookmarkEnd w:id="95"/>
      <w:r w:rsidRPr="00D86D87">
        <w:t>:</w:t>
      </w:r>
      <w:r w:rsidRPr="00D86D87">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model structure, key inputs and rationale"/>
      </w:tblPr>
      <w:tblGrid>
        <w:gridCol w:w="1675"/>
        <w:gridCol w:w="7342"/>
      </w:tblGrid>
      <w:tr w:rsidR="00E20A39" w:rsidRPr="00B86885" w14:paraId="01C70FF3" w14:textId="77777777" w:rsidTr="00CF5A64">
        <w:trPr>
          <w:tblHeader/>
        </w:trPr>
        <w:tc>
          <w:tcPr>
            <w:tcW w:w="929" w:type="pct"/>
            <w:vAlign w:val="center"/>
          </w:tcPr>
          <w:p w14:paraId="7682D1CC" w14:textId="77777777" w:rsidR="00E20A39" w:rsidRPr="00B86885" w:rsidRDefault="00E20A39" w:rsidP="0086378A">
            <w:pPr>
              <w:pStyle w:val="In-tableHeading"/>
              <w:widowControl w:val="0"/>
              <w:rPr>
                <w:lang w:val="en-AU"/>
              </w:rPr>
            </w:pPr>
            <w:r w:rsidRPr="00B86885">
              <w:rPr>
                <w:lang w:val="en-AU"/>
              </w:rPr>
              <w:t>Component</w:t>
            </w:r>
          </w:p>
        </w:tc>
        <w:tc>
          <w:tcPr>
            <w:tcW w:w="4071" w:type="pct"/>
            <w:vAlign w:val="center"/>
          </w:tcPr>
          <w:p w14:paraId="13B78070" w14:textId="77777777" w:rsidR="00E20A39" w:rsidRPr="00B86885" w:rsidRDefault="00E20A39" w:rsidP="0086378A">
            <w:pPr>
              <w:pStyle w:val="In-tableHeading"/>
              <w:widowControl w:val="0"/>
              <w:rPr>
                <w:lang w:val="en-AU"/>
              </w:rPr>
            </w:pPr>
            <w:r w:rsidRPr="00B86885">
              <w:rPr>
                <w:lang w:val="en-AU"/>
              </w:rPr>
              <w:t>Summary</w:t>
            </w:r>
          </w:p>
        </w:tc>
      </w:tr>
      <w:tr w:rsidR="00E20A39" w:rsidRPr="00B86885" w14:paraId="0961C4F5" w14:textId="77777777" w:rsidTr="00CF5A64">
        <w:tc>
          <w:tcPr>
            <w:tcW w:w="929" w:type="pct"/>
            <w:vAlign w:val="center"/>
          </w:tcPr>
          <w:p w14:paraId="4CBB86CA" w14:textId="77777777" w:rsidR="00E20A39" w:rsidRPr="00B86885" w:rsidRDefault="00E20A39" w:rsidP="0086378A">
            <w:pPr>
              <w:pStyle w:val="TableText0"/>
              <w:widowControl w:val="0"/>
            </w:pPr>
            <w:r w:rsidRPr="00B86885">
              <w:t>Treatments</w:t>
            </w:r>
          </w:p>
        </w:tc>
        <w:tc>
          <w:tcPr>
            <w:tcW w:w="4071" w:type="pct"/>
            <w:vAlign w:val="center"/>
          </w:tcPr>
          <w:p w14:paraId="512EBEFD" w14:textId="27630C97" w:rsidR="00E20A39" w:rsidRPr="00B86885" w:rsidRDefault="00E20A39" w:rsidP="0086378A">
            <w:pPr>
              <w:pStyle w:val="TableText0"/>
              <w:widowControl w:val="0"/>
            </w:pPr>
            <w:r w:rsidRPr="00B86885">
              <w:t xml:space="preserve">0.1% </w:t>
            </w:r>
            <w:r w:rsidR="00695FD0">
              <w:t>TAC</w:t>
            </w:r>
            <w:r w:rsidR="00695FD0" w:rsidRPr="00B86885">
              <w:t xml:space="preserve"> </w:t>
            </w:r>
            <w:r w:rsidRPr="00B86885">
              <w:t xml:space="preserve">versus </w:t>
            </w:r>
            <w:r w:rsidR="00695FD0">
              <w:t>VO</w:t>
            </w:r>
          </w:p>
        </w:tc>
      </w:tr>
      <w:tr w:rsidR="00E20A39" w:rsidRPr="00B86885" w14:paraId="60E01F5F" w14:textId="77777777" w:rsidTr="00CF5A64">
        <w:tc>
          <w:tcPr>
            <w:tcW w:w="929" w:type="pct"/>
            <w:vAlign w:val="center"/>
          </w:tcPr>
          <w:p w14:paraId="06CDA4B4" w14:textId="77777777" w:rsidR="00E20A39" w:rsidRPr="00B86885" w:rsidRDefault="00E20A39" w:rsidP="0086378A">
            <w:pPr>
              <w:pStyle w:val="TableText0"/>
              <w:widowControl w:val="0"/>
            </w:pPr>
            <w:r w:rsidRPr="00B86885">
              <w:t>Time horizon</w:t>
            </w:r>
          </w:p>
        </w:tc>
        <w:tc>
          <w:tcPr>
            <w:tcW w:w="4071" w:type="pct"/>
            <w:vAlign w:val="center"/>
          </w:tcPr>
          <w:p w14:paraId="1A343BA0" w14:textId="36BA3BDD" w:rsidR="00E20A39" w:rsidRPr="00B86885" w:rsidRDefault="00E20A39" w:rsidP="0086378A">
            <w:pPr>
              <w:pStyle w:val="TableText0"/>
              <w:widowControl w:val="0"/>
            </w:pPr>
            <w:r w:rsidRPr="00B86885">
              <w:t xml:space="preserve">3 weeks of primary therapy </w:t>
            </w:r>
            <w:r w:rsidR="00FA7285" w:rsidRPr="00B86885">
              <w:t xml:space="preserve">for the treatment of flares </w:t>
            </w:r>
            <w:r w:rsidRPr="00B86885">
              <w:t xml:space="preserve">+ 1 year for maintenance therapy in the base case (vs 1 year of maintenance therapy in the CONTROL study). </w:t>
            </w:r>
            <w:r w:rsidR="00986268" w:rsidRPr="00B86885">
              <w:t xml:space="preserve">The modelled duration of primary therapy did not consider that </w:t>
            </w:r>
            <w:r w:rsidR="00E849C2">
              <w:t>0.1% TAC</w:t>
            </w:r>
            <w:r w:rsidR="00E849C2" w:rsidRPr="00B86885">
              <w:t xml:space="preserve"> </w:t>
            </w:r>
            <w:r w:rsidR="00986268" w:rsidRPr="00B86885">
              <w:t xml:space="preserve">may be </w:t>
            </w:r>
            <w:r w:rsidR="00E849C2">
              <w:t>used</w:t>
            </w:r>
            <w:r w:rsidR="00E849C2" w:rsidRPr="00B86885">
              <w:t xml:space="preserve"> </w:t>
            </w:r>
            <w:r w:rsidR="00986268" w:rsidRPr="00B86885">
              <w:t>for up to 6 weeks</w:t>
            </w:r>
            <w:r w:rsidR="001C3ECF" w:rsidRPr="00B86885">
              <w:t xml:space="preserve"> for the treatment of flares</w:t>
            </w:r>
            <w:r w:rsidR="00CA71BB" w:rsidRPr="00B86885">
              <w:t xml:space="preserve"> in the proposed PBS restriction</w:t>
            </w:r>
            <w:r w:rsidR="00986268" w:rsidRPr="00B86885">
              <w:t>. Further, while the proposed restriction states that continuing treatment may be given for more than a year, the economic model does not allow for an increase in duration of maintenance therapy</w:t>
            </w:r>
            <w:r w:rsidR="00B16DEB" w:rsidRPr="00B86885">
              <w:t xml:space="preserve">. However, </w:t>
            </w:r>
            <w:r w:rsidR="00986268" w:rsidRPr="00B86885">
              <w:t>the PBAC has previously considered a time horizon of 1 year to be appropriate for AD (para</w:t>
            </w:r>
            <w:r w:rsidR="00404F23">
              <w:t>graph</w:t>
            </w:r>
            <w:r w:rsidR="00986268" w:rsidRPr="00B86885">
              <w:t xml:space="preserve"> 6.59, crisaborole PSD, November 2018 PBAC Meeting).</w:t>
            </w:r>
          </w:p>
        </w:tc>
      </w:tr>
      <w:tr w:rsidR="00E20A39" w:rsidRPr="00B86885" w14:paraId="15DBB21D" w14:textId="77777777" w:rsidTr="00CF5A64">
        <w:tc>
          <w:tcPr>
            <w:tcW w:w="929" w:type="pct"/>
            <w:vAlign w:val="center"/>
          </w:tcPr>
          <w:p w14:paraId="11206CD6" w14:textId="77777777" w:rsidR="00E20A39" w:rsidRPr="00B86885" w:rsidRDefault="00E20A39" w:rsidP="0086378A">
            <w:pPr>
              <w:pStyle w:val="TableText0"/>
              <w:widowControl w:val="0"/>
            </w:pPr>
            <w:r w:rsidRPr="00B86885">
              <w:t>Outcomes</w:t>
            </w:r>
          </w:p>
        </w:tc>
        <w:tc>
          <w:tcPr>
            <w:tcW w:w="4071" w:type="pct"/>
            <w:vAlign w:val="center"/>
          </w:tcPr>
          <w:p w14:paraId="23FC01BF" w14:textId="77777777" w:rsidR="00E20A39" w:rsidRPr="00B86885" w:rsidRDefault="00E20A39" w:rsidP="0086378A">
            <w:pPr>
              <w:pStyle w:val="TableText0"/>
              <w:widowControl w:val="0"/>
            </w:pPr>
            <w:r w:rsidRPr="00B86885">
              <w:t xml:space="preserve">Quality-adjusted life-years gained. </w:t>
            </w:r>
          </w:p>
        </w:tc>
      </w:tr>
      <w:tr w:rsidR="00E20A39" w:rsidRPr="00B86885" w14:paraId="16F4B901" w14:textId="77777777" w:rsidTr="00CF5A64">
        <w:tc>
          <w:tcPr>
            <w:tcW w:w="929" w:type="pct"/>
            <w:vAlign w:val="center"/>
          </w:tcPr>
          <w:p w14:paraId="284CBF14" w14:textId="77777777" w:rsidR="00E20A39" w:rsidRPr="00B86885" w:rsidRDefault="00E20A39" w:rsidP="0086378A">
            <w:pPr>
              <w:pStyle w:val="TableText0"/>
              <w:widowControl w:val="0"/>
            </w:pPr>
            <w:r w:rsidRPr="00B86885">
              <w:t>Methods used to generate results</w:t>
            </w:r>
          </w:p>
        </w:tc>
        <w:tc>
          <w:tcPr>
            <w:tcW w:w="4071" w:type="pct"/>
            <w:vAlign w:val="center"/>
          </w:tcPr>
          <w:p w14:paraId="234B331E" w14:textId="1AA6A703" w:rsidR="00E20A39" w:rsidRPr="00B86885" w:rsidRDefault="00E20A39" w:rsidP="0086378A">
            <w:pPr>
              <w:pStyle w:val="TableText0"/>
              <w:widowControl w:val="0"/>
            </w:pPr>
            <w:r w:rsidRPr="00B86885">
              <w:t xml:space="preserve">Hybrid model: Decision tree to capture response to primary treatment + </w:t>
            </w:r>
            <w:r w:rsidR="00104044" w:rsidRPr="00B86885">
              <w:t xml:space="preserve">area under the curve allocation approach </w:t>
            </w:r>
            <w:r w:rsidRPr="00B86885">
              <w:t xml:space="preserve">to capture response to maintenance treatment. </w:t>
            </w:r>
          </w:p>
        </w:tc>
      </w:tr>
      <w:tr w:rsidR="00E20A39" w:rsidRPr="00B86885" w14:paraId="336A4976" w14:textId="77777777" w:rsidTr="00CF5A64">
        <w:tc>
          <w:tcPr>
            <w:tcW w:w="929" w:type="pct"/>
            <w:vAlign w:val="center"/>
          </w:tcPr>
          <w:p w14:paraId="456A0A32" w14:textId="77777777" w:rsidR="00E20A39" w:rsidRPr="00B86885" w:rsidRDefault="00E20A39" w:rsidP="0086378A">
            <w:pPr>
              <w:pStyle w:val="TableText0"/>
              <w:widowControl w:val="0"/>
            </w:pPr>
            <w:r w:rsidRPr="00B86885">
              <w:t>Health states</w:t>
            </w:r>
          </w:p>
        </w:tc>
        <w:tc>
          <w:tcPr>
            <w:tcW w:w="4071" w:type="pct"/>
            <w:vAlign w:val="center"/>
          </w:tcPr>
          <w:p w14:paraId="1015E7CC" w14:textId="1A1BC35B" w:rsidR="00E20A39" w:rsidRPr="00B86885" w:rsidRDefault="00E20A39" w:rsidP="0086378A">
            <w:pPr>
              <w:pStyle w:val="TableText0"/>
              <w:widowControl w:val="0"/>
            </w:pPr>
            <w:r w:rsidRPr="00B86885">
              <w:t xml:space="preserve">3 health states in the state transition model: Flare-free, </w:t>
            </w:r>
            <w:r w:rsidR="003B23E5" w:rsidRPr="00B86885">
              <w:t>Post</w:t>
            </w:r>
            <w:r w:rsidRPr="00B86885">
              <w:t xml:space="preserve">-initial flare and </w:t>
            </w:r>
            <w:r w:rsidR="003B23E5" w:rsidRPr="00B86885">
              <w:t>Discontinued</w:t>
            </w:r>
          </w:p>
        </w:tc>
      </w:tr>
      <w:tr w:rsidR="00E20A39" w:rsidRPr="00B86885" w14:paraId="27CF61DA" w14:textId="77777777" w:rsidTr="00CF5A64">
        <w:tc>
          <w:tcPr>
            <w:tcW w:w="929" w:type="pct"/>
            <w:vAlign w:val="center"/>
          </w:tcPr>
          <w:p w14:paraId="0F91113B" w14:textId="164B3C4D" w:rsidR="00E20A39" w:rsidRPr="00B86885" w:rsidRDefault="00126366" w:rsidP="0086378A">
            <w:pPr>
              <w:pStyle w:val="TableText0"/>
              <w:widowControl w:val="0"/>
            </w:pPr>
            <w:r w:rsidRPr="00B86885">
              <w:t>Maintenance phase c</w:t>
            </w:r>
            <w:r w:rsidR="00E20A39" w:rsidRPr="00B86885">
              <w:t>ycle length</w:t>
            </w:r>
          </w:p>
        </w:tc>
        <w:tc>
          <w:tcPr>
            <w:tcW w:w="4071" w:type="pct"/>
            <w:vAlign w:val="center"/>
          </w:tcPr>
          <w:p w14:paraId="4B4EC459" w14:textId="7F7CA09B" w:rsidR="00E20A39" w:rsidRPr="00B86885" w:rsidRDefault="00126366" w:rsidP="0086378A">
            <w:pPr>
              <w:pStyle w:val="TableText0"/>
              <w:widowControl w:val="0"/>
            </w:pPr>
            <w:r w:rsidRPr="00B86885">
              <w:t xml:space="preserve">Daily. </w:t>
            </w:r>
          </w:p>
        </w:tc>
      </w:tr>
      <w:tr w:rsidR="00E20A39" w:rsidRPr="00B86885" w14:paraId="5D82DA2C" w14:textId="77777777" w:rsidTr="00CF5A64">
        <w:tc>
          <w:tcPr>
            <w:tcW w:w="929" w:type="pct"/>
            <w:vAlign w:val="center"/>
          </w:tcPr>
          <w:p w14:paraId="59E9A1AA" w14:textId="77777777" w:rsidR="00E20A39" w:rsidRPr="00B86885" w:rsidRDefault="00E20A39" w:rsidP="0086378A">
            <w:pPr>
              <w:pStyle w:val="TableText0"/>
              <w:widowControl w:val="0"/>
            </w:pPr>
            <w:r w:rsidRPr="00B86885">
              <w:t xml:space="preserve">Allocation to health states </w:t>
            </w:r>
          </w:p>
        </w:tc>
        <w:tc>
          <w:tcPr>
            <w:tcW w:w="4071" w:type="pct"/>
            <w:vAlign w:val="center"/>
          </w:tcPr>
          <w:p w14:paraId="7BE8146D" w14:textId="428855DE" w:rsidR="000410F2" w:rsidRPr="00B86885" w:rsidRDefault="00E20A39" w:rsidP="0086378A">
            <w:pPr>
              <w:pStyle w:val="TableText0"/>
              <w:widowControl w:val="0"/>
            </w:pPr>
            <w:r w:rsidRPr="00B86885">
              <w:t>Transitions from the primary to maintenance therapy phase was based on response in the 3-week study</w:t>
            </w:r>
            <w:r w:rsidR="00B33EA3" w:rsidRPr="00B86885">
              <w:t xml:space="preserve"> (Ruzicka 1997)</w:t>
            </w:r>
            <w:r w:rsidR="000410F2" w:rsidRPr="00B86885">
              <w:t>.</w:t>
            </w:r>
          </w:p>
          <w:p w14:paraId="72EBDCCF" w14:textId="79BC8D0B" w:rsidR="00E20A39" w:rsidRPr="00B86885" w:rsidRDefault="000410F2" w:rsidP="0086378A">
            <w:pPr>
              <w:pStyle w:val="TableText0"/>
              <w:widowControl w:val="0"/>
            </w:pPr>
            <w:r w:rsidRPr="00B86885">
              <w:t>H</w:t>
            </w:r>
            <w:r w:rsidR="00E20A39" w:rsidRPr="00B86885">
              <w:t xml:space="preserve">ealth state allocation in the state transition model was based on time-to-event data from the </w:t>
            </w:r>
            <w:r w:rsidR="00E20A39" w:rsidRPr="0008659F">
              <w:rPr>
                <w:i/>
                <w:iCs/>
              </w:rPr>
              <w:t>post-hoc</w:t>
            </w:r>
            <w:r w:rsidR="00E20A39" w:rsidRPr="00B86885">
              <w:t xml:space="preserve"> analysis of the adult CONTROL study</w:t>
            </w:r>
            <w:r w:rsidR="00B33EA3" w:rsidRPr="00B86885">
              <w:t xml:space="preserve"> (Reitamo 2010)</w:t>
            </w:r>
            <w:r w:rsidR="00E20A39" w:rsidRPr="00B86885">
              <w:t xml:space="preserve">. </w:t>
            </w:r>
            <w:r w:rsidR="0055507B" w:rsidRPr="00B86885">
              <w:t xml:space="preserve">The time-to-first major flare curve from the </w:t>
            </w:r>
            <w:r w:rsidR="0055507B" w:rsidRPr="0008659F">
              <w:rPr>
                <w:i/>
                <w:iCs/>
              </w:rPr>
              <w:t>post-hoc</w:t>
            </w:r>
            <w:r w:rsidR="0055507B" w:rsidRPr="00B86885">
              <w:t xml:space="preserve"> analysis of the adult CONTROL study was utilised to calibrate time-to-first flare and time-to-discontinuation curves. Given that major flares were those that would require treatment, it may have been reasonable to utilise the time-to-first major flare curves directly in the model. Further, the relationship between patients remaining flare-free and those that discontinue treatment was not well established in the submission</w:t>
            </w:r>
            <w:r w:rsidR="00FC7510" w:rsidRPr="00B86885">
              <w:t>, and using a hazard ratio applied to the time-to-first flare curve may not represent time to treatment discontinuation</w:t>
            </w:r>
            <w:r w:rsidR="0055507B" w:rsidRPr="00B86885">
              <w:t xml:space="preserve">.  </w:t>
            </w:r>
          </w:p>
        </w:tc>
      </w:tr>
      <w:tr w:rsidR="00C52F1F" w:rsidRPr="00B86885" w14:paraId="2EB28210" w14:textId="77777777" w:rsidTr="00CF5A64">
        <w:tc>
          <w:tcPr>
            <w:tcW w:w="929" w:type="pct"/>
            <w:vAlign w:val="center"/>
          </w:tcPr>
          <w:p w14:paraId="7D27F10C" w14:textId="59C6092D" w:rsidR="00C52F1F" w:rsidRPr="00B86885" w:rsidRDefault="00C52F1F" w:rsidP="0086378A">
            <w:pPr>
              <w:pStyle w:val="TableText0"/>
              <w:widowControl w:val="0"/>
            </w:pPr>
            <w:r w:rsidRPr="00B86885">
              <w:t>Number of flares</w:t>
            </w:r>
          </w:p>
        </w:tc>
        <w:tc>
          <w:tcPr>
            <w:tcW w:w="4071" w:type="pct"/>
            <w:vAlign w:val="center"/>
          </w:tcPr>
          <w:p w14:paraId="6127643A" w14:textId="5ABF81E1" w:rsidR="00C52F1F" w:rsidRPr="00B86885" w:rsidRDefault="00C52F1F" w:rsidP="0086378A">
            <w:pPr>
              <w:pStyle w:val="TableText0"/>
              <w:widowControl w:val="0"/>
            </w:pPr>
            <w:r w:rsidRPr="00B86885">
              <w:t xml:space="preserve">Post-initial flare health state: </w:t>
            </w:r>
            <w:r w:rsidR="00695FD0">
              <w:t>0.1% TAC</w:t>
            </w:r>
            <w:r w:rsidRPr="00B86885">
              <w:t xml:space="preserve"> arm = 4.10 flares, </w:t>
            </w:r>
            <w:r w:rsidR="00695FD0">
              <w:t>VO</w:t>
            </w:r>
            <w:r w:rsidRPr="00B86885">
              <w:t xml:space="preserve"> arm = 1.0 flare</w:t>
            </w:r>
          </w:p>
          <w:p w14:paraId="0AAB1F5E" w14:textId="77777777" w:rsidR="00460BD2" w:rsidRPr="00B86885" w:rsidRDefault="00C52F1F" w:rsidP="0086378A">
            <w:pPr>
              <w:pStyle w:val="TableText0"/>
              <w:widowControl w:val="0"/>
            </w:pPr>
            <w:r w:rsidRPr="00B86885">
              <w:t xml:space="preserve">Discontinued health state: 9.51 flares across both arms. </w:t>
            </w:r>
          </w:p>
          <w:p w14:paraId="00574303" w14:textId="414D5B4B" w:rsidR="00C52F1F" w:rsidRPr="00B86885" w:rsidRDefault="0055507B" w:rsidP="0086378A">
            <w:pPr>
              <w:pStyle w:val="TableText0"/>
              <w:widowControl w:val="0"/>
            </w:pPr>
            <w:r w:rsidRPr="00B86885">
              <w:t>The studies used to inform the number of flares, by health state, have uncertain applicability, as the CONTROL study included patients with mild AD and the study used to inform the number of flares in the discontinued health state included children. Further, the study likely predated systemic therapies and thus, may not have captured the benefits associated with systemic therapies in these patients.</w:t>
            </w:r>
            <w:r w:rsidR="00163281" w:rsidRPr="00B86885">
              <w:t xml:space="preserve"> Further, the rationale that patients in the vehicle arm would only have 1 flare was not well justified in the submission and is not consistent with the clinical claim that </w:t>
            </w:r>
            <w:r w:rsidR="00695FD0">
              <w:t xml:space="preserve">0.1% </w:t>
            </w:r>
            <w:r w:rsidR="00163281" w:rsidRPr="00B86885">
              <w:t xml:space="preserve">TAC reduces the number of flares. </w:t>
            </w:r>
          </w:p>
        </w:tc>
      </w:tr>
      <w:tr w:rsidR="00E20A39" w:rsidRPr="00B86885" w14:paraId="3216B5A5" w14:textId="77777777" w:rsidTr="00CF5A64">
        <w:tc>
          <w:tcPr>
            <w:tcW w:w="929" w:type="pct"/>
            <w:vAlign w:val="center"/>
          </w:tcPr>
          <w:p w14:paraId="7FF8B641" w14:textId="77777777" w:rsidR="00E20A39" w:rsidRPr="00B86885" w:rsidRDefault="00E20A39" w:rsidP="0086378A">
            <w:pPr>
              <w:pStyle w:val="TableText0"/>
              <w:widowControl w:val="0"/>
            </w:pPr>
            <w:r w:rsidRPr="00B86885">
              <w:t>Health related quality of life</w:t>
            </w:r>
          </w:p>
        </w:tc>
        <w:tc>
          <w:tcPr>
            <w:tcW w:w="4071" w:type="pct"/>
            <w:vAlign w:val="center"/>
          </w:tcPr>
          <w:p w14:paraId="0374C784" w14:textId="1E559EBA" w:rsidR="00E20A39" w:rsidRPr="00B86885" w:rsidRDefault="00E20A39" w:rsidP="0086378A">
            <w:pPr>
              <w:pStyle w:val="TableText0"/>
              <w:widowControl w:val="0"/>
            </w:pPr>
            <w:r w:rsidRPr="00B86885">
              <w:t>Utility values of 0.87 and 0.76 applied to flare-free and flare days from a published economic evaluation which made use of health-related quality-of-life (HRQoL) data collected in the adult CONTROL study</w:t>
            </w:r>
            <w:r w:rsidR="00163281" w:rsidRPr="00B86885">
              <w:t xml:space="preserve"> </w:t>
            </w:r>
            <w:r w:rsidR="00163281" w:rsidRPr="00B86885">
              <w:rPr>
                <w:vertAlign w:val="superscript"/>
              </w:rPr>
              <w:t>a</w:t>
            </w:r>
            <w:r w:rsidRPr="00B86885">
              <w:t xml:space="preserve">. </w:t>
            </w:r>
            <w:r w:rsidR="00163281" w:rsidRPr="00B86885">
              <w:t xml:space="preserve">The submission applied utility values of mild AD patients to flare-free days and a weighted utility value of moderate and severe AD patients to flare days. </w:t>
            </w:r>
            <w:r w:rsidRPr="00B86885">
              <w:t>The tool used to translate the HRQoL data was not reported in the study. The study also did not provide information about the completion rate.</w:t>
            </w:r>
          </w:p>
        </w:tc>
      </w:tr>
      <w:tr w:rsidR="00E20A39" w:rsidRPr="00B86885" w14:paraId="6D88DE54" w14:textId="77777777" w:rsidTr="00CF5A64">
        <w:tc>
          <w:tcPr>
            <w:tcW w:w="929" w:type="pct"/>
            <w:vAlign w:val="center"/>
          </w:tcPr>
          <w:p w14:paraId="2C43589A" w14:textId="77777777" w:rsidR="00E20A39" w:rsidRPr="00B86885" w:rsidRDefault="00E20A39" w:rsidP="0086378A">
            <w:pPr>
              <w:pStyle w:val="TableText0"/>
              <w:widowControl w:val="0"/>
            </w:pPr>
            <w:r w:rsidRPr="00B86885">
              <w:t>Subsequent treatment costs</w:t>
            </w:r>
          </w:p>
        </w:tc>
        <w:tc>
          <w:tcPr>
            <w:tcW w:w="4071" w:type="pct"/>
            <w:vAlign w:val="center"/>
          </w:tcPr>
          <w:p w14:paraId="2EAAE7BC" w14:textId="6D741E4B" w:rsidR="00E20A39" w:rsidRPr="00B86885" w:rsidRDefault="0055507B" w:rsidP="0086378A">
            <w:pPr>
              <w:pStyle w:val="TableText0"/>
              <w:widowControl w:val="0"/>
            </w:pPr>
            <w:r w:rsidRPr="00B86885">
              <w:t xml:space="preserve">Costs for phototherapy, </w:t>
            </w:r>
            <w:r w:rsidR="00695FD0">
              <w:t xml:space="preserve">UPA </w:t>
            </w:r>
            <w:r w:rsidRPr="00B86885">
              <w:t xml:space="preserve">, </w:t>
            </w:r>
            <w:r w:rsidR="00695FD0">
              <w:t>DUPI</w:t>
            </w:r>
            <w:r w:rsidRPr="00B86885">
              <w:t xml:space="preserve"> and ciclosporin were applied to about 18% of patients while in the discontinued health state. The estimated use of </w:t>
            </w:r>
            <w:r w:rsidR="00695FD0">
              <w:t>DUPI</w:t>
            </w:r>
            <w:r w:rsidRPr="00B86885">
              <w:t xml:space="preserve"> was based on a survey of patients that aimed at understanding TCS use and from a study of 85 patients in Australia for ciclosporin. The use of </w:t>
            </w:r>
            <w:r w:rsidR="00695FD0">
              <w:t>UPA</w:t>
            </w:r>
            <w:r w:rsidRPr="00B86885">
              <w:t xml:space="preserve"> was calculated based on the market share of </w:t>
            </w:r>
            <w:r w:rsidR="00695FD0">
              <w:t>DUPI</w:t>
            </w:r>
            <w:r w:rsidRPr="00B86885">
              <w:t xml:space="preserve"> and </w:t>
            </w:r>
            <w:r w:rsidR="00695FD0">
              <w:t>UPA</w:t>
            </w:r>
            <w:r w:rsidRPr="00B86885">
              <w:t xml:space="preserve">. Phototherapy use was based on primary research conducted by the Sponsor. The basis for the distribution of use of systemic therapies in the discontinued health state remains uncertain. Phototherapy costs were applied to each flare for patients in the discontinued health state which may not be appropriate as it is unclear whether phototherapy is given as maintenance therapy or as continuous treatment. Further, the study used to estimate the use of </w:t>
            </w:r>
            <w:r w:rsidR="00695FD0">
              <w:t>DUPI</w:t>
            </w:r>
            <w:r w:rsidRPr="00B86885">
              <w:t xml:space="preserve"> may not be applicable to the proposed setting.</w:t>
            </w:r>
          </w:p>
        </w:tc>
      </w:tr>
    </w:tbl>
    <w:p w14:paraId="4FBF1AE7" w14:textId="77777777" w:rsidR="00D11DD1" w:rsidRDefault="00EA1292">
      <w:pPr>
        <w:pStyle w:val="TableFigureFooter"/>
      </w:pPr>
      <w:r>
        <w:t>Source: tabulated during the evaluation, from Table 3-1, p128 of the evaluation and the “Attachment 2 Tacrolimus final model 06March2025” workbook included in the submission.</w:t>
      </w:r>
    </w:p>
    <w:p w14:paraId="36C61DD9" w14:textId="6C6EB636" w:rsidR="00E20A39" w:rsidRDefault="00E20A39" w:rsidP="00E20A39">
      <w:pPr>
        <w:pStyle w:val="TableFigureFooter"/>
      </w:pPr>
      <w:r>
        <w:t xml:space="preserve">AD = atopic dermatitis; </w:t>
      </w:r>
      <w:r w:rsidR="00695FD0">
        <w:t>DUPI = dupilumab</w:t>
      </w:r>
      <w:r>
        <w:t>; HRQoL = health-related quality of life</w:t>
      </w:r>
      <w:r w:rsidR="00460BD2">
        <w:t>; TAC = tacrolimus; TCS = topical</w:t>
      </w:r>
      <w:r w:rsidR="002034A9">
        <w:t xml:space="preserve"> corticosteroid</w:t>
      </w:r>
      <w:r w:rsidR="00695FD0">
        <w:t>; UPA = upadacitinib; VO = vehicle ointment</w:t>
      </w:r>
    </w:p>
    <w:p w14:paraId="22F98B02" w14:textId="1D745872" w:rsidR="00163281" w:rsidRPr="00163281" w:rsidRDefault="00163281" w:rsidP="00E20A39">
      <w:pPr>
        <w:pStyle w:val="TableFigureFooter"/>
      </w:pPr>
      <w:r>
        <w:rPr>
          <w:vertAlign w:val="superscript"/>
        </w:rPr>
        <w:t>a</w:t>
      </w:r>
      <w:r>
        <w:t xml:space="preserve"> </w:t>
      </w:r>
      <w:r w:rsidRPr="00163281">
        <w:t>Healy E, Bentley A, Fidler C, Chambers C. Cost</w:t>
      </w:r>
      <w:r w:rsidRPr="00163281">
        <w:rPr>
          <w:rFonts w:ascii="Cambria Math" w:hAnsi="Cambria Math" w:cs="Cambria Math"/>
        </w:rPr>
        <w:t>‐</w:t>
      </w:r>
      <w:r w:rsidRPr="00163281">
        <w:t>effectiveness of tacrolimus ointment in adults and children with moderate and severe atopic dermatitis: twice</w:t>
      </w:r>
      <w:r w:rsidRPr="00163281">
        <w:rPr>
          <w:rFonts w:ascii="Cambria Math" w:hAnsi="Cambria Math" w:cs="Cambria Math"/>
        </w:rPr>
        <w:t>‐</w:t>
      </w:r>
      <w:r w:rsidRPr="00163281">
        <w:t>weekly maintenance treatment vs. standard twice</w:t>
      </w:r>
      <w:r w:rsidRPr="00163281">
        <w:rPr>
          <w:rFonts w:ascii="Cambria Math" w:hAnsi="Cambria Math" w:cs="Cambria Math"/>
        </w:rPr>
        <w:t>‐</w:t>
      </w:r>
      <w:r w:rsidRPr="00163281">
        <w:t>daily reactive treatment of exacerbations from a third-party payer (U.K. National Health Service) perspective. British Journal of Dermatology. 2011;164(2):387-95.</w:t>
      </w:r>
    </w:p>
    <w:p w14:paraId="6973E5DF" w14:textId="6B2A520B" w:rsidR="00E20A39" w:rsidRPr="00B86885" w:rsidRDefault="00E20A39" w:rsidP="00E20A39">
      <w:pPr>
        <w:pStyle w:val="3-BodyText"/>
      </w:pPr>
      <w:r w:rsidRPr="00B86885">
        <w:t xml:space="preserve">The submission </w:t>
      </w:r>
      <w:r w:rsidR="00986268" w:rsidRPr="00B86885">
        <w:t>adopted</w:t>
      </w:r>
      <w:r w:rsidRPr="00B86885">
        <w:t xml:space="preserve"> a hybrid decision</w:t>
      </w:r>
      <w:r w:rsidR="00986268" w:rsidRPr="00B86885">
        <w:t>-</w:t>
      </w:r>
      <w:r w:rsidRPr="00B86885">
        <w:t xml:space="preserve">tree and </w:t>
      </w:r>
      <w:r w:rsidR="00986268" w:rsidRPr="00B86885">
        <w:t>area under the curve</w:t>
      </w:r>
      <w:r w:rsidR="009C167A" w:rsidRPr="00B86885">
        <w:t xml:space="preserve"> state transition model. </w:t>
      </w:r>
      <w:r w:rsidRPr="00B86885">
        <w:t xml:space="preserve">The decision tree was utilised to capture response to primary therapy over a period of 3 weeks, with patients who responded to primary therapy entering the flare-free health state and those that did not respond to primary therapy entering the discontinued health state of the state transition model. </w:t>
      </w:r>
    </w:p>
    <w:p w14:paraId="1E468643" w14:textId="34AB0A17" w:rsidR="00E20A39" w:rsidRPr="00B86885" w:rsidRDefault="00E20A39" w:rsidP="00E20A39">
      <w:pPr>
        <w:pStyle w:val="3-BodyText"/>
      </w:pPr>
      <w:r w:rsidRPr="00B86885">
        <w:t xml:space="preserve">A time horizon of 21 days for primary therapy and 1 year for maintenance treatment was modelled in the base case analysis. </w:t>
      </w:r>
      <w:r w:rsidR="00163281" w:rsidRPr="00B86885">
        <w:t xml:space="preserve">Primary therapy can be given for up to 6 weeks in clinical practice. While the model allows for an increase in the duration of primary therapy, the response to primary therapy was based on a 3-week study. </w:t>
      </w:r>
      <w:r w:rsidR="002E32EF" w:rsidRPr="00BF0496">
        <w:t xml:space="preserve">The PSCR </w:t>
      </w:r>
      <w:r w:rsidR="00FF1D6E" w:rsidRPr="00BF0496">
        <w:t>acknowledged that no six-week responder data exist</w:t>
      </w:r>
      <w:r w:rsidR="00F20F78" w:rsidRPr="00BF0496">
        <w:t>.</w:t>
      </w:r>
      <w:r w:rsidR="00F20F78">
        <w:t xml:space="preserve"> </w:t>
      </w:r>
      <w:r w:rsidR="007C27FB" w:rsidRPr="00B86885">
        <w:t xml:space="preserve">One year of maintenance treatment </w:t>
      </w:r>
      <w:r w:rsidRPr="00B86885">
        <w:t xml:space="preserve">was consistent with the adult CONTROL study. </w:t>
      </w:r>
    </w:p>
    <w:p w14:paraId="1299818C" w14:textId="2C7DB002" w:rsidR="00E20A39" w:rsidRPr="00B86885" w:rsidRDefault="00DF2DE5" w:rsidP="009C167A">
      <w:pPr>
        <w:pStyle w:val="3-BodyText"/>
      </w:pPr>
      <w:r w:rsidRPr="00B86885">
        <w:t>In patients who received maintenance therapy, subsequent h</w:t>
      </w:r>
      <w:r w:rsidR="00E20A39" w:rsidRPr="00B86885">
        <w:t xml:space="preserve">ealth state allocation was based on the time-to-first major flare data from the </w:t>
      </w:r>
      <w:r w:rsidR="00E20A39" w:rsidRPr="0008659F">
        <w:rPr>
          <w:i/>
          <w:iCs/>
        </w:rPr>
        <w:t>post-hoc</w:t>
      </w:r>
      <w:r w:rsidR="00E20A39" w:rsidRPr="00B86885">
        <w:t xml:space="preserve"> analysis of the adult CONTROL study. Hazard ratios </w:t>
      </w:r>
      <w:r w:rsidR="00706626" w:rsidRPr="00B86885">
        <w:t xml:space="preserve">, based on the proportion of patients that were flare-free </w:t>
      </w:r>
      <w:r w:rsidRPr="00B86885">
        <w:t xml:space="preserve">or remained on treatment </w:t>
      </w:r>
      <w:r w:rsidR="00706626" w:rsidRPr="00B86885">
        <w:t xml:space="preserve">at the end of the study period, </w:t>
      </w:r>
      <w:r w:rsidR="00E20A39" w:rsidRPr="00B86885">
        <w:t xml:space="preserve">were calculated to </w:t>
      </w:r>
      <w:r w:rsidR="00706626" w:rsidRPr="00B86885">
        <w:t>generate</w:t>
      </w:r>
      <w:r w:rsidR="00E20A39" w:rsidRPr="00B86885">
        <w:t xml:space="preserve"> time-to-first flare </w:t>
      </w:r>
      <w:r w:rsidRPr="00B86885">
        <w:t xml:space="preserve">(from reported time-to-first major flare data) </w:t>
      </w:r>
      <w:r w:rsidR="00E20A39" w:rsidRPr="00B86885">
        <w:t xml:space="preserve">and time-to-discontinuation curves for each treatment arms. </w:t>
      </w:r>
      <w:r w:rsidR="005377FE">
        <w:t>Hazard ratios</w:t>
      </w:r>
      <w:r w:rsidR="00E20A39" w:rsidRPr="00B86885">
        <w:t xml:space="preserve"> of 1.078 and 0.924 for time-to-first flare curves and of 0.54 and 0.72 for time-to-discontinuation curves were applied </w:t>
      </w:r>
      <w:r w:rsidRPr="00B86885">
        <w:t xml:space="preserve">in </w:t>
      </w:r>
      <w:r w:rsidR="00E20A39" w:rsidRPr="00B86885">
        <w:t xml:space="preserve">the to the </w:t>
      </w:r>
      <w:r w:rsidR="00695FD0">
        <w:t xml:space="preserve">0.1% </w:t>
      </w:r>
      <w:r w:rsidR="006402CB" w:rsidRPr="00B86885">
        <w:t>TAC</w:t>
      </w:r>
      <w:r w:rsidR="00E20A39" w:rsidRPr="00B86885">
        <w:t xml:space="preserve"> and </w:t>
      </w:r>
      <w:r w:rsidR="00695FD0">
        <w:t>VO</w:t>
      </w:r>
      <w:r w:rsidR="00E20A39" w:rsidRPr="00B86885">
        <w:t xml:space="preserve"> arms, respectively. </w:t>
      </w:r>
      <w:r w:rsidR="003B23E5" w:rsidRPr="00B86885">
        <w:t xml:space="preserve">The assumption that the Post-flare health state represents patients subsequent to a flare of any severity was not justified in the </w:t>
      </w:r>
      <w:r w:rsidR="00912DCC" w:rsidRPr="00B86885">
        <w:t>submission and</w:t>
      </w:r>
      <w:r w:rsidR="003B23E5" w:rsidRPr="00B86885">
        <w:t xml:space="preserve"> appears inconsistent with the definition of flares applied to estimate costs and outcomes (i.e. flares which require</w:t>
      </w:r>
      <w:r w:rsidR="00555DF9" w:rsidRPr="00B86885">
        <w:t xml:space="preserve"> substantial therapeutic</w:t>
      </w:r>
      <w:r w:rsidR="003B23E5" w:rsidRPr="00B86885">
        <w:t xml:space="preserve"> intervention). </w:t>
      </w:r>
      <w:r w:rsidR="00706626" w:rsidRPr="00B86885">
        <w:t xml:space="preserve">The relationship between the patients remaining flare-free at the end of the study and that of treatment discontinuation was also not well </w:t>
      </w:r>
      <w:r w:rsidR="003B23E5" w:rsidRPr="00B86885">
        <w:t xml:space="preserve">established </w:t>
      </w:r>
      <w:r w:rsidR="00706626" w:rsidRPr="00B86885">
        <w:t>in the submission</w:t>
      </w:r>
      <w:r w:rsidR="003B23E5" w:rsidRPr="00B86885">
        <w:t>, and it may not be reasonable to assume that these follow the same shape over time</w:t>
      </w:r>
      <w:r w:rsidR="00706626" w:rsidRPr="00B86885">
        <w:t xml:space="preserve">. </w:t>
      </w:r>
      <w:r w:rsidR="00E20A39" w:rsidRPr="00B86885">
        <w:t xml:space="preserve">The calibrated time-to-first flare and time-to-discontinuation curves for the </w:t>
      </w:r>
      <w:r w:rsidR="00695FD0">
        <w:t xml:space="preserve">0.1% </w:t>
      </w:r>
      <w:r w:rsidR="006402CB" w:rsidRPr="00B86885">
        <w:t>TAC</w:t>
      </w:r>
      <w:r w:rsidR="00E20A39" w:rsidRPr="00B86885">
        <w:t xml:space="preserve"> and </w:t>
      </w:r>
      <w:r w:rsidR="00695FD0">
        <w:t>VO</w:t>
      </w:r>
      <w:r w:rsidR="00E20A39" w:rsidRPr="00B86885">
        <w:t xml:space="preserve"> arms are presented in </w:t>
      </w:r>
      <w:r w:rsidR="00E20A39" w:rsidRPr="00B86885">
        <w:fldChar w:fldCharType="begin"/>
      </w:r>
      <w:r w:rsidR="00E20A39" w:rsidRPr="00B86885">
        <w:instrText xml:space="preserve"> REF _Ref197095059 \h </w:instrText>
      </w:r>
      <w:r w:rsidR="00B86885" w:rsidRPr="00B86885">
        <w:instrText xml:space="preserve"> \* MERGEFORMAT </w:instrText>
      </w:r>
      <w:r w:rsidR="00E20A39" w:rsidRPr="00B86885">
        <w:fldChar w:fldCharType="separate"/>
      </w:r>
      <w:r w:rsidR="00124226">
        <w:t xml:space="preserve">Figure </w:t>
      </w:r>
      <w:r w:rsidR="00124226">
        <w:rPr>
          <w:noProof/>
        </w:rPr>
        <w:t>5</w:t>
      </w:r>
      <w:r w:rsidR="00E20A39" w:rsidRPr="00B86885">
        <w:fldChar w:fldCharType="end"/>
      </w:r>
      <w:r w:rsidR="00E20A39" w:rsidRPr="00B86885">
        <w:t xml:space="preserve">. </w:t>
      </w:r>
    </w:p>
    <w:p w14:paraId="260B9D18" w14:textId="62D9C8B8" w:rsidR="00E20A39" w:rsidRDefault="00E20A39" w:rsidP="00E20A39">
      <w:pPr>
        <w:pStyle w:val="Caption"/>
      </w:pPr>
      <w:bookmarkStart w:id="96" w:name="_Ref197095059"/>
      <w:r>
        <w:t xml:space="preserve">Figure </w:t>
      </w:r>
      <w:r w:rsidR="002A692B">
        <w:fldChar w:fldCharType="begin"/>
      </w:r>
      <w:r w:rsidR="002A692B">
        <w:instrText xml:space="preserve"> SEQ Figure \* ARABIC </w:instrText>
      </w:r>
      <w:r w:rsidR="002A692B">
        <w:fldChar w:fldCharType="separate"/>
      </w:r>
      <w:r w:rsidR="00124226">
        <w:rPr>
          <w:noProof/>
        </w:rPr>
        <w:t>5</w:t>
      </w:r>
      <w:r w:rsidR="002A692B">
        <w:rPr>
          <w:noProof/>
        </w:rPr>
        <w:fldChar w:fldCharType="end"/>
      </w:r>
      <w:bookmarkEnd w:id="96"/>
      <w:r>
        <w:t>: Time-to-event curves for both treatment arms</w:t>
      </w:r>
    </w:p>
    <w:p w14:paraId="26967544" w14:textId="0CF531F7" w:rsidR="00E20A39" w:rsidRDefault="00E02632" w:rsidP="00BC63DF">
      <w:pPr>
        <w:pStyle w:val="3-BodyText"/>
        <w:numPr>
          <w:ilvl w:val="0"/>
          <w:numId w:val="0"/>
        </w:numPr>
      </w:pPr>
      <w:r>
        <w:rPr>
          <w:noProof/>
        </w:rPr>
        <w:drawing>
          <wp:inline distT="0" distB="0" distL="0" distR="0" wp14:anchorId="358A827C" wp14:editId="177BFC0B">
            <wp:extent cx="5706893" cy="3336878"/>
            <wp:effectExtent l="0" t="0" r="8255" b="0"/>
            <wp:docPr id="104272041" name="Picture 1" descr="Figure 5: Time-to-event curves for both treatmen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2041" name="Picture 1" descr="Figure 5: Time-to-event curves for both treatment arms"/>
                    <pic:cNvPicPr/>
                  </pic:nvPicPr>
                  <pic:blipFill>
                    <a:blip r:embed="rId15"/>
                    <a:stretch>
                      <a:fillRect/>
                    </a:stretch>
                  </pic:blipFill>
                  <pic:spPr>
                    <a:xfrm>
                      <a:off x="0" y="0"/>
                      <a:ext cx="5726034" cy="3348070"/>
                    </a:xfrm>
                    <a:prstGeom prst="rect">
                      <a:avLst/>
                    </a:prstGeom>
                  </pic:spPr>
                </pic:pic>
              </a:graphicData>
            </a:graphic>
          </wp:inline>
        </w:drawing>
      </w:r>
    </w:p>
    <w:p w14:paraId="2C25C117" w14:textId="7E3A8E57" w:rsidR="00E02632" w:rsidRDefault="00E02632" w:rsidP="00E02632">
      <w:pPr>
        <w:pStyle w:val="TableFigureFooter"/>
      </w:pPr>
      <w:r>
        <w:t xml:space="preserve">Source: </w:t>
      </w:r>
      <w:r w:rsidRPr="00695FD0">
        <w:t>constructed during the evaluation</w:t>
      </w:r>
      <w:r w:rsidRPr="00F60961">
        <w:rPr>
          <w:i/>
          <w:iCs/>
        </w:rPr>
        <w:t>,</w:t>
      </w:r>
      <w:r>
        <w:t xml:space="preserve"> from Sheet ‘Maintenance TTE estimate’ of the “Attachment 2 Tacrolimus final model 06March2025” Workbook provided in the submission.</w:t>
      </w:r>
    </w:p>
    <w:p w14:paraId="5C7EAED8" w14:textId="19E4D52C" w:rsidR="0055507B" w:rsidRDefault="0055507B" w:rsidP="00E02632">
      <w:pPr>
        <w:pStyle w:val="TableFigureFooter"/>
      </w:pPr>
      <w:r>
        <w:t xml:space="preserve">KM = Kaplan-Meier </w:t>
      </w:r>
    </w:p>
    <w:p w14:paraId="22FB48F7" w14:textId="40504E61" w:rsidR="004E33F0" w:rsidRPr="00BB586E" w:rsidRDefault="004E33F0" w:rsidP="00E02632">
      <w:pPr>
        <w:pStyle w:val="TableFigureFooter"/>
      </w:pPr>
      <w:r>
        <w:t xml:space="preserve">* indicates curves utilised in the base case analysis. </w:t>
      </w:r>
    </w:p>
    <w:p w14:paraId="5CCB0288" w14:textId="54FF3C2A" w:rsidR="00C52F1F" w:rsidRPr="00B86885" w:rsidRDefault="00E20A39" w:rsidP="00C52F1F">
      <w:pPr>
        <w:pStyle w:val="3-BodyText"/>
        <w:rPr>
          <w:color w:val="0066FF"/>
        </w:rPr>
      </w:pPr>
      <w:r w:rsidRPr="00B86885">
        <w:rPr>
          <w:color w:val="000000" w:themeColor="text1"/>
        </w:rPr>
        <w:t xml:space="preserve">The </w:t>
      </w:r>
      <w:r w:rsidR="00706626" w:rsidRPr="00B86885">
        <w:rPr>
          <w:color w:val="000000" w:themeColor="text1"/>
        </w:rPr>
        <w:t>proportion of patients in the post-initial flare health state of the model was calculated as the difference between the time-to-first flare and time-to-discontinuation curves.</w:t>
      </w:r>
      <w:r w:rsidR="00F369E8" w:rsidRPr="00B86885">
        <w:rPr>
          <w:color w:val="000000" w:themeColor="text1"/>
        </w:rPr>
        <w:t xml:space="preserve"> The submission assumed that patients who transition to the post-initial flare health state </w:t>
      </w:r>
      <w:r w:rsidR="006010CB" w:rsidRPr="00B86885">
        <w:rPr>
          <w:color w:val="000000" w:themeColor="text1"/>
        </w:rPr>
        <w:t>(i.e. maintena</w:t>
      </w:r>
      <w:r w:rsidR="0036309B" w:rsidRPr="00B86885">
        <w:rPr>
          <w:color w:val="000000" w:themeColor="text1"/>
        </w:rPr>
        <w:t xml:space="preserve">nce treatment) </w:t>
      </w:r>
      <w:r w:rsidR="00C52F1F" w:rsidRPr="00B86885">
        <w:rPr>
          <w:color w:val="000000" w:themeColor="text1"/>
        </w:rPr>
        <w:t xml:space="preserve">in the </w:t>
      </w:r>
      <w:r w:rsidR="00695FD0">
        <w:rPr>
          <w:color w:val="000000" w:themeColor="text1"/>
        </w:rPr>
        <w:t>0.1%</w:t>
      </w:r>
      <w:r w:rsidR="00C52F1F" w:rsidRPr="00B86885">
        <w:rPr>
          <w:color w:val="000000" w:themeColor="text1"/>
        </w:rPr>
        <w:t xml:space="preserve"> </w:t>
      </w:r>
      <w:r w:rsidR="006402CB" w:rsidRPr="00B86885">
        <w:t>TAC</w:t>
      </w:r>
      <w:r w:rsidR="00C52F1F" w:rsidRPr="00B86885">
        <w:rPr>
          <w:color w:val="000000" w:themeColor="text1"/>
        </w:rPr>
        <w:t xml:space="preserve"> arm </w:t>
      </w:r>
      <w:r w:rsidR="00F369E8" w:rsidRPr="00B86885">
        <w:rPr>
          <w:color w:val="000000" w:themeColor="text1"/>
        </w:rPr>
        <w:t>would experience 4.10 flares</w:t>
      </w:r>
      <w:r w:rsidR="007053DC" w:rsidRPr="00B86885">
        <w:rPr>
          <w:color w:val="000000" w:themeColor="text1"/>
        </w:rPr>
        <w:t xml:space="preserve"> on transition into the health state</w:t>
      </w:r>
      <w:r w:rsidR="00F369E8" w:rsidRPr="00B86885">
        <w:rPr>
          <w:color w:val="000000" w:themeColor="text1"/>
        </w:rPr>
        <w:t xml:space="preserve">, with each flare lasting 16.11 days. </w:t>
      </w:r>
      <w:r w:rsidR="007053DC" w:rsidRPr="00B86885">
        <w:rPr>
          <w:color w:val="000000" w:themeColor="text1"/>
        </w:rPr>
        <w:t>While the duration of flares was reasonable, t</w:t>
      </w:r>
      <w:r w:rsidR="00F369E8" w:rsidRPr="00B86885">
        <w:rPr>
          <w:color w:val="000000" w:themeColor="text1"/>
        </w:rPr>
        <w:t xml:space="preserve">he mean number of flares could not be verified </w:t>
      </w:r>
      <w:r w:rsidR="007053DC" w:rsidRPr="00B86885">
        <w:rPr>
          <w:color w:val="000000" w:themeColor="text1"/>
        </w:rPr>
        <w:t>from data from the CONTROL study</w:t>
      </w:r>
      <w:r w:rsidR="00F369E8" w:rsidRPr="00B86885">
        <w:rPr>
          <w:color w:val="000000" w:themeColor="text1"/>
        </w:rPr>
        <w:t xml:space="preserve">. </w:t>
      </w:r>
      <w:r w:rsidR="007053DC" w:rsidRPr="00B86885">
        <w:rPr>
          <w:color w:val="000000" w:themeColor="text1"/>
        </w:rPr>
        <w:t>However</w:t>
      </w:r>
      <w:r w:rsidR="00F369E8" w:rsidRPr="00B86885">
        <w:rPr>
          <w:color w:val="000000" w:themeColor="text1"/>
        </w:rPr>
        <w:t xml:space="preserve">, CONTROL included mild AD patients </w:t>
      </w:r>
      <w:r w:rsidR="00C52F1F" w:rsidRPr="00B86885">
        <w:rPr>
          <w:color w:val="000000" w:themeColor="text1"/>
        </w:rPr>
        <w:t xml:space="preserve">and thus, the number of flares reported may not be applicable to the proposed target population. It may be more informative to utilise the number of </w:t>
      </w:r>
      <w:r w:rsidR="007053DC" w:rsidRPr="00B86885">
        <w:rPr>
          <w:color w:val="000000" w:themeColor="text1"/>
        </w:rPr>
        <w:t xml:space="preserve">major </w:t>
      </w:r>
      <w:r w:rsidR="00C52F1F" w:rsidRPr="00B86885">
        <w:rPr>
          <w:color w:val="000000" w:themeColor="text1"/>
        </w:rPr>
        <w:t xml:space="preserve">flares reported in the </w:t>
      </w:r>
      <w:r w:rsidR="00C52F1F" w:rsidRPr="0008659F">
        <w:rPr>
          <w:i/>
          <w:iCs/>
          <w:color w:val="000000" w:themeColor="text1"/>
        </w:rPr>
        <w:t>post-hoc</w:t>
      </w:r>
      <w:r w:rsidR="00C52F1F" w:rsidRPr="00B86885">
        <w:rPr>
          <w:color w:val="000000" w:themeColor="text1"/>
        </w:rPr>
        <w:t xml:space="preserve"> analysis of the CONTROL study</w:t>
      </w:r>
      <w:r w:rsidR="007053DC" w:rsidRPr="00B86885">
        <w:rPr>
          <w:color w:val="000000" w:themeColor="text1"/>
        </w:rPr>
        <w:t xml:space="preserve"> that was</w:t>
      </w:r>
      <w:r w:rsidR="00C52F1F" w:rsidRPr="00B86885">
        <w:rPr>
          <w:color w:val="000000" w:themeColor="text1"/>
        </w:rPr>
        <w:t xml:space="preserve"> </w:t>
      </w:r>
      <w:r w:rsidR="007053DC" w:rsidRPr="00B86885">
        <w:rPr>
          <w:color w:val="000000" w:themeColor="text1"/>
        </w:rPr>
        <w:t xml:space="preserve">restricted to </w:t>
      </w:r>
      <w:r w:rsidR="00C52F1F" w:rsidRPr="00B86885">
        <w:rPr>
          <w:color w:val="000000" w:themeColor="text1"/>
        </w:rPr>
        <w:t xml:space="preserve">moderate and severe AD patients. The submission assumed that patients in the </w:t>
      </w:r>
      <w:r w:rsidR="00695FD0">
        <w:rPr>
          <w:color w:val="000000" w:themeColor="text1"/>
        </w:rPr>
        <w:t>VO</w:t>
      </w:r>
      <w:r w:rsidR="00C52F1F" w:rsidRPr="00B86885">
        <w:rPr>
          <w:color w:val="000000" w:themeColor="text1"/>
        </w:rPr>
        <w:t xml:space="preserve"> arm would experience 1 flare only</w:t>
      </w:r>
      <w:r w:rsidR="002A1EFD" w:rsidRPr="00B86885">
        <w:rPr>
          <w:color w:val="000000" w:themeColor="text1"/>
        </w:rPr>
        <w:t xml:space="preserve"> on transition to the post-initial flare health state</w:t>
      </w:r>
      <w:r w:rsidR="00C52F1F" w:rsidRPr="00B86885">
        <w:rPr>
          <w:color w:val="000000" w:themeColor="text1"/>
        </w:rPr>
        <w:t xml:space="preserve">. </w:t>
      </w:r>
      <w:r w:rsidR="00C52F1F" w:rsidRPr="006A070B">
        <w:rPr>
          <w:color w:val="000000" w:themeColor="text1"/>
        </w:rPr>
        <w:t xml:space="preserve">The </w:t>
      </w:r>
      <w:r w:rsidR="00861254" w:rsidRPr="006A070B">
        <w:rPr>
          <w:color w:val="000000" w:themeColor="text1"/>
        </w:rPr>
        <w:t>ESC noted that t</w:t>
      </w:r>
      <w:r w:rsidR="00861254">
        <w:rPr>
          <w:color w:val="000000" w:themeColor="text1"/>
        </w:rPr>
        <w:t xml:space="preserve">he </w:t>
      </w:r>
      <w:r w:rsidR="00C52F1F" w:rsidRPr="00B86885">
        <w:rPr>
          <w:color w:val="000000" w:themeColor="text1"/>
        </w:rPr>
        <w:t xml:space="preserve">rationale behind this assumption was not </w:t>
      </w:r>
      <w:r w:rsidR="00391C09" w:rsidRPr="00B86885">
        <w:rPr>
          <w:color w:val="000000" w:themeColor="text1"/>
        </w:rPr>
        <w:t>clear</w:t>
      </w:r>
      <w:r w:rsidR="00C52F1F" w:rsidRPr="00B86885">
        <w:rPr>
          <w:color w:val="000000" w:themeColor="text1"/>
        </w:rPr>
        <w:t xml:space="preserve">. </w:t>
      </w:r>
    </w:p>
    <w:p w14:paraId="751D797B" w14:textId="4276BD13" w:rsidR="00E20A39" w:rsidRPr="00B86885" w:rsidRDefault="00C52F1F" w:rsidP="00E20A39">
      <w:pPr>
        <w:pStyle w:val="3-BodyText"/>
        <w:rPr>
          <w:color w:val="0066FF"/>
        </w:rPr>
      </w:pPr>
      <w:r w:rsidRPr="00B86885">
        <w:rPr>
          <w:color w:val="000000" w:themeColor="text1"/>
        </w:rPr>
        <w:t xml:space="preserve">The submission assumed that patients in the discontinued health state, across both treatment arms, would experience 9.51 flares, with each flare lasting 15.20 days. </w:t>
      </w:r>
      <w:r w:rsidR="006D55E0" w:rsidRPr="00B86885">
        <w:t>This was sourced from a study of 2</w:t>
      </w:r>
      <w:r w:rsidR="00530DED" w:rsidRPr="00B86885">
        <w:t>,</w:t>
      </w:r>
      <w:r w:rsidR="006D55E0" w:rsidRPr="00B86885">
        <w:t>002 patients with moderate and severe AD in 8 countries</w:t>
      </w:r>
      <w:r w:rsidR="008C058E" w:rsidRPr="00B86885">
        <w:rPr>
          <w:rStyle w:val="FootnoteReference"/>
        </w:rPr>
        <w:footnoteReference w:id="28"/>
      </w:r>
      <w:r w:rsidR="006D55E0" w:rsidRPr="00B86885">
        <w:rPr>
          <w:color w:val="000000" w:themeColor="text1"/>
        </w:rPr>
        <w:t xml:space="preserve">. </w:t>
      </w:r>
      <w:r w:rsidR="006D55E0" w:rsidRPr="00B86885">
        <w:t>The applicability of this study remains uncertain as it included paediatric patients. While number of flares was reported by severity, it did not report number of flares by age and severity</w:t>
      </w:r>
      <w:r w:rsidR="00530DED" w:rsidRPr="00B86885">
        <w:t>, or extent of systemic therapy use</w:t>
      </w:r>
      <w:r w:rsidR="006D55E0" w:rsidRPr="00B86885">
        <w:t xml:space="preserve">. </w:t>
      </w:r>
      <w:r w:rsidR="00E20A39" w:rsidRPr="00B86885">
        <w:rPr>
          <w:color w:val="0066FF"/>
        </w:rPr>
        <w:t xml:space="preserve"> </w:t>
      </w:r>
    </w:p>
    <w:p w14:paraId="06CA6457" w14:textId="1C156967" w:rsidR="00E20A39" w:rsidRPr="00BF0496" w:rsidRDefault="00E20A39" w:rsidP="00E20A39">
      <w:pPr>
        <w:pStyle w:val="3-BodyText"/>
      </w:pPr>
      <w:r w:rsidRPr="00B86885">
        <w:t xml:space="preserve">Based on the </w:t>
      </w:r>
      <w:r w:rsidR="006D55E0" w:rsidRPr="00B86885">
        <w:t>mean number of flares, flare days per flare and health state membership</w:t>
      </w:r>
      <w:r w:rsidRPr="00B86885">
        <w:t xml:space="preserve">, the submission calculated the number of flare and flare-free days for patients on maintenance treatment and in the discontinued health state across both treatment arms. </w:t>
      </w:r>
      <w:r w:rsidR="006D55E0" w:rsidRPr="00B86885">
        <w:t>Health-state independent u</w:t>
      </w:r>
      <w:r w:rsidRPr="00B86885">
        <w:t>tility weights of 0.87 and 0.76</w:t>
      </w:r>
      <w:r w:rsidR="006D55E0" w:rsidRPr="00B86885">
        <w:t>, converted to per cycle utility weights of 0.0024 and 0.0021, were applied to flare-free and flare-days in all health states</w:t>
      </w:r>
      <w:r w:rsidR="001A34D9" w:rsidRPr="00B86885">
        <w:t xml:space="preserve"> (and responders and non-responders, respectively, in the primary phase of the model</w:t>
      </w:r>
      <w:r w:rsidR="00A31D0B" w:rsidRPr="00B86885">
        <w:t xml:space="preserve"> assuming response occurred mid-way through the phase</w:t>
      </w:r>
      <w:r w:rsidR="001A34D9" w:rsidRPr="00B86885">
        <w:t>)</w:t>
      </w:r>
      <w:r w:rsidR="006D55E0" w:rsidRPr="00B86885">
        <w:t xml:space="preserve">. </w:t>
      </w:r>
      <w:r w:rsidRPr="00B86885">
        <w:t>Utility weights were sourced from a published economic evaluation which made use of health-related quality-of-life (HRQoL) data collected in the adult CONTROL study</w:t>
      </w:r>
      <w:r w:rsidR="008C058E" w:rsidRPr="00B86885">
        <w:rPr>
          <w:rStyle w:val="FootnoteReference"/>
        </w:rPr>
        <w:footnoteReference w:id="29"/>
      </w:r>
      <w:r w:rsidRPr="00B86885">
        <w:t xml:space="preserve">. </w:t>
      </w:r>
      <w:r w:rsidR="003C74FF" w:rsidRPr="00B86885">
        <w:t xml:space="preserve"> The submission applied the utility value of patients with mild AD to flare-free days and a weighted utility value (based on the split of moderate and severe AD patients in CONTROL) of patients with moderate and severe AD to flare days.</w:t>
      </w:r>
      <w:r w:rsidR="00807450">
        <w:t xml:space="preserve"> </w:t>
      </w:r>
      <w:r w:rsidR="00807450" w:rsidRPr="00BF0496">
        <w:t xml:space="preserve">The PSCR </w:t>
      </w:r>
      <w:r w:rsidR="004C6EA4" w:rsidRPr="00BF0496">
        <w:t xml:space="preserve">stated that the application of a </w:t>
      </w:r>
      <w:r w:rsidR="00402D3D" w:rsidRPr="00BF0496">
        <w:t>utility value</w:t>
      </w:r>
      <w:r w:rsidR="0034108D" w:rsidRPr="00BF0496">
        <w:t>, based on mild AD</w:t>
      </w:r>
      <w:r w:rsidR="00402D3D" w:rsidRPr="00BF0496">
        <w:t>,</w:t>
      </w:r>
      <w:r w:rsidR="0034108D" w:rsidRPr="00BF0496">
        <w:t xml:space="preserve"> to flare-free day</w:t>
      </w:r>
      <w:r w:rsidR="00402D3D" w:rsidRPr="00BF0496">
        <w:t>s</w:t>
      </w:r>
      <w:r w:rsidR="0034108D" w:rsidRPr="00BF0496">
        <w:t xml:space="preserve"> and a weighted utility, based on moderate to severe </w:t>
      </w:r>
      <w:r w:rsidR="00402D3D" w:rsidRPr="00BF0496">
        <w:t xml:space="preserve">AD, </w:t>
      </w:r>
      <w:r w:rsidR="007503F4" w:rsidRPr="00BF0496">
        <w:t>to flare days mirrored clinical reality</w:t>
      </w:r>
      <w:r w:rsidR="00907925" w:rsidRPr="00BF0496">
        <w:t xml:space="preserve"> in which patients without flares are classified as having mild AD, whereas those with </w:t>
      </w:r>
      <w:r w:rsidR="003B3A36" w:rsidRPr="00BF0496">
        <w:t>a flare returns the patient to moderate or severe status.</w:t>
      </w:r>
      <w:r w:rsidR="003C74FF" w:rsidRPr="00BF0496">
        <w:t xml:space="preserve"> </w:t>
      </w:r>
      <w:r w:rsidR="003B3A36" w:rsidRPr="00BF0496">
        <w:t>T</w:t>
      </w:r>
      <w:r w:rsidR="003C74FF" w:rsidRPr="00BF0496">
        <w:t>he</w:t>
      </w:r>
      <w:r w:rsidRPr="00BF0496">
        <w:t xml:space="preserve"> </w:t>
      </w:r>
      <w:r w:rsidR="003B3A36" w:rsidRPr="00BF0496">
        <w:t>submission</w:t>
      </w:r>
      <w:r w:rsidRPr="00BF0496">
        <w:t xml:space="preserve"> did not state the tool utilised to translate the HRQoL data</w:t>
      </w:r>
      <w:r w:rsidR="00A7404D" w:rsidRPr="00BF0496">
        <w:t>,</w:t>
      </w:r>
      <w:r w:rsidRPr="00BF0496">
        <w:t xml:space="preserve"> nor did it provide information about the completion rate in the study.</w:t>
      </w:r>
      <w:r w:rsidR="006D55E0" w:rsidRPr="00BF0496">
        <w:t xml:space="preserve"> </w:t>
      </w:r>
      <w:r w:rsidR="00D451D6" w:rsidRPr="00BF0496">
        <w:t>Alternate values (0.85 and 0.78 for flare-free and flare days, respectively)</w:t>
      </w:r>
      <w:r w:rsidR="003C74FF" w:rsidRPr="00BF0496">
        <w:t>, f</w:t>
      </w:r>
      <w:r w:rsidR="00812BB1" w:rsidRPr="00BF0496">
        <w:t xml:space="preserve">rom </w:t>
      </w:r>
      <w:r w:rsidR="003C74FF" w:rsidRPr="00BF0496">
        <w:t>a study</w:t>
      </w:r>
      <w:r w:rsidR="003C74FF" w:rsidRPr="00BF0496">
        <w:rPr>
          <w:rStyle w:val="FootnoteReference"/>
        </w:rPr>
        <w:footnoteReference w:id="30"/>
      </w:r>
      <w:r w:rsidR="003C74FF" w:rsidRPr="00BF0496">
        <w:t xml:space="preserve"> that made use of HRQoL data from CONTROL and</w:t>
      </w:r>
      <w:r w:rsidR="002E13BA" w:rsidRPr="00BF0496">
        <w:t xml:space="preserve"> </w:t>
      </w:r>
      <w:r w:rsidR="003C74FF" w:rsidRPr="00BF0496">
        <w:t>UK tariffs for EQ-5D and SF-6D responses to estimate the utility changes associated with TAC use</w:t>
      </w:r>
      <w:r w:rsidR="00812BB1" w:rsidRPr="00BF0496">
        <w:t>,</w:t>
      </w:r>
      <w:r w:rsidR="00D451D6" w:rsidRPr="00BF0496">
        <w:t xml:space="preserve"> significantly increase the ICER.</w:t>
      </w:r>
      <w:r w:rsidR="0018707E" w:rsidRPr="00BF0496">
        <w:t xml:space="preserve"> The ESC noted that while it may be reasonable to apply utility </w:t>
      </w:r>
      <w:r w:rsidR="00E01594" w:rsidRPr="00BF0496">
        <w:t>values for</w:t>
      </w:r>
      <w:r w:rsidR="0018707E" w:rsidRPr="00BF0496">
        <w:t xml:space="preserve"> mild AD to </w:t>
      </w:r>
      <w:r w:rsidR="00CB7F9D" w:rsidRPr="00BF0496">
        <w:t>flare-free days and a weighted util</w:t>
      </w:r>
      <w:r w:rsidR="00E01594" w:rsidRPr="00BF0496">
        <w:t>ity value</w:t>
      </w:r>
      <w:r w:rsidR="00CB7F9D" w:rsidRPr="00BF0496">
        <w:t xml:space="preserve"> of </w:t>
      </w:r>
      <w:r w:rsidR="00E01594" w:rsidRPr="00BF0496">
        <w:t>moderate and severe AD to flare days</w:t>
      </w:r>
      <w:r w:rsidR="003B5BDA" w:rsidRPr="00BF0496">
        <w:t>, the source studies were associated with uncertainty</w:t>
      </w:r>
      <w:r w:rsidR="00C32A5E" w:rsidRPr="00BF0496">
        <w:t>.</w:t>
      </w:r>
    </w:p>
    <w:p w14:paraId="1D780C70" w14:textId="7DD4B181" w:rsidR="00E20A39" w:rsidRPr="00B86885" w:rsidRDefault="00E20A39" w:rsidP="00E20A39">
      <w:pPr>
        <w:pStyle w:val="3-BodyText"/>
      </w:pPr>
      <w:r w:rsidRPr="00B86885">
        <w:t>Treatment costs associated with</w:t>
      </w:r>
      <w:r w:rsidR="006402CB" w:rsidRPr="00B86885">
        <w:t xml:space="preserve"> </w:t>
      </w:r>
      <w:r w:rsidR="00695FD0">
        <w:t xml:space="preserve">0.1% </w:t>
      </w:r>
      <w:r w:rsidR="006402CB" w:rsidRPr="00B86885">
        <w:t xml:space="preserve">TAC </w:t>
      </w:r>
      <w:r w:rsidRPr="00B86885">
        <w:t xml:space="preserve">were estimated based on the average use per day observed in the adult CONTROL study for treatment of </w:t>
      </w:r>
      <w:r w:rsidR="004D13BA" w:rsidRPr="00B86885">
        <w:t>primary therapy/</w:t>
      </w:r>
      <w:r w:rsidRPr="00B86885">
        <w:t>flares and maintenance treatment</w:t>
      </w:r>
      <w:r w:rsidR="006D55E0" w:rsidRPr="00B86885">
        <w:t>, that is,</w:t>
      </w:r>
      <w:r w:rsidRPr="00B86885">
        <w:t xml:space="preserve"> 3.88 g per day for flare treatment and 1.23 g per day for maintenance treatment</w:t>
      </w:r>
      <w:r w:rsidR="006D55E0" w:rsidRPr="00B86885">
        <w:t xml:space="preserve">. </w:t>
      </w:r>
      <w:r w:rsidRPr="00B86885">
        <w:t>Based on the proposed DPMQ of $</w:t>
      </w:r>
      <w:r w:rsidR="00460689" w:rsidRPr="00C10373">
        <w:rPr>
          <w:color w:val="000000"/>
          <w:w w:val="60"/>
          <w:shd w:val="solid" w:color="000000" w:fill="000000"/>
          <w:fitText w:val="466" w:id="-632553469"/>
          <w14:textFill>
            <w14:solidFill>
              <w14:srgbClr w14:val="000000">
                <w14:alpha w14:val="100000"/>
              </w14:srgbClr>
            </w14:solidFill>
          </w14:textFill>
        </w:rPr>
        <w:t>|||  ||</w:t>
      </w:r>
      <w:r w:rsidR="00460689" w:rsidRPr="00C10373">
        <w:rPr>
          <w:color w:val="000000"/>
          <w:spacing w:val="2"/>
          <w:w w:val="60"/>
          <w:shd w:val="solid" w:color="000000" w:fill="000000"/>
          <w:fitText w:val="466" w:id="-632553469"/>
          <w14:textFill>
            <w14:solidFill>
              <w14:srgbClr w14:val="000000">
                <w14:alpha w14:val="100000"/>
              </w14:srgbClr>
            </w14:solidFill>
          </w14:textFill>
        </w:rPr>
        <w:t>|</w:t>
      </w:r>
      <w:r w:rsidRPr="00B86885">
        <w:t xml:space="preserve"> per 30</w:t>
      </w:r>
      <w:r w:rsidR="00555DF9" w:rsidRPr="00B86885">
        <w:t> </w:t>
      </w:r>
      <w:r w:rsidRPr="00B86885">
        <w:t xml:space="preserve">g ointment tube, a cost per gram of $2.45 was applied </w:t>
      </w:r>
      <w:r w:rsidR="006D55E0" w:rsidRPr="00B86885">
        <w:t>to</w:t>
      </w:r>
      <w:r w:rsidRPr="00B86885">
        <w:t xml:space="preserve"> flare and flare-free days</w:t>
      </w:r>
      <w:r w:rsidR="006D55E0" w:rsidRPr="00B86885">
        <w:t xml:space="preserve"> while patients were on treatment with </w:t>
      </w:r>
      <w:r w:rsidR="00695FD0">
        <w:t xml:space="preserve">0.1% </w:t>
      </w:r>
      <w:r w:rsidR="006402CB" w:rsidRPr="00B86885">
        <w:t>TAC</w:t>
      </w:r>
      <w:r w:rsidRPr="00B86885">
        <w:t xml:space="preserve">. </w:t>
      </w:r>
    </w:p>
    <w:p w14:paraId="2181EC52" w14:textId="1025C490" w:rsidR="00E20A39" w:rsidRPr="00B86885" w:rsidRDefault="00E20A39" w:rsidP="00E20A39">
      <w:pPr>
        <w:pStyle w:val="3-BodyText"/>
      </w:pPr>
      <w:r w:rsidRPr="00B86885">
        <w:rPr>
          <w:color w:val="000000" w:themeColor="text1"/>
        </w:rPr>
        <w:t xml:space="preserve">Costs associated with disease management </w:t>
      </w:r>
      <w:r w:rsidR="005E2B82" w:rsidRPr="00B86885">
        <w:rPr>
          <w:color w:val="000000" w:themeColor="text1"/>
        </w:rPr>
        <w:t xml:space="preserve">were accrued daily based on assumed healthcare resource utilisation </w:t>
      </w:r>
      <w:r w:rsidR="00282D89" w:rsidRPr="00B86885">
        <w:rPr>
          <w:color w:val="000000" w:themeColor="text1"/>
        </w:rPr>
        <w:t xml:space="preserve">per </w:t>
      </w:r>
      <w:r w:rsidR="005E2B82" w:rsidRPr="00B86885">
        <w:rPr>
          <w:color w:val="000000" w:themeColor="text1"/>
        </w:rPr>
        <w:t xml:space="preserve">flare and flare-free day. The submission assumed a higher resource utilisation for patients experiencing flare days, in both treatment arms and for patients on or off treatment. </w:t>
      </w:r>
    </w:p>
    <w:p w14:paraId="1053D225" w14:textId="5621AB82" w:rsidR="00E20A39" w:rsidRPr="00BF0496" w:rsidRDefault="00E20A39" w:rsidP="0008049E">
      <w:pPr>
        <w:pStyle w:val="3-BodyText"/>
      </w:pPr>
      <w:bookmarkStart w:id="97" w:name="_Ref198295909"/>
      <w:r w:rsidRPr="00B86885">
        <w:rPr>
          <w:color w:val="000000" w:themeColor="text1"/>
        </w:rPr>
        <w:t xml:space="preserve">Subsequent treatment costs for phototherapy, dupilumab, </w:t>
      </w:r>
      <w:r w:rsidR="004E33F0" w:rsidRPr="00B86885">
        <w:rPr>
          <w:color w:val="000000" w:themeColor="text1"/>
        </w:rPr>
        <w:t>upadacitinib</w:t>
      </w:r>
      <w:r w:rsidRPr="00B86885">
        <w:rPr>
          <w:color w:val="000000" w:themeColor="text1"/>
        </w:rPr>
        <w:t xml:space="preserve"> and ciclosporin were included for 4%, 9%, 1.</w:t>
      </w:r>
      <w:r w:rsidRPr="00B86885">
        <w:t>9% and 2.4%</w:t>
      </w:r>
      <w:r w:rsidR="00812BB1" w:rsidRPr="00B86885">
        <w:t>,</w:t>
      </w:r>
      <w:r w:rsidRPr="00B86885">
        <w:t xml:space="preserve"> </w:t>
      </w:r>
      <w:r w:rsidR="004D13BA" w:rsidRPr="00B86885">
        <w:t>respectively</w:t>
      </w:r>
      <w:r w:rsidR="00812BB1" w:rsidRPr="00B86885">
        <w:t xml:space="preserve">, </w:t>
      </w:r>
      <w:r w:rsidRPr="00B86885">
        <w:t>of patients that were in the discontinued health state. While inclusion of subsequent therapies was reasonable, ciclosporin</w:t>
      </w:r>
      <w:r w:rsidR="005E2B82" w:rsidRPr="00B86885">
        <w:t>,</w:t>
      </w:r>
      <w:r w:rsidRPr="00B86885">
        <w:t xml:space="preserve"> dupilumab</w:t>
      </w:r>
      <w:r w:rsidR="005E2B82" w:rsidRPr="00B86885">
        <w:t xml:space="preserve"> and upadacitinib</w:t>
      </w:r>
      <w:r w:rsidRPr="00B86885">
        <w:t xml:space="preserve"> are currently listed for treatment of severe AD only. </w:t>
      </w:r>
      <w:r w:rsidR="005E2B82" w:rsidRPr="00B86885">
        <w:t xml:space="preserve">It </w:t>
      </w:r>
      <w:r w:rsidR="008672B1">
        <w:t>was</w:t>
      </w:r>
      <w:r w:rsidR="008672B1" w:rsidRPr="00B86885">
        <w:t xml:space="preserve"> </w:t>
      </w:r>
      <w:r w:rsidR="005E2B82" w:rsidRPr="00B86885">
        <w:t xml:space="preserve">unclear whether patients discontinued </w:t>
      </w:r>
      <w:r w:rsidR="006402CB" w:rsidRPr="00B86885">
        <w:t>TAC</w:t>
      </w:r>
      <w:r w:rsidR="002D62CF" w:rsidRPr="00B86885">
        <w:t xml:space="preserve"> </w:t>
      </w:r>
      <w:r w:rsidR="005E2B82" w:rsidRPr="00B86885">
        <w:t xml:space="preserve">due to treatment success, inadequate response to treatment or due to worsening of disease symptoms. </w:t>
      </w:r>
      <w:r w:rsidRPr="00B86885">
        <w:t xml:space="preserve">Further, </w:t>
      </w:r>
      <w:r w:rsidRPr="00BF0496">
        <w:t xml:space="preserve">the </w:t>
      </w:r>
      <w:r w:rsidR="001909EE" w:rsidRPr="00BF0496">
        <w:t>ESC noted that</w:t>
      </w:r>
      <w:r w:rsidR="001909EE">
        <w:t xml:space="preserve"> the </w:t>
      </w:r>
      <w:r w:rsidRPr="00B86885">
        <w:t>distribution of the subsequent therapies in the discontinued health state remains uncertain</w:t>
      </w:r>
      <w:r w:rsidR="00555DF9" w:rsidRPr="00B86885">
        <w:t xml:space="preserve">, with the PBAC noting low uptake rates of </w:t>
      </w:r>
      <w:r w:rsidR="00A912BC" w:rsidRPr="00B86885">
        <w:t>3.5</w:t>
      </w:r>
      <w:r w:rsidR="00167126">
        <w:t xml:space="preserve"> t</w:t>
      </w:r>
      <w:r w:rsidR="00D25216">
        <w:t xml:space="preserve">o </w:t>
      </w:r>
      <w:r w:rsidR="00A912BC" w:rsidRPr="00B86885">
        <w:t>5%</w:t>
      </w:r>
      <w:r w:rsidR="00555DF9" w:rsidRPr="00B86885">
        <w:t xml:space="preserve"> in eligible patients (Table </w:t>
      </w:r>
      <w:r w:rsidR="00ED2919" w:rsidRPr="00B86885">
        <w:t>5</w:t>
      </w:r>
      <w:r w:rsidR="00555DF9" w:rsidRPr="00B86885">
        <w:t xml:space="preserve">, dupilumab PSD, </w:t>
      </w:r>
      <w:r w:rsidR="00ED2919" w:rsidRPr="00B86885">
        <w:t xml:space="preserve">November </w:t>
      </w:r>
      <w:r w:rsidR="00555DF9" w:rsidRPr="00B86885">
        <w:t xml:space="preserve">2020 PBAC Meeting). </w:t>
      </w:r>
      <w:r w:rsidR="00A36074">
        <w:t>Additionally</w:t>
      </w:r>
      <w:r w:rsidR="0008049E" w:rsidRPr="00B86885">
        <w:t xml:space="preserve">, </w:t>
      </w:r>
      <w:r w:rsidR="00A36074" w:rsidRPr="00BF0496">
        <w:t>the ESC noted that</w:t>
      </w:r>
      <w:r w:rsidR="00A36074">
        <w:t xml:space="preserve"> </w:t>
      </w:r>
      <w:r w:rsidR="0008049E" w:rsidRPr="00B86885">
        <w:t xml:space="preserve">costs for dupilumab and </w:t>
      </w:r>
      <w:r w:rsidR="004E33F0" w:rsidRPr="00B86885">
        <w:t>upadacitinib</w:t>
      </w:r>
      <w:r w:rsidR="0008049E" w:rsidRPr="00B86885">
        <w:t xml:space="preserve"> were estimated based</w:t>
      </w:r>
      <w:r w:rsidR="00ED2919" w:rsidRPr="00B86885">
        <w:t xml:space="preserve"> </w:t>
      </w:r>
      <w:r w:rsidR="0008049E" w:rsidRPr="00B86885">
        <w:t xml:space="preserve">on the assumption that patients would undergo one year of treatment. However, </w:t>
      </w:r>
      <w:r w:rsidR="000E7DB9" w:rsidRPr="00B86885">
        <w:t>a</w:t>
      </w:r>
      <w:r w:rsidR="0008049E" w:rsidRPr="00B86885">
        <w:t xml:space="preserve">pproximately 60% and 70% of patients respond to initial treatment with dupilumab and </w:t>
      </w:r>
      <w:r w:rsidR="004E33F0" w:rsidRPr="00B86885">
        <w:t>upadacitinib</w:t>
      </w:r>
      <w:r w:rsidR="0008049E" w:rsidRPr="00B86885">
        <w:t xml:space="preserve">, respectively (Table 19, dupilumab PSD, March 2020 PBAC Meeting and Table 16, upadacitinib PSD, July 2021 PBAC Meeting). When response to initial treatment is considered, the number of scripts per patient per year reduces to 10.08 and 9.38 (compared to the base case of 13.50 and 13.05 scripts) for dupilumab and upadacitinib, respectively. </w:t>
      </w:r>
      <w:r w:rsidR="00160DE1" w:rsidRPr="00BF0496">
        <w:t xml:space="preserve">The </w:t>
      </w:r>
      <w:r w:rsidR="00550863" w:rsidRPr="00BF0496">
        <w:t xml:space="preserve">PSCR stated that PBS data indicates that 92% of patients who receive a </w:t>
      </w:r>
      <w:r w:rsidR="009076B3" w:rsidRPr="00BF0496">
        <w:t>PBS-funded biologic have previously received PBS-funded topical therapies</w:t>
      </w:r>
      <w:r w:rsidR="003B0C9F" w:rsidRPr="00BF0496">
        <w:t>; further, the data indicated that the m</w:t>
      </w:r>
      <w:r w:rsidR="00110D9B" w:rsidRPr="00BF0496">
        <w:t>e</w:t>
      </w:r>
      <w:r w:rsidR="003B0C9F" w:rsidRPr="00BF0496">
        <w:t xml:space="preserve">an length of treatment </w:t>
      </w:r>
      <w:r w:rsidR="00110D9B" w:rsidRPr="00BF0496">
        <w:t xml:space="preserve">with </w:t>
      </w:r>
      <w:r w:rsidR="003B0C9F" w:rsidRPr="00BF0496">
        <w:t xml:space="preserve">was 1.7 years. </w:t>
      </w:r>
      <w:r w:rsidR="005E2B82" w:rsidRPr="00BF0496">
        <w:t>Phototherapy costs were applied per flare to patients in the discontinued health state, based on a treatment schedule of 3 sessions a week, for 10 weeks</w:t>
      </w:r>
      <w:r w:rsidR="002D62CF" w:rsidRPr="00BF0496">
        <w:t>.</w:t>
      </w:r>
      <w:r w:rsidR="005E2B82" w:rsidRPr="00BF0496">
        <w:t xml:space="preserve"> It is unclear whether patients would require phototherapy on occurrence of each flare as phototherapy may be administered intermittently or continuously as maintenance treatment.</w:t>
      </w:r>
      <w:bookmarkEnd w:id="97"/>
      <w:r w:rsidR="00C02AA8" w:rsidRPr="00BF0496">
        <w:t xml:space="preserve"> </w:t>
      </w:r>
      <w:r w:rsidR="00CB7AF9" w:rsidRPr="00BF0496">
        <w:t>Although t</w:t>
      </w:r>
      <w:r w:rsidR="00C02AA8" w:rsidRPr="00BF0496">
        <w:t xml:space="preserve">he PSCR stated that </w:t>
      </w:r>
      <w:r w:rsidR="00C46801" w:rsidRPr="00BF0496">
        <w:t xml:space="preserve">a conservative assumption was made that phototherapy would be restricted to </w:t>
      </w:r>
      <w:r w:rsidR="003E0C04" w:rsidRPr="00BF0496">
        <w:t>flare management only</w:t>
      </w:r>
      <w:r w:rsidR="00CB7AF9" w:rsidRPr="00BF0496">
        <w:t>,</w:t>
      </w:r>
      <w:r w:rsidR="00E81F41" w:rsidRPr="00BF0496">
        <w:t xml:space="preserve"> the </w:t>
      </w:r>
      <w:r w:rsidR="00CB7AF9" w:rsidRPr="00BF0496">
        <w:t xml:space="preserve">ESC noted that the </w:t>
      </w:r>
      <w:r w:rsidR="00E81F41" w:rsidRPr="00BF0496">
        <w:t xml:space="preserve">assumption that </w:t>
      </w:r>
      <w:r w:rsidR="00CB7AF9" w:rsidRPr="00BF0496">
        <w:t>phototherapy would be required for each flare (assuming 9.51 flares per year) remained unjustified.</w:t>
      </w:r>
      <w:r w:rsidR="00FE6D55">
        <w:t xml:space="preserve"> The pre-PBAC response </w:t>
      </w:r>
      <w:r w:rsidR="00E10068">
        <w:t xml:space="preserve">stated that </w:t>
      </w:r>
      <w:r w:rsidR="00293052">
        <w:t xml:space="preserve">when all phototherapy costs were removed, the ICER remained </w:t>
      </w:r>
      <w:r w:rsidR="002971BD">
        <w:t>dominant, demonstrating that 0.1%</w:t>
      </w:r>
      <w:r w:rsidR="00695FD0">
        <w:t xml:space="preserve"> </w:t>
      </w:r>
      <w:r w:rsidR="002971BD">
        <w:t xml:space="preserve">TAC </w:t>
      </w:r>
      <w:r w:rsidR="00B1348E">
        <w:t>was cost-effective even under unfavourable assumptions.</w:t>
      </w:r>
    </w:p>
    <w:p w14:paraId="7AB18C6F" w14:textId="56A6AC57" w:rsidR="00E20A39" w:rsidRPr="00B86885" w:rsidRDefault="00E20A39" w:rsidP="00E20A39">
      <w:pPr>
        <w:pStyle w:val="3-BodyText"/>
      </w:pPr>
      <w:r w:rsidRPr="00B86885">
        <w:rPr>
          <w:color w:val="000000" w:themeColor="text1"/>
        </w:rPr>
        <w:t xml:space="preserve">The key drivers of the economic model are summarised in </w:t>
      </w:r>
      <w:r w:rsidRPr="00B86885">
        <w:rPr>
          <w:color w:val="000000" w:themeColor="text1"/>
        </w:rPr>
        <w:fldChar w:fldCharType="begin"/>
      </w:r>
      <w:r w:rsidRPr="00B86885">
        <w:rPr>
          <w:color w:val="000000" w:themeColor="text1"/>
        </w:rPr>
        <w:instrText xml:space="preserve"> REF _Ref104805122 \h </w:instrText>
      </w:r>
      <w:r w:rsidR="00B86885" w:rsidRPr="00B86885">
        <w:rPr>
          <w:color w:val="000000" w:themeColor="text1"/>
        </w:rPr>
        <w:instrText xml:space="preserve"> \* MERGEFORMAT </w:instrText>
      </w:r>
      <w:r w:rsidRPr="00B86885">
        <w:rPr>
          <w:color w:val="000000" w:themeColor="text1"/>
        </w:rPr>
      </w:r>
      <w:r w:rsidRPr="00B86885">
        <w:rPr>
          <w:color w:val="000000" w:themeColor="text1"/>
        </w:rPr>
        <w:fldChar w:fldCharType="separate"/>
      </w:r>
      <w:r w:rsidR="00124226" w:rsidRPr="00D86D87">
        <w:t xml:space="preserve">Table </w:t>
      </w:r>
      <w:r w:rsidR="00124226">
        <w:rPr>
          <w:noProof/>
        </w:rPr>
        <w:t>9</w:t>
      </w:r>
      <w:r w:rsidRPr="00B86885">
        <w:rPr>
          <w:color w:val="000000" w:themeColor="text1"/>
        </w:rPr>
        <w:fldChar w:fldCharType="end"/>
      </w:r>
      <w:r w:rsidRPr="00B86885">
        <w:rPr>
          <w:color w:val="000000" w:themeColor="text1"/>
        </w:rPr>
        <w:t xml:space="preserve">. </w:t>
      </w:r>
    </w:p>
    <w:p w14:paraId="08658AF8" w14:textId="6EE17238" w:rsidR="00E20A39" w:rsidRPr="00D86D87" w:rsidRDefault="00E20A39" w:rsidP="0086378A">
      <w:pPr>
        <w:pStyle w:val="TableFigureHeading"/>
        <w:widowControl w:val="0"/>
        <w:rPr>
          <w:rStyle w:val="CommentReference"/>
          <w:b/>
          <w:szCs w:val="24"/>
        </w:rPr>
      </w:pPr>
      <w:bookmarkStart w:id="98" w:name="_Ref104805122"/>
      <w:r w:rsidRPr="00D86D87">
        <w:t xml:space="preserve">Table </w:t>
      </w:r>
      <w:r w:rsidR="002A692B">
        <w:fldChar w:fldCharType="begin"/>
      </w:r>
      <w:r w:rsidR="002A692B">
        <w:instrText xml:space="preserve"> SEQ Table \* ARABIC </w:instrText>
      </w:r>
      <w:r w:rsidR="002A692B">
        <w:fldChar w:fldCharType="separate"/>
      </w:r>
      <w:r w:rsidR="00124226">
        <w:rPr>
          <w:noProof/>
        </w:rPr>
        <w:t>9</w:t>
      </w:r>
      <w:r w:rsidR="002A692B">
        <w:rPr>
          <w:noProof/>
        </w:rPr>
        <w:fldChar w:fldCharType="end"/>
      </w:r>
      <w:bookmarkEnd w:id="98"/>
      <w:r w:rsidRPr="00D86D87">
        <w:t>:</w:t>
      </w:r>
      <w:r w:rsidRPr="00D86D87">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676"/>
        <w:gridCol w:w="2160"/>
        <w:gridCol w:w="5181"/>
      </w:tblGrid>
      <w:tr w:rsidR="00E20A39" w:rsidRPr="00B86885" w14:paraId="6BEF75F9" w14:textId="77777777" w:rsidTr="00BC63DF">
        <w:trPr>
          <w:tblHeader/>
        </w:trPr>
        <w:tc>
          <w:tcPr>
            <w:tcW w:w="929" w:type="pct"/>
            <w:vAlign w:val="center"/>
          </w:tcPr>
          <w:p w14:paraId="3A90FD53" w14:textId="77777777" w:rsidR="00E20A39" w:rsidRPr="00B86885" w:rsidRDefault="00E20A39" w:rsidP="0086378A">
            <w:pPr>
              <w:pStyle w:val="In-tableHeading"/>
              <w:widowControl w:val="0"/>
              <w:jc w:val="center"/>
              <w:rPr>
                <w:lang w:val="en-AU"/>
              </w:rPr>
            </w:pPr>
            <w:r w:rsidRPr="00B86885">
              <w:rPr>
                <w:lang w:val="en-AU"/>
              </w:rPr>
              <w:t>Description</w:t>
            </w:r>
          </w:p>
        </w:tc>
        <w:tc>
          <w:tcPr>
            <w:tcW w:w="1198" w:type="pct"/>
            <w:vAlign w:val="center"/>
          </w:tcPr>
          <w:p w14:paraId="67531997" w14:textId="77777777" w:rsidR="00E20A39" w:rsidRPr="00B86885" w:rsidRDefault="00E20A39" w:rsidP="0086378A">
            <w:pPr>
              <w:pStyle w:val="In-tableHeading"/>
              <w:widowControl w:val="0"/>
              <w:jc w:val="center"/>
              <w:rPr>
                <w:lang w:val="en-AU"/>
              </w:rPr>
            </w:pPr>
            <w:r w:rsidRPr="00B86885">
              <w:rPr>
                <w:lang w:val="en-AU"/>
              </w:rPr>
              <w:t>Method/Value</w:t>
            </w:r>
          </w:p>
        </w:tc>
        <w:tc>
          <w:tcPr>
            <w:tcW w:w="2873" w:type="pct"/>
            <w:vAlign w:val="center"/>
          </w:tcPr>
          <w:p w14:paraId="7A0997C9" w14:textId="77777777" w:rsidR="00E20A39" w:rsidRPr="00B86885" w:rsidRDefault="00E20A39" w:rsidP="0086378A">
            <w:pPr>
              <w:pStyle w:val="In-tableHeading"/>
              <w:widowControl w:val="0"/>
              <w:jc w:val="center"/>
              <w:rPr>
                <w:lang w:val="en-AU"/>
              </w:rPr>
            </w:pPr>
            <w:r w:rsidRPr="00B86885">
              <w:rPr>
                <w:lang w:val="en-AU"/>
              </w:rPr>
              <w:t>Impact</w:t>
            </w:r>
          </w:p>
          <w:p w14:paraId="5D10E35E" w14:textId="6E6FECCC" w:rsidR="00E20A39" w:rsidRPr="00B86885" w:rsidRDefault="00E20A39" w:rsidP="0086378A">
            <w:pPr>
              <w:pStyle w:val="In-tableHeading"/>
              <w:widowControl w:val="0"/>
              <w:jc w:val="center"/>
              <w:rPr>
                <w:lang w:val="en-AU"/>
              </w:rPr>
            </w:pPr>
            <w:r w:rsidRPr="00B86885">
              <w:rPr>
                <w:rFonts w:cs="Arial"/>
                <w:szCs w:val="20"/>
                <w:lang w:val="en-AU"/>
              </w:rPr>
              <w:t>Revised base case</w:t>
            </w:r>
            <w:r w:rsidR="00555DF9" w:rsidRPr="00B86885">
              <w:rPr>
                <w:rFonts w:cs="Arial"/>
                <w:szCs w:val="20"/>
                <w:lang w:val="en-AU"/>
              </w:rPr>
              <w:t>: Dominant</w:t>
            </w:r>
            <w:r w:rsidRPr="00B86885">
              <w:rPr>
                <w:rFonts w:cs="Arial"/>
                <w:color w:val="3366FF"/>
                <w:szCs w:val="20"/>
                <w:lang w:val="en-AU"/>
              </w:rPr>
              <w:t>.</w:t>
            </w:r>
          </w:p>
        </w:tc>
      </w:tr>
      <w:tr w:rsidR="00E20A39" w:rsidRPr="00B86885" w14:paraId="27F6BB0F" w14:textId="77777777" w:rsidTr="00BC63DF">
        <w:tc>
          <w:tcPr>
            <w:tcW w:w="929" w:type="pct"/>
            <w:vAlign w:val="center"/>
          </w:tcPr>
          <w:p w14:paraId="35F254A2" w14:textId="1C310E6F" w:rsidR="00E20A39" w:rsidRPr="00B86885" w:rsidRDefault="00C9779F" w:rsidP="0086378A">
            <w:pPr>
              <w:pStyle w:val="TableText0"/>
              <w:widowControl w:val="0"/>
            </w:pPr>
            <w:r w:rsidRPr="00B86885">
              <w:t xml:space="preserve">Proportion of patients treated with dupilumab </w:t>
            </w:r>
            <w:r w:rsidR="00F94837" w:rsidRPr="00B86885">
              <w:t>as subsequent therapy</w:t>
            </w:r>
          </w:p>
        </w:tc>
        <w:tc>
          <w:tcPr>
            <w:tcW w:w="1198" w:type="pct"/>
            <w:vAlign w:val="center"/>
          </w:tcPr>
          <w:p w14:paraId="2CA5A4B1" w14:textId="432332DE" w:rsidR="00E20A39" w:rsidRPr="00B86885" w:rsidRDefault="00824E8D" w:rsidP="0086378A">
            <w:pPr>
              <w:pStyle w:val="TableText0"/>
              <w:widowControl w:val="0"/>
            </w:pPr>
            <w:r w:rsidRPr="00B86885">
              <w:t xml:space="preserve">Applied to 9% of patients in the discontinued health state. </w:t>
            </w:r>
          </w:p>
        </w:tc>
        <w:tc>
          <w:tcPr>
            <w:tcW w:w="2873" w:type="pct"/>
            <w:vAlign w:val="center"/>
          </w:tcPr>
          <w:p w14:paraId="3BB54BB7" w14:textId="77777777" w:rsidR="00E20A39" w:rsidRPr="00B86885" w:rsidRDefault="00824E8D" w:rsidP="0086378A">
            <w:pPr>
              <w:pStyle w:val="TableText0"/>
              <w:widowControl w:val="0"/>
            </w:pPr>
            <w:r w:rsidRPr="00B86885">
              <w:t xml:space="preserve">High, favours tacrolimus. </w:t>
            </w:r>
          </w:p>
          <w:p w14:paraId="038888DA" w14:textId="60C6C7C8" w:rsidR="00824E8D" w:rsidRPr="00B86885" w:rsidRDefault="00F762C8" w:rsidP="0086378A">
            <w:pPr>
              <w:pStyle w:val="TableText0"/>
              <w:widowControl w:val="0"/>
            </w:pPr>
            <w:r w:rsidRPr="00B86885">
              <w:t xml:space="preserve">The extent of use of dupilumab is uncertain with the PBAC noting low uptake rates of </w:t>
            </w:r>
            <w:r w:rsidR="00A912BC" w:rsidRPr="00B86885">
              <w:t>3.5</w:t>
            </w:r>
            <w:r w:rsidR="00D25216">
              <w:t xml:space="preserve"> to </w:t>
            </w:r>
            <w:r w:rsidR="00A912BC" w:rsidRPr="00B86885">
              <w:t>5%</w:t>
            </w:r>
            <w:r w:rsidRPr="00B86885">
              <w:t xml:space="preserve"> in eligible patients (Table </w:t>
            </w:r>
            <w:r w:rsidR="00ED2919" w:rsidRPr="00B86885">
              <w:t>5</w:t>
            </w:r>
            <w:r w:rsidRPr="00B86885">
              <w:t xml:space="preserve">, dupilumab PSD, </w:t>
            </w:r>
            <w:r w:rsidR="00ED2919" w:rsidRPr="00B86885">
              <w:t xml:space="preserve">November </w:t>
            </w:r>
            <w:r w:rsidRPr="00B86885">
              <w:t xml:space="preserve">2020 PBAC Meeting). Reducing the use of dupilumab in the discontinued health state reduces the costs of subsequent therapies, thereby, reducing the incremental cost savings associated with the listing of tacrolimus. </w:t>
            </w:r>
          </w:p>
        </w:tc>
      </w:tr>
      <w:tr w:rsidR="00A912BC" w:rsidRPr="00B86885" w14:paraId="2545686A" w14:textId="77777777" w:rsidTr="00BC63DF">
        <w:tc>
          <w:tcPr>
            <w:tcW w:w="929" w:type="pct"/>
            <w:vAlign w:val="center"/>
          </w:tcPr>
          <w:p w14:paraId="10E7CB2D" w14:textId="1D5B3163" w:rsidR="00A912BC" w:rsidRPr="00B86885" w:rsidRDefault="00A912BC" w:rsidP="0086378A">
            <w:pPr>
              <w:pStyle w:val="TableText0"/>
              <w:widowControl w:val="0"/>
            </w:pPr>
            <w:r w:rsidRPr="00B86885">
              <w:t xml:space="preserve">Use of dupilumab and upadacitinib </w:t>
            </w:r>
            <w:r w:rsidR="00EF4A24" w:rsidRPr="00B86885">
              <w:t>as subsequent therapy</w:t>
            </w:r>
          </w:p>
        </w:tc>
        <w:tc>
          <w:tcPr>
            <w:tcW w:w="1198" w:type="pct"/>
            <w:vAlign w:val="center"/>
          </w:tcPr>
          <w:p w14:paraId="276A26A3" w14:textId="6B719447" w:rsidR="00A912BC" w:rsidRPr="00B86885" w:rsidRDefault="00260C4F" w:rsidP="0086378A">
            <w:pPr>
              <w:pStyle w:val="TableText0"/>
              <w:widowControl w:val="0"/>
            </w:pPr>
            <w:r w:rsidRPr="00B86885">
              <w:t>Costs for o</w:t>
            </w:r>
            <w:r w:rsidR="0008049E" w:rsidRPr="00B86885">
              <w:t>ne year of treatment w</w:t>
            </w:r>
            <w:r w:rsidRPr="00B86885">
              <w:t>ere</w:t>
            </w:r>
            <w:r w:rsidR="0008049E" w:rsidRPr="00B86885">
              <w:t xml:space="preserve"> a</w:t>
            </w:r>
            <w:r w:rsidRPr="00B86885">
              <w:t>pplied</w:t>
            </w:r>
            <w:r w:rsidR="0008049E" w:rsidRPr="00B86885">
              <w:t xml:space="preserve"> in patients who uptake treatment. </w:t>
            </w:r>
          </w:p>
        </w:tc>
        <w:tc>
          <w:tcPr>
            <w:tcW w:w="2873" w:type="pct"/>
            <w:vAlign w:val="center"/>
          </w:tcPr>
          <w:p w14:paraId="08E84E57" w14:textId="77777777" w:rsidR="00A912BC" w:rsidRPr="00B86885" w:rsidRDefault="0008049E" w:rsidP="0086378A">
            <w:pPr>
              <w:pStyle w:val="TableText0"/>
              <w:widowControl w:val="0"/>
            </w:pPr>
            <w:r w:rsidRPr="00B86885">
              <w:t xml:space="preserve">High, favours tacrolimus. </w:t>
            </w:r>
          </w:p>
          <w:p w14:paraId="2E58F1EA" w14:textId="5E2E9A12" w:rsidR="0008049E" w:rsidRPr="00B86885" w:rsidRDefault="0008049E" w:rsidP="0086378A">
            <w:pPr>
              <w:pStyle w:val="TableText0"/>
              <w:widowControl w:val="0"/>
            </w:pPr>
            <w:r w:rsidRPr="00B86885">
              <w:t xml:space="preserve">The submission did not consider response to initial treatment in the base case analysis. PSDs suggest that 40% and 30% of patients did not respond to initial treatment for dupilumab and upadacitinib, respectively (Table 19, dupilumab PSD, March 2020 PBAC Meeting and Table 16, upadacitinib PSD, July 2021 PBAC Meeting). </w:t>
            </w:r>
          </w:p>
        </w:tc>
      </w:tr>
      <w:tr w:rsidR="00E20A39" w:rsidRPr="00B86885" w14:paraId="75B5AFBD" w14:textId="77777777" w:rsidTr="00BC63DF">
        <w:tc>
          <w:tcPr>
            <w:tcW w:w="929" w:type="pct"/>
            <w:vAlign w:val="center"/>
          </w:tcPr>
          <w:p w14:paraId="3F72FA34" w14:textId="030E37CE" w:rsidR="00E20A39" w:rsidRPr="00B86885" w:rsidRDefault="00E20A39" w:rsidP="0086378A">
            <w:pPr>
              <w:pStyle w:val="TableText0"/>
              <w:widowControl w:val="0"/>
            </w:pPr>
            <w:r w:rsidRPr="00B86885">
              <w:t>Phototherapy</w:t>
            </w:r>
            <w:r w:rsidR="00C9779F" w:rsidRPr="00B86885">
              <w:t xml:space="preserve"> costs</w:t>
            </w:r>
          </w:p>
        </w:tc>
        <w:tc>
          <w:tcPr>
            <w:tcW w:w="1198" w:type="pct"/>
            <w:vAlign w:val="center"/>
          </w:tcPr>
          <w:p w14:paraId="38F568DE" w14:textId="77777777" w:rsidR="00E20A39" w:rsidRPr="00B86885" w:rsidRDefault="00E20A39" w:rsidP="0086378A">
            <w:pPr>
              <w:pStyle w:val="TableText0"/>
              <w:widowControl w:val="0"/>
            </w:pPr>
            <w:r w:rsidRPr="00B86885">
              <w:t>Applied to 4% of patients, to each flare, in the discontinued health state.</w:t>
            </w:r>
          </w:p>
        </w:tc>
        <w:tc>
          <w:tcPr>
            <w:tcW w:w="2873" w:type="pct"/>
            <w:vAlign w:val="center"/>
          </w:tcPr>
          <w:p w14:paraId="39C4ED88" w14:textId="77777777" w:rsidR="00E20A39" w:rsidRPr="00B86885" w:rsidRDefault="00E20A39" w:rsidP="0086378A">
            <w:pPr>
              <w:pStyle w:val="TableText0"/>
              <w:widowControl w:val="0"/>
            </w:pPr>
            <w:r w:rsidRPr="00B86885">
              <w:t xml:space="preserve">High, favours tacrolimus. </w:t>
            </w:r>
          </w:p>
          <w:p w14:paraId="52D94EED" w14:textId="19A69CA9" w:rsidR="00E20A39" w:rsidRPr="00B86885" w:rsidRDefault="00E20A39" w:rsidP="0086378A">
            <w:pPr>
              <w:pStyle w:val="TableText0"/>
              <w:widowControl w:val="0"/>
            </w:pPr>
            <w:r w:rsidRPr="00B86885">
              <w:t xml:space="preserve">Exclusion of phototherapy costs </w:t>
            </w:r>
            <w:r w:rsidR="00F762C8" w:rsidRPr="00B86885">
              <w:t xml:space="preserve">reduces the </w:t>
            </w:r>
            <w:r w:rsidR="00E03626" w:rsidRPr="00B86885">
              <w:t xml:space="preserve">incremental </w:t>
            </w:r>
            <w:r w:rsidR="00F762C8" w:rsidRPr="00B86885">
              <w:t xml:space="preserve">cost savings estimated with the listing of tacrolimus. </w:t>
            </w:r>
          </w:p>
        </w:tc>
      </w:tr>
      <w:tr w:rsidR="00F762C8" w:rsidRPr="00B86885" w14:paraId="7475B257" w14:textId="77777777" w:rsidTr="00BC63DF">
        <w:tc>
          <w:tcPr>
            <w:tcW w:w="929" w:type="pct"/>
            <w:vAlign w:val="center"/>
          </w:tcPr>
          <w:p w14:paraId="76E55119" w14:textId="74B7B154" w:rsidR="00F762C8" w:rsidRPr="00B86885" w:rsidRDefault="00F762C8" w:rsidP="0086378A">
            <w:pPr>
              <w:pStyle w:val="TableText0"/>
              <w:widowControl w:val="0"/>
            </w:pPr>
            <w:r w:rsidRPr="00B86885">
              <w:t xml:space="preserve">Number of flares in the discontinued health state </w:t>
            </w:r>
          </w:p>
        </w:tc>
        <w:tc>
          <w:tcPr>
            <w:tcW w:w="1198" w:type="pct"/>
            <w:vAlign w:val="center"/>
          </w:tcPr>
          <w:p w14:paraId="56651821" w14:textId="74DF44FF" w:rsidR="00F762C8" w:rsidRPr="00B86885" w:rsidRDefault="00F762C8" w:rsidP="0086378A">
            <w:pPr>
              <w:pStyle w:val="TableText0"/>
              <w:widowControl w:val="0"/>
            </w:pPr>
            <w:r w:rsidRPr="00B86885">
              <w:t xml:space="preserve">9.51 flares per year, applied to patients in the discontinued health state. </w:t>
            </w:r>
          </w:p>
        </w:tc>
        <w:tc>
          <w:tcPr>
            <w:tcW w:w="2873" w:type="pct"/>
            <w:vAlign w:val="center"/>
          </w:tcPr>
          <w:p w14:paraId="7DBF82BF" w14:textId="6DFBB822" w:rsidR="00F762C8" w:rsidRPr="00B86885" w:rsidRDefault="00E03626" w:rsidP="0086378A">
            <w:pPr>
              <w:pStyle w:val="TableText0"/>
              <w:widowControl w:val="0"/>
            </w:pPr>
            <w:r w:rsidRPr="00B86885">
              <w:t>Uncertain</w:t>
            </w:r>
            <w:r w:rsidR="00F762C8" w:rsidRPr="00B86885">
              <w:t xml:space="preserve">, </w:t>
            </w:r>
            <w:r w:rsidRPr="00B86885">
              <w:t xml:space="preserve">may </w:t>
            </w:r>
            <w:r w:rsidR="00F762C8" w:rsidRPr="00B86885">
              <w:t xml:space="preserve">favour tacrolimus. </w:t>
            </w:r>
          </w:p>
          <w:p w14:paraId="7F5B8120" w14:textId="1398460E" w:rsidR="00F762C8" w:rsidRPr="00B86885" w:rsidRDefault="00F762C8" w:rsidP="0086378A">
            <w:pPr>
              <w:pStyle w:val="TableText0"/>
              <w:widowControl w:val="0"/>
            </w:pPr>
            <w:r w:rsidRPr="00B86885">
              <w:t xml:space="preserve">Since the costs and outcomes in the vehicle arm are driven by the discontinued health state, and the number of flares applied were sourced from an external study, this remains uncertain. </w:t>
            </w:r>
          </w:p>
        </w:tc>
      </w:tr>
    </w:tbl>
    <w:p w14:paraId="7D97EDA8" w14:textId="77777777" w:rsidR="00D11DD1" w:rsidRDefault="00EA1292">
      <w:pPr>
        <w:pStyle w:val="TableFigureFooter"/>
      </w:pPr>
      <w:r>
        <w:t xml:space="preserve">Source: tabulated during the evaluation </w:t>
      </w:r>
    </w:p>
    <w:p w14:paraId="5623D71A" w14:textId="3064B4FD" w:rsidR="00E20A39" w:rsidRPr="00D86D87" w:rsidRDefault="00E20A39" w:rsidP="00E20A39">
      <w:pPr>
        <w:pStyle w:val="TableFigureFooter"/>
      </w:pPr>
      <w:r>
        <w:t>PBAC = Pharmaceutical Benefits Advisory Committee; PSD = public summary document</w:t>
      </w:r>
      <w:r w:rsidR="00D9419F">
        <w:t>.</w:t>
      </w:r>
    </w:p>
    <w:p w14:paraId="57E31B93" w14:textId="5C7003F2" w:rsidR="002D62CF" w:rsidRPr="00B86885" w:rsidRDefault="00E20A39" w:rsidP="002D62CF">
      <w:pPr>
        <w:pStyle w:val="3-BodyText"/>
        <w:rPr>
          <w:color w:val="0066FF"/>
        </w:rPr>
      </w:pPr>
      <w:r w:rsidRPr="00B86885">
        <w:rPr>
          <w:color w:val="000000" w:themeColor="text1"/>
        </w:rPr>
        <w:t xml:space="preserve">The results of the economic evaluation are presented in </w:t>
      </w:r>
      <w:r w:rsidRPr="00B86885">
        <w:rPr>
          <w:color w:val="0066FF"/>
        </w:rPr>
        <w:fldChar w:fldCharType="begin"/>
      </w:r>
      <w:r w:rsidRPr="00B86885">
        <w:rPr>
          <w:color w:val="0066FF"/>
        </w:rPr>
        <w:instrText xml:space="preserve"> REF _Ref197098006 \h </w:instrText>
      </w:r>
      <w:r w:rsidR="00B86885" w:rsidRPr="00B86885">
        <w:rPr>
          <w:color w:val="0066FF"/>
        </w:rPr>
        <w:instrText xml:space="preserve"> \* MERGEFORMAT </w:instrText>
      </w:r>
      <w:r w:rsidRPr="00B86885">
        <w:rPr>
          <w:color w:val="0066FF"/>
        </w:rPr>
      </w:r>
      <w:r w:rsidRPr="00B86885">
        <w:rPr>
          <w:color w:val="0066FF"/>
        </w:rPr>
        <w:fldChar w:fldCharType="separate"/>
      </w:r>
      <w:r w:rsidR="00124226">
        <w:t xml:space="preserve">Table </w:t>
      </w:r>
      <w:r w:rsidR="00124226">
        <w:rPr>
          <w:noProof/>
        </w:rPr>
        <w:t>10</w:t>
      </w:r>
      <w:r w:rsidRPr="00B86885">
        <w:rPr>
          <w:color w:val="0066FF"/>
        </w:rPr>
        <w:fldChar w:fldCharType="end"/>
      </w:r>
      <w:r w:rsidRPr="00B86885">
        <w:rPr>
          <w:color w:val="000000" w:themeColor="text1"/>
        </w:rPr>
        <w:t>.</w:t>
      </w:r>
      <w:r w:rsidRPr="00B86885" w:rsidDel="00F93A79">
        <w:t xml:space="preserve"> </w:t>
      </w:r>
    </w:p>
    <w:p w14:paraId="6D7173AC" w14:textId="564CB9EA" w:rsidR="00E20A39" w:rsidRDefault="00E20A39" w:rsidP="0086378A">
      <w:pPr>
        <w:pStyle w:val="Caption"/>
        <w:keepLines w:val="0"/>
        <w:widowControl w:val="0"/>
      </w:pPr>
      <w:bookmarkStart w:id="99" w:name="_Ref197098006"/>
      <w:r>
        <w:t xml:space="preserve">Table </w:t>
      </w:r>
      <w:r w:rsidR="002A692B">
        <w:fldChar w:fldCharType="begin"/>
      </w:r>
      <w:r w:rsidR="002A692B">
        <w:instrText xml:space="preserve"> SEQ Table \* ARABIC </w:instrText>
      </w:r>
      <w:r w:rsidR="002A692B">
        <w:fldChar w:fldCharType="separate"/>
      </w:r>
      <w:r w:rsidR="00124226">
        <w:rPr>
          <w:noProof/>
        </w:rPr>
        <w:t>10</w:t>
      </w:r>
      <w:r w:rsidR="002A692B">
        <w:rPr>
          <w:noProof/>
        </w:rPr>
        <w:fldChar w:fldCharType="end"/>
      </w:r>
      <w:bookmarkEnd w:id="99"/>
      <w:r>
        <w:t xml:space="preserve">: Results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
      </w:tblPr>
      <w:tblGrid>
        <w:gridCol w:w="2757"/>
        <w:gridCol w:w="2451"/>
        <w:gridCol w:w="2298"/>
        <w:gridCol w:w="1511"/>
      </w:tblGrid>
      <w:tr w:rsidR="00F63ACC" w:rsidRPr="00D86D87" w14:paraId="21090BD3" w14:textId="77777777">
        <w:trPr>
          <w:tblHeader/>
        </w:trPr>
        <w:tc>
          <w:tcPr>
            <w:tcW w:w="1529" w:type="pct"/>
            <w:tcBorders>
              <w:bottom w:val="single" w:sz="4" w:space="0" w:color="auto"/>
            </w:tcBorders>
            <w:vAlign w:val="center"/>
          </w:tcPr>
          <w:p w14:paraId="2F42D02C" w14:textId="77777777" w:rsidR="00F63ACC" w:rsidRPr="00D86D87" w:rsidRDefault="00F63ACC">
            <w:pPr>
              <w:pStyle w:val="In-tableHeading"/>
              <w:rPr>
                <w:lang w:val="en-AU"/>
              </w:rPr>
            </w:pPr>
            <w:r w:rsidRPr="00D86D87">
              <w:rPr>
                <w:lang w:val="en-AU"/>
              </w:rPr>
              <w:t>Component</w:t>
            </w:r>
          </w:p>
        </w:tc>
        <w:tc>
          <w:tcPr>
            <w:tcW w:w="1359" w:type="pct"/>
            <w:tcBorders>
              <w:bottom w:val="single" w:sz="4" w:space="0" w:color="auto"/>
            </w:tcBorders>
            <w:vAlign w:val="center"/>
          </w:tcPr>
          <w:p w14:paraId="3138F59C" w14:textId="77777777" w:rsidR="00F63ACC" w:rsidRPr="00D86D87" w:rsidRDefault="00F63ACC">
            <w:pPr>
              <w:pStyle w:val="In-tableHeading"/>
              <w:jc w:val="center"/>
              <w:rPr>
                <w:lang w:val="en-AU"/>
              </w:rPr>
            </w:pPr>
            <w:r w:rsidRPr="00D86D87">
              <w:rPr>
                <w:lang w:val="en-AU"/>
              </w:rPr>
              <w:t>Proposed medicine</w:t>
            </w:r>
          </w:p>
        </w:tc>
        <w:tc>
          <w:tcPr>
            <w:tcW w:w="1274" w:type="pct"/>
            <w:tcBorders>
              <w:bottom w:val="single" w:sz="4" w:space="0" w:color="auto"/>
            </w:tcBorders>
            <w:vAlign w:val="center"/>
          </w:tcPr>
          <w:p w14:paraId="71334267" w14:textId="77777777" w:rsidR="00F63ACC" w:rsidRPr="00D86D87" w:rsidRDefault="00F63ACC">
            <w:pPr>
              <w:pStyle w:val="In-tableHeading"/>
              <w:jc w:val="center"/>
              <w:rPr>
                <w:lang w:val="en-AU"/>
              </w:rPr>
            </w:pPr>
            <w:r w:rsidRPr="00D86D87">
              <w:rPr>
                <w:lang w:val="en-AU"/>
              </w:rPr>
              <w:t>Comparator</w:t>
            </w:r>
          </w:p>
        </w:tc>
        <w:tc>
          <w:tcPr>
            <w:tcW w:w="838" w:type="pct"/>
            <w:tcBorders>
              <w:bottom w:val="single" w:sz="4" w:space="0" w:color="auto"/>
            </w:tcBorders>
            <w:vAlign w:val="center"/>
          </w:tcPr>
          <w:p w14:paraId="5687565D" w14:textId="77777777" w:rsidR="00F63ACC" w:rsidRPr="00D86D87" w:rsidRDefault="00F63ACC">
            <w:pPr>
              <w:pStyle w:val="In-tableHeading"/>
              <w:jc w:val="center"/>
              <w:rPr>
                <w:lang w:val="en-AU"/>
              </w:rPr>
            </w:pPr>
            <w:r w:rsidRPr="00D86D87">
              <w:rPr>
                <w:lang w:val="en-AU"/>
              </w:rPr>
              <w:t>Increment</w:t>
            </w:r>
          </w:p>
        </w:tc>
      </w:tr>
      <w:tr w:rsidR="00F63ACC" w:rsidRPr="00D86D87" w14:paraId="47804819" w14:textId="77777777">
        <w:tc>
          <w:tcPr>
            <w:tcW w:w="1529" w:type="pct"/>
            <w:tcBorders>
              <w:top w:val="nil"/>
              <w:bottom w:val="single" w:sz="4" w:space="0" w:color="auto"/>
            </w:tcBorders>
            <w:vAlign w:val="center"/>
          </w:tcPr>
          <w:p w14:paraId="21DD1FCD" w14:textId="7A76578F" w:rsidR="00F63ACC" w:rsidRPr="00341A75" w:rsidRDefault="00D50AEA">
            <w:pPr>
              <w:pStyle w:val="TableText0"/>
              <w:rPr>
                <w:i/>
                <w:iCs/>
              </w:rPr>
            </w:pPr>
            <w:r>
              <w:rPr>
                <w:i/>
                <w:iCs/>
              </w:rPr>
              <w:t>Costs</w:t>
            </w:r>
          </w:p>
        </w:tc>
        <w:tc>
          <w:tcPr>
            <w:tcW w:w="1359" w:type="pct"/>
            <w:tcBorders>
              <w:top w:val="nil"/>
              <w:bottom w:val="single" w:sz="4" w:space="0" w:color="auto"/>
            </w:tcBorders>
            <w:vAlign w:val="center"/>
          </w:tcPr>
          <w:p w14:paraId="3B19B877" w14:textId="2D1DC377" w:rsidR="00F63ACC" w:rsidRPr="00341A75" w:rsidRDefault="00F63ACC">
            <w:pPr>
              <w:pStyle w:val="TableText0"/>
              <w:jc w:val="center"/>
              <w:rPr>
                <w:i/>
                <w:iCs/>
              </w:rPr>
            </w:pPr>
            <w:r w:rsidRPr="00341A75">
              <w:rPr>
                <w:i/>
                <w:iCs/>
              </w:rPr>
              <w:t>$</w:t>
            </w:r>
            <w:r w:rsidR="00460689" w:rsidRPr="00460689">
              <w:rPr>
                <w:i/>
                <w:iCs/>
                <w:color w:val="000000"/>
                <w:spacing w:val="53"/>
                <w:shd w:val="solid" w:color="000000" w:fill="000000"/>
                <w:fitText w:val="330" w:id="-632553468"/>
                <w14:textFill>
                  <w14:solidFill>
                    <w14:srgbClr w14:val="000000">
                      <w14:alpha w14:val="100000"/>
                    </w14:srgbClr>
                  </w14:solidFill>
                </w14:textFill>
              </w:rPr>
              <w:t>|||</w:t>
            </w:r>
            <w:r w:rsidR="00460689" w:rsidRPr="00460689">
              <w:rPr>
                <w:i/>
                <w:iCs/>
                <w:color w:val="000000"/>
                <w:spacing w:val="1"/>
                <w:shd w:val="solid" w:color="000000" w:fill="000000"/>
                <w:fitText w:val="330" w:id="-632553468"/>
                <w14:textFill>
                  <w14:solidFill>
                    <w14:srgbClr w14:val="000000">
                      <w14:alpha w14:val="100000"/>
                    </w14:srgbClr>
                  </w14:solidFill>
                </w14:textFill>
              </w:rPr>
              <w:t>|</w:t>
            </w:r>
          </w:p>
        </w:tc>
        <w:tc>
          <w:tcPr>
            <w:tcW w:w="1274" w:type="pct"/>
            <w:tcBorders>
              <w:top w:val="nil"/>
              <w:bottom w:val="single" w:sz="4" w:space="0" w:color="auto"/>
            </w:tcBorders>
            <w:vAlign w:val="center"/>
          </w:tcPr>
          <w:p w14:paraId="64C68186" w14:textId="77777777" w:rsidR="00F63ACC" w:rsidRPr="00341A75" w:rsidRDefault="00F63ACC">
            <w:pPr>
              <w:pStyle w:val="TableText0"/>
              <w:jc w:val="center"/>
              <w:rPr>
                <w:i/>
                <w:iCs/>
              </w:rPr>
            </w:pPr>
            <w:r w:rsidRPr="00341A75">
              <w:rPr>
                <w:i/>
                <w:iCs/>
              </w:rPr>
              <w:t>$3,759.92</w:t>
            </w:r>
          </w:p>
        </w:tc>
        <w:tc>
          <w:tcPr>
            <w:tcW w:w="838" w:type="pct"/>
            <w:tcBorders>
              <w:top w:val="nil"/>
              <w:bottom w:val="single" w:sz="4" w:space="0" w:color="auto"/>
            </w:tcBorders>
            <w:vAlign w:val="center"/>
          </w:tcPr>
          <w:p w14:paraId="2E63D8C8" w14:textId="58CE3E76" w:rsidR="00F63ACC" w:rsidRPr="00341A75" w:rsidRDefault="00F63ACC">
            <w:pPr>
              <w:pStyle w:val="TableText0"/>
              <w:jc w:val="center"/>
              <w:rPr>
                <w:i/>
                <w:iCs/>
              </w:rPr>
            </w:pPr>
            <w:r w:rsidRPr="00341A75">
              <w:rPr>
                <w:i/>
                <w:iCs/>
              </w:rPr>
              <w:t>-$</w:t>
            </w:r>
            <w:r w:rsidR="00460689" w:rsidRPr="00460689">
              <w:rPr>
                <w:i/>
                <w:iCs/>
                <w:color w:val="000000"/>
                <w:spacing w:val="53"/>
                <w:shd w:val="solid" w:color="000000" w:fill="000000"/>
                <w:fitText w:val="330" w:id="-632553467"/>
                <w14:textFill>
                  <w14:solidFill>
                    <w14:srgbClr w14:val="000000">
                      <w14:alpha w14:val="100000"/>
                    </w14:srgbClr>
                  </w14:solidFill>
                </w14:textFill>
              </w:rPr>
              <w:t>|||</w:t>
            </w:r>
            <w:r w:rsidR="00460689" w:rsidRPr="00460689">
              <w:rPr>
                <w:i/>
                <w:iCs/>
                <w:color w:val="000000"/>
                <w:spacing w:val="1"/>
                <w:shd w:val="solid" w:color="000000" w:fill="000000"/>
                <w:fitText w:val="330" w:id="-632553467"/>
                <w14:textFill>
                  <w14:solidFill>
                    <w14:srgbClr w14:val="000000">
                      <w14:alpha w14:val="100000"/>
                    </w14:srgbClr>
                  </w14:solidFill>
                </w14:textFill>
              </w:rPr>
              <w:t>|</w:t>
            </w:r>
          </w:p>
        </w:tc>
      </w:tr>
      <w:tr w:rsidR="00F63ACC" w:rsidRPr="00D86D87" w14:paraId="1A5FD393" w14:textId="77777777">
        <w:tc>
          <w:tcPr>
            <w:tcW w:w="1529" w:type="pct"/>
            <w:tcBorders>
              <w:bottom w:val="nil"/>
            </w:tcBorders>
            <w:vAlign w:val="center"/>
          </w:tcPr>
          <w:p w14:paraId="1F5ABFF3" w14:textId="77777777" w:rsidR="00F63ACC" w:rsidRPr="00D86D87" w:rsidRDefault="00F63ACC">
            <w:pPr>
              <w:pStyle w:val="TableText0"/>
              <w:rPr>
                <w:rFonts w:ascii="Times" w:hAnsi="Times"/>
              </w:rPr>
            </w:pPr>
            <w:r>
              <w:t>QALYs</w:t>
            </w:r>
          </w:p>
        </w:tc>
        <w:tc>
          <w:tcPr>
            <w:tcW w:w="1359" w:type="pct"/>
            <w:tcBorders>
              <w:bottom w:val="nil"/>
            </w:tcBorders>
            <w:vAlign w:val="center"/>
          </w:tcPr>
          <w:p w14:paraId="77829116" w14:textId="77777777" w:rsidR="00F63ACC" w:rsidRPr="00D86D87" w:rsidRDefault="00F63ACC">
            <w:pPr>
              <w:pStyle w:val="TableText0"/>
              <w:jc w:val="center"/>
              <w:rPr>
                <w:rFonts w:ascii="Times" w:hAnsi="Times"/>
              </w:rPr>
            </w:pPr>
            <w:r>
              <w:t>0.885</w:t>
            </w:r>
          </w:p>
        </w:tc>
        <w:tc>
          <w:tcPr>
            <w:tcW w:w="1274" w:type="pct"/>
            <w:tcBorders>
              <w:bottom w:val="nil"/>
            </w:tcBorders>
            <w:vAlign w:val="center"/>
          </w:tcPr>
          <w:p w14:paraId="6704E197" w14:textId="77777777" w:rsidR="00F63ACC" w:rsidRPr="00D86D87" w:rsidRDefault="00F63ACC">
            <w:pPr>
              <w:pStyle w:val="TableText0"/>
              <w:jc w:val="center"/>
              <w:rPr>
                <w:rFonts w:ascii="Times" w:hAnsi="Times"/>
              </w:rPr>
            </w:pPr>
            <w:r>
              <w:t>0.869</w:t>
            </w:r>
          </w:p>
        </w:tc>
        <w:tc>
          <w:tcPr>
            <w:tcW w:w="838" w:type="pct"/>
            <w:tcBorders>
              <w:bottom w:val="nil"/>
            </w:tcBorders>
            <w:vAlign w:val="center"/>
          </w:tcPr>
          <w:p w14:paraId="414F4D93" w14:textId="77777777" w:rsidR="00F63ACC" w:rsidRPr="00D86D87" w:rsidRDefault="00F63ACC">
            <w:pPr>
              <w:pStyle w:val="TableText0"/>
              <w:jc w:val="center"/>
            </w:pPr>
            <w:r>
              <w:t>0.016</w:t>
            </w:r>
          </w:p>
        </w:tc>
      </w:tr>
      <w:tr w:rsidR="00F63ACC" w:rsidRPr="00D86D87" w14:paraId="423D9FA9" w14:textId="77777777">
        <w:tc>
          <w:tcPr>
            <w:tcW w:w="4162" w:type="pct"/>
            <w:gridSpan w:val="3"/>
            <w:vAlign w:val="center"/>
          </w:tcPr>
          <w:p w14:paraId="23F362DA" w14:textId="77777777" w:rsidR="00F63ACC" w:rsidRPr="00D86D87" w:rsidRDefault="00F63ACC">
            <w:pPr>
              <w:pStyle w:val="TableText0"/>
              <w:rPr>
                <w:rFonts w:ascii="Times" w:hAnsi="Times"/>
                <w:b/>
              </w:rPr>
            </w:pPr>
            <w:r w:rsidRPr="00D86D87">
              <w:rPr>
                <w:b/>
              </w:rPr>
              <w:t>Incremental cost/</w:t>
            </w:r>
            <w:r>
              <w:rPr>
                <w:b/>
              </w:rPr>
              <w:t>QALY</w:t>
            </w:r>
            <w:r w:rsidRPr="00D86D87">
              <w:rPr>
                <w:b/>
              </w:rPr>
              <w:t xml:space="preserve"> gained</w:t>
            </w:r>
          </w:p>
        </w:tc>
        <w:tc>
          <w:tcPr>
            <w:tcW w:w="838" w:type="pct"/>
            <w:vAlign w:val="center"/>
          </w:tcPr>
          <w:p w14:paraId="4B2414C5" w14:textId="77777777" w:rsidR="00F63ACC" w:rsidRPr="00D86D87" w:rsidRDefault="00F63ACC">
            <w:pPr>
              <w:pStyle w:val="TableText0"/>
              <w:jc w:val="center"/>
              <w:rPr>
                <w:rFonts w:ascii="Times" w:hAnsi="Times"/>
                <w:b/>
              </w:rPr>
            </w:pPr>
            <w:r>
              <w:rPr>
                <w:b/>
              </w:rPr>
              <w:t xml:space="preserve">Dominant </w:t>
            </w:r>
          </w:p>
        </w:tc>
      </w:tr>
    </w:tbl>
    <w:p w14:paraId="488549C1" w14:textId="77777777" w:rsidR="00D11DD1" w:rsidRDefault="00EA1292">
      <w:pPr>
        <w:pStyle w:val="TableFigureFooter"/>
      </w:pPr>
      <w:r>
        <w:t>Source: Table 7, p11 of the executive summary.</w:t>
      </w:r>
    </w:p>
    <w:p w14:paraId="62B9A21B" w14:textId="77777777" w:rsidR="00C9779F" w:rsidRDefault="00C9779F" w:rsidP="00C9779F">
      <w:pPr>
        <w:pStyle w:val="TableFigureFooter"/>
      </w:pPr>
      <w:r>
        <w:t xml:space="preserve">QALY = quality-adjusted life year </w:t>
      </w:r>
    </w:p>
    <w:p w14:paraId="7B59742B" w14:textId="6C66170D" w:rsidR="00E20A39" w:rsidRPr="00C9779F" w:rsidRDefault="00C9779F" w:rsidP="00C9779F">
      <w:pPr>
        <w:pStyle w:val="TableFigureFooter"/>
      </w:pPr>
      <w:r>
        <w:t xml:space="preserve">Note: </w:t>
      </w:r>
      <w:r w:rsidR="009A03F0">
        <w:t xml:space="preserve">Ciclosporin costs were </w:t>
      </w:r>
      <w:r w:rsidR="002A50F8">
        <w:t xml:space="preserve">corrected </w:t>
      </w:r>
      <w:r w:rsidR="009A03F0">
        <w:t xml:space="preserve">during the evaluation </w:t>
      </w:r>
    </w:p>
    <w:p w14:paraId="31CA86B0" w14:textId="35ACF2F3" w:rsidR="00E20A39" w:rsidRDefault="00E20A39" w:rsidP="00E20A39">
      <w:pPr>
        <w:pStyle w:val="3-BodyText"/>
      </w:pPr>
      <w:r>
        <w:t xml:space="preserve">The disaggregated costs and outcomes of the economic analysis are presented in </w:t>
      </w:r>
      <w:r>
        <w:fldChar w:fldCharType="begin"/>
      </w:r>
      <w:r>
        <w:instrText xml:space="preserve"> REF _Ref197098136 \h </w:instrText>
      </w:r>
      <w:r>
        <w:fldChar w:fldCharType="separate"/>
      </w:r>
      <w:r w:rsidR="00124226" w:rsidRPr="00020A45">
        <w:t xml:space="preserve">Table </w:t>
      </w:r>
      <w:r w:rsidR="00124226">
        <w:rPr>
          <w:noProof/>
        </w:rPr>
        <w:t>11</w:t>
      </w:r>
      <w:r>
        <w:fldChar w:fldCharType="end"/>
      </w:r>
      <w:r>
        <w:t xml:space="preserve">. </w:t>
      </w:r>
    </w:p>
    <w:p w14:paraId="419DEB86" w14:textId="6C159E0A" w:rsidR="00E20A39" w:rsidRPr="00020A45" w:rsidRDefault="00E20A39" w:rsidP="0086378A">
      <w:pPr>
        <w:pStyle w:val="Caption"/>
      </w:pPr>
      <w:bookmarkStart w:id="100" w:name="_Ref197098136"/>
      <w:r w:rsidRPr="00020A45">
        <w:t xml:space="preserve">Table </w:t>
      </w:r>
      <w:r w:rsidR="002A692B">
        <w:fldChar w:fldCharType="begin"/>
      </w:r>
      <w:r w:rsidR="002A692B">
        <w:instrText xml:space="preserve"> SEQ Table \* ARABIC </w:instrText>
      </w:r>
      <w:r w:rsidR="002A692B">
        <w:fldChar w:fldCharType="separate"/>
      </w:r>
      <w:r w:rsidR="00124226">
        <w:rPr>
          <w:noProof/>
        </w:rPr>
        <w:t>11</w:t>
      </w:r>
      <w:r w:rsidR="002A692B">
        <w:rPr>
          <w:noProof/>
        </w:rPr>
        <w:fldChar w:fldCharType="end"/>
      </w:r>
      <w:bookmarkEnd w:id="100"/>
      <w:r w:rsidRPr="00020A45">
        <w:t>: Disaggregated summary of cost impacts and health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Disaggregated summary of cost impacts and health outcomes"/>
      </w:tblPr>
      <w:tblGrid>
        <w:gridCol w:w="2830"/>
        <w:gridCol w:w="1546"/>
        <w:gridCol w:w="1547"/>
        <w:gridCol w:w="1547"/>
        <w:gridCol w:w="1547"/>
      </w:tblGrid>
      <w:tr w:rsidR="00F63ACC" w:rsidRPr="00020A45" w14:paraId="53D7ED35" w14:textId="77777777">
        <w:trPr>
          <w:tblHeader/>
        </w:trPr>
        <w:tc>
          <w:tcPr>
            <w:tcW w:w="2830" w:type="dxa"/>
            <w:vAlign w:val="center"/>
          </w:tcPr>
          <w:p w14:paraId="33F290B3" w14:textId="77777777" w:rsidR="00F63ACC" w:rsidRPr="00020A45" w:rsidRDefault="00F63ACC">
            <w:pPr>
              <w:pStyle w:val="In-tableHeading"/>
              <w:rPr>
                <w:lang w:val="en-AU"/>
              </w:rPr>
            </w:pPr>
            <w:r w:rsidRPr="00020A45">
              <w:rPr>
                <w:lang w:val="en-AU"/>
              </w:rPr>
              <w:t>Resource item</w:t>
            </w:r>
          </w:p>
        </w:tc>
        <w:tc>
          <w:tcPr>
            <w:tcW w:w="1546" w:type="dxa"/>
            <w:vAlign w:val="center"/>
          </w:tcPr>
          <w:p w14:paraId="7BA5F093" w14:textId="77777777" w:rsidR="00F63ACC" w:rsidRPr="00020A45" w:rsidRDefault="00F63ACC">
            <w:pPr>
              <w:pStyle w:val="In-tableHeading"/>
              <w:jc w:val="center"/>
              <w:rPr>
                <w:lang w:val="en-AU"/>
              </w:rPr>
            </w:pPr>
            <w:r w:rsidRPr="00020A45">
              <w:rPr>
                <w:lang w:val="en-AU"/>
              </w:rPr>
              <w:t>Tacrolimus</w:t>
            </w:r>
          </w:p>
        </w:tc>
        <w:tc>
          <w:tcPr>
            <w:tcW w:w="1547" w:type="dxa"/>
            <w:vAlign w:val="center"/>
          </w:tcPr>
          <w:p w14:paraId="280B3788" w14:textId="77777777" w:rsidR="00F63ACC" w:rsidRPr="00020A45" w:rsidRDefault="00F63ACC">
            <w:pPr>
              <w:pStyle w:val="In-tableHeading"/>
              <w:jc w:val="center"/>
              <w:rPr>
                <w:lang w:val="en-AU"/>
              </w:rPr>
            </w:pPr>
            <w:r w:rsidRPr="00020A45">
              <w:rPr>
                <w:lang w:val="en-AU"/>
              </w:rPr>
              <w:t>Vehicle</w:t>
            </w:r>
          </w:p>
        </w:tc>
        <w:tc>
          <w:tcPr>
            <w:tcW w:w="1547" w:type="dxa"/>
            <w:vAlign w:val="center"/>
          </w:tcPr>
          <w:p w14:paraId="515E2742" w14:textId="77777777" w:rsidR="00F63ACC" w:rsidRPr="00020A45" w:rsidRDefault="00F63ACC">
            <w:pPr>
              <w:pStyle w:val="In-tableHeading"/>
              <w:jc w:val="center"/>
              <w:rPr>
                <w:lang w:val="en-AU"/>
              </w:rPr>
            </w:pPr>
            <w:r w:rsidRPr="00020A45">
              <w:rPr>
                <w:lang w:val="en-AU"/>
              </w:rPr>
              <w:t>Increment</w:t>
            </w:r>
          </w:p>
        </w:tc>
        <w:tc>
          <w:tcPr>
            <w:tcW w:w="1547" w:type="dxa"/>
            <w:vAlign w:val="center"/>
          </w:tcPr>
          <w:p w14:paraId="2414FA6D" w14:textId="77777777" w:rsidR="00F63ACC" w:rsidRPr="00020A45" w:rsidRDefault="00F63ACC">
            <w:pPr>
              <w:pStyle w:val="In-tableHeading"/>
              <w:jc w:val="center"/>
              <w:rPr>
                <w:lang w:val="en-AU"/>
              </w:rPr>
            </w:pPr>
            <w:r w:rsidRPr="00020A45">
              <w:rPr>
                <w:lang w:val="en-AU"/>
              </w:rPr>
              <w:t xml:space="preserve">% of total increment </w:t>
            </w:r>
          </w:p>
        </w:tc>
      </w:tr>
      <w:tr w:rsidR="00F63ACC" w:rsidRPr="00020A45" w14:paraId="2F582C0B" w14:textId="77777777">
        <w:trPr>
          <w:tblHeader/>
        </w:trPr>
        <w:tc>
          <w:tcPr>
            <w:tcW w:w="7470" w:type="dxa"/>
            <w:gridSpan w:val="4"/>
            <w:vAlign w:val="center"/>
          </w:tcPr>
          <w:p w14:paraId="1DB3DA48" w14:textId="77777777" w:rsidR="00F63ACC" w:rsidRPr="00020A45" w:rsidRDefault="00F63ACC">
            <w:pPr>
              <w:pStyle w:val="In-tableHeading"/>
              <w:rPr>
                <w:lang w:val="en-AU"/>
              </w:rPr>
            </w:pPr>
            <w:r w:rsidRPr="00020A45">
              <w:rPr>
                <w:lang w:val="en-AU"/>
              </w:rPr>
              <w:t>Number of flares</w:t>
            </w:r>
          </w:p>
        </w:tc>
        <w:tc>
          <w:tcPr>
            <w:tcW w:w="1547" w:type="dxa"/>
            <w:vAlign w:val="center"/>
          </w:tcPr>
          <w:p w14:paraId="17C9AF56" w14:textId="77777777" w:rsidR="00F63ACC" w:rsidRPr="00020A45" w:rsidRDefault="00F63ACC">
            <w:pPr>
              <w:pStyle w:val="In-tableHeading"/>
              <w:jc w:val="center"/>
              <w:rPr>
                <w:lang w:val="en-AU"/>
              </w:rPr>
            </w:pPr>
          </w:p>
        </w:tc>
      </w:tr>
      <w:tr w:rsidR="00F63ACC" w:rsidRPr="00020A45" w14:paraId="216FE001" w14:textId="77777777">
        <w:trPr>
          <w:tblHeader/>
        </w:trPr>
        <w:tc>
          <w:tcPr>
            <w:tcW w:w="2830" w:type="dxa"/>
            <w:vAlign w:val="center"/>
          </w:tcPr>
          <w:p w14:paraId="649E6581" w14:textId="77777777" w:rsidR="00F63ACC" w:rsidRPr="00020A45" w:rsidRDefault="00F63ACC">
            <w:pPr>
              <w:pStyle w:val="In-tableHeading"/>
              <w:rPr>
                <w:b w:val="0"/>
                <w:bCs/>
                <w:lang w:val="en-AU"/>
              </w:rPr>
            </w:pPr>
            <w:r w:rsidRPr="00020A45">
              <w:rPr>
                <w:b w:val="0"/>
                <w:bCs/>
                <w:lang w:val="en-AU"/>
              </w:rPr>
              <w:t>Post-initial flare health state</w:t>
            </w:r>
          </w:p>
        </w:tc>
        <w:tc>
          <w:tcPr>
            <w:tcW w:w="1546" w:type="dxa"/>
            <w:vAlign w:val="center"/>
          </w:tcPr>
          <w:p w14:paraId="2BA8F8F4" w14:textId="77777777" w:rsidR="00F63ACC" w:rsidRPr="00020A45" w:rsidRDefault="00F63ACC">
            <w:pPr>
              <w:pStyle w:val="In-tableHeading"/>
              <w:jc w:val="center"/>
              <w:rPr>
                <w:b w:val="0"/>
                <w:bCs/>
                <w:lang w:val="en-AU"/>
              </w:rPr>
            </w:pPr>
            <w:r w:rsidRPr="00020A45">
              <w:rPr>
                <w:b w:val="0"/>
                <w:bCs/>
                <w:lang w:val="en-AU"/>
              </w:rPr>
              <w:t>1.92</w:t>
            </w:r>
          </w:p>
        </w:tc>
        <w:tc>
          <w:tcPr>
            <w:tcW w:w="1547" w:type="dxa"/>
            <w:vAlign w:val="center"/>
          </w:tcPr>
          <w:p w14:paraId="0C63827C" w14:textId="77777777" w:rsidR="00F63ACC" w:rsidRPr="00020A45" w:rsidRDefault="00F63ACC">
            <w:pPr>
              <w:pStyle w:val="In-tableHeading"/>
              <w:jc w:val="center"/>
              <w:rPr>
                <w:b w:val="0"/>
                <w:bCs/>
                <w:lang w:val="en-AU"/>
              </w:rPr>
            </w:pPr>
            <w:r w:rsidRPr="00020A45">
              <w:rPr>
                <w:b w:val="0"/>
                <w:bCs/>
                <w:lang w:val="en-AU"/>
              </w:rPr>
              <w:t>0.09</w:t>
            </w:r>
          </w:p>
        </w:tc>
        <w:tc>
          <w:tcPr>
            <w:tcW w:w="1547" w:type="dxa"/>
          </w:tcPr>
          <w:p w14:paraId="60917A5B" w14:textId="77777777" w:rsidR="00F63ACC" w:rsidRPr="00020A45" w:rsidRDefault="00F63ACC">
            <w:pPr>
              <w:pStyle w:val="In-tableHeading"/>
              <w:jc w:val="center"/>
              <w:rPr>
                <w:b w:val="0"/>
                <w:bCs/>
                <w:lang w:val="en-AU"/>
              </w:rPr>
            </w:pPr>
            <w:r w:rsidRPr="00020A45">
              <w:rPr>
                <w:b w:val="0"/>
                <w:bCs/>
              </w:rPr>
              <w:t>1.83</w:t>
            </w:r>
          </w:p>
        </w:tc>
        <w:tc>
          <w:tcPr>
            <w:tcW w:w="1547" w:type="dxa"/>
            <w:vMerge w:val="restart"/>
            <w:vAlign w:val="center"/>
          </w:tcPr>
          <w:p w14:paraId="480FCE73" w14:textId="77777777" w:rsidR="00F63ACC" w:rsidRPr="00020A45" w:rsidRDefault="00F63ACC">
            <w:pPr>
              <w:pStyle w:val="In-tableHeading"/>
              <w:jc w:val="center"/>
              <w:rPr>
                <w:b w:val="0"/>
                <w:bCs/>
                <w:lang w:val="en-AU"/>
              </w:rPr>
            </w:pPr>
            <w:r w:rsidRPr="00020A45">
              <w:rPr>
                <w:b w:val="0"/>
                <w:bCs/>
                <w:lang w:val="en-AU"/>
              </w:rPr>
              <w:t>-</w:t>
            </w:r>
          </w:p>
        </w:tc>
      </w:tr>
      <w:tr w:rsidR="00F63ACC" w:rsidRPr="00020A45" w14:paraId="2AB712BC" w14:textId="77777777">
        <w:trPr>
          <w:tblHeader/>
        </w:trPr>
        <w:tc>
          <w:tcPr>
            <w:tcW w:w="2830" w:type="dxa"/>
            <w:vAlign w:val="center"/>
          </w:tcPr>
          <w:p w14:paraId="5BF1521D" w14:textId="77777777" w:rsidR="00F63ACC" w:rsidRPr="00020A45" w:rsidRDefault="00F63ACC">
            <w:pPr>
              <w:pStyle w:val="In-tableHeading"/>
              <w:rPr>
                <w:b w:val="0"/>
                <w:bCs/>
                <w:lang w:val="en-AU"/>
              </w:rPr>
            </w:pPr>
            <w:r w:rsidRPr="00020A45">
              <w:rPr>
                <w:b w:val="0"/>
                <w:bCs/>
                <w:lang w:val="en-AU"/>
              </w:rPr>
              <w:t>Discontinued health state</w:t>
            </w:r>
          </w:p>
        </w:tc>
        <w:tc>
          <w:tcPr>
            <w:tcW w:w="1546" w:type="dxa"/>
            <w:vAlign w:val="center"/>
          </w:tcPr>
          <w:p w14:paraId="53E814E0" w14:textId="77777777" w:rsidR="00F63ACC" w:rsidRPr="00020A45" w:rsidRDefault="00F63ACC">
            <w:pPr>
              <w:pStyle w:val="In-tableHeading"/>
              <w:jc w:val="center"/>
              <w:rPr>
                <w:b w:val="0"/>
                <w:bCs/>
                <w:lang w:val="en-AU"/>
              </w:rPr>
            </w:pPr>
            <w:r w:rsidRPr="00020A45">
              <w:rPr>
                <w:b w:val="0"/>
                <w:bCs/>
                <w:lang w:val="en-AU"/>
              </w:rPr>
              <w:t>4.06</w:t>
            </w:r>
          </w:p>
        </w:tc>
        <w:tc>
          <w:tcPr>
            <w:tcW w:w="1547" w:type="dxa"/>
            <w:vAlign w:val="center"/>
          </w:tcPr>
          <w:p w14:paraId="0975B643" w14:textId="77777777" w:rsidR="00F63ACC" w:rsidRPr="00020A45" w:rsidRDefault="00F63ACC">
            <w:pPr>
              <w:pStyle w:val="In-tableHeading"/>
              <w:jc w:val="center"/>
              <w:rPr>
                <w:b w:val="0"/>
                <w:bCs/>
                <w:lang w:val="en-AU"/>
              </w:rPr>
            </w:pPr>
            <w:r w:rsidRPr="00020A45">
              <w:rPr>
                <w:b w:val="0"/>
                <w:bCs/>
                <w:lang w:val="en-AU"/>
              </w:rPr>
              <w:t>9.16</w:t>
            </w:r>
          </w:p>
        </w:tc>
        <w:tc>
          <w:tcPr>
            <w:tcW w:w="1547" w:type="dxa"/>
          </w:tcPr>
          <w:p w14:paraId="03DDD680" w14:textId="77777777" w:rsidR="00F63ACC" w:rsidRPr="00020A45" w:rsidRDefault="00F63ACC">
            <w:pPr>
              <w:pStyle w:val="In-tableHeading"/>
              <w:jc w:val="center"/>
              <w:rPr>
                <w:b w:val="0"/>
                <w:bCs/>
                <w:lang w:val="en-AU"/>
              </w:rPr>
            </w:pPr>
            <w:r w:rsidRPr="00020A45">
              <w:rPr>
                <w:b w:val="0"/>
                <w:bCs/>
              </w:rPr>
              <w:t>-5.11</w:t>
            </w:r>
          </w:p>
        </w:tc>
        <w:tc>
          <w:tcPr>
            <w:tcW w:w="1547" w:type="dxa"/>
            <w:vMerge/>
            <w:vAlign w:val="center"/>
          </w:tcPr>
          <w:p w14:paraId="707A9BC7" w14:textId="77777777" w:rsidR="00F63ACC" w:rsidRPr="00020A45" w:rsidRDefault="00F63ACC">
            <w:pPr>
              <w:pStyle w:val="In-tableHeading"/>
              <w:jc w:val="center"/>
              <w:rPr>
                <w:lang w:val="en-AU"/>
              </w:rPr>
            </w:pPr>
          </w:p>
        </w:tc>
      </w:tr>
      <w:tr w:rsidR="00F63ACC" w:rsidRPr="00020A45" w14:paraId="206C36EB" w14:textId="77777777">
        <w:trPr>
          <w:tblHeader/>
        </w:trPr>
        <w:tc>
          <w:tcPr>
            <w:tcW w:w="7470" w:type="dxa"/>
            <w:gridSpan w:val="4"/>
            <w:vAlign w:val="center"/>
          </w:tcPr>
          <w:p w14:paraId="4C56906F" w14:textId="19300E96" w:rsidR="00F63ACC" w:rsidRPr="00020A45" w:rsidRDefault="00F63ACC">
            <w:pPr>
              <w:pStyle w:val="In-tableHeading"/>
              <w:rPr>
                <w:lang w:val="en-AU"/>
              </w:rPr>
            </w:pPr>
            <w:r w:rsidRPr="00020A45">
              <w:rPr>
                <w:lang w:val="en-AU"/>
              </w:rPr>
              <w:t>Time in health state</w:t>
            </w:r>
            <w:r w:rsidR="00D50AEA" w:rsidRPr="00020A45">
              <w:rPr>
                <w:lang w:val="en-AU"/>
              </w:rPr>
              <w:t xml:space="preserve"> (days) </w:t>
            </w:r>
          </w:p>
        </w:tc>
        <w:tc>
          <w:tcPr>
            <w:tcW w:w="1547" w:type="dxa"/>
            <w:vMerge/>
            <w:vAlign w:val="center"/>
          </w:tcPr>
          <w:p w14:paraId="2FEFDFDF" w14:textId="77777777" w:rsidR="00F63ACC" w:rsidRPr="00020A45" w:rsidRDefault="00F63ACC">
            <w:pPr>
              <w:pStyle w:val="In-tableHeading"/>
              <w:jc w:val="center"/>
              <w:rPr>
                <w:lang w:val="en-AU"/>
              </w:rPr>
            </w:pPr>
          </w:p>
        </w:tc>
      </w:tr>
      <w:tr w:rsidR="00F63ACC" w:rsidRPr="00020A45" w14:paraId="3803D9D5" w14:textId="77777777">
        <w:trPr>
          <w:tblHeader/>
        </w:trPr>
        <w:tc>
          <w:tcPr>
            <w:tcW w:w="2830" w:type="dxa"/>
            <w:vAlign w:val="center"/>
          </w:tcPr>
          <w:p w14:paraId="7283A518" w14:textId="77777777" w:rsidR="00F63ACC" w:rsidRPr="00020A45" w:rsidRDefault="00F63ACC">
            <w:pPr>
              <w:pStyle w:val="In-tableHeading"/>
              <w:rPr>
                <w:b w:val="0"/>
                <w:bCs/>
                <w:lang w:val="en-AU"/>
              </w:rPr>
            </w:pPr>
            <w:r w:rsidRPr="00020A45">
              <w:rPr>
                <w:b w:val="0"/>
                <w:bCs/>
                <w:lang w:val="en-AU"/>
              </w:rPr>
              <w:t xml:space="preserve">Flare-free health state </w:t>
            </w:r>
          </w:p>
        </w:tc>
        <w:tc>
          <w:tcPr>
            <w:tcW w:w="1546" w:type="dxa"/>
            <w:vAlign w:val="center"/>
          </w:tcPr>
          <w:p w14:paraId="3F616DC0" w14:textId="77777777" w:rsidR="00F63ACC" w:rsidRPr="00020A45" w:rsidRDefault="00F63ACC">
            <w:pPr>
              <w:pStyle w:val="In-tableHeading"/>
              <w:jc w:val="center"/>
              <w:rPr>
                <w:b w:val="0"/>
                <w:bCs/>
                <w:lang w:val="en-AU"/>
              </w:rPr>
            </w:pPr>
            <w:r w:rsidRPr="00020A45">
              <w:rPr>
                <w:b w:val="0"/>
                <w:bCs/>
                <w:lang w:val="en-AU"/>
              </w:rPr>
              <w:t>158.01</w:t>
            </w:r>
          </w:p>
        </w:tc>
        <w:tc>
          <w:tcPr>
            <w:tcW w:w="1547" w:type="dxa"/>
            <w:vAlign w:val="center"/>
          </w:tcPr>
          <w:p w14:paraId="17BC251C" w14:textId="77777777" w:rsidR="00F63ACC" w:rsidRPr="00020A45" w:rsidRDefault="00F63ACC">
            <w:pPr>
              <w:pStyle w:val="In-tableHeading"/>
              <w:jc w:val="center"/>
              <w:rPr>
                <w:b w:val="0"/>
                <w:bCs/>
                <w:lang w:val="en-AU"/>
              </w:rPr>
            </w:pPr>
            <w:r w:rsidRPr="00020A45">
              <w:rPr>
                <w:b w:val="0"/>
                <w:bCs/>
                <w:lang w:val="en-AU"/>
              </w:rPr>
              <w:t>9.07</w:t>
            </w:r>
          </w:p>
        </w:tc>
        <w:tc>
          <w:tcPr>
            <w:tcW w:w="1547" w:type="dxa"/>
            <w:vAlign w:val="center"/>
          </w:tcPr>
          <w:p w14:paraId="27E86C27" w14:textId="77777777" w:rsidR="00F63ACC" w:rsidRPr="00020A45" w:rsidRDefault="00F63ACC">
            <w:pPr>
              <w:pStyle w:val="In-tableHeading"/>
              <w:jc w:val="center"/>
              <w:rPr>
                <w:b w:val="0"/>
                <w:bCs/>
                <w:lang w:val="en-AU"/>
              </w:rPr>
            </w:pPr>
            <w:r w:rsidRPr="00020A45">
              <w:rPr>
                <w:b w:val="0"/>
                <w:bCs/>
                <w:lang w:val="en-AU"/>
              </w:rPr>
              <w:t>148.93</w:t>
            </w:r>
          </w:p>
        </w:tc>
        <w:tc>
          <w:tcPr>
            <w:tcW w:w="1547" w:type="dxa"/>
            <w:vMerge/>
            <w:vAlign w:val="center"/>
          </w:tcPr>
          <w:p w14:paraId="1A89EADD" w14:textId="77777777" w:rsidR="00F63ACC" w:rsidRPr="00020A45" w:rsidRDefault="00F63ACC">
            <w:pPr>
              <w:pStyle w:val="In-tableHeading"/>
              <w:jc w:val="center"/>
              <w:rPr>
                <w:lang w:val="en-AU"/>
              </w:rPr>
            </w:pPr>
          </w:p>
        </w:tc>
      </w:tr>
      <w:tr w:rsidR="00F63ACC" w:rsidRPr="00020A45" w14:paraId="1A20F2CD" w14:textId="77777777">
        <w:trPr>
          <w:tblHeader/>
        </w:trPr>
        <w:tc>
          <w:tcPr>
            <w:tcW w:w="2830" w:type="dxa"/>
            <w:vAlign w:val="center"/>
          </w:tcPr>
          <w:p w14:paraId="06C8870A" w14:textId="77777777" w:rsidR="00F63ACC" w:rsidRPr="00020A45" w:rsidRDefault="00F63ACC">
            <w:pPr>
              <w:pStyle w:val="In-tableHeading"/>
              <w:rPr>
                <w:b w:val="0"/>
                <w:bCs/>
                <w:lang w:val="en-AU"/>
              </w:rPr>
            </w:pPr>
            <w:r w:rsidRPr="00020A45">
              <w:rPr>
                <w:b w:val="0"/>
                <w:bCs/>
                <w:lang w:val="en-AU"/>
              </w:rPr>
              <w:t>Post-initial flare health state</w:t>
            </w:r>
          </w:p>
        </w:tc>
        <w:tc>
          <w:tcPr>
            <w:tcW w:w="1546" w:type="dxa"/>
            <w:vAlign w:val="center"/>
          </w:tcPr>
          <w:p w14:paraId="55F1491F" w14:textId="77777777" w:rsidR="00F63ACC" w:rsidRPr="00020A45" w:rsidRDefault="00F63ACC">
            <w:pPr>
              <w:pStyle w:val="In-tableHeading"/>
              <w:jc w:val="center"/>
              <w:rPr>
                <w:b w:val="0"/>
                <w:bCs/>
                <w:lang w:val="en-AU"/>
              </w:rPr>
            </w:pPr>
            <w:r w:rsidRPr="00020A45">
              <w:rPr>
                <w:b w:val="0"/>
                <w:bCs/>
                <w:lang w:val="en-AU"/>
              </w:rPr>
              <w:t>51.07</w:t>
            </w:r>
          </w:p>
        </w:tc>
        <w:tc>
          <w:tcPr>
            <w:tcW w:w="1547" w:type="dxa"/>
            <w:vAlign w:val="center"/>
          </w:tcPr>
          <w:p w14:paraId="248F16D6" w14:textId="77777777" w:rsidR="00F63ACC" w:rsidRPr="00020A45" w:rsidRDefault="00F63ACC">
            <w:pPr>
              <w:pStyle w:val="In-tableHeading"/>
              <w:jc w:val="center"/>
              <w:rPr>
                <w:b w:val="0"/>
                <w:bCs/>
                <w:lang w:val="en-AU"/>
              </w:rPr>
            </w:pPr>
            <w:r w:rsidRPr="00020A45">
              <w:rPr>
                <w:b w:val="0"/>
                <w:bCs/>
                <w:lang w:val="en-AU"/>
              </w:rPr>
              <w:t>3.89</w:t>
            </w:r>
          </w:p>
        </w:tc>
        <w:tc>
          <w:tcPr>
            <w:tcW w:w="1547" w:type="dxa"/>
            <w:vAlign w:val="center"/>
          </w:tcPr>
          <w:p w14:paraId="206BCACA" w14:textId="77777777" w:rsidR="00F63ACC" w:rsidRPr="00020A45" w:rsidRDefault="00F63ACC">
            <w:pPr>
              <w:pStyle w:val="In-tableHeading"/>
              <w:jc w:val="center"/>
              <w:rPr>
                <w:b w:val="0"/>
                <w:bCs/>
                <w:lang w:val="en-AU"/>
              </w:rPr>
            </w:pPr>
            <w:r w:rsidRPr="00020A45">
              <w:rPr>
                <w:b w:val="0"/>
                <w:bCs/>
                <w:lang w:val="en-AU"/>
              </w:rPr>
              <w:t>47.19</w:t>
            </w:r>
          </w:p>
        </w:tc>
        <w:tc>
          <w:tcPr>
            <w:tcW w:w="1547" w:type="dxa"/>
            <w:vMerge/>
            <w:vAlign w:val="center"/>
          </w:tcPr>
          <w:p w14:paraId="624F5FF4" w14:textId="77777777" w:rsidR="00F63ACC" w:rsidRPr="00020A45" w:rsidRDefault="00F63ACC">
            <w:pPr>
              <w:pStyle w:val="In-tableHeading"/>
              <w:jc w:val="center"/>
              <w:rPr>
                <w:lang w:val="en-AU"/>
              </w:rPr>
            </w:pPr>
          </w:p>
        </w:tc>
      </w:tr>
      <w:tr w:rsidR="00F63ACC" w:rsidRPr="00020A45" w14:paraId="01AC33F8" w14:textId="77777777">
        <w:trPr>
          <w:tblHeader/>
        </w:trPr>
        <w:tc>
          <w:tcPr>
            <w:tcW w:w="2830" w:type="dxa"/>
            <w:vAlign w:val="center"/>
          </w:tcPr>
          <w:p w14:paraId="7D0F702B" w14:textId="77777777" w:rsidR="00F63ACC" w:rsidRPr="00020A45" w:rsidRDefault="00F63ACC">
            <w:pPr>
              <w:pStyle w:val="In-tableHeading"/>
              <w:rPr>
                <w:b w:val="0"/>
                <w:bCs/>
                <w:lang w:val="en-AU"/>
              </w:rPr>
            </w:pPr>
            <w:r w:rsidRPr="00020A45">
              <w:rPr>
                <w:b w:val="0"/>
                <w:bCs/>
                <w:lang w:val="en-AU"/>
              </w:rPr>
              <w:t>Discontinued health state</w:t>
            </w:r>
          </w:p>
        </w:tc>
        <w:tc>
          <w:tcPr>
            <w:tcW w:w="1546" w:type="dxa"/>
            <w:vAlign w:val="center"/>
          </w:tcPr>
          <w:p w14:paraId="544F2FAF" w14:textId="77777777" w:rsidR="00F63ACC" w:rsidRPr="00020A45" w:rsidRDefault="00F63ACC">
            <w:pPr>
              <w:pStyle w:val="In-tableHeading"/>
              <w:jc w:val="center"/>
              <w:rPr>
                <w:b w:val="0"/>
                <w:bCs/>
                <w:lang w:val="en-AU"/>
              </w:rPr>
            </w:pPr>
            <w:r w:rsidRPr="00020A45">
              <w:rPr>
                <w:b w:val="0"/>
                <w:bCs/>
                <w:lang w:val="en-AU"/>
              </w:rPr>
              <w:t>155.92</w:t>
            </w:r>
          </w:p>
        </w:tc>
        <w:tc>
          <w:tcPr>
            <w:tcW w:w="1547" w:type="dxa"/>
            <w:vAlign w:val="center"/>
          </w:tcPr>
          <w:p w14:paraId="7CE53565" w14:textId="77777777" w:rsidR="00F63ACC" w:rsidRPr="00020A45" w:rsidRDefault="00F63ACC">
            <w:pPr>
              <w:pStyle w:val="In-tableHeading"/>
              <w:jc w:val="center"/>
              <w:rPr>
                <w:b w:val="0"/>
                <w:bCs/>
                <w:lang w:val="en-AU"/>
              </w:rPr>
            </w:pPr>
            <w:r w:rsidRPr="00020A45">
              <w:rPr>
                <w:b w:val="0"/>
                <w:bCs/>
                <w:lang w:val="en-AU"/>
              </w:rPr>
              <w:t>352.04</w:t>
            </w:r>
          </w:p>
        </w:tc>
        <w:tc>
          <w:tcPr>
            <w:tcW w:w="1547" w:type="dxa"/>
            <w:vAlign w:val="center"/>
          </w:tcPr>
          <w:p w14:paraId="003E6852" w14:textId="77777777" w:rsidR="00F63ACC" w:rsidRPr="00020A45" w:rsidRDefault="00F63ACC">
            <w:pPr>
              <w:pStyle w:val="In-tableHeading"/>
              <w:jc w:val="center"/>
              <w:rPr>
                <w:b w:val="0"/>
                <w:bCs/>
                <w:lang w:val="en-AU"/>
              </w:rPr>
            </w:pPr>
            <w:r w:rsidRPr="00020A45">
              <w:rPr>
                <w:b w:val="0"/>
                <w:bCs/>
                <w:lang w:val="en-AU"/>
              </w:rPr>
              <w:t>-196.12</w:t>
            </w:r>
          </w:p>
        </w:tc>
        <w:tc>
          <w:tcPr>
            <w:tcW w:w="1547" w:type="dxa"/>
            <w:vMerge/>
            <w:vAlign w:val="center"/>
          </w:tcPr>
          <w:p w14:paraId="7534B261" w14:textId="77777777" w:rsidR="00F63ACC" w:rsidRPr="00020A45" w:rsidRDefault="00F63ACC">
            <w:pPr>
              <w:pStyle w:val="In-tableHeading"/>
              <w:jc w:val="center"/>
              <w:rPr>
                <w:lang w:val="en-AU"/>
              </w:rPr>
            </w:pPr>
          </w:p>
        </w:tc>
      </w:tr>
      <w:tr w:rsidR="00F63ACC" w:rsidRPr="00020A45" w14:paraId="64672A00" w14:textId="77777777">
        <w:tc>
          <w:tcPr>
            <w:tcW w:w="9017" w:type="dxa"/>
            <w:gridSpan w:val="5"/>
            <w:vAlign w:val="center"/>
          </w:tcPr>
          <w:p w14:paraId="46527534" w14:textId="77777777" w:rsidR="00F63ACC" w:rsidRPr="00020A45" w:rsidRDefault="00F63ACC">
            <w:pPr>
              <w:pStyle w:val="In-tableHeading"/>
              <w:rPr>
                <w:lang w:val="en-AU"/>
              </w:rPr>
            </w:pPr>
            <w:r w:rsidRPr="00020A45">
              <w:rPr>
                <w:lang w:val="en-AU"/>
              </w:rPr>
              <w:t xml:space="preserve">Costs </w:t>
            </w:r>
          </w:p>
        </w:tc>
      </w:tr>
      <w:tr w:rsidR="00F63ACC" w:rsidRPr="00020A45" w14:paraId="20F5AC97" w14:textId="77777777">
        <w:tc>
          <w:tcPr>
            <w:tcW w:w="2830" w:type="dxa"/>
            <w:vAlign w:val="center"/>
          </w:tcPr>
          <w:p w14:paraId="64C3383C" w14:textId="77777777" w:rsidR="00F63ACC" w:rsidRPr="00020A45" w:rsidRDefault="00F63ACC">
            <w:pPr>
              <w:pStyle w:val="TableText0"/>
            </w:pPr>
            <w:r w:rsidRPr="00020A45">
              <w:t>Drug costs</w:t>
            </w:r>
          </w:p>
        </w:tc>
        <w:tc>
          <w:tcPr>
            <w:tcW w:w="1546" w:type="dxa"/>
            <w:vAlign w:val="center"/>
          </w:tcPr>
          <w:p w14:paraId="305147C4" w14:textId="4B901137" w:rsidR="00F63ACC" w:rsidRPr="00020A45" w:rsidRDefault="00F63ACC">
            <w:pPr>
              <w:pStyle w:val="TableText0"/>
              <w:jc w:val="center"/>
            </w:pPr>
            <w:r w:rsidRPr="00020A45">
              <w:t>$</w:t>
            </w:r>
            <w:r w:rsidR="00460689" w:rsidRPr="00460689">
              <w:rPr>
                <w:color w:val="000000"/>
                <w:spacing w:val="53"/>
                <w:shd w:val="solid" w:color="000000" w:fill="000000"/>
                <w:fitText w:val="330" w:id="-632553466"/>
                <w14:textFill>
                  <w14:solidFill>
                    <w14:srgbClr w14:val="000000">
                      <w14:alpha w14:val="100000"/>
                    </w14:srgbClr>
                  </w14:solidFill>
                </w14:textFill>
              </w:rPr>
              <w:t>|||</w:t>
            </w:r>
            <w:r w:rsidR="00460689" w:rsidRPr="00460689">
              <w:rPr>
                <w:color w:val="000000"/>
                <w:spacing w:val="1"/>
                <w:shd w:val="solid" w:color="000000" w:fill="000000"/>
                <w:fitText w:val="330" w:id="-632553466"/>
                <w14:textFill>
                  <w14:solidFill>
                    <w14:srgbClr w14:val="000000">
                      <w14:alpha w14:val="100000"/>
                    </w14:srgbClr>
                  </w14:solidFill>
                </w14:textFill>
              </w:rPr>
              <w:t>|</w:t>
            </w:r>
          </w:p>
        </w:tc>
        <w:tc>
          <w:tcPr>
            <w:tcW w:w="1547" w:type="dxa"/>
            <w:vAlign w:val="center"/>
          </w:tcPr>
          <w:p w14:paraId="393AE83F" w14:textId="77777777" w:rsidR="00F63ACC" w:rsidRPr="00020A45" w:rsidRDefault="00F63ACC">
            <w:pPr>
              <w:pStyle w:val="TableText0"/>
              <w:jc w:val="center"/>
            </w:pPr>
            <w:r w:rsidRPr="00020A45">
              <w:t>-</w:t>
            </w:r>
          </w:p>
        </w:tc>
        <w:tc>
          <w:tcPr>
            <w:tcW w:w="1547" w:type="dxa"/>
            <w:vAlign w:val="center"/>
          </w:tcPr>
          <w:p w14:paraId="23EC7BA6" w14:textId="328A70D4" w:rsidR="00F63ACC" w:rsidRPr="00020A45" w:rsidRDefault="00F63ACC">
            <w:pPr>
              <w:pStyle w:val="TableText0"/>
              <w:jc w:val="center"/>
            </w:pPr>
            <w:r w:rsidRPr="00020A45">
              <w:t>$</w:t>
            </w:r>
            <w:r w:rsidR="00460689" w:rsidRPr="00460689">
              <w:rPr>
                <w:color w:val="000000"/>
                <w:spacing w:val="53"/>
                <w:shd w:val="solid" w:color="000000" w:fill="000000"/>
                <w:fitText w:val="330" w:id="-632553465"/>
                <w14:textFill>
                  <w14:solidFill>
                    <w14:srgbClr w14:val="000000">
                      <w14:alpha w14:val="100000"/>
                    </w14:srgbClr>
                  </w14:solidFill>
                </w14:textFill>
              </w:rPr>
              <w:t>|||</w:t>
            </w:r>
            <w:r w:rsidR="00460689" w:rsidRPr="00460689">
              <w:rPr>
                <w:color w:val="000000"/>
                <w:spacing w:val="1"/>
                <w:shd w:val="solid" w:color="000000" w:fill="000000"/>
                <w:fitText w:val="330" w:id="-632553465"/>
                <w14:textFill>
                  <w14:solidFill>
                    <w14:srgbClr w14:val="000000">
                      <w14:alpha w14:val="100000"/>
                    </w14:srgbClr>
                  </w14:solidFill>
                </w14:textFill>
              </w:rPr>
              <w:t>|</w:t>
            </w:r>
          </w:p>
        </w:tc>
        <w:tc>
          <w:tcPr>
            <w:tcW w:w="1547" w:type="dxa"/>
            <w:vAlign w:val="center"/>
          </w:tcPr>
          <w:p w14:paraId="42506313" w14:textId="4E81E7DD" w:rsidR="00F63ACC" w:rsidRPr="00020A45" w:rsidRDefault="00F63ACC">
            <w:pPr>
              <w:pStyle w:val="TableText0"/>
              <w:jc w:val="center"/>
            </w:pPr>
            <w:r w:rsidRPr="00020A45">
              <w:t>-</w:t>
            </w:r>
            <w:r w:rsidR="00460689" w:rsidRPr="00460689">
              <w:rPr>
                <w:color w:val="000000"/>
                <w:spacing w:val="53"/>
                <w:shd w:val="solid" w:color="000000" w:fill="000000"/>
                <w:fitText w:val="330" w:id="-632553464"/>
                <w14:textFill>
                  <w14:solidFill>
                    <w14:srgbClr w14:val="000000">
                      <w14:alpha w14:val="100000"/>
                    </w14:srgbClr>
                  </w14:solidFill>
                </w14:textFill>
              </w:rPr>
              <w:t>|||</w:t>
            </w:r>
            <w:r w:rsidR="00460689" w:rsidRPr="00460689">
              <w:rPr>
                <w:color w:val="000000"/>
                <w:spacing w:val="1"/>
                <w:shd w:val="solid" w:color="000000" w:fill="000000"/>
                <w:fitText w:val="330" w:id="-632553464"/>
                <w14:textFill>
                  <w14:solidFill>
                    <w14:srgbClr w14:val="000000">
                      <w14:alpha w14:val="100000"/>
                    </w14:srgbClr>
                  </w14:solidFill>
                </w14:textFill>
              </w:rPr>
              <w:t>|</w:t>
            </w:r>
            <w:r w:rsidRPr="00020A45">
              <w:t>%</w:t>
            </w:r>
          </w:p>
        </w:tc>
      </w:tr>
      <w:tr w:rsidR="00F63ACC" w:rsidRPr="00020A45" w14:paraId="5A8581AB" w14:textId="77777777">
        <w:tc>
          <w:tcPr>
            <w:tcW w:w="2830" w:type="dxa"/>
            <w:vAlign w:val="center"/>
          </w:tcPr>
          <w:p w14:paraId="0BEAEAC9" w14:textId="77777777" w:rsidR="00F63ACC" w:rsidRPr="00020A45" w:rsidRDefault="00F63ACC">
            <w:pPr>
              <w:pStyle w:val="TableText0"/>
            </w:pPr>
            <w:r w:rsidRPr="00020A45">
              <w:t xml:space="preserve">Subsequent treatments </w:t>
            </w:r>
          </w:p>
        </w:tc>
        <w:tc>
          <w:tcPr>
            <w:tcW w:w="1546" w:type="dxa"/>
            <w:vAlign w:val="center"/>
          </w:tcPr>
          <w:p w14:paraId="4E3DD0E6" w14:textId="77777777" w:rsidR="00F63ACC" w:rsidRPr="00020A45" w:rsidRDefault="00F63ACC">
            <w:pPr>
              <w:pStyle w:val="TableText0"/>
              <w:jc w:val="center"/>
            </w:pPr>
            <w:r w:rsidRPr="00020A45">
              <w:t>$1,364.91</w:t>
            </w:r>
          </w:p>
        </w:tc>
        <w:tc>
          <w:tcPr>
            <w:tcW w:w="1547" w:type="dxa"/>
            <w:vAlign w:val="center"/>
          </w:tcPr>
          <w:p w14:paraId="3483E404" w14:textId="77777777" w:rsidR="00F63ACC" w:rsidRPr="00020A45" w:rsidRDefault="00F63ACC">
            <w:pPr>
              <w:pStyle w:val="TableText0"/>
              <w:jc w:val="center"/>
            </w:pPr>
            <w:r w:rsidRPr="00020A45">
              <w:t>$3,081.70</w:t>
            </w:r>
          </w:p>
        </w:tc>
        <w:tc>
          <w:tcPr>
            <w:tcW w:w="1547" w:type="dxa"/>
            <w:vAlign w:val="center"/>
          </w:tcPr>
          <w:p w14:paraId="42CF4CD6" w14:textId="77777777" w:rsidR="00F63ACC" w:rsidRPr="00020A45" w:rsidRDefault="00F63ACC">
            <w:pPr>
              <w:pStyle w:val="TableText0"/>
              <w:jc w:val="center"/>
            </w:pPr>
            <w:r w:rsidRPr="00020A45">
              <w:t>-$1,716.80</w:t>
            </w:r>
          </w:p>
        </w:tc>
        <w:tc>
          <w:tcPr>
            <w:tcW w:w="1547" w:type="dxa"/>
            <w:vAlign w:val="center"/>
          </w:tcPr>
          <w:p w14:paraId="25C3905A" w14:textId="6CF6AD89" w:rsidR="00F63ACC" w:rsidRPr="00020A45" w:rsidRDefault="00460689">
            <w:pPr>
              <w:pStyle w:val="TableText0"/>
              <w:jc w:val="center"/>
            </w:pPr>
            <w:r w:rsidRPr="00460689">
              <w:rPr>
                <w:color w:val="000000"/>
                <w:spacing w:val="51"/>
                <w:shd w:val="solid" w:color="000000" w:fill="000000"/>
                <w:fitText w:val="324" w:id="-632553463"/>
                <w14:textFill>
                  <w14:solidFill>
                    <w14:srgbClr w14:val="000000">
                      <w14:alpha w14:val="100000"/>
                    </w14:srgbClr>
                  </w14:solidFill>
                </w14:textFill>
              </w:rPr>
              <w:t>|||</w:t>
            </w:r>
            <w:r w:rsidRPr="00460689">
              <w:rPr>
                <w:color w:val="000000"/>
                <w:spacing w:val="1"/>
                <w:shd w:val="solid" w:color="000000" w:fill="000000"/>
                <w:fitText w:val="324" w:id="-632553463"/>
                <w14:textFill>
                  <w14:solidFill>
                    <w14:srgbClr w14:val="000000">
                      <w14:alpha w14:val="100000"/>
                    </w14:srgbClr>
                  </w14:solidFill>
                </w14:textFill>
              </w:rPr>
              <w:t>|</w:t>
            </w:r>
            <w:r w:rsidR="00F63ACC" w:rsidRPr="00020A45">
              <w:t>%</w:t>
            </w:r>
          </w:p>
        </w:tc>
      </w:tr>
      <w:tr w:rsidR="00F63ACC" w:rsidRPr="00020A45" w14:paraId="3F7B4FC8" w14:textId="77777777">
        <w:tc>
          <w:tcPr>
            <w:tcW w:w="2830" w:type="dxa"/>
            <w:vAlign w:val="center"/>
          </w:tcPr>
          <w:p w14:paraId="4ECC6712" w14:textId="77777777" w:rsidR="00F63ACC" w:rsidRPr="00020A45" w:rsidRDefault="00F63ACC">
            <w:pPr>
              <w:pStyle w:val="TableText0"/>
            </w:pPr>
            <w:r w:rsidRPr="00020A45">
              <w:t xml:space="preserve">Disease management </w:t>
            </w:r>
          </w:p>
        </w:tc>
        <w:tc>
          <w:tcPr>
            <w:tcW w:w="1546" w:type="dxa"/>
            <w:vAlign w:val="center"/>
          </w:tcPr>
          <w:p w14:paraId="129AF13D" w14:textId="77777777" w:rsidR="00F63ACC" w:rsidRPr="00020A45" w:rsidRDefault="00F63ACC">
            <w:pPr>
              <w:pStyle w:val="TableText0"/>
              <w:jc w:val="center"/>
            </w:pPr>
            <w:r w:rsidRPr="00020A45">
              <w:t>$625.43</w:t>
            </w:r>
          </w:p>
        </w:tc>
        <w:tc>
          <w:tcPr>
            <w:tcW w:w="1547" w:type="dxa"/>
            <w:vAlign w:val="center"/>
          </w:tcPr>
          <w:p w14:paraId="5D256083" w14:textId="77777777" w:rsidR="00F63ACC" w:rsidRPr="00020A45" w:rsidRDefault="00F63ACC">
            <w:pPr>
              <w:pStyle w:val="TableText0"/>
              <w:jc w:val="center"/>
            </w:pPr>
            <w:r w:rsidRPr="00020A45">
              <w:t>$678.22</w:t>
            </w:r>
          </w:p>
        </w:tc>
        <w:tc>
          <w:tcPr>
            <w:tcW w:w="1547" w:type="dxa"/>
            <w:vAlign w:val="center"/>
          </w:tcPr>
          <w:p w14:paraId="7DF479FF" w14:textId="77777777" w:rsidR="00F63ACC" w:rsidRPr="00020A45" w:rsidRDefault="00F63ACC">
            <w:pPr>
              <w:pStyle w:val="TableText0"/>
              <w:jc w:val="center"/>
            </w:pPr>
            <w:r w:rsidRPr="00020A45">
              <w:t>-$52.79</w:t>
            </w:r>
          </w:p>
        </w:tc>
        <w:tc>
          <w:tcPr>
            <w:tcW w:w="1547" w:type="dxa"/>
            <w:vAlign w:val="center"/>
          </w:tcPr>
          <w:p w14:paraId="26F927DF" w14:textId="431806BA" w:rsidR="00F63ACC" w:rsidRPr="00020A45" w:rsidRDefault="00460689">
            <w:pPr>
              <w:pStyle w:val="TableText0"/>
              <w:jc w:val="center"/>
            </w:pPr>
            <w:r w:rsidRPr="00460689">
              <w:rPr>
                <w:color w:val="000000"/>
                <w:spacing w:val="51"/>
                <w:shd w:val="solid" w:color="000000" w:fill="000000"/>
                <w:fitText w:val="324" w:id="-632553462"/>
                <w14:textFill>
                  <w14:solidFill>
                    <w14:srgbClr w14:val="000000">
                      <w14:alpha w14:val="100000"/>
                    </w14:srgbClr>
                  </w14:solidFill>
                </w14:textFill>
              </w:rPr>
              <w:t>|||</w:t>
            </w:r>
            <w:r w:rsidRPr="00460689">
              <w:rPr>
                <w:color w:val="000000"/>
                <w:spacing w:val="1"/>
                <w:shd w:val="solid" w:color="000000" w:fill="000000"/>
                <w:fitText w:val="324" w:id="-632553462"/>
                <w14:textFill>
                  <w14:solidFill>
                    <w14:srgbClr w14:val="000000">
                      <w14:alpha w14:val="100000"/>
                    </w14:srgbClr>
                  </w14:solidFill>
                </w14:textFill>
              </w:rPr>
              <w:t>|</w:t>
            </w:r>
            <w:r w:rsidR="00F63ACC" w:rsidRPr="00020A45">
              <w:t>%</w:t>
            </w:r>
          </w:p>
        </w:tc>
      </w:tr>
      <w:tr w:rsidR="00F63ACC" w:rsidRPr="00020A45" w14:paraId="3A9F22A1" w14:textId="77777777">
        <w:tc>
          <w:tcPr>
            <w:tcW w:w="2830" w:type="dxa"/>
            <w:vAlign w:val="center"/>
          </w:tcPr>
          <w:p w14:paraId="78B08737" w14:textId="77777777" w:rsidR="00F63ACC" w:rsidRPr="00020A45" w:rsidRDefault="00F63ACC">
            <w:pPr>
              <w:pStyle w:val="TableText0"/>
              <w:rPr>
                <w:b/>
                <w:bCs w:val="0"/>
              </w:rPr>
            </w:pPr>
            <w:r w:rsidRPr="00020A45">
              <w:rPr>
                <w:b/>
                <w:bCs w:val="0"/>
              </w:rPr>
              <w:t xml:space="preserve">Total cost </w:t>
            </w:r>
          </w:p>
        </w:tc>
        <w:tc>
          <w:tcPr>
            <w:tcW w:w="1546" w:type="dxa"/>
            <w:vAlign w:val="center"/>
          </w:tcPr>
          <w:p w14:paraId="274047D6" w14:textId="7D20C415" w:rsidR="00F63ACC" w:rsidRPr="00020A45" w:rsidRDefault="00F63ACC">
            <w:pPr>
              <w:pStyle w:val="TableText0"/>
              <w:jc w:val="center"/>
              <w:rPr>
                <w:b/>
                <w:bCs w:val="0"/>
              </w:rPr>
            </w:pPr>
            <w:r w:rsidRPr="00020A45">
              <w:rPr>
                <w:b/>
                <w:bCs w:val="0"/>
              </w:rPr>
              <w:t>$</w:t>
            </w:r>
            <w:r w:rsidR="00460689" w:rsidRPr="00460689">
              <w:rPr>
                <w:b/>
                <w:bCs w:val="0"/>
                <w:color w:val="000000"/>
                <w:spacing w:val="56"/>
                <w:shd w:val="solid" w:color="000000" w:fill="000000"/>
                <w:fitText w:val="354" w:id="-632553461"/>
                <w14:textFill>
                  <w14:solidFill>
                    <w14:srgbClr w14:val="000000">
                      <w14:alpha w14:val="100000"/>
                    </w14:srgbClr>
                  </w14:solidFill>
                </w14:textFill>
              </w:rPr>
              <w:t>|||</w:t>
            </w:r>
            <w:r w:rsidR="00460689" w:rsidRPr="00460689">
              <w:rPr>
                <w:b/>
                <w:bCs w:val="0"/>
                <w:color w:val="000000"/>
                <w:spacing w:val="3"/>
                <w:shd w:val="solid" w:color="000000" w:fill="000000"/>
                <w:fitText w:val="354" w:id="-632553461"/>
                <w14:textFill>
                  <w14:solidFill>
                    <w14:srgbClr w14:val="000000">
                      <w14:alpha w14:val="100000"/>
                    </w14:srgbClr>
                  </w14:solidFill>
                </w14:textFill>
              </w:rPr>
              <w:t>|</w:t>
            </w:r>
          </w:p>
        </w:tc>
        <w:tc>
          <w:tcPr>
            <w:tcW w:w="1547" w:type="dxa"/>
            <w:vAlign w:val="center"/>
          </w:tcPr>
          <w:p w14:paraId="6810A426" w14:textId="77777777" w:rsidR="00F63ACC" w:rsidRPr="00020A45" w:rsidRDefault="00F63ACC">
            <w:pPr>
              <w:pStyle w:val="TableText0"/>
              <w:jc w:val="center"/>
              <w:rPr>
                <w:b/>
                <w:bCs w:val="0"/>
              </w:rPr>
            </w:pPr>
            <w:r w:rsidRPr="00020A45">
              <w:rPr>
                <w:b/>
                <w:bCs w:val="0"/>
              </w:rPr>
              <w:t>$3,759.92</w:t>
            </w:r>
          </w:p>
        </w:tc>
        <w:tc>
          <w:tcPr>
            <w:tcW w:w="1547" w:type="dxa"/>
            <w:vAlign w:val="center"/>
          </w:tcPr>
          <w:p w14:paraId="6176239D" w14:textId="7D35F186" w:rsidR="00F63ACC" w:rsidRPr="00020A45" w:rsidRDefault="00F63ACC">
            <w:pPr>
              <w:pStyle w:val="TableText0"/>
              <w:jc w:val="center"/>
              <w:rPr>
                <w:b/>
                <w:bCs w:val="0"/>
              </w:rPr>
            </w:pPr>
            <w:r w:rsidRPr="00020A45">
              <w:rPr>
                <w:b/>
                <w:bCs w:val="0"/>
              </w:rPr>
              <w:t>-$</w:t>
            </w:r>
            <w:r w:rsidR="00460689" w:rsidRPr="00460689">
              <w:rPr>
                <w:b/>
                <w:bCs w:val="0"/>
                <w:color w:val="000000"/>
                <w:spacing w:val="58"/>
                <w:shd w:val="solid" w:color="000000" w:fill="000000"/>
                <w:fitText w:val="360" w:id="-632553460"/>
                <w14:textFill>
                  <w14:solidFill>
                    <w14:srgbClr w14:val="000000">
                      <w14:alpha w14:val="100000"/>
                    </w14:srgbClr>
                  </w14:solidFill>
                </w14:textFill>
              </w:rPr>
              <w:t>|||</w:t>
            </w:r>
            <w:r w:rsidR="00460689" w:rsidRPr="00460689">
              <w:rPr>
                <w:b/>
                <w:bCs w:val="0"/>
                <w:color w:val="000000"/>
                <w:spacing w:val="3"/>
                <w:shd w:val="solid" w:color="000000" w:fill="000000"/>
                <w:fitText w:val="360" w:id="-632553460"/>
                <w14:textFill>
                  <w14:solidFill>
                    <w14:srgbClr w14:val="000000">
                      <w14:alpha w14:val="100000"/>
                    </w14:srgbClr>
                  </w14:solidFill>
                </w14:textFill>
              </w:rPr>
              <w:t>|</w:t>
            </w:r>
          </w:p>
        </w:tc>
        <w:tc>
          <w:tcPr>
            <w:tcW w:w="1547" w:type="dxa"/>
            <w:vAlign w:val="center"/>
          </w:tcPr>
          <w:p w14:paraId="0C4127C3" w14:textId="77777777" w:rsidR="00F63ACC" w:rsidRPr="00020A45" w:rsidRDefault="00F63ACC">
            <w:pPr>
              <w:pStyle w:val="TableText0"/>
              <w:jc w:val="center"/>
              <w:rPr>
                <w:b/>
                <w:bCs w:val="0"/>
              </w:rPr>
            </w:pPr>
            <w:r w:rsidRPr="00020A45">
              <w:rPr>
                <w:b/>
                <w:bCs w:val="0"/>
              </w:rPr>
              <w:t>100%</w:t>
            </w:r>
          </w:p>
        </w:tc>
      </w:tr>
      <w:tr w:rsidR="00F63ACC" w:rsidRPr="00020A45" w14:paraId="56EC1DF6" w14:textId="77777777">
        <w:tc>
          <w:tcPr>
            <w:tcW w:w="9017" w:type="dxa"/>
            <w:gridSpan w:val="5"/>
            <w:vAlign w:val="center"/>
          </w:tcPr>
          <w:p w14:paraId="06005C93" w14:textId="77777777" w:rsidR="00F63ACC" w:rsidRPr="00020A45" w:rsidRDefault="00F63ACC">
            <w:pPr>
              <w:pStyle w:val="In-tableHeading"/>
              <w:rPr>
                <w:lang w:val="en-AU"/>
              </w:rPr>
            </w:pPr>
            <w:r w:rsidRPr="00020A45">
              <w:rPr>
                <w:lang w:val="en-AU"/>
              </w:rPr>
              <w:t xml:space="preserve">Outcomes </w:t>
            </w:r>
          </w:p>
        </w:tc>
      </w:tr>
      <w:tr w:rsidR="00D50AEA" w:rsidRPr="00020A45" w14:paraId="50B951D6" w14:textId="77777777">
        <w:tc>
          <w:tcPr>
            <w:tcW w:w="2830" w:type="dxa"/>
            <w:vAlign w:val="center"/>
          </w:tcPr>
          <w:p w14:paraId="3B4646CD" w14:textId="77777777" w:rsidR="00D50AEA" w:rsidRPr="00020A45" w:rsidRDefault="00D50AEA" w:rsidP="00D50AEA">
            <w:pPr>
              <w:pStyle w:val="TableText0"/>
            </w:pPr>
            <w:r w:rsidRPr="00020A45">
              <w:t>Primary therapy QALYs</w:t>
            </w:r>
          </w:p>
        </w:tc>
        <w:tc>
          <w:tcPr>
            <w:tcW w:w="1546" w:type="dxa"/>
            <w:vAlign w:val="center"/>
          </w:tcPr>
          <w:p w14:paraId="1216F78C" w14:textId="77777777" w:rsidR="00D50AEA" w:rsidRPr="00020A45" w:rsidRDefault="00D50AEA" w:rsidP="00D50AEA">
            <w:pPr>
              <w:pStyle w:val="TableText0"/>
              <w:jc w:val="center"/>
            </w:pPr>
            <w:r w:rsidRPr="00020A45">
              <w:t>0.046</w:t>
            </w:r>
          </w:p>
        </w:tc>
        <w:tc>
          <w:tcPr>
            <w:tcW w:w="1547" w:type="dxa"/>
          </w:tcPr>
          <w:p w14:paraId="16237DDE" w14:textId="77A15C2E" w:rsidR="00D50AEA" w:rsidRPr="00020A45" w:rsidRDefault="00D50AEA" w:rsidP="00D50AEA">
            <w:pPr>
              <w:pStyle w:val="TableText0"/>
              <w:jc w:val="center"/>
            </w:pPr>
            <w:r w:rsidRPr="00020A45">
              <w:t>0.044</w:t>
            </w:r>
          </w:p>
        </w:tc>
        <w:tc>
          <w:tcPr>
            <w:tcW w:w="1547" w:type="dxa"/>
          </w:tcPr>
          <w:p w14:paraId="6AA0767A" w14:textId="16EA9DD3" w:rsidR="00D50AEA" w:rsidRPr="00020A45" w:rsidRDefault="00D50AEA" w:rsidP="00D50AEA">
            <w:pPr>
              <w:pStyle w:val="TableText0"/>
              <w:jc w:val="center"/>
            </w:pPr>
            <w:r w:rsidRPr="00020A45">
              <w:t>0.002</w:t>
            </w:r>
          </w:p>
        </w:tc>
        <w:tc>
          <w:tcPr>
            <w:tcW w:w="1547" w:type="dxa"/>
          </w:tcPr>
          <w:p w14:paraId="28EE1571" w14:textId="683BD2B7" w:rsidR="00D50AEA" w:rsidRPr="00020A45" w:rsidRDefault="00D50AEA" w:rsidP="00D50AEA">
            <w:pPr>
              <w:pStyle w:val="TableText0"/>
              <w:jc w:val="center"/>
            </w:pPr>
            <w:r w:rsidRPr="00020A45">
              <w:t>13.5%</w:t>
            </w:r>
          </w:p>
        </w:tc>
      </w:tr>
      <w:tr w:rsidR="00D50AEA" w:rsidRPr="00020A45" w14:paraId="1266ADEF" w14:textId="77777777">
        <w:tc>
          <w:tcPr>
            <w:tcW w:w="2830" w:type="dxa"/>
            <w:vAlign w:val="center"/>
          </w:tcPr>
          <w:p w14:paraId="70856B03" w14:textId="77777777" w:rsidR="00D50AEA" w:rsidRPr="00020A45" w:rsidRDefault="00D50AEA" w:rsidP="00D50AEA">
            <w:pPr>
              <w:pStyle w:val="TableText0"/>
            </w:pPr>
            <w:r w:rsidRPr="00020A45">
              <w:t>Maintenance treatment QALYs</w:t>
            </w:r>
          </w:p>
        </w:tc>
        <w:tc>
          <w:tcPr>
            <w:tcW w:w="1546" w:type="dxa"/>
            <w:vAlign w:val="center"/>
          </w:tcPr>
          <w:p w14:paraId="49673DFD" w14:textId="77777777" w:rsidR="00D50AEA" w:rsidRPr="00020A45" w:rsidRDefault="00D50AEA" w:rsidP="00D50AEA">
            <w:pPr>
              <w:pStyle w:val="TableText0"/>
              <w:jc w:val="center"/>
            </w:pPr>
            <w:r w:rsidRPr="00020A45">
              <w:t>0.487</w:t>
            </w:r>
          </w:p>
        </w:tc>
        <w:tc>
          <w:tcPr>
            <w:tcW w:w="1547" w:type="dxa"/>
          </w:tcPr>
          <w:p w14:paraId="18C1DBF8" w14:textId="24BE2D54" w:rsidR="00D50AEA" w:rsidRPr="00020A45" w:rsidRDefault="00D50AEA" w:rsidP="00D50AEA">
            <w:pPr>
              <w:pStyle w:val="TableText0"/>
              <w:jc w:val="center"/>
            </w:pPr>
            <w:r w:rsidRPr="00020A45">
              <w:t>0.030</w:t>
            </w:r>
          </w:p>
        </w:tc>
        <w:tc>
          <w:tcPr>
            <w:tcW w:w="1547" w:type="dxa"/>
          </w:tcPr>
          <w:p w14:paraId="60207064" w14:textId="0D461C73" w:rsidR="00D50AEA" w:rsidRPr="00020A45" w:rsidRDefault="00D50AEA" w:rsidP="00D50AEA">
            <w:pPr>
              <w:pStyle w:val="Tabletext"/>
              <w:jc w:val="center"/>
            </w:pPr>
            <w:r w:rsidRPr="00020A45">
              <w:t>0.457</w:t>
            </w:r>
          </w:p>
        </w:tc>
        <w:tc>
          <w:tcPr>
            <w:tcW w:w="1547" w:type="dxa"/>
          </w:tcPr>
          <w:p w14:paraId="5784881D" w14:textId="7A8FAE1E" w:rsidR="00D50AEA" w:rsidRPr="00020A45" w:rsidRDefault="00D50AEA" w:rsidP="00D50AEA">
            <w:pPr>
              <w:pStyle w:val="TableText0"/>
              <w:jc w:val="center"/>
            </w:pPr>
            <w:r w:rsidRPr="00020A45">
              <w:t>2794.8%</w:t>
            </w:r>
          </w:p>
        </w:tc>
      </w:tr>
      <w:tr w:rsidR="00D50AEA" w:rsidRPr="00020A45" w14:paraId="054E03F0" w14:textId="77777777">
        <w:tc>
          <w:tcPr>
            <w:tcW w:w="2830" w:type="dxa"/>
            <w:vAlign w:val="center"/>
          </w:tcPr>
          <w:p w14:paraId="082B64CC" w14:textId="77777777" w:rsidR="00D50AEA" w:rsidRPr="00020A45" w:rsidRDefault="00D50AEA" w:rsidP="00D50AEA">
            <w:pPr>
              <w:pStyle w:val="TableText0"/>
            </w:pPr>
            <w:r w:rsidRPr="00020A45">
              <w:t>Discontinued treatment QALYs</w:t>
            </w:r>
          </w:p>
        </w:tc>
        <w:tc>
          <w:tcPr>
            <w:tcW w:w="1546" w:type="dxa"/>
            <w:vAlign w:val="center"/>
          </w:tcPr>
          <w:p w14:paraId="03C697B7" w14:textId="77777777" w:rsidR="00D50AEA" w:rsidRPr="00020A45" w:rsidRDefault="00D50AEA" w:rsidP="00D50AEA">
            <w:pPr>
              <w:pStyle w:val="TableText0"/>
              <w:jc w:val="center"/>
            </w:pPr>
            <w:r w:rsidRPr="00020A45">
              <w:t>0.352</w:t>
            </w:r>
          </w:p>
        </w:tc>
        <w:tc>
          <w:tcPr>
            <w:tcW w:w="1547" w:type="dxa"/>
          </w:tcPr>
          <w:p w14:paraId="74B70465" w14:textId="2704B55E" w:rsidR="00D50AEA" w:rsidRPr="00020A45" w:rsidRDefault="00D50AEA" w:rsidP="00D50AEA">
            <w:pPr>
              <w:pStyle w:val="TableText0"/>
              <w:jc w:val="center"/>
            </w:pPr>
            <w:r w:rsidRPr="00020A45">
              <w:t>0.795</w:t>
            </w:r>
          </w:p>
        </w:tc>
        <w:tc>
          <w:tcPr>
            <w:tcW w:w="1547" w:type="dxa"/>
          </w:tcPr>
          <w:p w14:paraId="2C308A62" w14:textId="180B4B24" w:rsidR="00D50AEA" w:rsidRPr="00020A45" w:rsidRDefault="00D50AEA" w:rsidP="00D50AEA">
            <w:pPr>
              <w:pStyle w:val="TableText0"/>
              <w:jc w:val="center"/>
            </w:pPr>
            <w:r w:rsidRPr="00020A45">
              <w:t>-0.443</w:t>
            </w:r>
          </w:p>
        </w:tc>
        <w:tc>
          <w:tcPr>
            <w:tcW w:w="1547" w:type="dxa"/>
          </w:tcPr>
          <w:p w14:paraId="5D399676" w14:textId="4DACA6CF" w:rsidR="00D50AEA" w:rsidRPr="00020A45" w:rsidRDefault="00D50AEA" w:rsidP="00D50AEA">
            <w:pPr>
              <w:pStyle w:val="TableText0"/>
              <w:jc w:val="center"/>
            </w:pPr>
            <w:r w:rsidRPr="00020A45">
              <w:t>-2708.6%</w:t>
            </w:r>
          </w:p>
        </w:tc>
      </w:tr>
      <w:tr w:rsidR="00F63ACC" w:rsidRPr="00020A45" w14:paraId="03F3B9F4" w14:textId="77777777">
        <w:trPr>
          <w:trHeight w:val="75"/>
        </w:trPr>
        <w:tc>
          <w:tcPr>
            <w:tcW w:w="2830" w:type="dxa"/>
            <w:vAlign w:val="center"/>
          </w:tcPr>
          <w:p w14:paraId="1CF9C437" w14:textId="77777777" w:rsidR="00F63ACC" w:rsidRPr="00020A45" w:rsidRDefault="00F63ACC">
            <w:pPr>
              <w:pStyle w:val="TableText0"/>
              <w:rPr>
                <w:b/>
                <w:bCs w:val="0"/>
              </w:rPr>
            </w:pPr>
            <w:r w:rsidRPr="00020A45">
              <w:rPr>
                <w:b/>
                <w:bCs w:val="0"/>
              </w:rPr>
              <w:t xml:space="preserve">Total QALYs </w:t>
            </w:r>
          </w:p>
        </w:tc>
        <w:tc>
          <w:tcPr>
            <w:tcW w:w="1546" w:type="dxa"/>
            <w:vAlign w:val="center"/>
          </w:tcPr>
          <w:p w14:paraId="34E92409" w14:textId="77777777" w:rsidR="00F63ACC" w:rsidRPr="00020A45" w:rsidRDefault="00F63ACC">
            <w:pPr>
              <w:pStyle w:val="TableText0"/>
              <w:jc w:val="center"/>
              <w:rPr>
                <w:b/>
                <w:bCs w:val="0"/>
              </w:rPr>
            </w:pPr>
            <w:r w:rsidRPr="00020A45">
              <w:rPr>
                <w:b/>
                <w:bCs w:val="0"/>
              </w:rPr>
              <w:t>0.885</w:t>
            </w:r>
          </w:p>
        </w:tc>
        <w:tc>
          <w:tcPr>
            <w:tcW w:w="1547" w:type="dxa"/>
            <w:vAlign w:val="center"/>
          </w:tcPr>
          <w:p w14:paraId="6F182DA1" w14:textId="1187B4F6" w:rsidR="00F63ACC" w:rsidRPr="00020A45" w:rsidRDefault="00F63ACC">
            <w:pPr>
              <w:pStyle w:val="TableText0"/>
              <w:jc w:val="center"/>
              <w:rPr>
                <w:b/>
                <w:bCs w:val="0"/>
              </w:rPr>
            </w:pPr>
            <w:r w:rsidRPr="00020A45">
              <w:rPr>
                <w:b/>
                <w:bCs w:val="0"/>
              </w:rPr>
              <w:t>0.</w:t>
            </w:r>
            <w:r w:rsidR="00C24324" w:rsidRPr="00020A45">
              <w:rPr>
                <w:b/>
                <w:bCs w:val="0"/>
              </w:rPr>
              <w:t>869</w:t>
            </w:r>
          </w:p>
        </w:tc>
        <w:tc>
          <w:tcPr>
            <w:tcW w:w="1547" w:type="dxa"/>
            <w:vAlign w:val="center"/>
          </w:tcPr>
          <w:p w14:paraId="0D9B7AD1" w14:textId="1E93B4C0" w:rsidR="00F63ACC" w:rsidRPr="00020A45" w:rsidRDefault="00C24324">
            <w:pPr>
              <w:pStyle w:val="TableText0"/>
              <w:jc w:val="center"/>
              <w:rPr>
                <w:b/>
                <w:bCs w:val="0"/>
              </w:rPr>
            </w:pPr>
            <w:r w:rsidRPr="00020A45">
              <w:rPr>
                <w:b/>
                <w:bCs w:val="0"/>
              </w:rPr>
              <w:t>0.016</w:t>
            </w:r>
          </w:p>
        </w:tc>
        <w:tc>
          <w:tcPr>
            <w:tcW w:w="1547" w:type="dxa"/>
            <w:vAlign w:val="center"/>
          </w:tcPr>
          <w:p w14:paraId="20C36B2F" w14:textId="77777777" w:rsidR="00F63ACC" w:rsidRPr="00020A45" w:rsidRDefault="00F63ACC">
            <w:pPr>
              <w:pStyle w:val="TableText0"/>
              <w:jc w:val="center"/>
              <w:rPr>
                <w:b/>
                <w:bCs w:val="0"/>
              </w:rPr>
            </w:pPr>
            <w:r w:rsidRPr="00020A45">
              <w:rPr>
                <w:b/>
                <w:bCs w:val="0"/>
              </w:rPr>
              <w:t>100%</w:t>
            </w:r>
          </w:p>
        </w:tc>
      </w:tr>
    </w:tbl>
    <w:p w14:paraId="59377D9F" w14:textId="2CD14C9D" w:rsidR="00C9779F" w:rsidRDefault="00C9779F" w:rsidP="00C9779F">
      <w:pPr>
        <w:pStyle w:val="TableFigureFooter"/>
      </w:pPr>
      <w:r w:rsidRPr="00D86D87">
        <w:t xml:space="preserve">Source: </w:t>
      </w:r>
      <w:r w:rsidRPr="002E7A8C">
        <w:t>tabulated during the evaluation, from</w:t>
      </w:r>
      <w:r>
        <w:t xml:space="preserve"> Table 3-12, pp150-151 of the submission and Sheet ‘Results’ of the “Attachment 2 Tacrolimus final model 06March2025” workbook included in the submission.</w:t>
      </w:r>
    </w:p>
    <w:p w14:paraId="296DA354" w14:textId="28AA4C7C" w:rsidR="00D9419F" w:rsidRPr="00C9779F" w:rsidRDefault="00D9419F" w:rsidP="00C9779F">
      <w:pPr>
        <w:pStyle w:val="TableFigureFooter"/>
      </w:pPr>
      <w:r>
        <w:t>QALYs = quality-adjusted life years</w:t>
      </w:r>
    </w:p>
    <w:p w14:paraId="2B0BB022" w14:textId="2AA05ED0" w:rsidR="00E20A39" w:rsidRDefault="00C9779F" w:rsidP="00D25216">
      <w:pPr>
        <w:pStyle w:val="3-BodyText"/>
      </w:pPr>
      <w:r w:rsidRPr="00BF0496">
        <w:t xml:space="preserve">The </w:t>
      </w:r>
      <w:r w:rsidR="007A13A3" w:rsidRPr="00BF0496">
        <w:t xml:space="preserve">ESC noted that the </w:t>
      </w:r>
      <w:r w:rsidRPr="00BF0496">
        <w:t xml:space="preserve">main driver of the incremental cost savings were the costs associated with subsequent treatments following discontinuation of vehicle or </w:t>
      </w:r>
      <w:r w:rsidR="006402CB" w:rsidRPr="00BF0496">
        <w:t>TAC</w:t>
      </w:r>
      <w:r w:rsidRPr="00BF0496">
        <w:t xml:space="preserve"> treatment. Some issues regarding the inclusion of systemic therapies in the discontinued health state were noted during the evaluation</w:t>
      </w:r>
      <w:r w:rsidR="008A15E8" w:rsidRPr="00BF0496">
        <w:t xml:space="preserve"> (paragraph </w:t>
      </w:r>
      <w:r w:rsidR="008A15E8" w:rsidRPr="00BF0496">
        <w:fldChar w:fldCharType="begin"/>
      </w:r>
      <w:r w:rsidR="008A15E8" w:rsidRPr="00BF0496">
        <w:instrText xml:space="preserve"> REF _Ref198295909 \r \h </w:instrText>
      </w:r>
      <w:r w:rsidR="00B86885" w:rsidRPr="00BF0496">
        <w:instrText xml:space="preserve"> \* MERGEFORMAT </w:instrText>
      </w:r>
      <w:r w:rsidR="008A15E8" w:rsidRPr="00BF0496">
        <w:fldChar w:fldCharType="separate"/>
      </w:r>
      <w:r w:rsidR="00124226">
        <w:t>6.68</w:t>
      </w:r>
      <w:r w:rsidR="008A15E8" w:rsidRPr="00BF0496">
        <w:fldChar w:fldCharType="end"/>
      </w:r>
      <w:r w:rsidR="008A15E8" w:rsidRPr="00BF0496">
        <w:t>)</w:t>
      </w:r>
      <w:r w:rsidRPr="00BF0496">
        <w:t xml:space="preserve">. Thus, the </w:t>
      </w:r>
      <w:r w:rsidR="003B4352" w:rsidRPr="00BF0496">
        <w:t xml:space="preserve">ESC considered that the </w:t>
      </w:r>
      <w:r w:rsidRPr="00BF0496">
        <w:t xml:space="preserve">offsets associated with subsequent treatment may be overestimated in the base case analysis. </w:t>
      </w:r>
    </w:p>
    <w:p w14:paraId="40ABC09F" w14:textId="5BF67230" w:rsidR="00E20A39" w:rsidRPr="00B86885" w:rsidRDefault="00E20A39" w:rsidP="00554E28">
      <w:pPr>
        <w:pStyle w:val="3-BodyText"/>
        <w:rPr>
          <w:rFonts w:ascii="Arial Narrow" w:hAnsi="Arial Narrow"/>
          <w:b/>
          <w:sz w:val="20"/>
          <w:szCs w:val="24"/>
        </w:rPr>
      </w:pPr>
      <w:r w:rsidRPr="00B86885">
        <w:t>The results of key sensitivity analyses</w:t>
      </w:r>
      <w:r w:rsidR="0082182E" w:rsidRPr="00B86885">
        <w:t xml:space="preserve"> presented in the submission and around areas of uncertainty identified during the evaluation a</w:t>
      </w:r>
      <w:r w:rsidRPr="00B86885">
        <w:t xml:space="preserve">re summarised in </w:t>
      </w:r>
      <w:bookmarkStart w:id="101" w:name="_Ref104804865"/>
      <w:r w:rsidRPr="00B86885">
        <w:fldChar w:fldCharType="begin"/>
      </w:r>
      <w:r w:rsidRPr="00B86885">
        <w:instrText xml:space="preserve"> REF _Ref197098313 \h </w:instrText>
      </w:r>
      <w:r w:rsidR="00B86885" w:rsidRPr="00B86885">
        <w:instrText xml:space="preserve"> \* MERGEFORMAT </w:instrText>
      </w:r>
      <w:r w:rsidRPr="00B86885">
        <w:fldChar w:fldCharType="separate"/>
      </w:r>
      <w:r w:rsidR="00124226" w:rsidRPr="00D86D87">
        <w:t xml:space="preserve">Table </w:t>
      </w:r>
      <w:r w:rsidR="00124226">
        <w:rPr>
          <w:noProof/>
        </w:rPr>
        <w:t>12</w:t>
      </w:r>
      <w:r w:rsidRPr="00B86885">
        <w:fldChar w:fldCharType="end"/>
      </w:r>
      <w:r w:rsidRPr="00B86885">
        <w:t>.</w:t>
      </w:r>
    </w:p>
    <w:p w14:paraId="18096E5A" w14:textId="631ECA2D" w:rsidR="00E20A39" w:rsidRPr="00A56D82" w:rsidRDefault="00E20A39" w:rsidP="0086378A">
      <w:pPr>
        <w:pStyle w:val="TableFigureHeading"/>
        <w:rPr>
          <w:rStyle w:val="CommentReference"/>
          <w:b/>
          <w:szCs w:val="24"/>
        </w:rPr>
      </w:pPr>
      <w:bookmarkStart w:id="102" w:name="_Ref197098313"/>
      <w:r w:rsidRPr="00D86D87">
        <w:t xml:space="preserve">Table </w:t>
      </w:r>
      <w:r w:rsidR="002A692B">
        <w:fldChar w:fldCharType="begin"/>
      </w:r>
      <w:r w:rsidR="002A692B">
        <w:instrText xml:space="preserve"> SEQ Table \* ARABIC </w:instrText>
      </w:r>
      <w:r w:rsidR="002A692B">
        <w:fldChar w:fldCharType="separate"/>
      </w:r>
      <w:r w:rsidR="00124226">
        <w:rPr>
          <w:noProof/>
        </w:rPr>
        <w:t>12</w:t>
      </w:r>
      <w:r w:rsidR="002A692B">
        <w:rPr>
          <w:noProof/>
        </w:rPr>
        <w:fldChar w:fldCharType="end"/>
      </w:r>
      <w:bookmarkEnd w:id="101"/>
      <w:bookmarkEnd w:id="102"/>
      <w:r w:rsidRPr="00D86D87">
        <w:t>:</w:t>
      </w:r>
      <w:r w:rsidRPr="00A56D82">
        <w:rPr>
          <w:rStyle w:val="CommentReference"/>
          <w:b/>
          <w:szCs w:val="24"/>
        </w:rPr>
        <w:t xml:space="preserve"> Sensitivity analyses</w:t>
      </w:r>
    </w:p>
    <w:tbl>
      <w:tblPr>
        <w:tblStyle w:val="TableGrid"/>
        <w:tblW w:w="0" w:type="auto"/>
        <w:tblLook w:val="04A0" w:firstRow="1" w:lastRow="0" w:firstColumn="1" w:lastColumn="0" w:noHBand="0" w:noVBand="1"/>
        <w:tblCaption w:val="Table 12: Sensitivity analyses"/>
      </w:tblPr>
      <w:tblGrid>
        <w:gridCol w:w="4248"/>
        <w:gridCol w:w="1559"/>
        <w:gridCol w:w="1701"/>
        <w:gridCol w:w="1509"/>
      </w:tblGrid>
      <w:tr w:rsidR="00203711" w:rsidRPr="00B86885" w14:paraId="5F3962FB" w14:textId="77777777" w:rsidTr="00BC4F1D">
        <w:tc>
          <w:tcPr>
            <w:tcW w:w="4248" w:type="dxa"/>
          </w:tcPr>
          <w:p w14:paraId="4DB6F43D" w14:textId="77777777" w:rsidR="00203711" w:rsidRPr="00B86885" w:rsidRDefault="00203711">
            <w:pPr>
              <w:pStyle w:val="In-tableHeading"/>
            </w:pPr>
            <w:r w:rsidRPr="00B86885">
              <w:t>Analyses</w:t>
            </w:r>
          </w:p>
        </w:tc>
        <w:tc>
          <w:tcPr>
            <w:tcW w:w="1559" w:type="dxa"/>
          </w:tcPr>
          <w:p w14:paraId="7EC4B8C6" w14:textId="77777777" w:rsidR="00203711" w:rsidRPr="00B86885" w:rsidRDefault="00203711">
            <w:pPr>
              <w:pStyle w:val="In-tableHeading"/>
            </w:pPr>
            <w:r w:rsidRPr="00B86885">
              <w:t>Incremental cost</w:t>
            </w:r>
          </w:p>
        </w:tc>
        <w:tc>
          <w:tcPr>
            <w:tcW w:w="1701" w:type="dxa"/>
          </w:tcPr>
          <w:p w14:paraId="5BF1845B" w14:textId="77777777" w:rsidR="00203711" w:rsidRPr="00B86885" w:rsidRDefault="00203711">
            <w:pPr>
              <w:pStyle w:val="In-tableHeading"/>
            </w:pPr>
            <w:r w:rsidRPr="00B86885">
              <w:t>Incremental QALY</w:t>
            </w:r>
          </w:p>
        </w:tc>
        <w:tc>
          <w:tcPr>
            <w:tcW w:w="1509" w:type="dxa"/>
          </w:tcPr>
          <w:p w14:paraId="5B6F7DC9" w14:textId="77777777" w:rsidR="00203711" w:rsidRPr="00B86885" w:rsidRDefault="00203711">
            <w:pPr>
              <w:pStyle w:val="In-tableHeading"/>
            </w:pPr>
            <w:r w:rsidRPr="00B86885">
              <w:t>ICER</w:t>
            </w:r>
          </w:p>
        </w:tc>
      </w:tr>
      <w:tr w:rsidR="00203711" w:rsidRPr="00B86885" w14:paraId="46DF0946" w14:textId="77777777" w:rsidTr="00BC4F1D">
        <w:tc>
          <w:tcPr>
            <w:tcW w:w="4248" w:type="dxa"/>
          </w:tcPr>
          <w:p w14:paraId="379724A8" w14:textId="77777777" w:rsidR="00203711" w:rsidRPr="00B86885" w:rsidRDefault="00203711">
            <w:pPr>
              <w:pStyle w:val="TableText0"/>
              <w:rPr>
                <w:b/>
                <w:bCs w:val="0"/>
              </w:rPr>
            </w:pPr>
            <w:r w:rsidRPr="00B86885">
              <w:rPr>
                <w:b/>
                <w:bCs w:val="0"/>
              </w:rPr>
              <w:t>Revised base case</w:t>
            </w:r>
          </w:p>
        </w:tc>
        <w:tc>
          <w:tcPr>
            <w:tcW w:w="1559" w:type="dxa"/>
            <w:vAlign w:val="bottom"/>
          </w:tcPr>
          <w:p w14:paraId="3C6602F8" w14:textId="221E430B" w:rsidR="00203711" w:rsidRPr="00B86885" w:rsidRDefault="00203711">
            <w:pPr>
              <w:pStyle w:val="TableText0"/>
              <w:rPr>
                <w:b/>
                <w:bCs w:val="0"/>
              </w:rPr>
            </w:pPr>
            <w:r w:rsidRPr="00B86885">
              <w:rPr>
                <w:b/>
                <w:bCs w:val="0"/>
              </w:rPr>
              <w:t>-$</w:t>
            </w:r>
            <w:r w:rsidR="00460689" w:rsidRPr="00460689">
              <w:rPr>
                <w:b/>
                <w:bCs w:val="0"/>
                <w:color w:val="000000"/>
                <w:spacing w:val="56"/>
                <w:shd w:val="solid" w:color="000000" w:fill="000000"/>
                <w:fitText w:val="354" w:id="-632553459"/>
                <w14:textFill>
                  <w14:solidFill>
                    <w14:srgbClr w14:val="000000">
                      <w14:alpha w14:val="100000"/>
                    </w14:srgbClr>
                  </w14:solidFill>
                </w14:textFill>
              </w:rPr>
              <w:t>|||</w:t>
            </w:r>
            <w:r w:rsidR="00460689" w:rsidRPr="00460689">
              <w:rPr>
                <w:b/>
                <w:bCs w:val="0"/>
                <w:color w:val="000000"/>
                <w:spacing w:val="3"/>
                <w:shd w:val="solid" w:color="000000" w:fill="000000"/>
                <w:fitText w:val="354" w:id="-632553459"/>
                <w14:textFill>
                  <w14:solidFill>
                    <w14:srgbClr w14:val="000000">
                      <w14:alpha w14:val="100000"/>
                    </w14:srgbClr>
                  </w14:solidFill>
                </w14:textFill>
              </w:rPr>
              <w:t>|</w:t>
            </w:r>
          </w:p>
        </w:tc>
        <w:tc>
          <w:tcPr>
            <w:tcW w:w="1701" w:type="dxa"/>
            <w:vAlign w:val="bottom"/>
          </w:tcPr>
          <w:p w14:paraId="308CB7F1" w14:textId="77777777" w:rsidR="00203711" w:rsidRPr="00B86885" w:rsidRDefault="00203711">
            <w:pPr>
              <w:pStyle w:val="TableText0"/>
              <w:rPr>
                <w:b/>
                <w:bCs w:val="0"/>
              </w:rPr>
            </w:pPr>
            <w:r w:rsidRPr="00B86885">
              <w:rPr>
                <w:b/>
                <w:bCs w:val="0"/>
              </w:rPr>
              <w:t>0.016</w:t>
            </w:r>
          </w:p>
        </w:tc>
        <w:tc>
          <w:tcPr>
            <w:tcW w:w="1509" w:type="dxa"/>
            <w:vAlign w:val="bottom"/>
          </w:tcPr>
          <w:p w14:paraId="217955D8" w14:textId="77777777" w:rsidR="00203711" w:rsidRPr="00B86885" w:rsidRDefault="00203711">
            <w:pPr>
              <w:pStyle w:val="TableText0"/>
              <w:rPr>
                <w:b/>
                <w:bCs w:val="0"/>
              </w:rPr>
            </w:pPr>
            <w:r w:rsidRPr="00B86885">
              <w:rPr>
                <w:b/>
                <w:bCs w:val="0"/>
              </w:rPr>
              <w:t xml:space="preserve">Dominant </w:t>
            </w:r>
          </w:p>
        </w:tc>
      </w:tr>
      <w:tr w:rsidR="00203711" w:rsidRPr="00B86885" w14:paraId="6EC33A4C" w14:textId="77777777">
        <w:tc>
          <w:tcPr>
            <w:tcW w:w="9017" w:type="dxa"/>
            <w:gridSpan w:val="4"/>
          </w:tcPr>
          <w:p w14:paraId="7573990B" w14:textId="77777777" w:rsidR="00203711" w:rsidRPr="00B86885" w:rsidRDefault="00203711">
            <w:pPr>
              <w:pStyle w:val="TableText0"/>
            </w:pPr>
            <w:r w:rsidRPr="00B86885">
              <w:t>Number of flares in the post-initial flare health state (base case: 4.10 - tacrolimus arm, 1 - vehicle arm)</w:t>
            </w:r>
          </w:p>
        </w:tc>
      </w:tr>
      <w:tr w:rsidR="00203711" w:rsidRPr="00B86885" w14:paraId="1C64FBBC" w14:textId="77777777" w:rsidTr="00BC4F1D">
        <w:tc>
          <w:tcPr>
            <w:tcW w:w="4248" w:type="dxa"/>
          </w:tcPr>
          <w:p w14:paraId="52A066D3" w14:textId="67FE3367" w:rsidR="00203711" w:rsidRPr="00B86885" w:rsidRDefault="00203711" w:rsidP="00C0701D">
            <w:pPr>
              <w:pStyle w:val="TableText0"/>
              <w:numPr>
                <w:ilvl w:val="0"/>
                <w:numId w:val="8"/>
              </w:numPr>
              <w:ind w:left="447" w:hanging="283"/>
            </w:pPr>
            <w:r w:rsidRPr="00B86885">
              <w:t xml:space="preserve">4.19 and 6.58 </w:t>
            </w:r>
            <w:r w:rsidR="00BC4F1D" w:rsidRPr="00B86885">
              <w:rPr>
                <w:vertAlign w:val="superscript"/>
              </w:rPr>
              <w:t>a</w:t>
            </w:r>
          </w:p>
        </w:tc>
        <w:tc>
          <w:tcPr>
            <w:tcW w:w="1559" w:type="dxa"/>
            <w:vAlign w:val="bottom"/>
          </w:tcPr>
          <w:p w14:paraId="6E95982C" w14:textId="39D460F7" w:rsidR="00203711" w:rsidRPr="00B86885" w:rsidRDefault="00203711">
            <w:pPr>
              <w:pStyle w:val="TableText0"/>
            </w:pPr>
            <w:r w:rsidRPr="00B86885">
              <w:t>-$</w:t>
            </w:r>
            <w:r w:rsidR="00460689" w:rsidRPr="00460689">
              <w:rPr>
                <w:color w:val="000000"/>
                <w:spacing w:val="51"/>
                <w:shd w:val="solid" w:color="000000" w:fill="000000"/>
                <w:fitText w:val="324" w:id="-632553458"/>
                <w14:textFill>
                  <w14:solidFill>
                    <w14:srgbClr w14:val="000000">
                      <w14:alpha w14:val="100000"/>
                    </w14:srgbClr>
                  </w14:solidFill>
                </w14:textFill>
              </w:rPr>
              <w:t>|||</w:t>
            </w:r>
            <w:r w:rsidR="00460689" w:rsidRPr="00460689">
              <w:rPr>
                <w:color w:val="000000"/>
                <w:spacing w:val="1"/>
                <w:shd w:val="solid" w:color="000000" w:fill="000000"/>
                <w:fitText w:val="324" w:id="-632553458"/>
                <w14:textFill>
                  <w14:solidFill>
                    <w14:srgbClr w14:val="000000">
                      <w14:alpha w14:val="100000"/>
                    </w14:srgbClr>
                  </w14:solidFill>
                </w14:textFill>
              </w:rPr>
              <w:t>|</w:t>
            </w:r>
          </w:p>
        </w:tc>
        <w:tc>
          <w:tcPr>
            <w:tcW w:w="1701" w:type="dxa"/>
            <w:vAlign w:val="bottom"/>
          </w:tcPr>
          <w:p w14:paraId="7BFBC2EC" w14:textId="77777777" w:rsidR="00203711" w:rsidRPr="00B86885" w:rsidRDefault="00203711">
            <w:pPr>
              <w:pStyle w:val="TableText0"/>
            </w:pPr>
            <w:r w:rsidRPr="00B86885">
              <w:t>0.018</w:t>
            </w:r>
          </w:p>
        </w:tc>
        <w:tc>
          <w:tcPr>
            <w:tcW w:w="1509" w:type="dxa"/>
            <w:vAlign w:val="bottom"/>
          </w:tcPr>
          <w:p w14:paraId="0471CA27" w14:textId="77777777" w:rsidR="00203711" w:rsidRPr="00B86885" w:rsidRDefault="00203711">
            <w:pPr>
              <w:pStyle w:val="TableText0"/>
            </w:pPr>
            <w:r w:rsidRPr="00B86885">
              <w:t>Dominant</w:t>
            </w:r>
          </w:p>
        </w:tc>
      </w:tr>
      <w:tr w:rsidR="00203711" w:rsidRPr="00B86885" w14:paraId="2756B7DF" w14:textId="77777777">
        <w:tc>
          <w:tcPr>
            <w:tcW w:w="9017" w:type="dxa"/>
            <w:gridSpan w:val="4"/>
          </w:tcPr>
          <w:p w14:paraId="691A0C4C" w14:textId="77777777" w:rsidR="00203711" w:rsidRPr="00B86885" w:rsidRDefault="00203711">
            <w:pPr>
              <w:pStyle w:val="TableText0"/>
            </w:pPr>
            <w:r w:rsidRPr="00B86885">
              <w:t>% of patients that discontinue treatment in the vehicle arm at one-year (base case: 90%)</w:t>
            </w:r>
          </w:p>
        </w:tc>
      </w:tr>
      <w:tr w:rsidR="00203711" w:rsidRPr="00B86885" w14:paraId="3290947C" w14:textId="77777777" w:rsidTr="00BC4F1D">
        <w:tc>
          <w:tcPr>
            <w:tcW w:w="4248" w:type="dxa"/>
          </w:tcPr>
          <w:p w14:paraId="44D8ADF1" w14:textId="77777777" w:rsidR="00203711" w:rsidRPr="00B86885" w:rsidRDefault="00203711" w:rsidP="00C0701D">
            <w:pPr>
              <w:pStyle w:val="TableText0"/>
              <w:numPr>
                <w:ilvl w:val="0"/>
                <w:numId w:val="8"/>
              </w:numPr>
              <w:ind w:left="447" w:hanging="283"/>
            </w:pPr>
            <w:r w:rsidRPr="00B86885">
              <w:t xml:space="preserve">50% </w:t>
            </w:r>
          </w:p>
        </w:tc>
        <w:tc>
          <w:tcPr>
            <w:tcW w:w="1559" w:type="dxa"/>
            <w:vAlign w:val="bottom"/>
          </w:tcPr>
          <w:p w14:paraId="4795DEC7" w14:textId="290E7E8B" w:rsidR="00203711" w:rsidRPr="00B86885" w:rsidRDefault="00203711">
            <w:pPr>
              <w:pStyle w:val="Tabletext"/>
            </w:pPr>
            <w:r w:rsidRPr="00B86885">
              <w:t>-$</w:t>
            </w:r>
            <w:r w:rsidR="00460689" w:rsidRPr="00460689">
              <w:rPr>
                <w:color w:val="000000"/>
                <w:spacing w:val="51"/>
                <w:shd w:val="solid" w:color="000000" w:fill="000000"/>
                <w:fitText w:val="324" w:id="-632553457"/>
                <w14:textFill>
                  <w14:solidFill>
                    <w14:srgbClr w14:val="000000">
                      <w14:alpha w14:val="100000"/>
                    </w14:srgbClr>
                  </w14:solidFill>
                </w14:textFill>
              </w:rPr>
              <w:t>|||</w:t>
            </w:r>
            <w:r w:rsidR="00460689" w:rsidRPr="00460689">
              <w:rPr>
                <w:color w:val="000000"/>
                <w:spacing w:val="1"/>
                <w:shd w:val="solid" w:color="000000" w:fill="000000"/>
                <w:fitText w:val="324" w:id="-632553457"/>
                <w14:textFill>
                  <w14:solidFill>
                    <w14:srgbClr w14:val="000000">
                      <w14:alpha w14:val="100000"/>
                    </w14:srgbClr>
                  </w14:solidFill>
                </w14:textFill>
              </w:rPr>
              <w:t>|</w:t>
            </w:r>
          </w:p>
        </w:tc>
        <w:tc>
          <w:tcPr>
            <w:tcW w:w="1701" w:type="dxa"/>
            <w:vAlign w:val="bottom"/>
          </w:tcPr>
          <w:p w14:paraId="5B90452B" w14:textId="77777777" w:rsidR="00203711" w:rsidRPr="00B86885" w:rsidRDefault="00203711">
            <w:pPr>
              <w:pStyle w:val="Tabletext"/>
            </w:pPr>
            <w:r w:rsidRPr="00B86885">
              <w:t>0.015</w:t>
            </w:r>
          </w:p>
        </w:tc>
        <w:tc>
          <w:tcPr>
            <w:tcW w:w="1509" w:type="dxa"/>
            <w:vAlign w:val="bottom"/>
          </w:tcPr>
          <w:p w14:paraId="48BA6A66" w14:textId="77777777" w:rsidR="00203711" w:rsidRPr="00B86885" w:rsidRDefault="00203711">
            <w:pPr>
              <w:pStyle w:val="TableText0"/>
            </w:pPr>
            <w:r w:rsidRPr="00B86885">
              <w:t>Dominant</w:t>
            </w:r>
          </w:p>
        </w:tc>
      </w:tr>
      <w:tr w:rsidR="00203711" w:rsidRPr="00B86885" w14:paraId="7CC17F9E" w14:textId="77777777">
        <w:tc>
          <w:tcPr>
            <w:tcW w:w="9017" w:type="dxa"/>
            <w:gridSpan w:val="4"/>
          </w:tcPr>
          <w:p w14:paraId="6F9D332F" w14:textId="77777777" w:rsidR="00203711" w:rsidRPr="00B86885" w:rsidRDefault="00203711">
            <w:pPr>
              <w:pStyle w:val="TableText0"/>
            </w:pPr>
            <w:r w:rsidRPr="00B86885">
              <w:t xml:space="preserve">Time-to-event distribution </w:t>
            </w:r>
          </w:p>
        </w:tc>
      </w:tr>
      <w:tr w:rsidR="00203711" w:rsidRPr="00B86885" w14:paraId="1C5B2FB7" w14:textId="77777777" w:rsidTr="00BC4F1D">
        <w:tc>
          <w:tcPr>
            <w:tcW w:w="4248" w:type="dxa"/>
          </w:tcPr>
          <w:p w14:paraId="2649BFD2" w14:textId="77777777" w:rsidR="00203711" w:rsidRPr="00B86885" w:rsidRDefault="00203711" w:rsidP="00C0701D">
            <w:pPr>
              <w:pStyle w:val="TableText0"/>
              <w:numPr>
                <w:ilvl w:val="0"/>
                <w:numId w:val="8"/>
              </w:numPr>
              <w:ind w:left="447" w:hanging="283"/>
            </w:pPr>
            <w:r w:rsidRPr="00B86885">
              <w:t xml:space="preserve">Linear interpolation </w:t>
            </w:r>
          </w:p>
        </w:tc>
        <w:tc>
          <w:tcPr>
            <w:tcW w:w="1559" w:type="dxa"/>
            <w:vAlign w:val="bottom"/>
          </w:tcPr>
          <w:p w14:paraId="765092A8" w14:textId="329B7766" w:rsidR="00203711" w:rsidRPr="00B86885" w:rsidRDefault="00203711">
            <w:pPr>
              <w:pStyle w:val="TableText0"/>
            </w:pPr>
            <w:r w:rsidRPr="00B86885">
              <w:t>-$</w:t>
            </w:r>
            <w:r w:rsidR="00460689" w:rsidRPr="00460689">
              <w:rPr>
                <w:color w:val="000000"/>
                <w:spacing w:val="51"/>
                <w:shd w:val="solid" w:color="000000" w:fill="000000"/>
                <w:fitText w:val="324" w:id="-632553456"/>
                <w14:textFill>
                  <w14:solidFill>
                    <w14:srgbClr w14:val="000000">
                      <w14:alpha w14:val="100000"/>
                    </w14:srgbClr>
                  </w14:solidFill>
                </w14:textFill>
              </w:rPr>
              <w:t>|||</w:t>
            </w:r>
            <w:r w:rsidR="00460689" w:rsidRPr="00460689">
              <w:rPr>
                <w:color w:val="000000"/>
                <w:spacing w:val="1"/>
                <w:shd w:val="solid" w:color="000000" w:fill="000000"/>
                <w:fitText w:val="324" w:id="-632553456"/>
                <w14:textFill>
                  <w14:solidFill>
                    <w14:srgbClr w14:val="000000">
                      <w14:alpha w14:val="100000"/>
                    </w14:srgbClr>
                  </w14:solidFill>
                </w14:textFill>
              </w:rPr>
              <w:t>|</w:t>
            </w:r>
          </w:p>
        </w:tc>
        <w:tc>
          <w:tcPr>
            <w:tcW w:w="1701" w:type="dxa"/>
            <w:vAlign w:val="bottom"/>
          </w:tcPr>
          <w:p w14:paraId="0C174027" w14:textId="77777777" w:rsidR="00203711" w:rsidRPr="00B86885" w:rsidRDefault="00203711">
            <w:pPr>
              <w:pStyle w:val="TableText0"/>
            </w:pPr>
            <w:r w:rsidRPr="00B86885">
              <w:t>0.017</w:t>
            </w:r>
          </w:p>
        </w:tc>
        <w:tc>
          <w:tcPr>
            <w:tcW w:w="1509" w:type="dxa"/>
            <w:vAlign w:val="bottom"/>
          </w:tcPr>
          <w:p w14:paraId="7304DB3A" w14:textId="77777777" w:rsidR="00203711" w:rsidRPr="00B86885" w:rsidRDefault="00203711">
            <w:pPr>
              <w:pStyle w:val="TableText0"/>
            </w:pPr>
            <w:r w:rsidRPr="00B86885">
              <w:t>Dominant</w:t>
            </w:r>
          </w:p>
        </w:tc>
      </w:tr>
      <w:tr w:rsidR="00203711" w:rsidRPr="00B86885" w14:paraId="176407BE" w14:textId="77777777">
        <w:tc>
          <w:tcPr>
            <w:tcW w:w="9017" w:type="dxa"/>
            <w:gridSpan w:val="4"/>
          </w:tcPr>
          <w:p w14:paraId="71424BD4" w14:textId="77777777" w:rsidR="00203711" w:rsidRPr="00B86885" w:rsidRDefault="00203711">
            <w:pPr>
              <w:pStyle w:val="TableText0"/>
            </w:pPr>
            <w:r w:rsidRPr="00B86885">
              <w:t>Utility values (base case: flare-free days = 0.87; flare days = 0.76)</w:t>
            </w:r>
          </w:p>
        </w:tc>
      </w:tr>
      <w:tr w:rsidR="00203711" w:rsidRPr="00B86885" w14:paraId="42B1C7F9" w14:textId="77777777" w:rsidTr="00BC4F1D">
        <w:tc>
          <w:tcPr>
            <w:tcW w:w="4248" w:type="dxa"/>
          </w:tcPr>
          <w:p w14:paraId="7389C416" w14:textId="77777777" w:rsidR="00203711" w:rsidRPr="00B86885" w:rsidRDefault="00203711" w:rsidP="00C0701D">
            <w:pPr>
              <w:pStyle w:val="TableText0"/>
              <w:numPr>
                <w:ilvl w:val="0"/>
                <w:numId w:val="8"/>
              </w:numPr>
              <w:ind w:left="447" w:hanging="283"/>
            </w:pPr>
            <w:r w:rsidRPr="00B86885">
              <w:t>Flare-free days = 0.85</w:t>
            </w:r>
          </w:p>
        </w:tc>
        <w:tc>
          <w:tcPr>
            <w:tcW w:w="1559" w:type="dxa"/>
            <w:vAlign w:val="bottom"/>
          </w:tcPr>
          <w:p w14:paraId="07346573" w14:textId="3B6C8E07" w:rsidR="00203711" w:rsidRPr="00B86885" w:rsidRDefault="00203711">
            <w:pPr>
              <w:pStyle w:val="TableText0"/>
            </w:pPr>
            <w:r w:rsidRPr="00B86885">
              <w:t>-$</w:t>
            </w:r>
            <w:r w:rsidR="00460689" w:rsidRPr="00460689">
              <w:rPr>
                <w:color w:val="000000"/>
                <w:spacing w:val="51"/>
                <w:shd w:val="solid" w:color="000000" w:fill="000000"/>
                <w:fitText w:val="324" w:id="-632553472"/>
                <w14:textFill>
                  <w14:solidFill>
                    <w14:srgbClr w14:val="000000">
                      <w14:alpha w14:val="100000"/>
                    </w14:srgbClr>
                  </w14:solidFill>
                </w14:textFill>
              </w:rPr>
              <w:t>|||</w:t>
            </w:r>
            <w:r w:rsidR="00460689" w:rsidRPr="00460689">
              <w:rPr>
                <w:color w:val="000000"/>
                <w:spacing w:val="1"/>
                <w:shd w:val="solid" w:color="000000" w:fill="000000"/>
                <w:fitText w:val="324" w:id="-632553472"/>
                <w14:textFill>
                  <w14:solidFill>
                    <w14:srgbClr w14:val="000000">
                      <w14:alpha w14:val="100000"/>
                    </w14:srgbClr>
                  </w14:solidFill>
                </w14:textFill>
              </w:rPr>
              <w:t>|</w:t>
            </w:r>
          </w:p>
        </w:tc>
        <w:tc>
          <w:tcPr>
            <w:tcW w:w="1701" w:type="dxa"/>
            <w:vAlign w:val="bottom"/>
          </w:tcPr>
          <w:p w14:paraId="00249E29" w14:textId="77777777" w:rsidR="00203711" w:rsidRPr="00B86885" w:rsidRDefault="00203711">
            <w:pPr>
              <w:pStyle w:val="TableText0"/>
            </w:pPr>
            <w:r w:rsidRPr="00B86885">
              <w:t>0.014</w:t>
            </w:r>
          </w:p>
        </w:tc>
        <w:tc>
          <w:tcPr>
            <w:tcW w:w="1509" w:type="dxa"/>
          </w:tcPr>
          <w:p w14:paraId="17D432E9" w14:textId="77777777" w:rsidR="00203711" w:rsidRPr="00B86885" w:rsidRDefault="00203711">
            <w:pPr>
              <w:pStyle w:val="TableText0"/>
            </w:pPr>
            <w:r w:rsidRPr="00B86885">
              <w:t>Dominant</w:t>
            </w:r>
          </w:p>
        </w:tc>
      </w:tr>
      <w:tr w:rsidR="00203711" w:rsidRPr="00B86885" w14:paraId="55FADCF2" w14:textId="77777777" w:rsidTr="00BC4F1D">
        <w:tc>
          <w:tcPr>
            <w:tcW w:w="4248" w:type="dxa"/>
          </w:tcPr>
          <w:p w14:paraId="39516D8F" w14:textId="77777777" w:rsidR="00203711" w:rsidRPr="00B86885" w:rsidRDefault="00203711" w:rsidP="00C0701D">
            <w:pPr>
              <w:pStyle w:val="TableText0"/>
              <w:numPr>
                <w:ilvl w:val="0"/>
                <w:numId w:val="8"/>
              </w:numPr>
              <w:ind w:left="447" w:hanging="283"/>
            </w:pPr>
            <w:r w:rsidRPr="00B86885">
              <w:t>Flare days = 0.78</w:t>
            </w:r>
          </w:p>
        </w:tc>
        <w:tc>
          <w:tcPr>
            <w:tcW w:w="1559" w:type="dxa"/>
            <w:vAlign w:val="bottom"/>
          </w:tcPr>
          <w:p w14:paraId="03E4EBA8" w14:textId="1E60E4F9" w:rsidR="00203711" w:rsidRPr="00B86885" w:rsidRDefault="00203711">
            <w:pPr>
              <w:pStyle w:val="Tabletext"/>
            </w:pPr>
            <w:r w:rsidRPr="00B86885">
              <w:t>-$</w:t>
            </w:r>
            <w:r w:rsidR="00460689" w:rsidRPr="00460689">
              <w:rPr>
                <w:color w:val="000000"/>
                <w:spacing w:val="51"/>
                <w:shd w:val="solid" w:color="000000" w:fill="000000"/>
                <w:fitText w:val="324" w:id="-632553471"/>
                <w14:textFill>
                  <w14:solidFill>
                    <w14:srgbClr w14:val="000000">
                      <w14:alpha w14:val="100000"/>
                    </w14:srgbClr>
                  </w14:solidFill>
                </w14:textFill>
              </w:rPr>
              <w:t>|||</w:t>
            </w:r>
            <w:r w:rsidR="00460689" w:rsidRPr="00460689">
              <w:rPr>
                <w:color w:val="000000"/>
                <w:spacing w:val="1"/>
                <w:shd w:val="solid" w:color="000000" w:fill="000000"/>
                <w:fitText w:val="324" w:id="-632553471"/>
                <w14:textFill>
                  <w14:solidFill>
                    <w14:srgbClr w14:val="000000">
                      <w14:alpha w14:val="100000"/>
                    </w14:srgbClr>
                  </w14:solidFill>
                </w14:textFill>
              </w:rPr>
              <w:t>|</w:t>
            </w:r>
          </w:p>
        </w:tc>
        <w:tc>
          <w:tcPr>
            <w:tcW w:w="1701" w:type="dxa"/>
            <w:vAlign w:val="bottom"/>
          </w:tcPr>
          <w:p w14:paraId="0031444E" w14:textId="77777777" w:rsidR="00203711" w:rsidRPr="00B86885" w:rsidRDefault="00203711">
            <w:pPr>
              <w:pStyle w:val="Tabletext"/>
            </w:pPr>
            <w:r w:rsidRPr="00B86885">
              <w:t>0.013</w:t>
            </w:r>
          </w:p>
        </w:tc>
        <w:tc>
          <w:tcPr>
            <w:tcW w:w="1509" w:type="dxa"/>
          </w:tcPr>
          <w:p w14:paraId="7D16279E" w14:textId="77777777" w:rsidR="00203711" w:rsidRPr="00B86885" w:rsidRDefault="00203711">
            <w:pPr>
              <w:pStyle w:val="TableText0"/>
            </w:pPr>
            <w:r w:rsidRPr="00B86885">
              <w:t>Dominant</w:t>
            </w:r>
          </w:p>
        </w:tc>
      </w:tr>
      <w:tr w:rsidR="00203711" w:rsidRPr="00B86885" w14:paraId="66C11A5D" w14:textId="77777777" w:rsidTr="00BC4F1D">
        <w:tc>
          <w:tcPr>
            <w:tcW w:w="4248" w:type="dxa"/>
          </w:tcPr>
          <w:p w14:paraId="13FB2495" w14:textId="6823DB16" w:rsidR="00203711" w:rsidRPr="00B86885" w:rsidRDefault="00203711" w:rsidP="00C0701D">
            <w:pPr>
              <w:pStyle w:val="TableText0"/>
              <w:numPr>
                <w:ilvl w:val="0"/>
                <w:numId w:val="8"/>
              </w:numPr>
              <w:ind w:left="447" w:hanging="283"/>
            </w:pPr>
            <w:r w:rsidRPr="00B86885">
              <w:t>Flare-free days = 0.85; flare days = 0.78</w:t>
            </w:r>
            <w:r w:rsidR="00BC4F1D" w:rsidRPr="00B86885">
              <w:t xml:space="preserve"> </w:t>
            </w:r>
            <w:r w:rsidR="00BC4F1D" w:rsidRPr="00B86885">
              <w:rPr>
                <w:vertAlign w:val="superscript"/>
              </w:rPr>
              <w:t xml:space="preserve">b </w:t>
            </w:r>
            <w:r w:rsidRPr="00B86885">
              <w:t>(#1)</w:t>
            </w:r>
          </w:p>
        </w:tc>
        <w:tc>
          <w:tcPr>
            <w:tcW w:w="1559" w:type="dxa"/>
            <w:vAlign w:val="bottom"/>
          </w:tcPr>
          <w:p w14:paraId="24B7147D" w14:textId="7E0B00F1" w:rsidR="00203711" w:rsidRPr="00B86885" w:rsidRDefault="00203711">
            <w:pPr>
              <w:pStyle w:val="TableText0"/>
            </w:pPr>
            <w:r w:rsidRPr="00B86885">
              <w:t>-$</w:t>
            </w:r>
            <w:r w:rsidR="00460689" w:rsidRPr="00460689">
              <w:rPr>
                <w:color w:val="000000"/>
                <w:spacing w:val="51"/>
                <w:shd w:val="solid" w:color="000000" w:fill="000000"/>
                <w:fitText w:val="324" w:id="-632553470"/>
                <w14:textFill>
                  <w14:solidFill>
                    <w14:srgbClr w14:val="000000">
                      <w14:alpha w14:val="100000"/>
                    </w14:srgbClr>
                  </w14:solidFill>
                </w14:textFill>
              </w:rPr>
              <w:t>|||</w:t>
            </w:r>
            <w:r w:rsidR="00460689" w:rsidRPr="00460689">
              <w:rPr>
                <w:color w:val="000000"/>
                <w:spacing w:val="1"/>
                <w:shd w:val="solid" w:color="000000" w:fill="000000"/>
                <w:fitText w:val="324" w:id="-632553470"/>
                <w14:textFill>
                  <w14:solidFill>
                    <w14:srgbClr w14:val="000000">
                      <w14:alpha w14:val="100000"/>
                    </w14:srgbClr>
                  </w14:solidFill>
                </w14:textFill>
              </w:rPr>
              <w:t>|</w:t>
            </w:r>
          </w:p>
        </w:tc>
        <w:tc>
          <w:tcPr>
            <w:tcW w:w="1701" w:type="dxa"/>
            <w:vAlign w:val="bottom"/>
          </w:tcPr>
          <w:p w14:paraId="1E99C745" w14:textId="77777777" w:rsidR="00203711" w:rsidRPr="00B86885" w:rsidRDefault="00203711">
            <w:pPr>
              <w:pStyle w:val="TableText0"/>
            </w:pPr>
            <w:r w:rsidRPr="00B86885">
              <w:t>0.011</w:t>
            </w:r>
          </w:p>
        </w:tc>
        <w:tc>
          <w:tcPr>
            <w:tcW w:w="1509" w:type="dxa"/>
            <w:vAlign w:val="bottom"/>
          </w:tcPr>
          <w:p w14:paraId="0C7E5CF7" w14:textId="77777777" w:rsidR="00203711" w:rsidRPr="00B86885" w:rsidRDefault="00203711">
            <w:pPr>
              <w:pStyle w:val="TableText0"/>
            </w:pPr>
            <w:r w:rsidRPr="00B86885">
              <w:t>Dominant</w:t>
            </w:r>
          </w:p>
        </w:tc>
      </w:tr>
      <w:tr w:rsidR="00203711" w:rsidRPr="00B86885" w14:paraId="138D8364" w14:textId="77777777">
        <w:tc>
          <w:tcPr>
            <w:tcW w:w="9017" w:type="dxa"/>
            <w:gridSpan w:val="4"/>
          </w:tcPr>
          <w:p w14:paraId="191D4930" w14:textId="7E4B8455" w:rsidR="00203711" w:rsidRPr="00B86885" w:rsidRDefault="00203711">
            <w:pPr>
              <w:pStyle w:val="TableText0"/>
            </w:pPr>
            <w:r w:rsidRPr="00B86885">
              <w:t xml:space="preserve">Number of flare days (16.11 post-initial flare health state; 15.20 days discontinued health state) </w:t>
            </w:r>
          </w:p>
        </w:tc>
      </w:tr>
      <w:tr w:rsidR="00203711" w:rsidRPr="00B86885" w14:paraId="5FEBB6D3" w14:textId="77777777" w:rsidTr="00BC4F1D">
        <w:tc>
          <w:tcPr>
            <w:tcW w:w="4248" w:type="dxa"/>
          </w:tcPr>
          <w:p w14:paraId="36F65BB6" w14:textId="5013705B" w:rsidR="00203711" w:rsidRPr="00B86885" w:rsidRDefault="00203711" w:rsidP="00C0701D">
            <w:pPr>
              <w:pStyle w:val="TableText0"/>
              <w:numPr>
                <w:ilvl w:val="0"/>
                <w:numId w:val="8"/>
              </w:numPr>
              <w:ind w:left="447" w:hanging="283"/>
            </w:pPr>
            <w:r w:rsidRPr="00B86885">
              <w:t xml:space="preserve">11.9 days across both health states </w:t>
            </w:r>
            <w:r w:rsidR="00BC4F1D" w:rsidRPr="00B86885">
              <w:rPr>
                <w:vertAlign w:val="superscript"/>
              </w:rPr>
              <w:t>c</w:t>
            </w:r>
          </w:p>
        </w:tc>
        <w:tc>
          <w:tcPr>
            <w:tcW w:w="1559" w:type="dxa"/>
            <w:vAlign w:val="bottom"/>
          </w:tcPr>
          <w:p w14:paraId="24291A6E" w14:textId="6CF73405" w:rsidR="00203711" w:rsidRPr="00B86885" w:rsidRDefault="00203711">
            <w:pPr>
              <w:pStyle w:val="TableText0"/>
            </w:pPr>
            <w:r w:rsidRPr="00B86885">
              <w:t>-$</w:t>
            </w:r>
            <w:r w:rsidR="00460689" w:rsidRPr="00460689">
              <w:rPr>
                <w:color w:val="000000"/>
                <w:spacing w:val="51"/>
                <w:shd w:val="solid" w:color="000000" w:fill="000000"/>
                <w:fitText w:val="324" w:id="-632553469"/>
                <w14:textFill>
                  <w14:solidFill>
                    <w14:srgbClr w14:val="000000">
                      <w14:alpha w14:val="100000"/>
                    </w14:srgbClr>
                  </w14:solidFill>
                </w14:textFill>
              </w:rPr>
              <w:t>|||</w:t>
            </w:r>
            <w:r w:rsidR="00460689" w:rsidRPr="00460689">
              <w:rPr>
                <w:color w:val="000000"/>
                <w:spacing w:val="1"/>
                <w:shd w:val="solid" w:color="000000" w:fill="000000"/>
                <w:fitText w:val="324" w:id="-632553469"/>
                <w14:textFill>
                  <w14:solidFill>
                    <w14:srgbClr w14:val="000000">
                      <w14:alpha w14:val="100000"/>
                    </w14:srgbClr>
                  </w14:solidFill>
                </w14:textFill>
              </w:rPr>
              <w:t>|</w:t>
            </w:r>
          </w:p>
        </w:tc>
        <w:tc>
          <w:tcPr>
            <w:tcW w:w="1701" w:type="dxa"/>
            <w:vAlign w:val="bottom"/>
          </w:tcPr>
          <w:p w14:paraId="57E7A21C" w14:textId="77777777" w:rsidR="00203711" w:rsidRPr="00B86885" w:rsidRDefault="00203711">
            <w:pPr>
              <w:pStyle w:val="TableText0"/>
            </w:pPr>
            <w:r w:rsidRPr="00B86885">
              <w:t>0.014</w:t>
            </w:r>
          </w:p>
        </w:tc>
        <w:tc>
          <w:tcPr>
            <w:tcW w:w="1509" w:type="dxa"/>
          </w:tcPr>
          <w:p w14:paraId="6C42F631" w14:textId="77777777" w:rsidR="00203711" w:rsidRPr="00B86885" w:rsidRDefault="00203711">
            <w:pPr>
              <w:pStyle w:val="TableText0"/>
            </w:pPr>
            <w:r w:rsidRPr="00B86885">
              <w:t xml:space="preserve">Dominant </w:t>
            </w:r>
          </w:p>
        </w:tc>
      </w:tr>
      <w:tr w:rsidR="00CC1C80" w:rsidRPr="00B86885" w14:paraId="6DCFD321" w14:textId="77777777">
        <w:tc>
          <w:tcPr>
            <w:tcW w:w="9017" w:type="dxa"/>
            <w:gridSpan w:val="4"/>
          </w:tcPr>
          <w:p w14:paraId="7EA728A9" w14:textId="5DF8B75C" w:rsidR="00CC1C80" w:rsidRPr="00B86885" w:rsidRDefault="00CC1C80">
            <w:pPr>
              <w:pStyle w:val="TableText0"/>
            </w:pPr>
            <w:r w:rsidRPr="00B86885">
              <w:t>Number of flare</w:t>
            </w:r>
            <w:r w:rsidR="00671005">
              <w:t>s in the discontinued health state (base case = 9.51)</w:t>
            </w:r>
            <w:r w:rsidRPr="00B86885">
              <w:t xml:space="preserve"> </w:t>
            </w:r>
          </w:p>
        </w:tc>
      </w:tr>
      <w:tr w:rsidR="008E5130" w:rsidRPr="00B86885" w14:paraId="7F931C1F" w14:textId="77777777">
        <w:tc>
          <w:tcPr>
            <w:tcW w:w="4248" w:type="dxa"/>
          </w:tcPr>
          <w:p w14:paraId="62AAE30E" w14:textId="48121E72" w:rsidR="008E5130" w:rsidRDefault="008E5130">
            <w:pPr>
              <w:pStyle w:val="TableText0"/>
              <w:numPr>
                <w:ilvl w:val="0"/>
                <w:numId w:val="8"/>
              </w:numPr>
              <w:ind w:left="447" w:hanging="283"/>
            </w:pPr>
            <w:r>
              <w:t>7</w:t>
            </w:r>
          </w:p>
        </w:tc>
        <w:tc>
          <w:tcPr>
            <w:tcW w:w="1559" w:type="dxa"/>
            <w:vAlign w:val="bottom"/>
          </w:tcPr>
          <w:p w14:paraId="50D56C79" w14:textId="185071E9" w:rsidR="008E5130" w:rsidRDefault="006F3588">
            <w:pPr>
              <w:pStyle w:val="TableText0"/>
            </w:pPr>
            <w:r>
              <w:t>$</w:t>
            </w:r>
            <w:r w:rsidR="00460689" w:rsidRPr="00460689">
              <w:rPr>
                <w:color w:val="000000"/>
                <w:spacing w:val="53"/>
                <w:shd w:val="solid" w:color="000000" w:fill="000000"/>
                <w:fitText w:val="330" w:id="-632553468"/>
                <w14:textFill>
                  <w14:solidFill>
                    <w14:srgbClr w14:val="000000">
                      <w14:alpha w14:val="100000"/>
                    </w14:srgbClr>
                  </w14:solidFill>
                </w14:textFill>
              </w:rPr>
              <w:t>|||</w:t>
            </w:r>
            <w:r w:rsidR="00460689" w:rsidRPr="00460689">
              <w:rPr>
                <w:color w:val="000000"/>
                <w:spacing w:val="1"/>
                <w:shd w:val="solid" w:color="000000" w:fill="000000"/>
                <w:fitText w:val="330" w:id="-632553468"/>
                <w14:textFill>
                  <w14:solidFill>
                    <w14:srgbClr w14:val="000000">
                      <w14:alpha w14:val="100000"/>
                    </w14:srgbClr>
                  </w14:solidFill>
                </w14:textFill>
              </w:rPr>
              <w:t>|</w:t>
            </w:r>
          </w:p>
        </w:tc>
        <w:tc>
          <w:tcPr>
            <w:tcW w:w="1701" w:type="dxa"/>
            <w:vAlign w:val="bottom"/>
          </w:tcPr>
          <w:p w14:paraId="26AF3660" w14:textId="51F4355B" w:rsidR="008E5130" w:rsidRPr="00B86885" w:rsidRDefault="006F3588">
            <w:pPr>
              <w:pStyle w:val="TableText0"/>
            </w:pPr>
            <w:r>
              <w:t>0.010</w:t>
            </w:r>
          </w:p>
        </w:tc>
        <w:tc>
          <w:tcPr>
            <w:tcW w:w="1509" w:type="dxa"/>
          </w:tcPr>
          <w:p w14:paraId="2AC5C13D" w14:textId="2DA42752" w:rsidR="008E5130" w:rsidRPr="0007331F" w:rsidRDefault="006F3588">
            <w:pPr>
              <w:pStyle w:val="TableText0"/>
              <w:rPr>
                <w:vertAlign w:val="superscript"/>
              </w:rPr>
            </w:pPr>
            <w:r>
              <w:t>$</w:t>
            </w:r>
            <w:r w:rsidR="00460689" w:rsidRPr="00460689">
              <w:rPr>
                <w:color w:val="000000"/>
                <w:spacing w:val="53"/>
                <w:shd w:val="solid" w:color="000000" w:fill="000000"/>
                <w:fitText w:val="330" w:id="-632553467"/>
                <w14:textFill>
                  <w14:solidFill>
                    <w14:srgbClr w14:val="000000">
                      <w14:alpha w14:val="100000"/>
                    </w14:srgbClr>
                  </w14:solidFill>
                </w14:textFill>
              </w:rPr>
              <w:t>|||</w:t>
            </w:r>
            <w:r w:rsidR="00460689" w:rsidRPr="00460689">
              <w:rPr>
                <w:color w:val="000000"/>
                <w:spacing w:val="1"/>
                <w:shd w:val="solid" w:color="000000" w:fill="000000"/>
                <w:fitText w:val="330" w:id="-632553467"/>
                <w14:textFill>
                  <w14:solidFill>
                    <w14:srgbClr w14:val="000000">
                      <w14:alpha w14:val="100000"/>
                    </w14:srgbClr>
                  </w14:solidFill>
                </w14:textFill>
              </w:rPr>
              <w:t>|</w:t>
            </w:r>
            <w:r w:rsidR="0007331F">
              <w:rPr>
                <w:vertAlign w:val="superscript"/>
              </w:rPr>
              <w:t>1</w:t>
            </w:r>
          </w:p>
        </w:tc>
      </w:tr>
      <w:tr w:rsidR="00CC1C80" w:rsidRPr="00B86885" w14:paraId="6277143C" w14:textId="77777777">
        <w:tc>
          <w:tcPr>
            <w:tcW w:w="4248" w:type="dxa"/>
          </w:tcPr>
          <w:p w14:paraId="58E37D04" w14:textId="0974034A" w:rsidR="00CC1C80" w:rsidRPr="00B86885" w:rsidRDefault="0085162E">
            <w:pPr>
              <w:pStyle w:val="TableText0"/>
              <w:numPr>
                <w:ilvl w:val="0"/>
                <w:numId w:val="8"/>
              </w:numPr>
              <w:ind w:left="447" w:hanging="283"/>
            </w:pPr>
            <w:r>
              <w:t>5</w:t>
            </w:r>
          </w:p>
        </w:tc>
        <w:tc>
          <w:tcPr>
            <w:tcW w:w="1559" w:type="dxa"/>
            <w:vAlign w:val="bottom"/>
          </w:tcPr>
          <w:p w14:paraId="2A3FEF2D" w14:textId="79413107" w:rsidR="00CC1C80" w:rsidRPr="00B86885" w:rsidRDefault="0085162E">
            <w:pPr>
              <w:pStyle w:val="TableText0"/>
            </w:pPr>
            <w:r>
              <w:t>$</w:t>
            </w:r>
            <w:r w:rsidR="00460689" w:rsidRPr="00460689">
              <w:rPr>
                <w:color w:val="000000"/>
                <w:spacing w:val="53"/>
                <w:shd w:val="solid" w:color="000000" w:fill="000000"/>
                <w:fitText w:val="330" w:id="-632553466"/>
                <w14:textFill>
                  <w14:solidFill>
                    <w14:srgbClr w14:val="000000">
                      <w14:alpha w14:val="100000"/>
                    </w14:srgbClr>
                  </w14:solidFill>
                </w14:textFill>
              </w:rPr>
              <w:t>|||</w:t>
            </w:r>
            <w:r w:rsidR="00460689" w:rsidRPr="00460689">
              <w:rPr>
                <w:color w:val="000000"/>
                <w:spacing w:val="1"/>
                <w:shd w:val="solid" w:color="000000" w:fill="000000"/>
                <w:fitText w:val="330" w:id="-632553466"/>
                <w14:textFill>
                  <w14:solidFill>
                    <w14:srgbClr w14:val="000000">
                      <w14:alpha w14:val="100000"/>
                    </w14:srgbClr>
                  </w14:solidFill>
                </w14:textFill>
              </w:rPr>
              <w:t>|</w:t>
            </w:r>
          </w:p>
        </w:tc>
        <w:tc>
          <w:tcPr>
            <w:tcW w:w="1701" w:type="dxa"/>
            <w:vAlign w:val="bottom"/>
          </w:tcPr>
          <w:p w14:paraId="71C75A53" w14:textId="76D4B462" w:rsidR="00CC1C80" w:rsidRPr="00B86885" w:rsidRDefault="00CC1C80">
            <w:pPr>
              <w:pStyle w:val="TableText0"/>
            </w:pPr>
            <w:r w:rsidRPr="00B86885">
              <w:t>0.0</w:t>
            </w:r>
            <w:r w:rsidR="0085162E">
              <w:t>06</w:t>
            </w:r>
          </w:p>
        </w:tc>
        <w:tc>
          <w:tcPr>
            <w:tcW w:w="1509" w:type="dxa"/>
          </w:tcPr>
          <w:p w14:paraId="07E11F36" w14:textId="09DD29B1" w:rsidR="00CC1C80" w:rsidRPr="006A7884" w:rsidRDefault="0085162E">
            <w:pPr>
              <w:pStyle w:val="TableText0"/>
              <w:rPr>
                <w:vertAlign w:val="superscript"/>
              </w:rPr>
            </w:pPr>
            <w:r>
              <w:t>$</w:t>
            </w:r>
            <w:r w:rsidR="00460689" w:rsidRPr="00460689">
              <w:rPr>
                <w:color w:val="000000"/>
                <w:spacing w:val="53"/>
                <w:shd w:val="solid" w:color="000000" w:fill="000000"/>
                <w:fitText w:val="330" w:id="-632553465"/>
                <w14:textFill>
                  <w14:solidFill>
                    <w14:srgbClr w14:val="000000">
                      <w14:alpha w14:val="100000"/>
                    </w14:srgbClr>
                  </w14:solidFill>
                </w14:textFill>
              </w:rPr>
              <w:t>|||</w:t>
            </w:r>
            <w:r w:rsidR="00460689" w:rsidRPr="00460689">
              <w:rPr>
                <w:color w:val="000000"/>
                <w:spacing w:val="1"/>
                <w:shd w:val="solid" w:color="000000" w:fill="000000"/>
                <w:fitText w:val="330" w:id="-632553465"/>
                <w14:textFill>
                  <w14:solidFill>
                    <w14:srgbClr w14:val="000000">
                      <w14:alpha w14:val="100000"/>
                    </w14:srgbClr>
                  </w14:solidFill>
                </w14:textFill>
              </w:rPr>
              <w:t>|</w:t>
            </w:r>
            <w:r w:rsidR="006A7884">
              <w:rPr>
                <w:vertAlign w:val="superscript"/>
              </w:rPr>
              <w:t>2</w:t>
            </w:r>
          </w:p>
        </w:tc>
      </w:tr>
      <w:tr w:rsidR="0085162E" w:rsidRPr="00B86885" w14:paraId="00E99BF9" w14:textId="77777777">
        <w:tc>
          <w:tcPr>
            <w:tcW w:w="4248" w:type="dxa"/>
          </w:tcPr>
          <w:p w14:paraId="31E5F7E7" w14:textId="70CE3A0B" w:rsidR="0085162E" w:rsidRDefault="0085162E">
            <w:pPr>
              <w:pStyle w:val="TableText0"/>
              <w:numPr>
                <w:ilvl w:val="0"/>
                <w:numId w:val="8"/>
              </w:numPr>
              <w:ind w:left="447" w:hanging="283"/>
            </w:pPr>
            <w:r>
              <w:t>3</w:t>
            </w:r>
          </w:p>
        </w:tc>
        <w:tc>
          <w:tcPr>
            <w:tcW w:w="1559" w:type="dxa"/>
            <w:vAlign w:val="bottom"/>
          </w:tcPr>
          <w:p w14:paraId="5E6421F9" w14:textId="518BC90D" w:rsidR="0085162E" w:rsidRDefault="008E5130">
            <w:pPr>
              <w:pStyle w:val="TableText0"/>
            </w:pPr>
            <w:r>
              <w:t>$</w:t>
            </w:r>
            <w:r w:rsidR="00460689" w:rsidRPr="00460689">
              <w:rPr>
                <w:color w:val="000000"/>
                <w:spacing w:val="53"/>
                <w:shd w:val="solid" w:color="000000" w:fill="000000"/>
                <w:fitText w:val="330" w:id="-632553464"/>
                <w14:textFill>
                  <w14:solidFill>
                    <w14:srgbClr w14:val="000000">
                      <w14:alpha w14:val="100000"/>
                    </w14:srgbClr>
                  </w14:solidFill>
                </w14:textFill>
              </w:rPr>
              <w:t>|||</w:t>
            </w:r>
            <w:r w:rsidR="00460689" w:rsidRPr="00460689">
              <w:rPr>
                <w:color w:val="000000"/>
                <w:spacing w:val="1"/>
                <w:shd w:val="solid" w:color="000000" w:fill="000000"/>
                <w:fitText w:val="330" w:id="-632553464"/>
                <w14:textFill>
                  <w14:solidFill>
                    <w14:srgbClr w14:val="000000">
                      <w14:alpha w14:val="100000"/>
                    </w14:srgbClr>
                  </w14:solidFill>
                </w14:textFill>
              </w:rPr>
              <w:t>|</w:t>
            </w:r>
          </w:p>
        </w:tc>
        <w:tc>
          <w:tcPr>
            <w:tcW w:w="1701" w:type="dxa"/>
            <w:vAlign w:val="bottom"/>
          </w:tcPr>
          <w:p w14:paraId="42782B1E" w14:textId="54C2C4CE" w:rsidR="0085162E" w:rsidRPr="00B86885" w:rsidRDefault="008E5130">
            <w:pPr>
              <w:pStyle w:val="TableText0"/>
            </w:pPr>
            <w:r>
              <w:t>0.001</w:t>
            </w:r>
          </w:p>
        </w:tc>
        <w:tc>
          <w:tcPr>
            <w:tcW w:w="1509" w:type="dxa"/>
          </w:tcPr>
          <w:p w14:paraId="171AF9B0" w14:textId="697C26EC" w:rsidR="0085162E" w:rsidRPr="00E265E7" w:rsidRDefault="008E5130">
            <w:pPr>
              <w:pStyle w:val="TableText0"/>
              <w:rPr>
                <w:vertAlign w:val="superscript"/>
              </w:rPr>
            </w:pPr>
            <w:r>
              <w:t>$</w:t>
            </w:r>
            <w:r w:rsidR="00460689" w:rsidRPr="00460689">
              <w:rPr>
                <w:color w:val="000000"/>
                <w:spacing w:val="53"/>
                <w:shd w:val="solid" w:color="000000" w:fill="000000"/>
                <w:fitText w:val="330" w:id="-632553463"/>
                <w14:textFill>
                  <w14:solidFill>
                    <w14:srgbClr w14:val="000000">
                      <w14:alpha w14:val="100000"/>
                    </w14:srgbClr>
                  </w14:solidFill>
                </w14:textFill>
              </w:rPr>
              <w:t>|||</w:t>
            </w:r>
            <w:r w:rsidR="00460689" w:rsidRPr="00460689">
              <w:rPr>
                <w:color w:val="000000"/>
                <w:spacing w:val="1"/>
                <w:shd w:val="solid" w:color="000000" w:fill="000000"/>
                <w:fitText w:val="330" w:id="-632553463"/>
                <w14:textFill>
                  <w14:solidFill>
                    <w14:srgbClr w14:val="000000">
                      <w14:alpha w14:val="100000"/>
                    </w14:srgbClr>
                  </w14:solidFill>
                </w14:textFill>
              </w:rPr>
              <w:t>|</w:t>
            </w:r>
            <w:r w:rsidR="00E265E7">
              <w:rPr>
                <w:vertAlign w:val="superscript"/>
              </w:rPr>
              <w:t>3</w:t>
            </w:r>
          </w:p>
        </w:tc>
      </w:tr>
      <w:tr w:rsidR="00203711" w:rsidRPr="00B86885" w14:paraId="38107D33" w14:textId="77777777">
        <w:tc>
          <w:tcPr>
            <w:tcW w:w="9017" w:type="dxa"/>
            <w:gridSpan w:val="4"/>
          </w:tcPr>
          <w:p w14:paraId="70D1B4C2" w14:textId="77777777" w:rsidR="00203711" w:rsidRPr="00B86885" w:rsidRDefault="00203711">
            <w:pPr>
              <w:pStyle w:val="TableText0"/>
            </w:pPr>
            <w:r w:rsidRPr="00B86885">
              <w:t>Tacrolimus use per day (base case: 1.23 g maintenance, 3.88 g flare)</w:t>
            </w:r>
          </w:p>
        </w:tc>
      </w:tr>
      <w:tr w:rsidR="00203711" w:rsidRPr="00B86885" w14:paraId="3897BB57" w14:textId="77777777" w:rsidTr="00BC4F1D">
        <w:tc>
          <w:tcPr>
            <w:tcW w:w="4248" w:type="dxa"/>
          </w:tcPr>
          <w:p w14:paraId="6B9FD7C7" w14:textId="3A82F36F" w:rsidR="00203711" w:rsidRPr="00B86885" w:rsidRDefault="00203711" w:rsidP="00C0701D">
            <w:pPr>
              <w:pStyle w:val="TableText0"/>
              <w:numPr>
                <w:ilvl w:val="0"/>
                <w:numId w:val="8"/>
              </w:numPr>
              <w:ind w:left="447" w:hanging="283"/>
            </w:pPr>
            <w:r w:rsidRPr="00B86885">
              <w:t xml:space="preserve">0.48 g maintenance, 1.68 g flare </w:t>
            </w:r>
            <w:r w:rsidR="00BC4F1D" w:rsidRPr="00B86885">
              <w:rPr>
                <w:vertAlign w:val="superscript"/>
              </w:rPr>
              <w:t>d</w:t>
            </w:r>
          </w:p>
        </w:tc>
        <w:tc>
          <w:tcPr>
            <w:tcW w:w="1559" w:type="dxa"/>
            <w:vAlign w:val="bottom"/>
          </w:tcPr>
          <w:p w14:paraId="6E25EDB8" w14:textId="197FCAD9" w:rsidR="00203711" w:rsidRPr="00B86885" w:rsidRDefault="00203711">
            <w:pPr>
              <w:pStyle w:val="Tabletext"/>
            </w:pPr>
            <w:r w:rsidRPr="00B86885">
              <w:t>-$</w:t>
            </w:r>
            <w:r w:rsidR="00460689" w:rsidRPr="00460689">
              <w:rPr>
                <w:color w:val="000000"/>
                <w:spacing w:val="51"/>
                <w:shd w:val="solid" w:color="000000" w:fill="000000"/>
                <w:fitText w:val="324" w:id="-632553462"/>
                <w14:textFill>
                  <w14:solidFill>
                    <w14:srgbClr w14:val="000000">
                      <w14:alpha w14:val="100000"/>
                    </w14:srgbClr>
                  </w14:solidFill>
                </w14:textFill>
              </w:rPr>
              <w:t>|||</w:t>
            </w:r>
            <w:r w:rsidR="00460689" w:rsidRPr="00460689">
              <w:rPr>
                <w:color w:val="000000"/>
                <w:spacing w:val="1"/>
                <w:shd w:val="solid" w:color="000000" w:fill="000000"/>
                <w:fitText w:val="324" w:id="-632553462"/>
                <w14:textFill>
                  <w14:solidFill>
                    <w14:srgbClr w14:val="000000">
                      <w14:alpha w14:val="100000"/>
                    </w14:srgbClr>
                  </w14:solidFill>
                </w14:textFill>
              </w:rPr>
              <w:t>|</w:t>
            </w:r>
          </w:p>
        </w:tc>
        <w:tc>
          <w:tcPr>
            <w:tcW w:w="1701" w:type="dxa"/>
            <w:vAlign w:val="bottom"/>
          </w:tcPr>
          <w:p w14:paraId="401D9292" w14:textId="77777777" w:rsidR="00203711" w:rsidRPr="00B86885" w:rsidRDefault="00203711">
            <w:pPr>
              <w:pStyle w:val="Tabletext"/>
            </w:pPr>
            <w:r w:rsidRPr="00B86885">
              <w:t>0.016</w:t>
            </w:r>
          </w:p>
        </w:tc>
        <w:tc>
          <w:tcPr>
            <w:tcW w:w="1509" w:type="dxa"/>
          </w:tcPr>
          <w:p w14:paraId="498CC614" w14:textId="77777777" w:rsidR="00203711" w:rsidRPr="00B86885" w:rsidRDefault="00203711">
            <w:pPr>
              <w:pStyle w:val="TableText0"/>
            </w:pPr>
            <w:r w:rsidRPr="00B86885">
              <w:t>Dominant</w:t>
            </w:r>
          </w:p>
        </w:tc>
      </w:tr>
      <w:tr w:rsidR="00203711" w:rsidRPr="00B86885" w14:paraId="00BA14B2" w14:textId="77777777" w:rsidTr="00BC4F1D">
        <w:tc>
          <w:tcPr>
            <w:tcW w:w="4248" w:type="dxa"/>
          </w:tcPr>
          <w:p w14:paraId="2FFADCC9" w14:textId="7DC524B7" w:rsidR="00203711" w:rsidRPr="00B86885" w:rsidRDefault="00203711" w:rsidP="00C0701D">
            <w:pPr>
              <w:pStyle w:val="TableText0"/>
              <w:numPr>
                <w:ilvl w:val="0"/>
                <w:numId w:val="8"/>
              </w:numPr>
              <w:ind w:left="447" w:hanging="283"/>
            </w:pPr>
            <w:r w:rsidRPr="00B86885">
              <w:t xml:space="preserve">1.68 g (maintenance and flare) </w:t>
            </w:r>
            <w:r w:rsidR="00BC4F1D" w:rsidRPr="00B86885">
              <w:rPr>
                <w:vertAlign w:val="superscript"/>
              </w:rPr>
              <w:t xml:space="preserve">e </w:t>
            </w:r>
            <w:r w:rsidRPr="00B86885">
              <w:t>(#2)</w:t>
            </w:r>
          </w:p>
        </w:tc>
        <w:tc>
          <w:tcPr>
            <w:tcW w:w="1559" w:type="dxa"/>
          </w:tcPr>
          <w:p w14:paraId="45F4DF3D" w14:textId="02B55D0A" w:rsidR="00203711" w:rsidRPr="00B86885" w:rsidRDefault="00203711">
            <w:pPr>
              <w:pStyle w:val="TableText0"/>
            </w:pPr>
            <w:r w:rsidRPr="00B86885">
              <w:t>-$</w:t>
            </w:r>
            <w:r w:rsidR="00460689" w:rsidRPr="00460689">
              <w:rPr>
                <w:color w:val="000000"/>
                <w:spacing w:val="51"/>
                <w:shd w:val="solid" w:color="000000" w:fill="000000"/>
                <w:fitText w:val="324" w:id="-632553461"/>
                <w14:textFill>
                  <w14:solidFill>
                    <w14:srgbClr w14:val="000000">
                      <w14:alpha w14:val="100000"/>
                    </w14:srgbClr>
                  </w14:solidFill>
                </w14:textFill>
              </w:rPr>
              <w:t>|||</w:t>
            </w:r>
            <w:r w:rsidR="00460689" w:rsidRPr="00460689">
              <w:rPr>
                <w:color w:val="000000"/>
                <w:spacing w:val="1"/>
                <w:shd w:val="solid" w:color="000000" w:fill="000000"/>
                <w:fitText w:val="324" w:id="-632553461"/>
                <w14:textFill>
                  <w14:solidFill>
                    <w14:srgbClr w14:val="000000">
                      <w14:alpha w14:val="100000"/>
                    </w14:srgbClr>
                  </w14:solidFill>
                </w14:textFill>
              </w:rPr>
              <w:t>|</w:t>
            </w:r>
          </w:p>
        </w:tc>
        <w:tc>
          <w:tcPr>
            <w:tcW w:w="1701" w:type="dxa"/>
          </w:tcPr>
          <w:p w14:paraId="5E25074B" w14:textId="77777777" w:rsidR="00203711" w:rsidRPr="00B86885" w:rsidRDefault="00203711">
            <w:pPr>
              <w:pStyle w:val="TableText0"/>
            </w:pPr>
            <w:r w:rsidRPr="00B86885">
              <w:t>0.016</w:t>
            </w:r>
          </w:p>
        </w:tc>
        <w:tc>
          <w:tcPr>
            <w:tcW w:w="1509" w:type="dxa"/>
          </w:tcPr>
          <w:p w14:paraId="4D95A3CF" w14:textId="77777777" w:rsidR="00203711" w:rsidRPr="00B86885" w:rsidRDefault="00203711">
            <w:pPr>
              <w:pStyle w:val="TableText0"/>
            </w:pPr>
            <w:r w:rsidRPr="00B86885">
              <w:t>Dominant</w:t>
            </w:r>
          </w:p>
        </w:tc>
      </w:tr>
      <w:tr w:rsidR="00203711" w:rsidRPr="00B86885" w14:paraId="2CB7CAB2" w14:textId="77777777">
        <w:tc>
          <w:tcPr>
            <w:tcW w:w="9017" w:type="dxa"/>
            <w:gridSpan w:val="4"/>
          </w:tcPr>
          <w:p w14:paraId="7DB891A1" w14:textId="77777777" w:rsidR="00203711" w:rsidRPr="00B86885" w:rsidRDefault="00203711">
            <w:pPr>
              <w:pStyle w:val="TableText0"/>
              <w:rPr>
                <w:rFonts w:ascii="Aptos Narrow" w:hAnsi="Aptos Narrow"/>
                <w:color w:val="000000"/>
                <w:sz w:val="22"/>
                <w:szCs w:val="22"/>
              </w:rPr>
            </w:pPr>
            <w:r w:rsidRPr="00B86885">
              <w:t xml:space="preserve">Costs </w:t>
            </w:r>
          </w:p>
        </w:tc>
      </w:tr>
      <w:tr w:rsidR="00203711" w:rsidRPr="00B86885" w14:paraId="31494FCE" w14:textId="77777777" w:rsidTr="00BC4F1D">
        <w:tc>
          <w:tcPr>
            <w:tcW w:w="4248" w:type="dxa"/>
          </w:tcPr>
          <w:p w14:paraId="21E7E1C3" w14:textId="77777777" w:rsidR="00203711" w:rsidRPr="00B86885" w:rsidRDefault="00203711" w:rsidP="00C0701D">
            <w:pPr>
              <w:pStyle w:val="TableText0"/>
              <w:numPr>
                <w:ilvl w:val="0"/>
                <w:numId w:val="8"/>
              </w:numPr>
              <w:ind w:left="447" w:hanging="283"/>
            </w:pPr>
            <w:r w:rsidRPr="00B86885">
              <w:t xml:space="preserve">Exclusion of phototherapy costs (#3) </w:t>
            </w:r>
          </w:p>
        </w:tc>
        <w:tc>
          <w:tcPr>
            <w:tcW w:w="1559" w:type="dxa"/>
            <w:vAlign w:val="bottom"/>
          </w:tcPr>
          <w:p w14:paraId="57CCBA2C" w14:textId="1438EA0E" w:rsidR="00203711" w:rsidRPr="00B86885" w:rsidRDefault="00203711">
            <w:pPr>
              <w:pStyle w:val="Tabletext"/>
            </w:pPr>
            <w:r w:rsidRPr="00B86885">
              <w:t>-$</w:t>
            </w:r>
            <w:r w:rsidR="00460689" w:rsidRPr="00460689">
              <w:rPr>
                <w:color w:val="000000"/>
                <w:spacing w:val="51"/>
                <w:shd w:val="solid" w:color="000000" w:fill="000000"/>
                <w:fitText w:val="324" w:id="-632553460"/>
                <w14:textFill>
                  <w14:solidFill>
                    <w14:srgbClr w14:val="000000">
                      <w14:alpha w14:val="100000"/>
                    </w14:srgbClr>
                  </w14:solidFill>
                </w14:textFill>
              </w:rPr>
              <w:t>|||</w:t>
            </w:r>
            <w:r w:rsidR="00460689" w:rsidRPr="00460689">
              <w:rPr>
                <w:color w:val="000000"/>
                <w:spacing w:val="1"/>
                <w:shd w:val="solid" w:color="000000" w:fill="000000"/>
                <w:fitText w:val="324" w:id="-632553460"/>
                <w14:textFill>
                  <w14:solidFill>
                    <w14:srgbClr w14:val="000000">
                      <w14:alpha w14:val="100000"/>
                    </w14:srgbClr>
                  </w14:solidFill>
                </w14:textFill>
              </w:rPr>
              <w:t>|</w:t>
            </w:r>
          </w:p>
        </w:tc>
        <w:tc>
          <w:tcPr>
            <w:tcW w:w="1701" w:type="dxa"/>
            <w:vAlign w:val="bottom"/>
          </w:tcPr>
          <w:p w14:paraId="640F1CFF" w14:textId="77777777" w:rsidR="00203711" w:rsidRPr="00B86885" w:rsidRDefault="00203711">
            <w:pPr>
              <w:pStyle w:val="Tabletext"/>
            </w:pPr>
            <w:r w:rsidRPr="00B86885">
              <w:t>0.016</w:t>
            </w:r>
          </w:p>
        </w:tc>
        <w:tc>
          <w:tcPr>
            <w:tcW w:w="1509" w:type="dxa"/>
          </w:tcPr>
          <w:p w14:paraId="32D85BDF" w14:textId="77777777" w:rsidR="00203711" w:rsidRPr="00B86885" w:rsidRDefault="00203711">
            <w:pPr>
              <w:pStyle w:val="TableText0"/>
            </w:pPr>
            <w:r w:rsidRPr="00B86885">
              <w:t>Dominant</w:t>
            </w:r>
          </w:p>
        </w:tc>
      </w:tr>
      <w:tr w:rsidR="00203711" w:rsidRPr="00B86885" w14:paraId="6A6C90E0" w14:textId="77777777" w:rsidTr="00BC4F1D">
        <w:tc>
          <w:tcPr>
            <w:tcW w:w="4248" w:type="dxa"/>
          </w:tcPr>
          <w:p w14:paraId="64876AD9" w14:textId="77777777" w:rsidR="00203711" w:rsidRPr="00B86885" w:rsidRDefault="00203711" w:rsidP="00C0701D">
            <w:pPr>
              <w:pStyle w:val="TableText0"/>
              <w:numPr>
                <w:ilvl w:val="0"/>
                <w:numId w:val="8"/>
              </w:numPr>
              <w:ind w:left="447" w:hanging="283"/>
            </w:pPr>
            <w:r w:rsidRPr="00B86885">
              <w:t>Applying systemic therapies costs to only severe AD patients (43% of those in discontinued health state) (#4)</w:t>
            </w:r>
          </w:p>
        </w:tc>
        <w:tc>
          <w:tcPr>
            <w:tcW w:w="1559" w:type="dxa"/>
          </w:tcPr>
          <w:p w14:paraId="3A1AFEF1" w14:textId="333FC3BB" w:rsidR="00203711" w:rsidRPr="00B86885" w:rsidRDefault="00282D2F">
            <w:pPr>
              <w:pStyle w:val="TableText0"/>
            </w:pPr>
            <w:r>
              <w:t xml:space="preserve"> </w:t>
            </w:r>
            <w:r w:rsidR="00203711" w:rsidRPr="00B86885">
              <w:t>$</w:t>
            </w:r>
            <w:r w:rsidR="00460689" w:rsidRPr="00460689">
              <w:rPr>
                <w:color w:val="000000"/>
                <w:spacing w:val="53"/>
                <w:shd w:val="solid" w:color="000000" w:fill="000000"/>
                <w:fitText w:val="330" w:id="-632553459"/>
                <w14:textFill>
                  <w14:solidFill>
                    <w14:srgbClr w14:val="000000">
                      <w14:alpha w14:val="100000"/>
                    </w14:srgbClr>
                  </w14:solidFill>
                </w14:textFill>
              </w:rPr>
              <w:t>|||</w:t>
            </w:r>
            <w:r w:rsidR="00460689" w:rsidRPr="00460689">
              <w:rPr>
                <w:color w:val="000000"/>
                <w:spacing w:val="1"/>
                <w:shd w:val="solid" w:color="000000" w:fill="000000"/>
                <w:fitText w:val="330" w:id="-632553459"/>
                <w14:textFill>
                  <w14:solidFill>
                    <w14:srgbClr w14:val="000000">
                      <w14:alpha w14:val="100000"/>
                    </w14:srgbClr>
                  </w14:solidFill>
                </w14:textFill>
              </w:rPr>
              <w:t>|</w:t>
            </w:r>
          </w:p>
        </w:tc>
        <w:tc>
          <w:tcPr>
            <w:tcW w:w="1701" w:type="dxa"/>
          </w:tcPr>
          <w:p w14:paraId="38B343E9" w14:textId="77777777" w:rsidR="00203711" w:rsidRPr="00B86885" w:rsidRDefault="00203711">
            <w:pPr>
              <w:pStyle w:val="TableText0"/>
            </w:pPr>
            <w:r w:rsidRPr="00B86885">
              <w:t>0.016</w:t>
            </w:r>
          </w:p>
        </w:tc>
        <w:tc>
          <w:tcPr>
            <w:tcW w:w="1509" w:type="dxa"/>
          </w:tcPr>
          <w:p w14:paraId="50410BBF" w14:textId="710E270F" w:rsidR="00203711" w:rsidRPr="00307E47" w:rsidRDefault="00203711">
            <w:pPr>
              <w:pStyle w:val="TableText0"/>
              <w:rPr>
                <w:vertAlign w:val="superscript"/>
              </w:rPr>
            </w:pPr>
            <w:r w:rsidRPr="00B86885">
              <w:t>$</w:t>
            </w:r>
            <w:r w:rsidR="00460689" w:rsidRPr="00460689">
              <w:rPr>
                <w:color w:val="000000"/>
                <w:spacing w:val="53"/>
                <w:shd w:val="solid" w:color="000000" w:fill="000000"/>
                <w:fitText w:val="330" w:id="-632553458"/>
                <w14:textFill>
                  <w14:solidFill>
                    <w14:srgbClr w14:val="000000">
                      <w14:alpha w14:val="100000"/>
                    </w14:srgbClr>
                  </w14:solidFill>
                </w14:textFill>
              </w:rPr>
              <w:t>|||</w:t>
            </w:r>
            <w:r w:rsidR="00460689" w:rsidRPr="00460689">
              <w:rPr>
                <w:color w:val="000000"/>
                <w:spacing w:val="1"/>
                <w:shd w:val="solid" w:color="000000" w:fill="000000"/>
                <w:fitText w:val="330" w:id="-632553458"/>
                <w14:textFill>
                  <w14:solidFill>
                    <w14:srgbClr w14:val="000000">
                      <w14:alpha w14:val="100000"/>
                    </w14:srgbClr>
                  </w14:solidFill>
                </w14:textFill>
              </w:rPr>
              <w:t>|</w:t>
            </w:r>
            <w:r w:rsidR="00307E47">
              <w:rPr>
                <w:vertAlign w:val="superscript"/>
              </w:rPr>
              <w:t>4</w:t>
            </w:r>
          </w:p>
        </w:tc>
      </w:tr>
      <w:tr w:rsidR="00203711" w:rsidRPr="00B86885" w14:paraId="08E9D6EC" w14:textId="77777777" w:rsidTr="00BC4F1D">
        <w:tc>
          <w:tcPr>
            <w:tcW w:w="4248" w:type="dxa"/>
          </w:tcPr>
          <w:p w14:paraId="61FED031" w14:textId="77777777" w:rsidR="00203711" w:rsidRPr="00B86885" w:rsidRDefault="00203711" w:rsidP="00C0701D">
            <w:pPr>
              <w:pStyle w:val="TableText0"/>
              <w:numPr>
                <w:ilvl w:val="0"/>
                <w:numId w:val="8"/>
              </w:numPr>
              <w:ind w:left="447" w:hanging="283"/>
            </w:pPr>
            <w:r w:rsidRPr="00B86885">
              <w:t>Adjusting DUPI and UPA use for response to initial treatment (10.06 and 9.38 scripts per patient per year) (#5)</w:t>
            </w:r>
          </w:p>
        </w:tc>
        <w:tc>
          <w:tcPr>
            <w:tcW w:w="1559" w:type="dxa"/>
          </w:tcPr>
          <w:p w14:paraId="0785DA72" w14:textId="7EB3455C" w:rsidR="00203711" w:rsidRPr="00B86885" w:rsidRDefault="00203711">
            <w:pPr>
              <w:pStyle w:val="Tabletext"/>
            </w:pPr>
            <w:r w:rsidRPr="00B86885">
              <w:t>-$</w:t>
            </w:r>
            <w:r w:rsidR="00460689" w:rsidRPr="00460689">
              <w:rPr>
                <w:color w:val="000000"/>
                <w:spacing w:val="51"/>
                <w:shd w:val="solid" w:color="000000" w:fill="000000"/>
                <w:fitText w:val="324" w:id="-632553457"/>
                <w14:textFill>
                  <w14:solidFill>
                    <w14:srgbClr w14:val="000000">
                      <w14:alpha w14:val="100000"/>
                    </w14:srgbClr>
                  </w14:solidFill>
                </w14:textFill>
              </w:rPr>
              <w:t>|||</w:t>
            </w:r>
            <w:r w:rsidR="00460689" w:rsidRPr="00460689">
              <w:rPr>
                <w:color w:val="000000"/>
                <w:spacing w:val="1"/>
                <w:shd w:val="solid" w:color="000000" w:fill="000000"/>
                <w:fitText w:val="324" w:id="-632553457"/>
                <w14:textFill>
                  <w14:solidFill>
                    <w14:srgbClr w14:val="000000">
                      <w14:alpha w14:val="100000"/>
                    </w14:srgbClr>
                  </w14:solidFill>
                </w14:textFill>
              </w:rPr>
              <w:t>|</w:t>
            </w:r>
          </w:p>
        </w:tc>
        <w:tc>
          <w:tcPr>
            <w:tcW w:w="1701" w:type="dxa"/>
          </w:tcPr>
          <w:p w14:paraId="3519F772" w14:textId="77777777" w:rsidR="00203711" w:rsidRPr="00B86885" w:rsidRDefault="00203711">
            <w:pPr>
              <w:pStyle w:val="Tabletext"/>
            </w:pPr>
            <w:r w:rsidRPr="00B86885">
              <w:t>0.016</w:t>
            </w:r>
          </w:p>
        </w:tc>
        <w:tc>
          <w:tcPr>
            <w:tcW w:w="1509" w:type="dxa"/>
          </w:tcPr>
          <w:p w14:paraId="40369473" w14:textId="77777777" w:rsidR="00203711" w:rsidRPr="00B86885" w:rsidRDefault="00203711">
            <w:pPr>
              <w:pStyle w:val="TableText0"/>
            </w:pPr>
            <w:r w:rsidRPr="00B86885">
              <w:t xml:space="preserve">Dominant </w:t>
            </w:r>
          </w:p>
        </w:tc>
      </w:tr>
      <w:tr w:rsidR="00203711" w:rsidRPr="00B86885" w14:paraId="32AD0BA6" w14:textId="77777777" w:rsidTr="00BC4F1D">
        <w:tc>
          <w:tcPr>
            <w:tcW w:w="4248" w:type="dxa"/>
          </w:tcPr>
          <w:p w14:paraId="0DE6D8BB" w14:textId="77777777" w:rsidR="00203711" w:rsidRPr="00B86885" w:rsidRDefault="00203711" w:rsidP="00C0701D">
            <w:pPr>
              <w:pStyle w:val="TableText0"/>
              <w:numPr>
                <w:ilvl w:val="0"/>
                <w:numId w:val="8"/>
              </w:numPr>
              <w:ind w:left="447" w:hanging="283"/>
            </w:pPr>
            <w:r w:rsidRPr="00B86885">
              <w:t>Reducing % of use of dupilumab (3.5%) (#6)</w:t>
            </w:r>
          </w:p>
        </w:tc>
        <w:tc>
          <w:tcPr>
            <w:tcW w:w="1559" w:type="dxa"/>
            <w:vAlign w:val="bottom"/>
          </w:tcPr>
          <w:p w14:paraId="6C152BDD" w14:textId="6CB25506" w:rsidR="00203711" w:rsidRPr="00B86885" w:rsidRDefault="00203711">
            <w:pPr>
              <w:pStyle w:val="TableText0"/>
            </w:pPr>
            <w:r w:rsidRPr="00B86885">
              <w:t>-$</w:t>
            </w:r>
            <w:r w:rsidR="00460689" w:rsidRPr="00460689">
              <w:rPr>
                <w:color w:val="000000"/>
                <w:spacing w:val="51"/>
                <w:shd w:val="solid" w:color="000000" w:fill="000000"/>
                <w:fitText w:val="324" w:id="-632553456"/>
                <w14:textFill>
                  <w14:solidFill>
                    <w14:srgbClr w14:val="000000">
                      <w14:alpha w14:val="100000"/>
                    </w14:srgbClr>
                  </w14:solidFill>
                </w14:textFill>
              </w:rPr>
              <w:t>|||</w:t>
            </w:r>
            <w:r w:rsidR="00460689" w:rsidRPr="00460689">
              <w:rPr>
                <w:color w:val="000000"/>
                <w:spacing w:val="1"/>
                <w:shd w:val="solid" w:color="000000" w:fill="000000"/>
                <w:fitText w:val="324" w:id="-632553456"/>
                <w14:textFill>
                  <w14:solidFill>
                    <w14:srgbClr w14:val="000000">
                      <w14:alpha w14:val="100000"/>
                    </w14:srgbClr>
                  </w14:solidFill>
                </w14:textFill>
              </w:rPr>
              <w:t>|</w:t>
            </w:r>
          </w:p>
        </w:tc>
        <w:tc>
          <w:tcPr>
            <w:tcW w:w="1701" w:type="dxa"/>
            <w:vAlign w:val="bottom"/>
          </w:tcPr>
          <w:p w14:paraId="0340A464" w14:textId="77777777" w:rsidR="00203711" w:rsidRPr="00B86885" w:rsidRDefault="00203711">
            <w:pPr>
              <w:pStyle w:val="TableText0"/>
            </w:pPr>
            <w:r w:rsidRPr="00B86885">
              <w:t>0.016</w:t>
            </w:r>
          </w:p>
        </w:tc>
        <w:tc>
          <w:tcPr>
            <w:tcW w:w="1509" w:type="dxa"/>
          </w:tcPr>
          <w:p w14:paraId="61EF4168" w14:textId="77777777" w:rsidR="00203711" w:rsidRPr="00B86885" w:rsidRDefault="00203711">
            <w:pPr>
              <w:pStyle w:val="TableText0"/>
            </w:pPr>
            <w:r w:rsidRPr="00B86885">
              <w:t>Dominant</w:t>
            </w:r>
          </w:p>
        </w:tc>
      </w:tr>
      <w:tr w:rsidR="00203711" w:rsidRPr="00B86885" w14:paraId="159848C8" w14:textId="77777777" w:rsidTr="00BC4F1D">
        <w:tc>
          <w:tcPr>
            <w:tcW w:w="4248" w:type="dxa"/>
          </w:tcPr>
          <w:p w14:paraId="33A4BA1E" w14:textId="77777777" w:rsidR="00203711" w:rsidRPr="00B86885" w:rsidRDefault="00203711" w:rsidP="00C0701D">
            <w:pPr>
              <w:pStyle w:val="TableText0"/>
              <w:numPr>
                <w:ilvl w:val="0"/>
                <w:numId w:val="8"/>
              </w:numPr>
              <w:ind w:left="447" w:hanging="283"/>
            </w:pPr>
            <w:r w:rsidRPr="00B86885">
              <w:t>Reducing % of use of dupilumab (5%) (#7)</w:t>
            </w:r>
          </w:p>
        </w:tc>
        <w:tc>
          <w:tcPr>
            <w:tcW w:w="1559" w:type="dxa"/>
            <w:vAlign w:val="bottom"/>
          </w:tcPr>
          <w:p w14:paraId="5184F06E" w14:textId="25D911E9" w:rsidR="00203711" w:rsidRPr="00B86885" w:rsidRDefault="00203711">
            <w:pPr>
              <w:pStyle w:val="TableText0"/>
            </w:pPr>
            <w:r w:rsidRPr="00B86885">
              <w:t>-$</w:t>
            </w:r>
            <w:r w:rsidR="00460689" w:rsidRPr="00460689">
              <w:rPr>
                <w:color w:val="000000"/>
                <w:spacing w:val="51"/>
                <w:shd w:val="solid" w:color="000000" w:fill="000000"/>
                <w:fitText w:val="324" w:id="-632553472"/>
                <w14:textFill>
                  <w14:solidFill>
                    <w14:srgbClr w14:val="000000">
                      <w14:alpha w14:val="100000"/>
                    </w14:srgbClr>
                  </w14:solidFill>
                </w14:textFill>
              </w:rPr>
              <w:t>|||</w:t>
            </w:r>
            <w:r w:rsidR="00460689" w:rsidRPr="00460689">
              <w:rPr>
                <w:color w:val="000000"/>
                <w:spacing w:val="1"/>
                <w:shd w:val="solid" w:color="000000" w:fill="000000"/>
                <w:fitText w:val="324" w:id="-632553472"/>
                <w14:textFill>
                  <w14:solidFill>
                    <w14:srgbClr w14:val="000000">
                      <w14:alpha w14:val="100000"/>
                    </w14:srgbClr>
                  </w14:solidFill>
                </w14:textFill>
              </w:rPr>
              <w:t>|</w:t>
            </w:r>
          </w:p>
        </w:tc>
        <w:tc>
          <w:tcPr>
            <w:tcW w:w="1701" w:type="dxa"/>
            <w:vAlign w:val="bottom"/>
          </w:tcPr>
          <w:p w14:paraId="74089C80" w14:textId="77777777" w:rsidR="00203711" w:rsidRPr="00B86885" w:rsidRDefault="00203711">
            <w:pPr>
              <w:pStyle w:val="TableText0"/>
            </w:pPr>
            <w:r w:rsidRPr="00B86885">
              <w:t>0.016</w:t>
            </w:r>
          </w:p>
        </w:tc>
        <w:tc>
          <w:tcPr>
            <w:tcW w:w="1509" w:type="dxa"/>
          </w:tcPr>
          <w:p w14:paraId="0968D3F6" w14:textId="77777777" w:rsidR="00203711" w:rsidRPr="00B86885" w:rsidRDefault="00203711">
            <w:pPr>
              <w:pStyle w:val="TableText0"/>
            </w:pPr>
            <w:r w:rsidRPr="00B86885">
              <w:t>Dominant</w:t>
            </w:r>
          </w:p>
        </w:tc>
      </w:tr>
      <w:tr w:rsidR="00203711" w:rsidRPr="00B86885" w14:paraId="5B6158D4" w14:textId="77777777" w:rsidTr="00BC4F1D">
        <w:tc>
          <w:tcPr>
            <w:tcW w:w="4248" w:type="dxa"/>
          </w:tcPr>
          <w:p w14:paraId="0E2CCDEB" w14:textId="77777777" w:rsidR="00203711" w:rsidRPr="00B86885" w:rsidRDefault="00203711" w:rsidP="00C0701D">
            <w:pPr>
              <w:pStyle w:val="TableText0"/>
              <w:numPr>
                <w:ilvl w:val="0"/>
                <w:numId w:val="8"/>
              </w:numPr>
              <w:ind w:left="447" w:hanging="283"/>
            </w:pPr>
            <w:r w:rsidRPr="00B86885">
              <w:t>Healthcare resource utilisation (based on DUPI submission to NICE)</w:t>
            </w:r>
          </w:p>
        </w:tc>
        <w:tc>
          <w:tcPr>
            <w:tcW w:w="1559" w:type="dxa"/>
          </w:tcPr>
          <w:p w14:paraId="67E458C1" w14:textId="606DD32D" w:rsidR="00203711" w:rsidRPr="00B86885" w:rsidRDefault="00203711">
            <w:pPr>
              <w:pStyle w:val="TableText0"/>
            </w:pPr>
            <w:r w:rsidRPr="00B86885">
              <w:t>-$</w:t>
            </w:r>
            <w:r w:rsidR="00460689" w:rsidRPr="00460689">
              <w:rPr>
                <w:color w:val="000000"/>
                <w:spacing w:val="51"/>
                <w:shd w:val="solid" w:color="000000" w:fill="000000"/>
                <w:fitText w:val="324" w:id="-632553471"/>
                <w14:textFill>
                  <w14:solidFill>
                    <w14:srgbClr w14:val="000000">
                      <w14:alpha w14:val="100000"/>
                    </w14:srgbClr>
                  </w14:solidFill>
                </w14:textFill>
              </w:rPr>
              <w:t>|||</w:t>
            </w:r>
            <w:r w:rsidR="00460689" w:rsidRPr="00460689">
              <w:rPr>
                <w:color w:val="000000"/>
                <w:spacing w:val="1"/>
                <w:shd w:val="solid" w:color="000000" w:fill="000000"/>
                <w:fitText w:val="324" w:id="-632553471"/>
                <w14:textFill>
                  <w14:solidFill>
                    <w14:srgbClr w14:val="000000">
                      <w14:alpha w14:val="100000"/>
                    </w14:srgbClr>
                  </w14:solidFill>
                </w14:textFill>
              </w:rPr>
              <w:t>|</w:t>
            </w:r>
          </w:p>
        </w:tc>
        <w:tc>
          <w:tcPr>
            <w:tcW w:w="1701" w:type="dxa"/>
          </w:tcPr>
          <w:p w14:paraId="3E2DE0A5" w14:textId="77777777" w:rsidR="00203711" w:rsidRPr="00B86885" w:rsidRDefault="00203711">
            <w:pPr>
              <w:pStyle w:val="TableText0"/>
            </w:pPr>
            <w:r w:rsidRPr="00B86885">
              <w:t>0.016</w:t>
            </w:r>
          </w:p>
        </w:tc>
        <w:tc>
          <w:tcPr>
            <w:tcW w:w="1509" w:type="dxa"/>
          </w:tcPr>
          <w:p w14:paraId="010FEF70" w14:textId="77777777" w:rsidR="00203711" w:rsidRPr="00B86885" w:rsidRDefault="00203711">
            <w:pPr>
              <w:pStyle w:val="TableText0"/>
            </w:pPr>
            <w:r w:rsidRPr="00B86885">
              <w:t xml:space="preserve">Dominant </w:t>
            </w:r>
          </w:p>
        </w:tc>
      </w:tr>
      <w:tr w:rsidR="00203711" w:rsidRPr="00B86885" w14:paraId="5944BCD7" w14:textId="77777777" w:rsidTr="00BC4F1D">
        <w:tc>
          <w:tcPr>
            <w:tcW w:w="4248" w:type="dxa"/>
          </w:tcPr>
          <w:p w14:paraId="40999F40" w14:textId="77777777" w:rsidR="00203711" w:rsidRPr="00B86885" w:rsidRDefault="00203711" w:rsidP="00C0701D">
            <w:pPr>
              <w:pStyle w:val="TableText0"/>
              <w:numPr>
                <w:ilvl w:val="0"/>
                <w:numId w:val="8"/>
              </w:numPr>
              <w:ind w:left="447" w:hanging="283"/>
            </w:pPr>
            <w:r w:rsidRPr="00B86885">
              <w:t xml:space="preserve">Healthcare resource utilisation (PBAC multiplier) </w:t>
            </w:r>
          </w:p>
        </w:tc>
        <w:tc>
          <w:tcPr>
            <w:tcW w:w="1559" w:type="dxa"/>
          </w:tcPr>
          <w:p w14:paraId="607F1E35" w14:textId="6A022FAC" w:rsidR="00203711" w:rsidRPr="00B86885" w:rsidRDefault="00203711">
            <w:pPr>
              <w:pStyle w:val="TableText0"/>
            </w:pPr>
            <w:r w:rsidRPr="00B86885">
              <w:t>-$</w:t>
            </w:r>
            <w:r w:rsidR="00460689" w:rsidRPr="00460689">
              <w:rPr>
                <w:color w:val="000000"/>
                <w:spacing w:val="51"/>
                <w:shd w:val="solid" w:color="000000" w:fill="000000"/>
                <w:fitText w:val="324" w:id="-632553470"/>
                <w14:textFill>
                  <w14:solidFill>
                    <w14:srgbClr w14:val="000000">
                      <w14:alpha w14:val="100000"/>
                    </w14:srgbClr>
                  </w14:solidFill>
                </w14:textFill>
              </w:rPr>
              <w:t>|||</w:t>
            </w:r>
            <w:r w:rsidR="00460689" w:rsidRPr="00460689">
              <w:rPr>
                <w:color w:val="000000"/>
                <w:spacing w:val="1"/>
                <w:shd w:val="solid" w:color="000000" w:fill="000000"/>
                <w:fitText w:val="324" w:id="-632553470"/>
                <w14:textFill>
                  <w14:solidFill>
                    <w14:srgbClr w14:val="000000">
                      <w14:alpha w14:val="100000"/>
                    </w14:srgbClr>
                  </w14:solidFill>
                </w14:textFill>
              </w:rPr>
              <w:t>|</w:t>
            </w:r>
          </w:p>
        </w:tc>
        <w:tc>
          <w:tcPr>
            <w:tcW w:w="1701" w:type="dxa"/>
          </w:tcPr>
          <w:p w14:paraId="07B6CDCB" w14:textId="77777777" w:rsidR="00203711" w:rsidRPr="00B86885" w:rsidRDefault="00203711">
            <w:pPr>
              <w:pStyle w:val="TableText0"/>
            </w:pPr>
            <w:r w:rsidRPr="00B86885">
              <w:t>0.016</w:t>
            </w:r>
          </w:p>
        </w:tc>
        <w:tc>
          <w:tcPr>
            <w:tcW w:w="1509" w:type="dxa"/>
          </w:tcPr>
          <w:p w14:paraId="0B01A5DD" w14:textId="77777777" w:rsidR="00203711" w:rsidRPr="00B86885" w:rsidRDefault="00203711">
            <w:pPr>
              <w:pStyle w:val="TableText0"/>
            </w:pPr>
            <w:r w:rsidRPr="00B86885">
              <w:t>Dominant</w:t>
            </w:r>
          </w:p>
        </w:tc>
      </w:tr>
      <w:tr w:rsidR="009779B7" w:rsidRPr="00B86885" w14:paraId="47EEBCA2" w14:textId="77777777" w:rsidTr="00BC4F1D">
        <w:tc>
          <w:tcPr>
            <w:tcW w:w="4248" w:type="dxa"/>
          </w:tcPr>
          <w:p w14:paraId="26B5607B" w14:textId="382FA982" w:rsidR="009779B7" w:rsidRPr="00B86885" w:rsidRDefault="009779B7" w:rsidP="00C0701D">
            <w:pPr>
              <w:pStyle w:val="TableText0"/>
              <w:numPr>
                <w:ilvl w:val="0"/>
                <w:numId w:val="8"/>
              </w:numPr>
              <w:ind w:left="447" w:hanging="283"/>
            </w:pPr>
            <w:r w:rsidRPr="00B86885">
              <w:t>Using the cost-minimised price for TAC ($54.60: calculated at AEMP level)</w:t>
            </w:r>
          </w:p>
        </w:tc>
        <w:tc>
          <w:tcPr>
            <w:tcW w:w="1559" w:type="dxa"/>
          </w:tcPr>
          <w:p w14:paraId="1743133F" w14:textId="082444AA" w:rsidR="009779B7" w:rsidRPr="00B86885" w:rsidRDefault="009779B7" w:rsidP="009779B7">
            <w:pPr>
              <w:pStyle w:val="TableText0"/>
            </w:pPr>
            <w:r w:rsidRPr="00B86885">
              <w:t>-$</w:t>
            </w:r>
            <w:r w:rsidR="00460689" w:rsidRPr="00460689">
              <w:rPr>
                <w:color w:val="000000"/>
                <w:spacing w:val="51"/>
                <w:shd w:val="solid" w:color="000000" w:fill="000000"/>
                <w:fitText w:val="324" w:id="-632553469"/>
                <w14:textFill>
                  <w14:solidFill>
                    <w14:srgbClr w14:val="000000">
                      <w14:alpha w14:val="100000"/>
                    </w14:srgbClr>
                  </w14:solidFill>
                </w14:textFill>
              </w:rPr>
              <w:t>|||</w:t>
            </w:r>
            <w:r w:rsidR="00460689" w:rsidRPr="00460689">
              <w:rPr>
                <w:color w:val="000000"/>
                <w:spacing w:val="1"/>
                <w:shd w:val="solid" w:color="000000" w:fill="000000"/>
                <w:fitText w:val="324" w:id="-632553469"/>
                <w14:textFill>
                  <w14:solidFill>
                    <w14:srgbClr w14:val="000000">
                      <w14:alpha w14:val="100000"/>
                    </w14:srgbClr>
                  </w14:solidFill>
                </w14:textFill>
              </w:rPr>
              <w:t>|</w:t>
            </w:r>
          </w:p>
        </w:tc>
        <w:tc>
          <w:tcPr>
            <w:tcW w:w="1701" w:type="dxa"/>
          </w:tcPr>
          <w:p w14:paraId="03461316" w14:textId="09901E82" w:rsidR="009779B7" w:rsidRPr="00B86885" w:rsidRDefault="009779B7" w:rsidP="009779B7">
            <w:pPr>
              <w:pStyle w:val="TableText0"/>
            </w:pPr>
            <w:r w:rsidRPr="00B86885">
              <w:t>0.016</w:t>
            </w:r>
          </w:p>
        </w:tc>
        <w:tc>
          <w:tcPr>
            <w:tcW w:w="1509" w:type="dxa"/>
          </w:tcPr>
          <w:p w14:paraId="3256D323" w14:textId="368F7DB0" w:rsidR="009779B7" w:rsidRPr="00B86885" w:rsidRDefault="009779B7" w:rsidP="009779B7">
            <w:pPr>
              <w:pStyle w:val="TableText0"/>
            </w:pPr>
            <w:r w:rsidRPr="00B86885">
              <w:t>Dominant</w:t>
            </w:r>
          </w:p>
        </w:tc>
      </w:tr>
      <w:tr w:rsidR="009779B7" w:rsidRPr="00B86885" w14:paraId="3FFB620D" w14:textId="77777777" w:rsidTr="00BC4F1D">
        <w:tc>
          <w:tcPr>
            <w:tcW w:w="4248" w:type="dxa"/>
          </w:tcPr>
          <w:p w14:paraId="5373CA6B" w14:textId="35FA619F" w:rsidR="009779B7" w:rsidRPr="00B86885" w:rsidRDefault="009779B7" w:rsidP="00C0701D">
            <w:pPr>
              <w:pStyle w:val="TableText0"/>
              <w:numPr>
                <w:ilvl w:val="0"/>
                <w:numId w:val="8"/>
              </w:numPr>
              <w:ind w:left="447" w:hanging="283"/>
            </w:pPr>
            <w:r w:rsidRPr="00B86885">
              <w:t>Using the cost-minimised price for TAC ($68.06: calculated at DPMQ level)</w:t>
            </w:r>
          </w:p>
        </w:tc>
        <w:tc>
          <w:tcPr>
            <w:tcW w:w="1559" w:type="dxa"/>
          </w:tcPr>
          <w:p w14:paraId="1C29501A" w14:textId="39301ECC" w:rsidR="009779B7" w:rsidRPr="00B86885" w:rsidRDefault="009779B7" w:rsidP="009779B7">
            <w:pPr>
              <w:pStyle w:val="TableText0"/>
            </w:pPr>
            <w:r w:rsidRPr="00B86885">
              <w:t>-$</w:t>
            </w:r>
            <w:r w:rsidR="00460689" w:rsidRPr="00460689">
              <w:rPr>
                <w:color w:val="000000"/>
                <w:spacing w:val="51"/>
                <w:shd w:val="solid" w:color="000000" w:fill="000000"/>
                <w:fitText w:val="324" w:id="-632553468"/>
                <w14:textFill>
                  <w14:solidFill>
                    <w14:srgbClr w14:val="000000">
                      <w14:alpha w14:val="100000"/>
                    </w14:srgbClr>
                  </w14:solidFill>
                </w14:textFill>
              </w:rPr>
              <w:t>|||</w:t>
            </w:r>
            <w:r w:rsidR="00460689" w:rsidRPr="00460689">
              <w:rPr>
                <w:color w:val="000000"/>
                <w:spacing w:val="1"/>
                <w:shd w:val="solid" w:color="000000" w:fill="000000"/>
                <w:fitText w:val="324" w:id="-632553468"/>
                <w14:textFill>
                  <w14:solidFill>
                    <w14:srgbClr w14:val="000000">
                      <w14:alpha w14:val="100000"/>
                    </w14:srgbClr>
                  </w14:solidFill>
                </w14:textFill>
              </w:rPr>
              <w:t>|</w:t>
            </w:r>
          </w:p>
        </w:tc>
        <w:tc>
          <w:tcPr>
            <w:tcW w:w="1701" w:type="dxa"/>
          </w:tcPr>
          <w:p w14:paraId="77F2B821" w14:textId="1B5164A8" w:rsidR="009779B7" w:rsidRPr="00B86885" w:rsidRDefault="009779B7" w:rsidP="009779B7">
            <w:pPr>
              <w:pStyle w:val="TableText0"/>
            </w:pPr>
            <w:r w:rsidRPr="00B86885">
              <w:t>0.016</w:t>
            </w:r>
          </w:p>
        </w:tc>
        <w:tc>
          <w:tcPr>
            <w:tcW w:w="1509" w:type="dxa"/>
          </w:tcPr>
          <w:p w14:paraId="358EBD27" w14:textId="5D9A44D0" w:rsidR="009779B7" w:rsidRPr="00B86885" w:rsidRDefault="009779B7" w:rsidP="009779B7">
            <w:pPr>
              <w:pStyle w:val="TableText0"/>
            </w:pPr>
            <w:r w:rsidRPr="00B86885">
              <w:t>Dominant</w:t>
            </w:r>
          </w:p>
        </w:tc>
      </w:tr>
      <w:tr w:rsidR="00203711" w:rsidRPr="00B86885" w14:paraId="475DC19E" w14:textId="77777777">
        <w:tc>
          <w:tcPr>
            <w:tcW w:w="9017" w:type="dxa"/>
            <w:gridSpan w:val="4"/>
          </w:tcPr>
          <w:p w14:paraId="3D0D6EBB" w14:textId="77777777" w:rsidR="00203711" w:rsidRPr="00B86885" w:rsidRDefault="00203711">
            <w:pPr>
              <w:pStyle w:val="TableText0"/>
              <w:rPr>
                <w:b/>
                <w:bCs w:val="0"/>
              </w:rPr>
            </w:pPr>
            <w:r w:rsidRPr="00B86885">
              <w:rPr>
                <w:b/>
                <w:bCs w:val="0"/>
              </w:rPr>
              <w:t>Multivariate analyses</w:t>
            </w:r>
          </w:p>
        </w:tc>
      </w:tr>
      <w:tr w:rsidR="00203711" w:rsidRPr="00B86885" w14:paraId="5757F77A" w14:textId="77777777" w:rsidTr="00BC4F1D">
        <w:tc>
          <w:tcPr>
            <w:tcW w:w="4248" w:type="dxa"/>
          </w:tcPr>
          <w:p w14:paraId="72D9A163" w14:textId="77777777" w:rsidR="00203711" w:rsidRPr="00B86885" w:rsidRDefault="00203711" w:rsidP="00C0701D">
            <w:pPr>
              <w:pStyle w:val="TableText0"/>
              <w:numPr>
                <w:ilvl w:val="0"/>
                <w:numId w:val="8"/>
              </w:numPr>
              <w:ind w:left="447" w:hanging="283"/>
            </w:pPr>
            <w:r w:rsidRPr="00B86885">
              <w:t>#1, #2</w:t>
            </w:r>
          </w:p>
        </w:tc>
        <w:tc>
          <w:tcPr>
            <w:tcW w:w="1559" w:type="dxa"/>
            <w:vAlign w:val="bottom"/>
          </w:tcPr>
          <w:p w14:paraId="22114EC0" w14:textId="493680DD" w:rsidR="00203711" w:rsidRPr="00B86885" w:rsidRDefault="00203711">
            <w:pPr>
              <w:pStyle w:val="TableText0"/>
            </w:pPr>
            <w:r w:rsidRPr="00B86885">
              <w:t>-$</w:t>
            </w:r>
            <w:r w:rsidR="00460689" w:rsidRPr="00460689">
              <w:rPr>
                <w:color w:val="000000"/>
                <w:spacing w:val="51"/>
                <w:shd w:val="solid" w:color="000000" w:fill="000000"/>
                <w:fitText w:val="324" w:id="-632553467"/>
                <w14:textFill>
                  <w14:solidFill>
                    <w14:srgbClr w14:val="000000">
                      <w14:alpha w14:val="100000"/>
                    </w14:srgbClr>
                  </w14:solidFill>
                </w14:textFill>
              </w:rPr>
              <w:t>|||</w:t>
            </w:r>
            <w:r w:rsidR="00460689" w:rsidRPr="00460689">
              <w:rPr>
                <w:color w:val="000000"/>
                <w:spacing w:val="1"/>
                <w:shd w:val="solid" w:color="000000" w:fill="000000"/>
                <w:fitText w:val="324" w:id="-632553467"/>
                <w14:textFill>
                  <w14:solidFill>
                    <w14:srgbClr w14:val="000000">
                      <w14:alpha w14:val="100000"/>
                    </w14:srgbClr>
                  </w14:solidFill>
                </w14:textFill>
              </w:rPr>
              <w:t>|</w:t>
            </w:r>
          </w:p>
        </w:tc>
        <w:tc>
          <w:tcPr>
            <w:tcW w:w="1701" w:type="dxa"/>
            <w:vAlign w:val="bottom"/>
          </w:tcPr>
          <w:p w14:paraId="0D06D1ED" w14:textId="39D3C027" w:rsidR="00203711" w:rsidRPr="00B86885" w:rsidRDefault="00203711">
            <w:pPr>
              <w:pStyle w:val="TableText0"/>
            </w:pPr>
            <w:r w:rsidRPr="00B86885">
              <w:t>0.01</w:t>
            </w:r>
            <w:r w:rsidR="009779B7" w:rsidRPr="00B86885">
              <w:t>1</w:t>
            </w:r>
          </w:p>
        </w:tc>
        <w:tc>
          <w:tcPr>
            <w:tcW w:w="1509" w:type="dxa"/>
            <w:vAlign w:val="bottom"/>
          </w:tcPr>
          <w:p w14:paraId="59B03116" w14:textId="77777777" w:rsidR="00203711" w:rsidRPr="00B86885" w:rsidRDefault="00203711">
            <w:pPr>
              <w:pStyle w:val="TableText0"/>
            </w:pPr>
            <w:r w:rsidRPr="00B86885">
              <w:t>Dominant</w:t>
            </w:r>
          </w:p>
        </w:tc>
      </w:tr>
      <w:tr w:rsidR="00203711" w:rsidRPr="00B86885" w14:paraId="7AA66464" w14:textId="77777777" w:rsidTr="00BC4F1D">
        <w:tc>
          <w:tcPr>
            <w:tcW w:w="4248" w:type="dxa"/>
          </w:tcPr>
          <w:p w14:paraId="64BDDF08" w14:textId="77777777" w:rsidR="00203711" w:rsidRPr="00B86885" w:rsidRDefault="00203711" w:rsidP="00C0701D">
            <w:pPr>
              <w:pStyle w:val="TableText0"/>
              <w:numPr>
                <w:ilvl w:val="0"/>
                <w:numId w:val="8"/>
              </w:numPr>
              <w:ind w:left="447" w:hanging="283"/>
            </w:pPr>
            <w:r w:rsidRPr="00B86885">
              <w:t>#1, #2, #3</w:t>
            </w:r>
          </w:p>
        </w:tc>
        <w:tc>
          <w:tcPr>
            <w:tcW w:w="1559" w:type="dxa"/>
            <w:vAlign w:val="bottom"/>
          </w:tcPr>
          <w:p w14:paraId="63221C55" w14:textId="3B7A588D" w:rsidR="00203711" w:rsidRPr="00B86885" w:rsidRDefault="00203711">
            <w:pPr>
              <w:pStyle w:val="TableText0"/>
            </w:pPr>
            <w:r w:rsidRPr="00B86885">
              <w:t>-$</w:t>
            </w:r>
            <w:r w:rsidR="00460689" w:rsidRPr="00460689">
              <w:rPr>
                <w:color w:val="000000"/>
                <w:spacing w:val="51"/>
                <w:shd w:val="solid" w:color="000000" w:fill="000000"/>
                <w:fitText w:val="324" w:id="-632553466"/>
                <w14:textFill>
                  <w14:solidFill>
                    <w14:srgbClr w14:val="000000">
                      <w14:alpha w14:val="100000"/>
                    </w14:srgbClr>
                  </w14:solidFill>
                </w14:textFill>
              </w:rPr>
              <w:t>|||</w:t>
            </w:r>
            <w:r w:rsidR="00460689" w:rsidRPr="00460689">
              <w:rPr>
                <w:color w:val="000000"/>
                <w:spacing w:val="1"/>
                <w:shd w:val="solid" w:color="000000" w:fill="000000"/>
                <w:fitText w:val="324" w:id="-632553466"/>
                <w14:textFill>
                  <w14:solidFill>
                    <w14:srgbClr w14:val="000000">
                      <w14:alpha w14:val="100000"/>
                    </w14:srgbClr>
                  </w14:solidFill>
                </w14:textFill>
              </w:rPr>
              <w:t>|</w:t>
            </w:r>
          </w:p>
        </w:tc>
        <w:tc>
          <w:tcPr>
            <w:tcW w:w="1701" w:type="dxa"/>
            <w:vAlign w:val="bottom"/>
          </w:tcPr>
          <w:p w14:paraId="2EA5CE55" w14:textId="30238C7B" w:rsidR="00203711" w:rsidRPr="00B86885" w:rsidRDefault="00203711">
            <w:pPr>
              <w:pStyle w:val="TableText0"/>
            </w:pPr>
            <w:r w:rsidRPr="00B86885">
              <w:t>0.01</w:t>
            </w:r>
            <w:r w:rsidR="009779B7" w:rsidRPr="00B86885">
              <w:t>1</w:t>
            </w:r>
          </w:p>
        </w:tc>
        <w:tc>
          <w:tcPr>
            <w:tcW w:w="1509" w:type="dxa"/>
            <w:vAlign w:val="bottom"/>
          </w:tcPr>
          <w:p w14:paraId="29E96A79" w14:textId="77777777" w:rsidR="00203711" w:rsidRPr="00B86885" w:rsidRDefault="00203711">
            <w:pPr>
              <w:pStyle w:val="TableText0"/>
            </w:pPr>
            <w:r w:rsidRPr="00B86885">
              <w:t>Dominant</w:t>
            </w:r>
          </w:p>
        </w:tc>
      </w:tr>
      <w:tr w:rsidR="00203711" w:rsidRPr="00B86885" w14:paraId="1E69F1C9" w14:textId="77777777" w:rsidTr="00BC4F1D">
        <w:tc>
          <w:tcPr>
            <w:tcW w:w="4248" w:type="dxa"/>
          </w:tcPr>
          <w:p w14:paraId="5C66589F" w14:textId="77777777" w:rsidR="00203711" w:rsidRPr="00B86885" w:rsidRDefault="00203711" w:rsidP="00C0701D">
            <w:pPr>
              <w:pStyle w:val="TableText0"/>
              <w:numPr>
                <w:ilvl w:val="0"/>
                <w:numId w:val="8"/>
              </w:numPr>
              <w:ind w:left="447" w:hanging="283"/>
            </w:pPr>
            <w:r w:rsidRPr="00B86885">
              <w:t>#1, #2, #3, #4</w:t>
            </w:r>
          </w:p>
        </w:tc>
        <w:tc>
          <w:tcPr>
            <w:tcW w:w="1559" w:type="dxa"/>
          </w:tcPr>
          <w:p w14:paraId="5D62B52F" w14:textId="279886EE" w:rsidR="00203711" w:rsidRPr="00B86885" w:rsidRDefault="00203711">
            <w:pPr>
              <w:pStyle w:val="TableText0"/>
            </w:pPr>
            <w:r w:rsidRPr="00B86885">
              <w:t>$</w:t>
            </w:r>
            <w:r w:rsidR="00460689" w:rsidRPr="00460689">
              <w:rPr>
                <w:color w:val="000000"/>
                <w:spacing w:val="53"/>
                <w:shd w:val="solid" w:color="000000" w:fill="000000"/>
                <w:fitText w:val="330" w:id="-632553465"/>
                <w14:textFill>
                  <w14:solidFill>
                    <w14:srgbClr w14:val="000000">
                      <w14:alpha w14:val="100000"/>
                    </w14:srgbClr>
                  </w14:solidFill>
                </w14:textFill>
              </w:rPr>
              <w:t>|||</w:t>
            </w:r>
            <w:r w:rsidR="00460689" w:rsidRPr="00460689">
              <w:rPr>
                <w:color w:val="000000"/>
                <w:spacing w:val="1"/>
                <w:shd w:val="solid" w:color="000000" w:fill="000000"/>
                <w:fitText w:val="330" w:id="-632553465"/>
                <w14:textFill>
                  <w14:solidFill>
                    <w14:srgbClr w14:val="000000">
                      <w14:alpha w14:val="100000"/>
                    </w14:srgbClr>
                  </w14:solidFill>
                </w14:textFill>
              </w:rPr>
              <w:t>|</w:t>
            </w:r>
          </w:p>
        </w:tc>
        <w:tc>
          <w:tcPr>
            <w:tcW w:w="1701" w:type="dxa"/>
          </w:tcPr>
          <w:p w14:paraId="2ECDBBB8" w14:textId="18369D12" w:rsidR="00203711" w:rsidRPr="00B86885" w:rsidRDefault="00203711">
            <w:pPr>
              <w:pStyle w:val="TableText0"/>
            </w:pPr>
            <w:r w:rsidRPr="00B86885">
              <w:t>0.01</w:t>
            </w:r>
            <w:r w:rsidR="009779B7" w:rsidRPr="00B86885">
              <w:t>1</w:t>
            </w:r>
          </w:p>
        </w:tc>
        <w:tc>
          <w:tcPr>
            <w:tcW w:w="1509" w:type="dxa"/>
          </w:tcPr>
          <w:p w14:paraId="25A74E0C" w14:textId="3067BF3B" w:rsidR="00203711" w:rsidRPr="00E265E7" w:rsidRDefault="00203711">
            <w:pPr>
              <w:pStyle w:val="TableText0"/>
              <w:rPr>
                <w:vertAlign w:val="superscript"/>
              </w:rPr>
            </w:pPr>
            <w:r w:rsidRPr="00B86885">
              <w:t>$</w:t>
            </w:r>
            <w:r w:rsidR="00460689" w:rsidRPr="00460689">
              <w:rPr>
                <w:color w:val="000000"/>
                <w:spacing w:val="53"/>
                <w:shd w:val="solid" w:color="000000" w:fill="000000"/>
                <w:fitText w:val="330" w:id="-632553464"/>
                <w14:textFill>
                  <w14:solidFill>
                    <w14:srgbClr w14:val="000000">
                      <w14:alpha w14:val="100000"/>
                    </w14:srgbClr>
                  </w14:solidFill>
                </w14:textFill>
              </w:rPr>
              <w:t>|||</w:t>
            </w:r>
            <w:r w:rsidR="00460689" w:rsidRPr="00460689">
              <w:rPr>
                <w:color w:val="000000"/>
                <w:spacing w:val="1"/>
                <w:shd w:val="solid" w:color="000000" w:fill="000000"/>
                <w:fitText w:val="330" w:id="-632553464"/>
                <w14:textFill>
                  <w14:solidFill>
                    <w14:srgbClr w14:val="000000">
                      <w14:alpha w14:val="100000"/>
                    </w14:srgbClr>
                  </w14:solidFill>
                </w14:textFill>
              </w:rPr>
              <w:t>|</w:t>
            </w:r>
            <w:r w:rsidR="00E265E7">
              <w:rPr>
                <w:vertAlign w:val="superscript"/>
              </w:rPr>
              <w:t>2</w:t>
            </w:r>
          </w:p>
        </w:tc>
      </w:tr>
      <w:tr w:rsidR="00203711" w:rsidRPr="00B86885" w14:paraId="68D39039" w14:textId="77777777" w:rsidTr="00BC4F1D">
        <w:tc>
          <w:tcPr>
            <w:tcW w:w="4248" w:type="dxa"/>
          </w:tcPr>
          <w:p w14:paraId="616D742C" w14:textId="77777777" w:rsidR="00203711" w:rsidRPr="00B86885" w:rsidRDefault="00203711" w:rsidP="00C0701D">
            <w:pPr>
              <w:pStyle w:val="TableText0"/>
              <w:numPr>
                <w:ilvl w:val="0"/>
                <w:numId w:val="8"/>
              </w:numPr>
              <w:ind w:left="447" w:hanging="283"/>
            </w:pPr>
            <w:r w:rsidRPr="00B86885">
              <w:t>#1, #2, #3, #4, #5</w:t>
            </w:r>
          </w:p>
        </w:tc>
        <w:tc>
          <w:tcPr>
            <w:tcW w:w="1559" w:type="dxa"/>
          </w:tcPr>
          <w:p w14:paraId="3F0EB91D" w14:textId="58BE48B3" w:rsidR="00203711" w:rsidRPr="00B86885" w:rsidRDefault="00203711">
            <w:pPr>
              <w:pStyle w:val="TableText0"/>
            </w:pPr>
            <w:r w:rsidRPr="00B86885">
              <w:t>$</w:t>
            </w:r>
            <w:r w:rsidR="00460689" w:rsidRPr="00460689">
              <w:rPr>
                <w:color w:val="000000"/>
                <w:spacing w:val="53"/>
                <w:shd w:val="solid" w:color="000000" w:fill="000000"/>
                <w:fitText w:val="330" w:id="-632553463"/>
                <w14:textFill>
                  <w14:solidFill>
                    <w14:srgbClr w14:val="000000">
                      <w14:alpha w14:val="100000"/>
                    </w14:srgbClr>
                  </w14:solidFill>
                </w14:textFill>
              </w:rPr>
              <w:t>|||</w:t>
            </w:r>
            <w:r w:rsidR="00460689" w:rsidRPr="00460689">
              <w:rPr>
                <w:color w:val="000000"/>
                <w:spacing w:val="1"/>
                <w:shd w:val="solid" w:color="000000" w:fill="000000"/>
                <w:fitText w:val="330" w:id="-632553463"/>
                <w14:textFill>
                  <w14:solidFill>
                    <w14:srgbClr w14:val="000000">
                      <w14:alpha w14:val="100000"/>
                    </w14:srgbClr>
                  </w14:solidFill>
                </w14:textFill>
              </w:rPr>
              <w:t>|</w:t>
            </w:r>
          </w:p>
        </w:tc>
        <w:tc>
          <w:tcPr>
            <w:tcW w:w="1701" w:type="dxa"/>
          </w:tcPr>
          <w:p w14:paraId="32E0746A" w14:textId="31FB0DF6" w:rsidR="00203711" w:rsidRPr="00B86885" w:rsidRDefault="00203711">
            <w:pPr>
              <w:pStyle w:val="TableText0"/>
            </w:pPr>
            <w:r w:rsidRPr="00B86885">
              <w:t>0.01</w:t>
            </w:r>
            <w:r w:rsidR="009779B7" w:rsidRPr="00B86885">
              <w:t>1</w:t>
            </w:r>
          </w:p>
        </w:tc>
        <w:tc>
          <w:tcPr>
            <w:tcW w:w="1509" w:type="dxa"/>
          </w:tcPr>
          <w:p w14:paraId="67DEC90B" w14:textId="497FADF9" w:rsidR="00203711" w:rsidRPr="00307E47" w:rsidRDefault="00203711">
            <w:pPr>
              <w:pStyle w:val="TableText0"/>
              <w:rPr>
                <w:vertAlign w:val="superscript"/>
              </w:rPr>
            </w:pPr>
            <w:r w:rsidRPr="00B86885">
              <w:t>$</w:t>
            </w:r>
            <w:r w:rsidR="00460689" w:rsidRPr="00460689">
              <w:rPr>
                <w:color w:val="000000"/>
                <w:spacing w:val="53"/>
                <w:shd w:val="solid" w:color="000000" w:fill="000000"/>
                <w:fitText w:val="330" w:id="-632553462"/>
                <w14:textFill>
                  <w14:solidFill>
                    <w14:srgbClr w14:val="000000">
                      <w14:alpha w14:val="100000"/>
                    </w14:srgbClr>
                  </w14:solidFill>
                </w14:textFill>
              </w:rPr>
              <w:t>|||</w:t>
            </w:r>
            <w:r w:rsidR="00460689" w:rsidRPr="00460689">
              <w:rPr>
                <w:color w:val="000000"/>
                <w:spacing w:val="1"/>
                <w:shd w:val="solid" w:color="000000" w:fill="000000"/>
                <w:fitText w:val="330" w:id="-632553462"/>
                <w14:textFill>
                  <w14:solidFill>
                    <w14:srgbClr w14:val="000000">
                      <w14:alpha w14:val="100000"/>
                    </w14:srgbClr>
                  </w14:solidFill>
                </w14:textFill>
              </w:rPr>
              <w:t>|</w:t>
            </w:r>
            <w:r w:rsidR="00307E47">
              <w:rPr>
                <w:vertAlign w:val="superscript"/>
              </w:rPr>
              <w:t>5</w:t>
            </w:r>
          </w:p>
        </w:tc>
      </w:tr>
      <w:tr w:rsidR="00203711" w:rsidRPr="00B86885" w14:paraId="5AE6D0E6" w14:textId="77777777" w:rsidTr="00BC4F1D">
        <w:tc>
          <w:tcPr>
            <w:tcW w:w="4248" w:type="dxa"/>
          </w:tcPr>
          <w:p w14:paraId="1750C3C2" w14:textId="77777777" w:rsidR="00203711" w:rsidRPr="00B86885" w:rsidRDefault="00203711" w:rsidP="00C0701D">
            <w:pPr>
              <w:pStyle w:val="TableText0"/>
              <w:numPr>
                <w:ilvl w:val="0"/>
                <w:numId w:val="8"/>
              </w:numPr>
              <w:ind w:left="447" w:hanging="283"/>
            </w:pPr>
            <w:r w:rsidRPr="00B86885">
              <w:t>#1, #2, #3, #4, #5, #6</w:t>
            </w:r>
          </w:p>
        </w:tc>
        <w:tc>
          <w:tcPr>
            <w:tcW w:w="1559" w:type="dxa"/>
            <w:vAlign w:val="bottom"/>
          </w:tcPr>
          <w:p w14:paraId="1072B648" w14:textId="000AD4C0" w:rsidR="00203711" w:rsidRPr="00B86885" w:rsidRDefault="00203711">
            <w:pPr>
              <w:pStyle w:val="TableText0"/>
            </w:pPr>
            <w:r w:rsidRPr="00B86885">
              <w:t>$</w:t>
            </w:r>
            <w:r w:rsidR="00460689" w:rsidRPr="00460689">
              <w:rPr>
                <w:color w:val="000000"/>
                <w:spacing w:val="53"/>
                <w:shd w:val="solid" w:color="000000" w:fill="000000"/>
                <w:fitText w:val="330" w:id="-632553461"/>
                <w14:textFill>
                  <w14:solidFill>
                    <w14:srgbClr w14:val="000000">
                      <w14:alpha w14:val="100000"/>
                    </w14:srgbClr>
                  </w14:solidFill>
                </w14:textFill>
              </w:rPr>
              <w:t>|||</w:t>
            </w:r>
            <w:r w:rsidR="00460689" w:rsidRPr="00460689">
              <w:rPr>
                <w:color w:val="000000"/>
                <w:spacing w:val="1"/>
                <w:shd w:val="solid" w:color="000000" w:fill="000000"/>
                <w:fitText w:val="330" w:id="-632553461"/>
                <w14:textFill>
                  <w14:solidFill>
                    <w14:srgbClr w14:val="000000">
                      <w14:alpha w14:val="100000"/>
                    </w14:srgbClr>
                  </w14:solidFill>
                </w14:textFill>
              </w:rPr>
              <w:t>|</w:t>
            </w:r>
          </w:p>
        </w:tc>
        <w:tc>
          <w:tcPr>
            <w:tcW w:w="1701" w:type="dxa"/>
            <w:vAlign w:val="bottom"/>
          </w:tcPr>
          <w:p w14:paraId="1BC7A29A" w14:textId="08492E63" w:rsidR="00203711" w:rsidRPr="00B86885" w:rsidRDefault="009779B7">
            <w:pPr>
              <w:pStyle w:val="TableText0"/>
            </w:pPr>
            <w:r w:rsidRPr="00B86885">
              <w:t>0.011</w:t>
            </w:r>
          </w:p>
        </w:tc>
        <w:tc>
          <w:tcPr>
            <w:tcW w:w="1509" w:type="dxa"/>
            <w:vAlign w:val="bottom"/>
          </w:tcPr>
          <w:p w14:paraId="54B5BB7F" w14:textId="74642C5F" w:rsidR="00203711" w:rsidRPr="0000561D" w:rsidRDefault="00203711">
            <w:pPr>
              <w:pStyle w:val="TableText0"/>
              <w:rPr>
                <w:vertAlign w:val="superscript"/>
              </w:rPr>
            </w:pPr>
            <w:r w:rsidRPr="00B86885">
              <w:t>$</w:t>
            </w:r>
            <w:r w:rsidR="00460689" w:rsidRPr="00460689">
              <w:rPr>
                <w:color w:val="000000"/>
                <w:spacing w:val="53"/>
                <w:shd w:val="solid" w:color="000000" w:fill="000000"/>
                <w:fitText w:val="330" w:id="-632553460"/>
                <w14:textFill>
                  <w14:solidFill>
                    <w14:srgbClr w14:val="000000">
                      <w14:alpha w14:val="100000"/>
                    </w14:srgbClr>
                  </w14:solidFill>
                </w14:textFill>
              </w:rPr>
              <w:t>|||</w:t>
            </w:r>
            <w:r w:rsidR="00460689" w:rsidRPr="00460689">
              <w:rPr>
                <w:color w:val="000000"/>
                <w:spacing w:val="1"/>
                <w:shd w:val="solid" w:color="000000" w:fill="000000"/>
                <w:fitText w:val="330" w:id="-632553460"/>
                <w14:textFill>
                  <w14:solidFill>
                    <w14:srgbClr w14:val="000000">
                      <w14:alpha w14:val="100000"/>
                    </w14:srgbClr>
                  </w14:solidFill>
                </w14:textFill>
              </w:rPr>
              <w:t>|</w:t>
            </w:r>
            <w:r w:rsidR="0000561D">
              <w:rPr>
                <w:vertAlign w:val="superscript"/>
              </w:rPr>
              <w:t>6</w:t>
            </w:r>
          </w:p>
        </w:tc>
      </w:tr>
      <w:tr w:rsidR="00203711" w:rsidRPr="00B86885" w14:paraId="420BA16A" w14:textId="77777777" w:rsidTr="00BC4F1D">
        <w:tc>
          <w:tcPr>
            <w:tcW w:w="4248" w:type="dxa"/>
          </w:tcPr>
          <w:p w14:paraId="63E8F89F" w14:textId="77777777" w:rsidR="00203711" w:rsidRPr="00B86885" w:rsidRDefault="00203711" w:rsidP="00C0701D">
            <w:pPr>
              <w:pStyle w:val="TableText0"/>
              <w:numPr>
                <w:ilvl w:val="0"/>
                <w:numId w:val="8"/>
              </w:numPr>
              <w:ind w:left="447" w:hanging="283"/>
            </w:pPr>
            <w:r w:rsidRPr="00B86885">
              <w:t xml:space="preserve">#1, #2, #3, #4, #5, #7 </w:t>
            </w:r>
          </w:p>
        </w:tc>
        <w:tc>
          <w:tcPr>
            <w:tcW w:w="1559" w:type="dxa"/>
          </w:tcPr>
          <w:p w14:paraId="7B96C945" w14:textId="54480614" w:rsidR="00203711" w:rsidRPr="00B86885" w:rsidRDefault="00203711">
            <w:pPr>
              <w:pStyle w:val="TableText0"/>
            </w:pPr>
            <w:r w:rsidRPr="00B86885">
              <w:t>$</w:t>
            </w:r>
            <w:r w:rsidR="00460689" w:rsidRPr="00460689">
              <w:rPr>
                <w:color w:val="000000"/>
                <w:spacing w:val="53"/>
                <w:shd w:val="solid" w:color="000000" w:fill="000000"/>
                <w:fitText w:val="330" w:id="-632553459"/>
                <w14:textFill>
                  <w14:solidFill>
                    <w14:srgbClr w14:val="000000">
                      <w14:alpha w14:val="100000"/>
                    </w14:srgbClr>
                  </w14:solidFill>
                </w14:textFill>
              </w:rPr>
              <w:t>|||</w:t>
            </w:r>
            <w:r w:rsidR="00460689" w:rsidRPr="00460689">
              <w:rPr>
                <w:color w:val="000000"/>
                <w:spacing w:val="1"/>
                <w:shd w:val="solid" w:color="000000" w:fill="000000"/>
                <w:fitText w:val="330" w:id="-632553459"/>
                <w14:textFill>
                  <w14:solidFill>
                    <w14:srgbClr w14:val="000000">
                      <w14:alpha w14:val="100000"/>
                    </w14:srgbClr>
                  </w14:solidFill>
                </w14:textFill>
              </w:rPr>
              <w:t>|</w:t>
            </w:r>
          </w:p>
        </w:tc>
        <w:tc>
          <w:tcPr>
            <w:tcW w:w="1701" w:type="dxa"/>
          </w:tcPr>
          <w:p w14:paraId="62B45047" w14:textId="67DF2131" w:rsidR="00203711" w:rsidRPr="00B86885" w:rsidRDefault="009779B7">
            <w:pPr>
              <w:pStyle w:val="TableText0"/>
            </w:pPr>
            <w:r w:rsidRPr="00B86885">
              <w:t>0.011</w:t>
            </w:r>
          </w:p>
        </w:tc>
        <w:tc>
          <w:tcPr>
            <w:tcW w:w="1509" w:type="dxa"/>
          </w:tcPr>
          <w:p w14:paraId="3A78A982" w14:textId="3C143F90" w:rsidR="00203711" w:rsidRPr="002D0426" w:rsidRDefault="00203711">
            <w:pPr>
              <w:pStyle w:val="TableText0"/>
              <w:rPr>
                <w:vertAlign w:val="superscript"/>
              </w:rPr>
            </w:pPr>
            <w:r w:rsidRPr="00B86885">
              <w:t>$</w:t>
            </w:r>
            <w:r w:rsidR="00460689" w:rsidRPr="00460689">
              <w:rPr>
                <w:color w:val="000000"/>
                <w:spacing w:val="53"/>
                <w:shd w:val="solid" w:color="000000" w:fill="000000"/>
                <w:fitText w:val="330" w:id="-632553458"/>
                <w14:textFill>
                  <w14:solidFill>
                    <w14:srgbClr w14:val="000000">
                      <w14:alpha w14:val="100000"/>
                    </w14:srgbClr>
                  </w14:solidFill>
                </w14:textFill>
              </w:rPr>
              <w:t>|||</w:t>
            </w:r>
            <w:r w:rsidR="00460689" w:rsidRPr="00460689">
              <w:rPr>
                <w:color w:val="000000"/>
                <w:spacing w:val="1"/>
                <w:shd w:val="solid" w:color="000000" w:fill="000000"/>
                <w:fitText w:val="330" w:id="-632553458"/>
                <w14:textFill>
                  <w14:solidFill>
                    <w14:srgbClr w14:val="000000">
                      <w14:alpha w14:val="100000"/>
                    </w14:srgbClr>
                  </w14:solidFill>
                </w14:textFill>
              </w:rPr>
              <w:t>|</w:t>
            </w:r>
            <w:r w:rsidR="002D0426">
              <w:rPr>
                <w:vertAlign w:val="superscript"/>
              </w:rPr>
              <w:t>6</w:t>
            </w:r>
          </w:p>
        </w:tc>
      </w:tr>
      <w:tr w:rsidR="00203711" w:rsidRPr="00B86885" w14:paraId="5BFDB686" w14:textId="77777777" w:rsidTr="00BC4F1D">
        <w:tc>
          <w:tcPr>
            <w:tcW w:w="4248" w:type="dxa"/>
          </w:tcPr>
          <w:p w14:paraId="533C3A65" w14:textId="34B3EDBF" w:rsidR="00203711" w:rsidRPr="00B86885" w:rsidRDefault="00203711" w:rsidP="00C0701D">
            <w:pPr>
              <w:pStyle w:val="TableText0"/>
              <w:numPr>
                <w:ilvl w:val="0"/>
                <w:numId w:val="8"/>
              </w:numPr>
              <w:ind w:left="447" w:hanging="283"/>
            </w:pPr>
            <w:r w:rsidRPr="00B86885">
              <w:t>#1, #2, #</w:t>
            </w:r>
            <w:r w:rsidR="009779B7" w:rsidRPr="00B86885">
              <w:t>4,</w:t>
            </w:r>
            <w:r w:rsidRPr="00B86885">
              <w:t xml:space="preserve"> #5, #6</w:t>
            </w:r>
          </w:p>
        </w:tc>
        <w:tc>
          <w:tcPr>
            <w:tcW w:w="1559" w:type="dxa"/>
            <w:vAlign w:val="bottom"/>
          </w:tcPr>
          <w:p w14:paraId="48991B31" w14:textId="702FEABF" w:rsidR="00203711" w:rsidRPr="00B86885" w:rsidRDefault="00203711">
            <w:pPr>
              <w:pStyle w:val="TableText0"/>
            </w:pPr>
            <w:r w:rsidRPr="00B86885">
              <w:t>$</w:t>
            </w:r>
            <w:r w:rsidR="00460689" w:rsidRPr="00460689">
              <w:rPr>
                <w:color w:val="000000"/>
                <w:spacing w:val="53"/>
                <w:shd w:val="solid" w:color="000000" w:fill="000000"/>
                <w:fitText w:val="330" w:id="-632553457"/>
                <w14:textFill>
                  <w14:solidFill>
                    <w14:srgbClr w14:val="000000">
                      <w14:alpha w14:val="100000"/>
                    </w14:srgbClr>
                  </w14:solidFill>
                </w14:textFill>
              </w:rPr>
              <w:t>|||</w:t>
            </w:r>
            <w:r w:rsidR="00460689" w:rsidRPr="00460689">
              <w:rPr>
                <w:color w:val="000000"/>
                <w:spacing w:val="1"/>
                <w:shd w:val="solid" w:color="000000" w:fill="000000"/>
                <w:fitText w:val="330" w:id="-632553457"/>
                <w14:textFill>
                  <w14:solidFill>
                    <w14:srgbClr w14:val="000000">
                      <w14:alpha w14:val="100000"/>
                    </w14:srgbClr>
                  </w14:solidFill>
                </w14:textFill>
              </w:rPr>
              <w:t>|</w:t>
            </w:r>
          </w:p>
        </w:tc>
        <w:tc>
          <w:tcPr>
            <w:tcW w:w="1701" w:type="dxa"/>
            <w:vAlign w:val="bottom"/>
          </w:tcPr>
          <w:p w14:paraId="34B51339" w14:textId="5B1546D1" w:rsidR="00203711" w:rsidRPr="00B86885" w:rsidRDefault="009779B7">
            <w:pPr>
              <w:pStyle w:val="TableText0"/>
            </w:pPr>
            <w:r w:rsidRPr="00B86885">
              <w:t>0.011</w:t>
            </w:r>
          </w:p>
        </w:tc>
        <w:tc>
          <w:tcPr>
            <w:tcW w:w="1509" w:type="dxa"/>
            <w:vAlign w:val="bottom"/>
          </w:tcPr>
          <w:p w14:paraId="21AF452E" w14:textId="79A54DAF" w:rsidR="00203711" w:rsidRPr="00E265E7" w:rsidRDefault="00203711">
            <w:pPr>
              <w:pStyle w:val="TableText0"/>
              <w:rPr>
                <w:vertAlign w:val="superscript"/>
              </w:rPr>
            </w:pPr>
            <w:r w:rsidRPr="00B86885">
              <w:t>$</w:t>
            </w:r>
            <w:r w:rsidR="00460689" w:rsidRPr="00460689">
              <w:rPr>
                <w:color w:val="000000"/>
                <w:spacing w:val="53"/>
                <w:shd w:val="solid" w:color="000000" w:fill="000000"/>
                <w:fitText w:val="330" w:id="-632553456"/>
                <w14:textFill>
                  <w14:solidFill>
                    <w14:srgbClr w14:val="000000">
                      <w14:alpha w14:val="100000"/>
                    </w14:srgbClr>
                  </w14:solidFill>
                </w14:textFill>
              </w:rPr>
              <w:t>|||</w:t>
            </w:r>
            <w:r w:rsidR="00460689" w:rsidRPr="00460689">
              <w:rPr>
                <w:color w:val="000000"/>
                <w:spacing w:val="1"/>
                <w:shd w:val="solid" w:color="000000" w:fill="000000"/>
                <w:fitText w:val="330" w:id="-632553456"/>
                <w14:textFill>
                  <w14:solidFill>
                    <w14:srgbClr w14:val="000000">
                      <w14:alpha w14:val="100000"/>
                    </w14:srgbClr>
                  </w14:solidFill>
                </w14:textFill>
              </w:rPr>
              <w:t>|</w:t>
            </w:r>
            <w:r w:rsidR="00E265E7">
              <w:rPr>
                <w:vertAlign w:val="superscript"/>
              </w:rPr>
              <w:t>2</w:t>
            </w:r>
          </w:p>
        </w:tc>
      </w:tr>
      <w:tr w:rsidR="00203711" w:rsidRPr="00B86885" w14:paraId="552B5BCA" w14:textId="77777777" w:rsidTr="00BC4F1D">
        <w:tc>
          <w:tcPr>
            <w:tcW w:w="4248" w:type="dxa"/>
          </w:tcPr>
          <w:p w14:paraId="2F501117" w14:textId="2B8B6A8C" w:rsidR="00203711" w:rsidRPr="00B86885" w:rsidRDefault="00203711" w:rsidP="00C0701D">
            <w:pPr>
              <w:pStyle w:val="TableText0"/>
              <w:numPr>
                <w:ilvl w:val="0"/>
                <w:numId w:val="8"/>
              </w:numPr>
              <w:ind w:left="447" w:hanging="283"/>
            </w:pPr>
            <w:r w:rsidRPr="00B86885">
              <w:t>#1, #2, #</w:t>
            </w:r>
            <w:r w:rsidR="009779B7" w:rsidRPr="00B86885">
              <w:t>4</w:t>
            </w:r>
            <w:r w:rsidRPr="00B86885">
              <w:t>, #5, #7</w:t>
            </w:r>
          </w:p>
        </w:tc>
        <w:tc>
          <w:tcPr>
            <w:tcW w:w="1559" w:type="dxa"/>
          </w:tcPr>
          <w:p w14:paraId="2DAC741A" w14:textId="5FA6AD8C" w:rsidR="00203711" w:rsidRPr="00B86885" w:rsidRDefault="00203711">
            <w:pPr>
              <w:pStyle w:val="TableText0"/>
            </w:pPr>
            <w:r w:rsidRPr="00B86885">
              <w:t>$</w:t>
            </w:r>
            <w:r w:rsidR="00460689" w:rsidRPr="00460689">
              <w:rPr>
                <w:color w:val="000000"/>
                <w:spacing w:val="53"/>
                <w:shd w:val="solid" w:color="000000" w:fill="000000"/>
                <w:fitText w:val="330" w:id="-632553472"/>
                <w14:textFill>
                  <w14:solidFill>
                    <w14:srgbClr w14:val="000000">
                      <w14:alpha w14:val="100000"/>
                    </w14:srgbClr>
                  </w14:solidFill>
                </w14:textFill>
              </w:rPr>
              <w:t>|||</w:t>
            </w:r>
            <w:r w:rsidR="00460689" w:rsidRPr="00460689">
              <w:rPr>
                <w:color w:val="000000"/>
                <w:spacing w:val="1"/>
                <w:shd w:val="solid" w:color="000000" w:fill="000000"/>
                <w:fitText w:val="330" w:id="-632553472"/>
                <w14:textFill>
                  <w14:solidFill>
                    <w14:srgbClr w14:val="000000">
                      <w14:alpha w14:val="100000"/>
                    </w14:srgbClr>
                  </w14:solidFill>
                </w14:textFill>
              </w:rPr>
              <w:t>|</w:t>
            </w:r>
          </w:p>
        </w:tc>
        <w:tc>
          <w:tcPr>
            <w:tcW w:w="1701" w:type="dxa"/>
          </w:tcPr>
          <w:p w14:paraId="4BEECDA1" w14:textId="7B10C4D6" w:rsidR="00203711" w:rsidRPr="00B86885" w:rsidRDefault="009779B7">
            <w:pPr>
              <w:pStyle w:val="TableText0"/>
            </w:pPr>
            <w:r w:rsidRPr="00B86885">
              <w:t>0.011</w:t>
            </w:r>
          </w:p>
        </w:tc>
        <w:tc>
          <w:tcPr>
            <w:tcW w:w="1509" w:type="dxa"/>
          </w:tcPr>
          <w:p w14:paraId="23537E92" w14:textId="0CD25CC0" w:rsidR="00203711" w:rsidRPr="004E1420" w:rsidRDefault="00203711">
            <w:pPr>
              <w:pStyle w:val="TableText0"/>
              <w:rPr>
                <w:vertAlign w:val="superscript"/>
              </w:rPr>
            </w:pPr>
            <w:r w:rsidRPr="00B86885">
              <w:t>$</w:t>
            </w:r>
            <w:r w:rsidR="00460689">
              <w:rPr>
                <w:color w:val="000000"/>
                <w:spacing w:val="52"/>
                <w:shd w:val="solid" w:color="000000" w:fill="000000"/>
                <w:fitText w:val="330" w:id="-632553471"/>
                <w14:textFill>
                  <w14:solidFill>
                    <w14:srgbClr w14:val="000000">
                      <w14:alpha w14:val="100000"/>
                    </w14:srgbClr>
                  </w14:solidFill>
                </w14:textFill>
              </w:rPr>
              <w:t>|||</w:t>
            </w:r>
            <w:r w:rsidR="00460689">
              <w:rPr>
                <w:color w:val="000000"/>
                <w:spacing w:val="2"/>
                <w:shd w:val="solid" w:color="000000" w:fill="000000"/>
                <w:fitText w:val="330" w:id="-632553471"/>
                <w14:textFill>
                  <w14:solidFill>
                    <w14:srgbClr w14:val="000000">
                      <w14:alpha w14:val="100000"/>
                    </w14:srgbClr>
                  </w14:solidFill>
                </w14:textFill>
              </w:rPr>
              <w:t>|</w:t>
            </w:r>
            <w:r w:rsidR="004E1420">
              <w:rPr>
                <w:vertAlign w:val="superscript"/>
              </w:rPr>
              <w:t>7</w:t>
            </w:r>
          </w:p>
        </w:tc>
      </w:tr>
    </w:tbl>
    <w:p w14:paraId="3C6B578A" w14:textId="77777777" w:rsidR="00D11DD1" w:rsidRDefault="00EA1292">
      <w:pPr>
        <w:pStyle w:val="TableFigureFooter"/>
      </w:pPr>
      <w:r>
        <w:t>Source: tabulated during evaluation, from the “Attachment 2 Tacrolimus final model 06March2025” workbook included in the submission.</w:t>
      </w:r>
    </w:p>
    <w:p w14:paraId="1B7AE7DE" w14:textId="51C09F0D" w:rsidR="00C9779F" w:rsidRDefault="00C9779F" w:rsidP="00C9779F">
      <w:pPr>
        <w:pStyle w:val="TableFigureFooter"/>
      </w:pPr>
      <w:r>
        <w:t xml:space="preserve">AD = atopic dermatitis ; DUPI = dupilumab; </w:t>
      </w:r>
      <w:r w:rsidR="00D9419F">
        <w:t xml:space="preserve">ICER = incremental cost-effectiveness ratio; </w:t>
      </w:r>
      <w:r>
        <w:t>NICE = National Institute for Health and Care Excellence; PBAC = Pharmaceutical Benefits Advisory Committee; QALY = quality-adjusted life year ; UPA = upadacitinib</w:t>
      </w:r>
    </w:p>
    <w:p w14:paraId="5A2BC898" w14:textId="53A52BCF" w:rsidR="00BC4F1D" w:rsidRDefault="00C9779F" w:rsidP="00C9779F">
      <w:pPr>
        <w:pStyle w:val="TableFigureFooter"/>
      </w:pPr>
      <w:r w:rsidRPr="00FD1714">
        <w:rPr>
          <w:vertAlign w:val="superscript"/>
        </w:rPr>
        <w:t>a</w:t>
      </w:r>
      <w:r>
        <w:t xml:space="preserve"> </w:t>
      </w:r>
      <w:r w:rsidR="00BC4F1D">
        <w:t xml:space="preserve">Based on the number of major flares reported in the </w:t>
      </w:r>
      <w:r w:rsidR="00BC4F1D" w:rsidRPr="0008659F">
        <w:rPr>
          <w:i/>
          <w:iCs/>
        </w:rPr>
        <w:t>post-hoc</w:t>
      </w:r>
      <w:r w:rsidR="00BC4F1D">
        <w:t xml:space="preserve"> analysis of CONTROL (Reitamo 2010). </w:t>
      </w:r>
    </w:p>
    <w:p w14:paraId="236B0253" w14:textId="22D4AA32" w:rsidR="00BC4F1D" w:rsidRPr="00BC4F1D" w:rsidRDefault="00BC4F1D" w:rsidP="00C9779F">
      <w:pPr>
        <w:pStyle w:val="TableFigureFooter"/>
      </w:pPr>
      <w:r>
        <w:rPr>
          <w:vertAlign w:val="superscript"/>
        </w:rPr>
        <w:t xml:space="preserve">b </w:t>
      </w:r>
      <w:r>
        <w:t xml:space="preserve">Based on a study that utilised HRQoL data from CONTROL and applied UK tariffs (Poole 2009). </w:t>
      </w:r>
    </w:p>
    <w:p w14:paraId="6850B70E" w14:textId="50FC4CE5" w:rsidR="00BC4F1D" w:rsidRPr="00BC4F1D" w:rsidRDefault="00BC4F1D" w:rsidP="00C9779F">
      <w:pPr>
        <w:pStyle w:val="TableFigureFooter"/>
      </w:pPr>
      <w:r>
        <w:rPr>
          <w:vertAlign w:val="superscript"/>
        </w:rPr>
        <w:t xml:space="preserve">c </w:t>
      </w:r>
      <w:r>
        <w:t xml:space="preserve">Sourced from the “Attachment 9 – Primary Research Report” provided in the submission. </w:t>
      </w:r>
    </w:p>
    <w:p w14:paraId="551E02BE" w14:textId="69F88CAF" w:rsidR="00C9779F" w:rsidRDefault="00BC4F1D" w:rsidP="00C9779F">
      <w:pPr>
        <w:pStyle w:val="TableFigureFooter"/>
      </w:pPr>
      <w:r>
        <w:rPr>
          <w:vertAlign w:val="superscript"/>
        </w:rPr>
        <w:t xml:space="preserve">d </w:t>
      </w:r>
      <w:r w:rsidR="00C9779F">
        <w:t xml:space="preserve">Based on </w:t>
      </w:r>
      <w:r w:rsidR="00681829">
        <w:t xml:space="preserve">the average use per day reported in the </w:t>
      </w:r>
      <w:r w:rsidR="001600C2" w:rsidRPr="0008659F">
        <w:rPr>
          <w:i/>
          <w:iCs/>
        </w:rPr>
        <w:t>post-hoc</w:t>
      </w:r>
      <w:r w:rsidR="001600C2">
        <w:t xml:space="preserve"> analysis of CONTROL. </w:t>
      </w:r>
    </w:p>
    <w:p w14:paraId="7B5C1DB8" w14:textId="3B546C89" w:rsidR="00C9779F" w:rsidRDefault="00BC4F1D" w:rsidP="00C9779F">
      <w:pPr>
        <w:pStyle w:val="TableFigureFooter"/>
        <w:rPr>
          <w:i/>
          <w:iCs/>
        </w:rPr>
      </w:pPr>
      <w:r w:rsidRPr="006F3588">
        <w:rPr>
          <w:i/>
          <w:vertAlign w:val="superscript"/>
        </w:rPr>
        <w:t>e</w:t>
      </w:r>
      <w:r w:rsidRPr="006F3588">
        <w:rPr>
          <w:i/>
        </w:rPr>
        <w:t xml:space="preserve"> </w:t>
      </w:r>
      <w:r w:rsidR="00C9779F" w:rsidRPr="00C45057">
        <w:rPr>
          <w:i/>
          <w:iCs/>
        </w:rPr>
        <w:t>Corrected as per publication</w:t>
      </w:r>
    </w:p>
    <w:p w14:paraId="1AE0FFA8" w14:textId="77777777" w:rsidR="00B9692F" w:rsidRPr="00B9692F" w:rsidRDefault="00B9692F" w:rsidP="00B9692F">
      <w:pPr>
        <w:pStyle w:val="TableFigureFooter"/>
        <w:rPr>
          <w:i/>
          <w:iCs/>
        </w:rPr>
      </w:pPr>
      <w:r w:rsidRPr="00B9692F">
        <w:rPr>
          <w:i/>
          <w:iCs/>
        </w:rPr>
        <w:t xml:space="preserve">The redacted values correspond to the following ranges: </w:t>
      </w:r>
    </w:p>
    <w:p w14:paraId="44BCA261" w14:textId="3F7D8BC6" w:rsidR="00B9692F" w:rsidRPr="00B9692F" w:rsidRDefault="00B9692F" w:rsidP="00B9692F">
      <w:pPr>
        <w:pStyle w:val="TableFigureFooter"/>
        <w:rPr>
          <w:i/>
          <w:iCs/>
        </w:rPr>
      </w:pPr>
      <w:r w:rsidRPr="00B9692F">
        <w:rPr>
          <w:i/>
          <w:iCs/>
          <w:vertAlign w:val="superscript"/>
        </w:rPr>
        <w:t>1</w:t>
      </w:r>
      <w:r w:rsidRPr="00B9692F">
        <w:rPr>
          <w:i/>
          <w:iCs/>
        </w:rPr>
        <w:t xml:space="preserve"> </w:t>
      </w:r>
      <w:r w:rsidR="00EB04EC" w:rsidRPr="00EB04EC">
        <w:rPr>
          <w:i/>
          <w:iCs/>
        </w:rPr>
        <w:t xml:space="preserve">$5,000 to &lt; $15,000 </w:t>
      </w:r>
    </w:p>
    <w:p w14:paraId="13AE2E9F" w14:textId="46FFD3A0" w:rsidR="00B9692F" w:rsidRPr="00B9692F" w:rsidRDefault="00B9692F" w:rsidP="00B9692F">
      <w:pPr>
        <w:pStyle w:val="TableFigureFooter"/>
        <w:rPr>
          <w:i/>
          <w:iCs/>
        </w:rPr>
      </w:pPr>
      <w:r w:rsidRPr="00B9692F">
        <w:rPr>
          <w:i/>
          <w:iCs/>
          <w:vertAlign w:val="superscript"/>
        </w:rPr>
        <w:t>2</w:t>
      </w:r>
      <w:r w:rsidRPr="00B9692F">
        <w:rPr>
          <w:i/>
          <w:iCs/>
        </w:rPr>
        <w:t xml:space="preserve"> </w:t>
      </w:r>
      <w:r w:rsidR="003960DB" w:rsidRPr="003960DB">
        <w:rPr>
          <w:i/>
          <w:iCs/>
        </w:rPr>
        <w:t>$25,000 to &lt; $35,000</w:t>
      </w:r>
    </w:p>
    <w:p w14:paraId="1C3F32E6" w14:textId="0A29C4EB" w:rsidR="00B9692F" w:rsidRPr="00B9692F" w:rsidRDefault="00B9692F" w:rsidP="00B9692F">
      <w:pPr>
        <w:pStyle w:val="TableFigureFooter"/>
        <w:rPr>
          <w:i/>
          <w:iCs/>
        </w:rPr>
      </w:pPr>
      <w:r w:rsidRPr="00B9692F">
        <w:rPr>
          <w:i/>
          <w:iCs/>
          <w:vertAlign w:val="superscript"/>
        </w:rPr>
        <w:t>3</w:t>
      </w:r>
      <w:r w:rsidRPr="00B9692F">
        <w:rPr>
          <w:i/>
          <w:iCs/>
        </w:rPr>
        <w:t xml:space="preserve"> </w:t>
      </w:r>
      <w:r w:rsidR="00D21A73" w:rsidRPr="00D21A73">
        <w:rPr>
          <w:i/>
          <w:iCs/>
        </w:rPr>
        <w:t>$355,000 to &lt; $455,000</w:t>
      </w:r>
    </w:p>
    <w:p w14:paraId="3F9070AE" w14:textId="4D176BA2" w:rsidR="00B9692F" w:rsidRDefault="00B9692F" w:rsidP="00B9692F">
      <w:pPr>
        <w:pStyle w:val="TableFigureFooter"/>
        <w:rPr>
          <w:i/>
          <w:iCs/>
        </w:rPr>
      </w:pPr>
      <w:r w:rsidRPr="00B9692F">
        <w:rPr>
          <w:i/>
          <w:iCs/>
          <w:vertAlign w:val="superscript"/>
        </w:rPr>
        <w:t>4</w:t>
      </w:r>
      <w:r w:rsidRPr="00B9692F">
        <w:rPr>
          <w:i/>
          <w:iCs/>
        </w:rPr>
        <w:t xml:space="preserve"> </w:t>
      </w:r>
      <w:r w:rsidR="00307E47" w:rsidRPr="00307E47">
        <w:rPr>
          <w:i/>
          <w:iCs/>
        </w:rPr>
        <w:t>$0 to &lt; $5,000</w:t>
      </w:r>
    </w:p>
    <w:p w14:paraId="51636C2E" w14:textId="77777777" w:rsidR="0000561D" w:rsidRPr="0000561D" w:rsidRDefault="00307E47" w:rsidP="0000561D">
      <w:pPr>
        <w:pStyle w:val="TableFigureFooter"/>
        <w:rPr>
          <w:i/>
          <w:iCs/>
        </w:rPr>
      </w:pPr>
      <w:r>
        <w:rPr>
          <w:i/>
          <w:iCs/>
          <w:vertAlign w:val="superscript"/>
        </w:rPr>
        <w:t>5</w:t>
      </w:r>
      <w:r>
        <w:rPr>
          <w:i/>
          <w:iCs/>
        </w:rPr>
        <w:t xml:space="preserve"> </w:t>
      </w:r>
      <w:r w:rsidR="0000561D" w:rsidRPr="0000561D">
        <w:rPr>
          <w:i/>
          <w:iCs/>
        </w:rPr>
        <w:t>$35,000 to &lt; $45,000</w:t>
      </w:r>
    </w:p>
    <w:p w14:paraId="49F376C8" w14:textId="77777777" w:rsidR="002D0426" w:rsidRPr="002D0426" w:rsidRDefault="0000561D" w:rsidP="002D0426">
      <w:pPr>
        <w:pStyle w:val="TableFigureFooter"/>
        <w:rPr>
          <w:i/>
          <w:iCs/>
        </w:rPr>
      </w:pPr>
      <w:r>
        <w:rPr>
          <w:i/>
          <w:iCs/>
          <w:vertAlign w:val="superscript"/>
        </w:rPr>
        <w:t>6</w:t>
      </w:r>
      <w:r>
        <w:rPr>
          <w:i/>
          <w:iCs/>
        </w:rPr>
        <w:t xml:space="preserve"> </w:t>
      </w:r>
      <w:r w:rsidR="002D0426" w:rsidRPr="002D0426">
        <w:rPr>
          <w:i/>
          <w:iCs/>
        </w:rPr>
        <w:t xml:space="preserve">$55,000 to &lt; $75,000 </w:t>
      </w:r>
    </w:p>
    <w:p w14:paraId="5C877554" w14:textId="266BF850" w:rsidR="00B9692F" w:rsidRPr="00C9779F" w:rsidRDefault="002D0426" w:rsidP="00C9779F">
      <w:pPr>
        <w:pStyle w:val="TableFigureFooter"/>
        <w:rPr>
          <w:i/>
          <w:iCs/>
        </w:rPr>
      </w:pPr>
      <w:r>
        <w:rPr>
          <w:i/>
          <w:iCs/>
          <w:vertAlign w:val="superscript"/>
        </w:rPr>
        <w:t>7</w:t>
      </w:r>
      <w:r>
        <w:rPr>
          <w:i/>
          <w:iCs/>
        </w:rPr>
        <w:t xml:space="preserve"> </w:t>
      </w:r>
      <w:r w:rsidR="00E25FAB" w:rsidRPr="00E25FAB">
        <w:rPr>
          <w:i/>
          <w:iCs/>
        </w:rPr>
        <w:t>$15,000 to &lt; $25,000</w:t>
      </w:r>
    </w:p>
    <w:p w14:paraId="4F9238DE" w14:textId="0173F5D8" w:rsidR="00EE2835" w:rsidRPr="00B86885" w:rsidRDefault="00EE2835" w:rsidP="00EE2835">
      <w:pPr>
        <w:pStyle w:val="3-BodyText"/>
        <w:rPr>
          <w:color w:val="000000" w:themeColor="text1"/>
        </w:rPr>
      </w:pPr>
      <w:r w:rsidRPr="00B86885">
        <w:rPr>
          <w:color w:val="000000" w:themeColor="text1"/>
        </w:rPr>
        <w:t>The ICER was</w:t>
      </w:r>
      <w:r w:rsidR="00A04CFB" w:rsidRPr="00B86885">
        <w:rPr>
          <w:color w:val="000000" w:themeColor="text1"/>
        </w:rPr>
        <w:t xml:space="preserve"> </w:t>
      </w:r>
      <w:r w:rsidRPr="00B86885">
        <w:rPr>
          <w:color w:val="000000" w:themeColor="text1"/>
        </w:rPr>
        <w:t xml:space="preserve">sensitive to the proportion of patients that discontinued treatment after primary therapy, the utility values applied to flare and flare-free days, the number of flare days per flare assumed, the average use of </w:t>
      </w:r>
      <w:r w:rsidR="00D25216">
        <w:rPr>
          <w:color w:val="000000" w:themeColor="text1"/>
        </w:rPr>
        <w:t xml:space="preserve">0.1% </w:t>
      </w:r>
      <w:r w:rsidR="006402CB" w:rsidRPr="00B86885">
        <w:t>TAC</w:t>
      </w:r>
      <w:r w:rsidRPr="00B86885">
        <w:rPr>
          <w:color w:val="000000" w:themeColor="text1"/>
        </w:rPr>
        <w:t xml:space="preserve"> per day</w:t>
      </w:r>
      <w:r w:rsidR="006F3588">
        <w:rPr>
          <w:color w:val="000000" w:themeColor="text1"/>
        </w:rPr>
        <w:t>, the number of flares in the discontinued health state</w:t>
      </w:r>
      <w:r w:rsidRPr="00B86885">
        <w:rPr>
          <w:color w:val="000000" w:themeColor="text1"/>
        </w:rPr>
        <w:t xml:space="preserve"> and the proportion of patients that received systemic therapies in the discontinued health state. </w:t>
      </w:r>
      <w:r w:rsidR="000F4214" w:rsidRPr="00B86885">
        <w:rPr>
          <w:color w:val="000000" w:themeColor="text1"/>
        </w:rPr>
        <w:t xml:space="preserve">However, generally the conclusion of cost savings, based on published prices for dupilumab and upadacitinib, did not change. </w:t>
      </w:r>
      <w:r w:rsidR="00A04CFB" w:rsidRPr="00B86885">
        <w:rPr>
          <w:color w:val="000000" w:themeColor="text1"/>
        </w:rPr>
        <w:t xml:space="preserve">When cumulative changes, such as </w:t>
      </w:r>
      <w:r w:rsidR="00DA5A86" w:rsidRPr="00B86885">
        <w:rPr>
          <w:color w:val="000000" w:themeColor="text1"/>
        </w:rPr>
        <w:t xml:space="preserve">using alternate utility values, average use of </w:t>
      </w:r>
      <w:r w:rsidR="00D25216">
        <w:rPr>
          <w:color w:val="000000" w:themeColor="text1"/>
        </w:rPr>
        <w:t xml:space="preserve">0.1% </w:t>
      </w:r>
      <w:r w:rsidR="006402CB" w:rsidRPr="00B86885">
        <w:t>TAC</w:t>
      </w:r>
      <w:r w:rsidR="00DA5A86" w:rsidRPr="00B86885">
        <w:rPr>
          <w:color w:val="000000" w:themeColor="text1"/>
        </w:rPr>
        <w:t xml:space="preserve"> per day, excluding phototherapy costs, </w:t>
      </w:r>
      <w:r w:rsidR="00A04CFB" w:rsidRPr="00B86885">
        <w:rPr>
          <w:color w:val="000000" w:themeColor="text1"/>
        </w:rPr>
        <w:t xml:space="preserve">restricting systemic therapies to severe AD patients and reducing the use and uptake of dupilumab and upadacitinib, are made to the model, </w:t>
      </w:r>
      <w:r w:rsidR="00D25216">
        <w:rPr>
          <w:color w:val="000000" w:themeColor="text1"/>
        </w:rPr>
        <w:t xml:space="preserve">0.1% </w:t>
      </w:r>
      <w:r w:rsidR="002E738C" w:rsidRPr="00B86885">
        <w:rPr>
          <w:color w:val="000000" w:themeColor="text1"/>
        </w:rPr>
        <w:t>TAC is associated with additional costs</w:t>
      </w:r>
      <w:r w:rsidR="006402CB" w:rsidRPr="00B86885">
        <w:t xml:space="preserve">. </w:t>
      </w:r>
    </w:p>
    <w:p w14:paraId="7E92799F" w14:textId="09186E76" w:rsidR="00EE2835" w:rsidRDefault="00EE2835" w:rsidP="00EE2835">
      <w:pPr>
        <w:pStyle w:val="5-SubsectionSubheading"/>
      </w:pPr>
      <w:r>
        <w:t xml:space="preserve">Cost-minimisation analysis </w:t>
      </w:r>
    </w:p>
    <w:p w14:paraId="32D461EC" w14:textId="793AA710" w:rsidR="00E20A39" w:rsidRPr="00EE2835" w:rsidRDefault="00EE2835" w:rsidP="00EE2835">
      <w:pPr>
        <w:pStyle w:val="3-BodyText"/>
        <w:rPr>
          <w:color w:val="000000" w:themeColor="text1"/>
        </w:rPr>
      </w:pPr>
      <w:r>
        <w:rPr>
          <w:color w:val="000000" w:themeColor="text1"/>
        </w:rPr>
        <w:t>T</w:t>
      </w:r>
      <w:r w:rsidR="00E20A39" w:rsidRPr="00EE2835">
        <w:rPr>
          <w:color w:val="000000" w:themeColor="text1"/>
        </w:rPr>
        <w:t xml:space="preserve">he submission presented a cost-minimisation </w:t>
      </w:r>
      <w:r w:rsidR="000E7CE6">
        <w:rPr>
          <w:color w:val="000000" w:themeColor="text1"/>
        </w:rPr>
        <w:t>approach</w:t>
      </w:r>
      <w:r w:rsidR="000E7CE6" w:rsidRPr="00EE2835">
        <w:rPr>
          <w:color w:val="000000" w:themeColor="text1"/>
        </w:rPr>
        <w:t xml:space="preserve"> </w:t>
      </w:r>
      <w:r w:rsidR="00E20A39" w:rsidRPr="00EE2835">
        <w:rPr>
          <w:color w:val="000000" w:themeColor="text1"/>
        </w:rPr>
        <w:t xml:space="preserve">(CMA) of 0.1% </w:t>
      </w:r>
      <w:r w:rsidR="006402CB">
        <w:t>TAC</w:t>
      </w:r>
      <w:r w:rsidR="006402CB" w:rsidRPr="00791DD9">
        <w:t xml:space="preserve"> </w:t>
      </w:r>
      <w:r w:rsidR="00E20A39" w:rsidRPr="00EE2835">
        <w:rPr>
          <w:color w:val="000000" w:themeColor="text1"/>
        </w:rPr>
        <w:t xml:space="preserve">versus 1% </w:t>
      </w:r>
      <w:r w:rsidR="00A50965">
        <w:rPr>
          <w:color w:val="000000" w:themeColor="text1"/>
        </w:rPr>
        <w:t xml:space="preserve">PIM </w:t>
      </w:r>
      <w:r w:rsidR="00E20A39" w:rsidRPr="00EE2835">
        <w:rPr>
          <w:color w:val="000000" w:themeColor="text1"/>
        </w:rPr>
        <w:t xml:space="preserve">for the treatment of moderate AD on the face and eyelids. The CMA was based on a claim of superior efficacy and non-inferior safety of </w:t>
      </w:r>
      <w:r w:rsidR="00D25216">
        <w:rPr>
          <w:color w:val="000000" w:themeColor="text1"/>
        </w:rPr>
        <w:t xml:space="preserve">0.1% </w:t>
      </w:r>
      <w:r w:rsidR="006402CB">
        <w:t>TAC</w:t>
      </w:r>
      <w:r w:rsidR="006402CB" w:rsidRPr="00EE2835">
        <w:rPr>
          <w:color w:val="000000" w:themeColor="text1"/>
        </w:rPr>
        <w:t xml:space="preserve"> </w:t>
      </w:r>
      <w:r w:rsidR="00E20A39" w:rsidRPr="00EE2835">
        <w:rPr>
          <w:color w:val="000000" w:themeColor="text1"/>
        </w:rPr>
        <w:t xml:space="preserve">compared to </w:t>
      </w:r>
      <w:r w:rsidR="00D25216">
        <w:rPr>
          <w:color w:val="000000" w:themeColor="text1"/>
        </w:rPr>
        <w:t xml:space="preserve">1% </w:t>
      </w:r>
      <w:r w:rsidR="00A50965">
        <w:rPr>
          <w:color w:val="000000" w:themeColor="text1"/>
        </w:rPr>
        <w:t>PIM</w:t>
      </w:r>
      <w:r w:rsidR="00E20A39" w:rsidRPr="00EE2835">
        <w:rPr>
          <w:color w:val="000000" w:themeColor="text1"/>
        </w:rPr>
        <w:t xml:space="preserve"> based on </w:t>
      </w:r>
      <w:r w:rsidR="00627F49">
        <w:rPr>
          <w:color w:val="000000" w:themeColor="text1"/>
        </w:rPr>
        <w:t>a comparison of</w:t>
      </w:r>
      <w:r w:rsidR="00E20A39" w:rsidRPr="00EE2835">
        <w:rPr>
          <w:color w:val="000000" w:themeColor="text1"/>
        </w:rPr>
        <w:t xml:space="preserve"> the effectiveness and safety profiles of </w:t>
      </w:r>
      <w:r w:rsidR="00D25216">
        <w:rPr>
          <w:color w:val="000000" w:themeColor="text1"/>
        </w:rPr>
        <w:t xml:space="preserve">0.1% </w:t>
      </w:r>
      <w:r w:rsidR="006402CB">
        <w:t>TAC</w:t>
      </w:r>
      <w:r w:rsidR="00E20A39" w:rsidRPr="00EE2835">
        <w:rPr>
          <w:color w:val="000000" w:themeColor="text1"/>
        </w:rPr>
        <w:t xml:space="preserve"> and </w:t>
      </w:r>
      <w:r w:rsidR="00D25216">
        <w:rPr>
          <w:color w:val="000000" w:themeColor="text1"/>
        </w:rPr>
        <w:t>1% PIM</w:t>
      </w:r>
      <w:r w:rsidR="00E20A39" w:rsidRPr="00EE2835">
        <w:rPr>
          <w:color w:val="000000" w:themeColor="text1"/>
        </w:rPr>
        <w:t xml:space="preserve"> over a period of 6 weeks in paediatric and adult patients with </w:t>
      </w:r>
      <w:r w:rsidR="00D25216">
        <w:rPr>
          <w:color w:val="000000" w:themeColor="text1"/>
        </w:rPr>
        <w:t>AD</w:t>
      </w:r>
      <w:r w:rsidR="00E20A39" w:rsidRPr="00EE2835">
        <w:rPr>
          <w:color w:val="000000" w:themeColor="text1"/>
        </w:rPr>
        <w:t xml:space="preserve">. </w:t>
      </w:r>
      <w:r w:rsidR="00E20A39" w:rsidRPr="00E91EFE">
        <w:t>The key assumptions and components of the CMA presented in the submission are shown in</w:t>
      </w:r>
      <w:r w:rsidR="00E20A39">
        <w:t xml:space="preserve"> </w:t>
      </w:r>
      <w:r w:rsidR="00221557">
        <w:fldChar w:fldCharType="begin"/>
      </w:r>
      <w:r w:rsidR="00221557">
        <w:instrText xml:space="preserve"> REF _Ref197680694 \h </w:instrText>
      </w:r>
      <w:r w:rsidR="00221557">
        <w:fldChar w:fldCharType="separate"/>
      </w:r>
      <w:r w:rsidR="00124226">
        <w:t xml:space="preserve">Table </w:t>
      </w:r>
      <w:r w:rsidR="00124226">
        <w:rPr>
          <w:noProof/>
        </w:rPr>
        <w:t>13</w:t>
      </w:r>
      <w:r w:rsidR="00221557">
        <w:fldChar w:fldCharType="end"/>
      </w:r>
      <w:r w:rsidR="00221557">
        <w:t xml:space="preserve">. </w:t>
      </w:r>
    </w:p>
    <w:p w14:paraId="18BD7121" w14:textId="7997CAFB" w:rsidR="00E20A39" w:rsidRDefault="00E20A39" w:rsidP="0086378A">
      <w:pPr>
        <w:pStyle w:val="Caption"/>
        <w:keepLines w:val="0"/>
        <w:widowControl w:val="0"/>
      </w:pPr>
      <w:bookmarkStart w:id="103" w:name="_Ref197680694"/>
      <w:r>
        <w:t xml:space="preserve">Table </w:t>
      </w:r>
      <w:r w:rsidR="002A692B">
        <w:fldChar w:fldCharType="begin"/>
      </w:r>
      <w:r w:rsidR="002A692B">
        <w:instrText xml:space="preserve"> SEQ Table \* ARABIC </w:instrText>
      </w:r>
      <w:r w:rsidR="002A692B">
        <w:fldChar w:fldCharType="separate"/>
      </w:r>
      <w:r w:rsidR="00124226">
        <w:rPr>
          <w:noProof/>
        </w:rPr>
        <w:t>13</w:t>
      </w:r>
      <w:r w:rsidR="002A692B">
        <w:rPr>
          <w:noProof/>
        </w:rPr>
        <w:fldChar w:fldCharType="end"/>
      </w:r>
      <w:bookmarkEnd w:id="103"/>
      <w:r>
        <w:t xml:space="preserve">: </w:t>
      </w:r>
      <w:r w:rsidRPr="00DF421D">
        <w:rPr>
          <w:rStyle w:val="CommentReference"/>
          <w:b/>
          <w:szCs w:val="24"/>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Key components and assumptions of the cost-minimisation approach"/>
      </w:tblPr>
      <w:tblGrid>
        <w:gridCol w:w="2660"/>
        <w:gridCol w:w="6520"/>
      </w:tblGrid>
      <w:tr w:rsidR="00E20A39" w:rsidRPr="00D86D87" w14:paraId="3665F125" w14:textId="77777777">
        <w:tc>
          <w:tcPr>
            <w:tcW w:w="2660" w:type="dxa"/>
            <w:vAlign w:val="center"/>
          </w:tcPr>
          <w:p w14:paraId="36A9C306" w14:textId="77777777" w:rsidR="00E20A39" w:rsidRPr="00D86D87" w:rsidRDefault="00E20A39" w:rsidP="0086378A">
            <w:pPr>
              <w:pStyle w:val="In-tableHeading"/>
              <w:keepLines w:val="0"/>
              <w:widowControl w:val="0"/>
            </w:pPr>
            <w:r w:rsidRPr="00D86D87">
              <w:t>Component</w:t>
            </w:r>
          </w:p>
        </w:tc>
        <w:tc>
          <w:tcPr>
            <w:tcW w:w="6520" w:type="dxa"/>
            <w:vAlign w:val="center"/>
          </w:tcPr>
          <w:p w14:paraId="29AB9453" w14:textId="77777777" w:rsidR="00E20A39" w:rsidRPr="00D86D87" w:rsidRDefault="00E20A39" w:rsidP="0086378A">
            <w:pPr>
              <w:pStyle w:val="In-tableHeading"/>
              <w:keepLines w:val="0"/>
              <w:widowControl w:val="0"/>
              <w:rPr>
                <w:lang w:val="en-AU"/>
              </w:rPr>
            </w:pPr>
            <w:r w:rsidRPr="00D86D87">
              <w:rPr>
                <w:lang w:val="en-AU"/>
              </w:rPr>
              <w:t>Claim or assumption</w:t>
            </w:r>
          </w:p>
        </w:tc>
      </w:tr>
      <w:tr w:rsidR="00E20A39" w:rsidRPr="00D86D87" w14:paraId="1BAF5380" w14:textId="77777777">
        <w:tc>
          <w:tcPr>
            <w:tcW w:w="2660" w:type="dxa"/>
            <w:vAlign w:val="center"/>
          </w:tcPr>
          <w:p w14:paraId="7FE0ECBB" w14:textId="77777777" w:rsidR="00E20A39" w:rsidRPr="00D86D87" w:rsidRDefault="00E20A39" w:rsidP="0086378A">
            <w:pPr>
              <w:pStyle w:val="TableText0"/>
              <w:keepLines w:val="0"/>
              <w:widowControl w:val="0"/>
            </w:pPr>
            <w:r w:rsidRPr="00D86D87">
              <w:t>Therapeutic claim: effectiveness</w:t>
            </w:r>
          </w:p>
        </w:tc>
        <w:tc>
          <w:tcPr>
            <w:tcW w:w="6520" w:type="dxa"/>
            <w:vAlign w:val="center"/>
          </w:tcPr>
          <w:p w14:paraId="72E6CF65" w14:textId="4F590F86" w:rsidR="00E20A39" w:rsidRPr="00D86D87" w:rsidRDefault="004C107F" w:rsidP="0086378A">
            <w:pPr>
              <w:pStyle w:val="TableText0"/>
              <w:keepLines w:val="0"/>
              <w:widowControl w:val="0"/>
            </w:pPr>
            <w:r>
              <w:t>E</w:t>
            </w:r>
            <w:r w:rsidR="00E20A39" w:rsidRPr="00D86D87">
              <w:t xml:space="preserve">ffectiveness is assumed to be </w:t>
            </w:r>
            <w:r w:rsidR="00E20A39">
              <w:t xml:space="preserve">superior. </w:t>
            </w:r>
          </w:p>
        </w:tc>
      </w:tr>
      <w:tr w:rsidR="00E20A39" w:rsidRPr="00D86D87" w14:paraId="68303479" w14:textId="77777777">
        <w:tc>
          <w:tcPr>
            <w:tcW w:w="2660" w:type="dxa"/>
            <w:vAlign w:val="center"/>
          </w:tcPr>
          <w:p w14:paraId="30230814" w14:textId="77777777" w:rsidR="00E20A39" w:rsidRPr="00D86D87" w:rsidRDefault="00E20A39" w:rsidP="0086378A">
            <w:pPr>
              <w:pStyle w:val="TableText0"/>
              <w:keepLines w:val="0"/>
              <w:widowControl w:val="0"/>
            </w:pPr>
            <w:r w:rsidRPr="00D86D87">
              <w:t>Therapeutic claim: safety</w:t>
            </w:r>
          </w:p>
        </w:tc>
        <w:tc>
          <w:tcPr>
            <w:tcW w:w="6520" w:type="dxa"/>
            <w:vAlign w:val="center"/>
          </w:tcPr>
          <w:p w14:paraId="4AF9B20B" w14:textId="50DD799F" w:rsidR="00E20A39" w:rsidRPr="00D86D87" w:rsidRDefault="004C107F" w:rsidP="0086378A">
            <w:pPr>
              <w:pStyle w:val="TableText0"/>
              <w:keepLines w:val="0"/>
              <w:widowControl w:val="0"/>
            </w:pPr>
            <w:r>
              <w:t>S</w:t>
            </w:r>
            <w:r w:rsidR="00E20A39" w:rsidRPr="00D86D87">
              <w:t xml:space="preserve">afety is assumed to be </w:t>
            </w:r>
            <w:r w:rsidR="00E20A39">
              <w:t xml:space="preserve">non-inferior. </w:t>
            </w:r>
          </w:p>
        </w:tc>
      </w:tr>
      <w:tr w:rsidR="00E20A39" w:rsidRPr="00D86D87" w14:paraId="5783B992" w14:textId="77777777">
        <w:tc>
          <w:tcPr>
            <w:tcW w:w="2660" w:type="dxa"/>
            <w:vAlign w:val="center"/>
          </w:tcPr>
          <w:p w14:paraId="1C59F60D" w14:textId="77777777" w:rsidR="00E20A39" w:rsidRPr="00D86D87" w:rsidRDefault="00E20A39" w:rsidP="0086378A">
            <w:pPr>
              <w:pStyle w:val="TableText0"/>
              <w:keepLines w:val="0"/>
              <w:widowControl w:val="0"/>
            </w:pPr>
            <w:r w:rsidRPr="00D86D87">
              <w:t>Evidence base</w:t>
            </w:r>
          </w:p>
        </w:tc>
        <w:tc>
          <w:tcPr>
            <w:tcW w:w="6520" w:type="dxa"/>
            <w:vAlign w:val="center"/>
          </w:tcPr>
          <w:p w14:paraId="4241205F" w14:textId="77777777" w:rsidR="00E20A39" w:rsidRPr="00D86D87" w:rsidRDefault="00E20A39" w:rsidP="0086378A">
            <w:pPr>
              <w:pStyle w:val="TableText0"/>
              <w:keepLines w:val="0"/>
              <w:widowControl w:val="0"/>
            </w:pPr>
            <w:r w:rsidRPr="00D86D87">
              <w:t xml:space="preserve">Direct comparison of </w:t>
            </w:r>
            <w:r>
              <w:t>tacrolimus</w:t>
            </w:r>
            <w:r w:rsidRPr="00D86D87">
              <w:t xml:space="preserve"> and</w:t>
            </w:r>
            <w:r>
              <w:t xml:space="preserve"> pimecrolimus</w:t>
            </w:r>
            <w:r w:rsidRPr="00D86D87">
              <w:t xml:space="preserve"> </w:t>
            </w:r>
            <w:r>
              <w:t xml:space="preserve">in 3, multicentre, randomised studies. </w:t>
            </w:r>
          </w:p>
        </w:tc>
      </w:tr>
      <w:tr w:rsidR="00E20A39" w:rsidRPr="00D86D87" w14:paraId="04359415" w14:textId="77777777">
        <w:tc>
          <w:tcPr>
            <w:tcW w:w="2660" w:type="dxa"/>
            <w:vAlign w:val="center"/>
          </w:tcPr>
          <w:p w14:paraId="737306CE" w14:textId="77777777" w:rsidR="00E20A39" w:rsidRPr="00D86D87" w:rsidRDefault="00E20A39" w:rsidP="0086378A">
            <w:pPr>
              <w:pStyle w:val="TableText0"/>
              <w:keepLines w:val="0"/>
              <w:widowControl w:val="0"/>
            </w:pPr>
            <w:r w:rsidRPr="00D86D87">
              <w:t>Equi-effective doses</w:t>
            </w:r>
          </w:p>
        </w:tc>
        <w:tc>
          <w:tcPr>
            <w:tcW w:w="6520" w:type="dxa"/>
            <w:vAlign w:val="center"/>
          </w:tcPr>
          <w:p w14:paraId="1ED8F4D7" w14:textId="5B51708C" w:rsidR="00E20A39" w:rsidRPr="00D86D87" w:rsidRDefault="00960D90" w:rsidP="0086378A">
            <w:pPr>
              <w:pStyle w:val="TableText0"/>
              <w:keepLines w:val="0"/>
              <w:widowControl w:val="0"/>
            </w:pPr>
            <w:r>
              <w:t xml:space="preserve">1 g of </w:t>
            </w:r>
            <w:r w:rsidR="00E20A39">
              <w:t xml:space="preserve">0.1% tacrolimus = </w:t>
            </w:r>
            <w:r>
              <w:t xml:space="preserve">1 g of </w:t>
            </w:r>
            <w:r w:rsidR="00E20A39">
              <w:t>1% pimecrolimus</w:t>
            </w:r>
            <w:r>
              <w:t xml:space="preserve">. </w:t>
            </w:r>
            <w:r w:rsidR="00E20A39">
              <w:t xml:space="preserve"> </w:t>
            </w:r>
          </w:p>
        </w:tc>
      </w:tr>
      <w:tr w:rsidR="00E20A39" w:rsidRPr="00D86D87" w14:paraId="5D173DAD" w14:textId="77777777">
        <w:tc>
          <w:tcPr>
            <w:tcW w:w="2660" w:type="dxa"/>
            <w:vAlign w:val="center"/>
          </w:tcPr>
          <w:p w14:paraId="167E910B" w14:textId="77777777" w:rsidR="00E20A39" w:rsidRPr="00D86D87" w:rsidRDefault="00E20A39" w:rsidP="0086378A">
            <w:pPr>
              <w:pStyle w:val="TableText0"/>
              <w:keepLines w:val="0"/>
              <w:widowControl w:val="0"/>
            </w:pPr>
            <w:r w:rsidRPr="00D86D87">
              <w:t>Direct medicine costs</w:t>
            </w:r>
          </w:p>
        </w:tc>
        <w:tc>
          <w:tcPr>
            <w:tcW w:w="6520" w:type="dxa"/>
            <w:vAlign w:val="center"/>
          </w:tcPr>
          <w:p w14:paraId="108F1B4E" w14:textId="47C93E7F" w:rsidR="00E20A39" w:rsidRPr="00D86D87" w:rsidRDefault="00E20A39" w:rsidP="0086378A">
            <w:pPr>
              <w:pStyle w:val="TableText0"/>
              <w:keepLines w:val="0"/>
              <w:widowControl w:val="0"/>
            </w:pPr>
            <w:r w:rsidRPr="008177A1">
              <w:t xml:space="preserve">Costs per patient per course of acute therapy, </w:t>
            </w:r>
            <w:r w:rsidR="00960D90">
              <w:t>1 g</w:t>
            </w:r>
            <w:r>
              <w:t xml:space="preserve"> of tacrolimus compared to 1</w:t>
            </w:r>
            <w:r w:rsidR="00960D90">
              <w:t xml:space="preserve"> g </w:t>
            </w:r>
            <w:r>
              <w:t>of pimecrolimus</w:t>
            </w:r>
            <w:r w:rsidRPr="008177A1">
              <w:t>.</w:t>
            </w:r>
          </w:p>
        </w:tc>
      </w:tr>
      <w:tr w:rsidR="00E20A39" w:rsidRPr="00D86D87" w14:paraId="46FD2710" w14:textId="77777777">
        <w:tc>
          <w:tcPr>
            <w:tcW w:w="2660" w:type="dxa"/>
            <w:vAlign w:val="center"/>
          </w:tcPr>
          <w:p w14:paraId="5FA5F47B" w14:textId="77777777" w:rsidR="00E20A39" w:rsidRPr="00D86D87" w:rsidRDefault="00E20A39" w:rsidP="0086378A">
            <w:pPr>
              <w:pStyle w:val="TableText0"/>
              <w:keepLines w:val="0"/>
              <w:widowControl w:val="0"/>
            </w:pPr>
            <w:r w:rsidRPr="00D86D87">
              <w:t>Other costs or cost offsets</w:t>
            </w:r>
          </w:p>
        </w:tc>
        <w:tc>
          <w:tcPr>
            <w:tcW w:w="6520" w:type="dxa"/>
            <w:vAlign w:val="center"/>
          </w:tcPr>
          <w:p w14:paraId="7CA0FC54" w14:textId="77777777" w:rsidR="00E20A39" w:rsidRPr="00D86D87" w:rsidRDefault="00E20A39" w:rsidP="0086378A">
            <w:pPr>
              <w:pStyle w:val="TableText0"/>
              <w:keepLines w:val="0"/>
              <w:widowControl w:val="0"/>
            </w:pPr>
            <w:r w:rsidRPr="00241DEC">
              <w:t>No difference in</w:t>
            </w:r>
            <w:r>
              <w:t xml:space="preserve"> adverse events and healthcare resource utilisation was assumed. </w:t>
            </w:r>
          </w:p>
        </w:tc>
      </w:tr>
    </w:tbl>
    <w:p w14:paraId="78D07716" w14:textId="77777777" w:rsidR="00E20A39" w:rsidRPr="005E2F22" w:rsidRDefault="00E20A39" w:rsidP="00E20A39">
      <w:pPr>
        <w:pStyle w:val="TableFigureFooter"/>
        <w:rPr>
          <w:sz w:val="20"/>
        </w:rPr>
      </w:pPr>
      <w:r w:rsidRPr="00D86D87">
        <w:t xml:space="preserve">Source: </w:t>
      </w:r>
      <w:r>
        <w:t xml:space="preserve">Table 3-16, p157 of the submission. </w:t>
      </w:r>
    </w:p>
    <w:p w14:paraId="0E62FA1C" w14:textId="77777777" w:rsidR="009B1185" w:rsidRDefault="00E20A39" w:rsidP="0055507B">
      <w:pPr>
        <w:pStyle w:val="3-BodyText"/>
      </w:pPr>
      <w:bookmarkStart w:id="104" w:name="_Ref197966917"/>
      <w:r w:rsidRPr="003102AA">
        <w:t>The submission</w:t>
      </w:r>
      <w:r>
        <w:t xml:space="preserve"> established</w:t>
      </w:r>
      <w:r w:rsidRPr="003102AA">
        <w:t xml:space="preserve"> the equi-effective doses as follows:</w:t>
      </w:r>
      <w:r>
        <w:t xml:space="preserve"> </w:t>
      </w:r>
    </w:p>
    <w:p w14:paraId="6EA75DFA" w14:textId="2A1C0005" w:rsidR="009B1185" w:rsidRDefault="006F39A1" w:rsidP="009B1185">
      <w:pPr>
        <w:pStyle w:val="3-BodyText"/>
        <w:numPr>
          <w:ilvl w:val="0"/>
          <w:numId w:val="0"/>
        </w:numPr>
        <w:ind w:left="1440" w:firstLine="720"/>
      </w:pPr>
      <w:r>
        <w:t>1</w:t>
      </w:r>
      <w:r w:rsidR="00277631">
        <w:t xml:space="preserve"> </w:t>
      </w:r>
      <w:r>
        <w:t xml:space="preserve">g of </w:t>
      </w:r>
      <w:r w:rsidR="00E20A39">
        <w:t xml:space="preserve">0.1% </w:t>
      </w:r>
      <w:r w:rsidR="006402CB">
        <w:t>TAC</w:t>
      </w:r>
      <w:r w:rsidR="00E20A39">
        <w:t xml:space="preserve"> </w:t>
      </w:r>
      <w:r w:rsidR="009B1185">
        <w:t>=</w:t>
      </w:r>
      <w:r w:rsidR="00E20A39">
        <w:t xml:space="preserve"> </w:t>
      </w:r>
      <w:r>
        <w:t>1</w:t>
      </w:r>
      <w:r w:rsidR="00277631">
        <w:t xml:space="preserve"> </w:t>
      </w:r>
      <w:r>
        <w:t xml:space="preserve">g of </w:t>
      </w:r>
      <w:r w:rsidR="00E20A39">
        <w:t xml:space="preserve">1% </w:t>
      </w:r>
      <w:r w:rsidR="00A50965">
        <w:t>PIM</w:t>
      </w:r>
      <w:r>
        <w:t xml:space="preserve">. </w:t>
      </w:r>
    </w:p>
    <w:p w14:paraId="707584DE" w14:textId="76769A45" w:rsidR="00E20A39" w:rsidRPr="00B86885" w:rsidRDefault="00E20A39" w:rsidP="009B1185">
      <w:pPr>
        <w:pStyle w:val="3-BodyText"/>
      </w:pPr>
      <w:bookmarkStart w:id="105" w:name="_Ref204602520"/>
      <w:r w:rsidRPr="0055507B">
        <w:t xml:space="preserve">The studies utilised </w:t>
      </w:r>
      <w:r w:rsidR="009B5300">
        <w:t>(Paller 2005</w:t>
      </w:r>
      <w:r w:rsidR="002E4967">
        <w:rPr>
          <w:rStyle w:val="FootnoteReference"/>
        </w:rPr>
        <w:footnoteReference w:id="31"/>
      </w:r>
      <w:r w:rsidR="009B5300">
        <w:t>, Abramovits 2008</w:t>
      </w:r>
      <w:r w:rsidR="002E4967">
        <w:rPr>
          <w:rStyle w:val="FootnoteReference"/>
        </w:rPr>
        <w:footnoteReference w:id="32"/>
      </w:r>
      <w:r w:rsidR="009B5300">
        <w:t xml:space="preserve">) </w:t>
      </w:r>
      <w:r w:rsidRPr="0055507B">
        <w:t xml:space="preserve">to establish the </w:t>
      </w:r>
      <w:r w:rsidR="001E11D9">
        <w:t>equi-effective doses</w:t>
      </w:r>
      <w:r w:rsidRPr="0055507B">
        <w:t xml:space="preserve"> of </w:t>
      </w:r>
      <w:r w:rsidR="00C13266">
        <w:t xml:space="preserve">0.1% </w:t>
      </w:r>
      <w:r w:rsidR="006402CB">
        <w:t>TAC</w:t>
      </w:r>
      <w:r w:rsidR="006402CB" w:rsidRPr="00791DD9">
        <w:t xml:space="preserve"> </w:t>
      </w:r>
      <w:r w:rsidRPr="0055507B">
        <w:t xml:space="preserve">and </w:t>
      </w:r>
      <w:r w:rsidR="00C13266">
        <w:t>1%</w:t>
      </w:r>
      <w:r w:rsidRPr="0055507B">
        <w:t xml:space="preserve"> </w:t>
      </w:r>
      <w:r w:rsidR="00A50965">
        <w:t xml:space="preserve">PIM </w:t>
      </w:r>
      <w:r w:rsidRPr="0055507B">
        <w:t xml:space="preserve">for the treatment of AD did not report </w:t>
      </w:r>
      <w:r w:rsidRPr="00B86885">
        <w:t>the average use per day for the face and neck regions</w:t>
      </w:r>
      <w:r w:rsidR="002E4967" w:rsidRPr="00B86885">
        <w:t xml:space="preserve">. </w:t>
      </w:r>
      <w:r w:rsidR="00171982">
        <w:t xml:space="preserve">Although </w:t>
      </w:r>
      <w:r w:rsidR="00171982" w:rsidRPr="00B86885">
        <w:t xml:space="preserve">the submission noted that identical application of </w:t>
      </w:r>
      <w:r w:rsidR="00495065">
        <w:t xml:space="preserve">0.1% </w:t>
      </w:r>
      <w:r w:rsidR="00171982" w:rsidRPr="00B86885">
        <w:t xml:space="preserve">TAC and </w:t>
      </w:r>
      <w:r w:rsidR="00495065">
        <w:t>1.0% PIM</w:t>
      </w:r>
      <w:r w:rsidR="00171982" w:rsidRPr="00B86885">
        <w:t xml:space="preserve"> was undertaken in the studies</w:t>
      </w:r>
      <w:r w:rsidR="00171982">
        <w:t xml:space="preserve">, </w:t>
      </w:r>
      <w:r w:rsidRPr="00B86885">
        <w:t xml:space="preserve">there </w:t>
      </w:r>
      <w:r w:rsidR="00171982">
        <w:t>wa</w:t>
      </w:r>
      <w:r w:rsidR="00171982" w:rsidRPr="00B86885">
        <w:t xml:space="preserve">s </w:t>
      </w:r>
      <w:r w:rsidRPr="00B86885">
        <w:t xml:space="preserve">uncertainty regarding the amount of ointment that may be required for </w:t>
      </w:r>
      <w:r w:rsidR="00366CE8">
        <w:t xml:space="preserve"> the treatment of flares on</w:t>
      </w:r>
      <w:r w:rsidRPr="00B86885">
        <w:t xml:space="preserve"> the face and eyelids. </w:t>
      </w:r>
      <w:r w:rsidR="00C302D0">
        <w:t xml:space="preserve"> Further, t</w:t>
      </w:r>
      <w:r w:rsidR="007E2669" w:rsidRPr="00B86885">
        <w:t xml:space="preserve">he proposed restriction </w:t>
      </w:r>
      <w:r w:rsidR="00884239" w:rsidRPr="00B86885">
        <w:t xml:space="preserve">and TGA indication </w:t>
      </w:r>
      <w:r w:rsidR="007E2669" w:rsidRPr="00B86885">
        <w:t xml:space="preserve">for </w:t>
      </w:r>
      <w:r w:rsidR="00C13266">
        <w:t>0.1%</w:t>
      </w:r>
      <w:r w:rsidR="007E2669" w:rsidRPr="00B86885">
        <w:t xml:space="preserve"> </w:t>
      </w:r>
      <w:r w:rsidR="006402CB" w:rsidRPr="00B86885">
        <w:t>TAC</w:t>
      </w:r>
      <w:r w:rsidR="007E2669" w:rsidRPr="00B86885">
        <w:t xml:space="preserve"> is not separated by the area of body under consideration (face/eyelids or rest of the body). This suggests that patients </w:t>
      </w:r>
      <w:r w:rsidR="00455A42" w:rsidRPr="00B86885">
        <w:t xml:space="preserve">could </w:t>
      </w:r>
      <w:r w:rsidR="007E2669" w:rsidRPr="00B86885">
        <w:t xml:space="preserve">use </w:t>
      </w:r>
      <w:r w:rsidR="00495065">
        <w:t xml:space="preserve">0.1% </w:t>
      </w:r>
      <w:r w:rsidR="006402CB" w:rsidRPr="00B86885">
        <w:t>TAC</w:t>
      </w:r>
      <w:r w:rsidR="007E2669" w:rsidRPr="00B86885">
        <w:t xml:space="preserve"> as maintenance treatment, i.e., twice daily for treatment of flares and twice weekly as maintenance, on all lesions on the face/neck and the rest of the body. </w:t>
      </w:r>
      <w:r w:rsidR="004B6C92" w:rsidRPr="00B86885">
        <w:t>Since</w:t>
      </w:r>
      <w:r w:rsidR="007E2669" w:rsidRPr="00B86885">
        <w:t xml:space="preserve"> there is no evidence for the use of </w:t>
      </w:r>
      <w:r w:rsidR="00495065">
        <w:t xml:space="preserve">0.1% </w:t>
      </w:r>
      <w:r w:rsidR="006402CB" w:rsidRPr="00B86885">
        <w:t xml:space="preserve">TAC </w:t>
      </w:r>
      <w:r w:rsidR="007B17E0" w:rsidRPr="00B86885">
        <w:t xml:space="preserve">compared to </w:t>
      </w:r>
      <w:r w:rsidR="00495065">
        <w:t>1%</w:t>
      </w:r>
      <w:r w:rsidR="007B17E0" w:rsidRPr="00B86885">
        <w:t xml:space="preserve"> PIM </w:t>
      </w:r>
      <w:r w:rsidR="004E33F0" w:rsidRPr="00B86885">
        <w:t>as</w:t>
      </w:r>
      <w:r w:rsidR="000E7CE6" w:rsidRPr="00B86885">
        <w:t xml:space="preserve"> </w:t>
      </w:r>
      <w:r w:rsidR="007E2669" w:rsidRPr="00B86885">
        <w:t>maintenance treatment (after clearing of lesions/flares) on the face and eyelids</w:t>
      </w:r>
      <w:r w:rsidRPr="00B86885">
        <w:t>,</w:t>
      </w:r>
      <w:r w:rsidR="004B6C92" w:rsidRPr="00B86885">
        <w:t xml:space="preserve"> </w:t>
      </w:r>
      <w:r w:rsidRPr="00B86885">
        <w:t>the equi-effective doses established in the submission may be reasonable</w:t>
      </w:r>
      <w:r w:rsidR="00522FBA" w:rsidRPr="00B86885">
        <w:t xml:space="preserve"> only for treatment flares</w:t>
      </w:r>
      <w:r w:rsidRPr="00B86885">
        <w:t>.</w:t>
      </w:r>
      <w:r w:rsidR="00884239" w:rsidRPr="00B86885">
        <w:t xml:space="preserve"> </w:t>
      </w:r>
      <w:bookmarkEnd w:id="104"/>
      <w:bookmarkEnd w:id="105"/>
      <w:r w:rsidR="00236FEF" w:rsidRPr="00B86885">
        <w:t xml:space="preserve"> </w:t>
      </w:r>
    </w:p>
    <w:p w14:paraId="67773ED8" w14:textId="78A2819A" w:rsidR="00E20A39" w:rsidRPr="00B86885" w:rsidRDefault="00E20A39" w:rsidP="00E20A39">
      <w:pPr>
        <w:pStyle w:val="3-BodyText"/>
      </w:pPr>
      <w:r w:rsidRPr="00B86885">
        <w:t xml:space="preserve">The submission did not present any additional costs or cost offsets associated with </w:t>
      </w:r>
      <w:r w:rsidR="009B5B30">
        <w:t xml:space="preserve">0.1% </w:t>
      </w:r>
      <w:r w:rsidR="006402CB" w:rsidRPr="00B86885">
        <w:t xml:space="preserve">TAC </w:t>
      </w:r>
      <w:r w:rsidRPr="00B86885">
        <w:t xml:space="preserve">owing to the claim of non-inferior safety and similar safety profiles for 0.1% </w:t>
      </w:r>
      <w:r w:rsidR="006402CB" w:rsidRPr="00B86885">
        <w:t>TAC</w:t>
      </w:r>
      <w:r w:rsidRPr="00B86885">
        <w:t xml:space="preserve"> and 1% </w:t>
      </w:r>
      <w:r w:rsidR="007B17E0" w:rsidRPr="00B86885">
        <w:t>PIM</w:t>
      </w:r>
      <w:r w:rsidRPr="00B86885">
        <w:t xml:space="preserve"> established by the subgroup analysis. </w:t>
      </w:r>
    </w:p>
    <w:p w14:paraId="14F03454" w14:textId="0E5BF7CD" w:rsidR="00024C72" w:rsidRPr="00B86885" w:rsidRDefault="00262C34" w:rsidP="00024C72">
      <w:pPr>
        <w:pStyle w:val="3-BodyText"/>
        <w:spacing w:after="120"/>
        <w:rPr>
          <w:color w:val="000000" w:themeColor="text1"/>
        </w:rPr>
      </w:pPr>
      <w:r w:rsidRPr="00B86885">
        <w:rPr>
          <w:color w:val="000000" w:themeColor="text1"/>
        </w:rPr>
        <w:t>The results of the CMA using the AEMP</w:t>
      </w:r>
      <w:r w:rsidR="00C50234">
        <w:rPr>
          <w:color w:val="000000" w:themeColor="text1"/>
        </w:rPr>
        <w:t xml:space="preserve"> of </w:t>
      </w:r>
      <w:r w:rsidR="0026539D">
        <w:rPr>
          <w:color w:val="000000" w:themeColor="text1"/>
        </w:rPr>
        <w:t>1% PIM</w:t>
      </w:r>
      <w:r w:rsidRPr="00B86885">
        <w:rPr>
          <w:color w:val="000000" w:themeColor="text1"/>
        </w:rPr>
        <w:t xml:space="preserve"> are presented in </w:t>
      </w:r>
      <w:r w:rsidRPr="00B86885">
        <w:rPr>
          <w:color w:val="000000" w:themeColor="text1"/>
        </w:rPr>
        <w:fldChar w:fldCharType="begin"/>
      </w:r>
      <w:r w:rsidRPr="00B86885">
        <w:rPr>
          <w:color w:val="000000" w:themeColor="text1"/>
        </w:rPr>
        <w:instrText xml:space="preserve"> REF _Ref197098820 \h  \* MERGEFORMAT </w:instrText>
      </w:r>
      <w:r w:rsidRPr="00B86885">
        <w:rPr>
          <w:color w:val="000000" w:themeColor="text1"/>
        </w:rPr>
      </w:r>
      <w:r w:rsidRPr="00B86885">
        <w:rPr>
          <w:color w:val="000000" w:themeColor="text1"/>
        </w:rPr>
        <w:fldChar w:fldCharType="separate"/>
      </w:r>
      <w:r w:rsidR="00124226">
        <w:t xml:space="preserve">Table </w:t>
      </w:r>
      <w:r w:rsidR="00124226">
        <w:rPr>
          <w:noProof/>
        </w:rPr>
        <w:t>14</w:t>
      </w:r>
      <w:r w:rsidRPr="00B86885">
        <w:rPr>
          <w:color w:val="000000" w:themeColor="text1"/>
        </w:rPr>
        <w:fldChar w:fldCharType="end"/>
      </w:r>
      <w:r w:rsidRPr="00B86885">
        <w:rPr>
          <w:color w:val="000000" w:themeColor="text1"/>
        </w:rPr>
        <w:t xml:space="preserve">. </w:t>
      </w:r>
    </w:p>
    <w:p w14:paraId="02F1E345" w14:textId="5CD65B1D" w:rsidR="00024C72" w:rsidRDefault="00024C72" w:rsidP="00024C72">
      <w:pPr>
        <w:pStyle w:val="TableFigureHeading"/>
      </w:pPr>
      <w:bookmarkStart w:id="106" w:name="_Ref197098820"/>
      <w:r>
        <w:t xml:space="preserve">Table </w:t>
      </w:r>
      <w:r>
        <w:fldChar w:fldCharType="begin"/>
      </w:r>
      <w:r>
        <w:instrText xml:space="preserve"> SEQ Table \* ARABIC </w:instrText>
      </w:r>
      <w:r>
        <w:fldChar w:fldCharType="separate"/>
      </w:r>
      <w:r w:rsidR="00124226">
        <w:rPr>
          <w:noProof/>
        </w:rPr>
        <w:t>14</w:t>
      </w:r>
      <w:r>
        <w:rPr>
          <w:noProof/>
        </w:rPr>
        <w:fldChar w:fldCharType="end"/>
      </w:r>
      <w:bookmarkEnd w:id="106"/>
      <w:r>
        <w:t xml:space="preserve">: </w:t>
      </w:r>
      <w:r w:rsidRPr="00384D98">
        <w:t>Results of the cost-minimisation approach (based on AEMP</w:t>
      </w:r>
      <w:r>
        <w:t xml:space="preserve"> and equi-effective doses</w:t>
      </w:r>
      <w:r w:rsidRPr="00384D9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the cost-minimisation approach (based on AEMP and equi-effective doses)"/>
      </w:tblPr>
      <w:tblGrid>
        <w:gridCol w:w="3009"/>
        <w:gridCol w:w="3000"/>
        <w:gridCol w:w="3008"/>
      </w:tblGrid>
      <w:tr w:rsidR="00024C72" w:rsidRPr="00B86885" w14:paraId="7271883C" w14:textId="77777777">
        <w:tc>
          <w:tcPr>
            <w:tcW w:w="3009" w:type="dxa"/>
          </w:tcPr>
          <w:p w14:paraId="14A8776E" w14:textId="77777777" w:rsidR="00024C72" w:rsidRPr="00B86885" w:rsidRDefault="00024C72">
            <w:pPr>
              <w:pStyle w:val="In-tableHeading"/>
              <w:keepLines w:val="0"/>
              <w:widowControl w:val="0"/>
              <w:rPr>
                <w:lang w:val="en-AU"/>
              </w:rPr>
            </w:pPr>
            <w:r w:rsidRPr="00B86885">
              <w:rPr>
                <w:lang w:val="en-AU"/>
              </w:rPr>
              <w:t>Component</w:t>
            </w:r>
          </w:p>
        </w:tc>
        <w:tc>
          <w:tcPr>
            <w:tcW w:w="3000" w:type="dxa"/>
          </w:tcPr>
          <w:p w14:paraId="1DFA74A2" w14:textId="77777777" w:rsidR="00024C72" w:rsidRPr="00B86885" w:rsidRDefault="00024C72">
            <w:pPr>
              <w:pStyle w:val="In-tableHeading"/>
              <w:keepLines w:val="0"/>
              <w:widowControl w:val="0"/>
              <w:jc w:val="center"/>
              <w:rPr>
                <w:lang w:val="en-AU"/>
              </w:rPr>
            </w:pPr>
            <w:r w:rsidRPr="00B86885">
              <w:rPr>
                <w:lang w:val="en-AU"/>
              </w:rPr>
              <w:t>Tacrolimus</w:t>
            </w:r>
          </w:p>
        </w:tc>
        <w:tc>
          <w:tcPr>
            <w:tcW w:w="3008" w:type="dxa"/>
          </w:tcPr>
          <w:p w14:paraId="2C5921C7" w14:textId="77777777" w:rsidR="00024C72" w:rsidRPr="00B86885" w:rsidRDefault="00024C72">
            <w:pPr>
              <w:pStyle w:val="In-tableHeading"/>
              <w:keepLines w:val="0"/>
              <w:widowControl w:val="0"/>
              <w:jc w:val="center"/>
              <w:rPr>
                <w:lang w:val="en-AU"/>
              </w:rPr>
            </w:pPr>
            <w:r w:rsidRPr="00B86885">
              <w:rPr>
                <w:lang w:val="en-AU"/>
              </w:rPr>
              <w:t xml:space="preserve">Pimecrolimus </w:t>
            </w:r>
          </w:p>
        </w:tc>
      </w:tr>
      <w:tr w:rsidR="00024C72" w:rsidRPr="00B86885" w14:paraId="3FE1285C" w14:textId="77777777">
        <w:tc>
          <w:tcPr>
            <w:tcW w:w="3009" w:type="dxa"/>
          </w:tcPr>
          <w:p w14:paraId="088467CD" w14:textId="77777777" w:rsidR="00024C72" w:rsidRPr="00B86885" w:rsidRDefault="00024C72">
            <w:pPr>
              <w:pStyle w:val="In-tableHeading"/>
              <w:keepLines w:val="0"/>
              <w:widowControl w:val="0"/>
              <w:rPr>
                <w:b w:val="0"/>
                <w:bCs/>
                <w:lang w:val="en-AU"/>
              </w:rPr>
            </w:pPr>
            <w:r w:rsidRPr="00B86885">
              <w:rPr>
                <w:b w:val="0"/>
                <w:bCs/>
                <w:lang w:val="en-AU"/>
              </w:rPr>
              <w:t>Pimecrolimus AEMP</w:t>
            </w:r>
          </w:p>
        </w:tc>
        <w:tc>
          <w:tcPr>
            <w:tcW w:w="3000" w:type="dxa"/>
          </w:tcPr>
          <w:p w14:paraId="5A8EDCA4" w14:textId="77777777" w:rsidR="00024C72" w:rsidRPr="00B86885" w:rsidRDefault="00024C72">
            <w:pPr>
              <w:pStyle w:val="In-tableHeading"/>
              <w:keepLines w:val="0"/>
              <w:widowControl w:val="0"/>
              <w:rPr>
                <w:lang w:val="en-AU"/>
              </w:rPr>
            </w:pPr>
            <w:r w:rsidRPr="00B86885">
              <w:rPr>
                <w:lang w:val="en-AU"/>
              </w:rPr>
              <w:t>-</w:t>
            </w:r>
          </w:p>
        </w:tc>
        <w:tc>
          <w:tcPr>
            <w:tcW w:w="3008" w:type="dxa"/>
          </w:tcPr>
          <w:p w14:paraId="35B3701F" w14:textId="77777777" w:rsidR="00024C72" w:rsidRPr="00B86885" w:rsidRDefault="00024C72">
            <w:pPr>
              <w:pStyle w:val="In-tableHeading"/>
              <w:keepLines w:val="0"/>
              <w:widowControl w:val="0"/>
              <w:rPr>
                <w:b w:val="0"/>
                <w:bCs/>
                <w:lang w:val="en-AU"/>
              </w:rPr>
            </w:pPr>
            <w:r w:rsidRPr="00B86885">
              <w:rPr>
                <w:b w:val="0"/>
                <w:bCs/>
                <w:lang w:val="en-AU"/>
              </w:rPr>
              <w:t>$19.13</w:t>
            </w:r>
          </w:p>
        </w:tc>
      </w:tr>
      <w:tr w:rsidR="00024C72" w:rsidRPr="00B86885" w14:paraId="6CD381B6" w14:textId="77777777">
        <w:tc>
          <w:tcPr>
            <w:tcW w:w="3009" w:type="dxa"/>
          </w:tcPr>
          <w:p w14:paraId="3BD615C2" w14:textId="77777777" w:rsidR="00024C72" w:rsidRPr="00B86885" w:rsidRDefault="00024C72">
            <w:pPr>
              <w:pStyle w:val="TableText0"/>
              <w:keepLines w:val="0"/>
              <w:widowControl w:val="0"/>
            </w:pPr>
            <w:r w:rsidRPr="00B86885">
              <w:t>Cost per gram</w:t>
            </w:r>
          </w:p>
        </w:tc>
        <w:tc>
          <w:tcPr>
            <w:tcW w:w="3000" w:type="dxa"/>
          </w:tcPr>
          <w:p w14:paraId="1F0D8021" w14:textId="77777777" w:rsidR="00024C72" w:rsidRPr="00B86885" w:rsidRDefault="00024C72">
            <w:pPr>
              <w:pStyle w:val="TableText0"/>
              <w:keepLines w:val="0"/>
              <w:widowControl w:val="0"/>
            </w:pPr>
            <w:r w:rsidRPr="00B86885">
              <w:t>$1.28</w:t>
            </w:r>
          </w:p>
        </w:tc>
        <w:tc>
          <w:tcPr>
            <w:tcW w:w="3008" w:type="dxa"/>
          </w:tcPr>
          <w:p w14:paraId="63F944DB" w14:textId="77777777" w:rsidR="00024C72" w:rsidRPr="00B86885" w:rsidRDefault="00024C72">
            <w:pPr>
              <w:pStyle w:val="TableText0"/>
              <w:keepLines w:val="0"/>
              <w:widowControl w:val="0"/>
            </w:pPr>
            <w:r w:rsidRPr="00B86885">
              <w:t xml:space="preserve">$1.28 </w:t>
            </w:r>
            <w:r w:rsidRPr="00B86885">
              <w:rPr>
                <w:vertAlign w:val="superscript"/>
              </w:rPr>
              <w:t>a</w:t>
            </w:r>
          </w:p>
        </w:tc>
      </w:tr>
      <w:tr w:rsidR="00024C72" w:rsidRPr="00B86885" w14:paraId="0FC889F9" w14:textId="77777777">
        <w:tc>
          <w:tcPr>
            <w:tcW w:w="3009" w:type="dxa"/>
          </w:tcPr>
          <w:p w14:paraId="09242280" w14:textId="77777777" w:rsidR="00024C72" w:rsidRPr="00B86885" w:rsidRDefault="00024C72">
            <w:pPr>
              <w:pStyle w:val="TableText0"/>
              <w:keepLines w:val="0"/>
              <w:widowControl w:val="0"/>
            </w:pPr>
            <w:r w:rsidRPr="00B86885">
              <w:t>Cost per tube (DPMQ)</w:t>
            </w:r>
          </w:p>
        </w:tc>
        <w:tc>
          <w:tcPr>
            <w:tcW w:w="3000" w:type="dxa"/>
          </w:tcPr>
          <w:p w14:paraId="4A4C33E2" w14:textId="76FB0B6A" w:rsidR="00024C72" w:rsidRPr="00B86885" w:rsidRDefault="00024C72">
            <w:pPr>
              <w:pStyle w:val="TableText0"/>
              <w:keepLines w:val="0"/>
              <w:widowControl w:val="0"/>
            </w:pPr>
            <w:r w:rsidRPr="00B86885">
              <w:t>$54.60</w:t>
            </w:r>
            <w:r w:rsidR="006E23B3" w:rsidRPr="00B86885">
              <w:t xml:space="preserve"> for 30 g</w:t>
            </w:r>
          </w:p>
        </w:tc>
        <w:tc>
          <w:tcPr>
            <w:tcW w:w="3008" w:type="dxa"/>
          </w:tcPr>
          <w:p w14:paraId="686F4575" w14:textId="4E1A2F1C" w:rsidR="00024C72" w:rsidRPr="00B86885" w:rsidRDefault="00024C72">
            <w:pPr>
              <w:pStyle w:val="TableText0"/>
              <w:keepLines w:val="0"/>
              <w:widowControl w:val="0"/>
            </w:pPr>
            <w:r w:rsidRPr="00B86885">
              <w:t>$34.03</w:t>
            </w:r>
            <w:r w:rsidR="006E23B3" w:rsidRPr="00B86885">
              <w:t xml:space="preserve"> for 15 g</w:t>
            </w:r>
          </w:p>
        </w:tc>
      </w:tr>
      <w:tr w:rsidR="00024C72" w:rsidRPr="00B86885" w14:paraId="5220F2FA" w14:textId="77777777">
        <w:tc>
          <w:tcPr>
            <w:tcW w:w="3009" w:type="dxa"/>
          </w:tcPr>
          <w:p w14:paraId="1B61E196" w14:textId="77777777" w:rsidR="00024C72" w:rsidRPr="00B86885" w:rsidRDefault="00024C72">
            <w:pPr>
              <w:pStyle w:val="TableText0"/>
              <w:keepLines w:val="0"/>
              <w:widowControl w:val="0"/>
              <w:rPr>
                <w:b/>
                <w:bCs w:val="0"/>
              </w:rPr>
            </w:pPr>
            <w:r w:rsidRPr="00B86885">
              <w:rPr>
                <w:b/>
                <w:bCs w:val="0"/>
              </w:rPr>
              <w:t>Cost per tube (AEMP)</w:t>
            </w:r>
          </w:p>
        </w:tc>
        <w:tc>
          <w:tcPr>
            <w:tcW w:w="3000" w:type="dxa"/>
          </w:tcPr>
          <w:p w14:paraId="1517FFF3" w14:textId="250ED24E" w:rsidR="00024C72" w:rsidRPr="00B86885" w:rsidRDefault="00024C72">
            <w:pPr>
              <w:pStyle w:val="TableText0"/>
              <w:keepLines w:val="0"/>
              <w:widowControl w:val="0"/>
              <w:rPr>
                <w:b/>
                <w:bCs w:val="0"/>
              </w:rPr>
            </w:pPr>
            <w:r w:rsidRPr="00B86885">
              <w:rPr>
                <w:b/>
                <w:bCs w:val="0"/>
              </w:rPr>
              <w:t>$38.26</w:t>
            </w:r>
            <w:r w:rsidR="006E23B3" w:rsidRPr="00B86885">
              <w:rPr>
                <w:b/>
                <w:bCs w:val="0"/>
              </w:rPr>
              <w:t xml:space="preserve"> for 30 g</w:t>
            </w:r>
          </w:p>
        </w:tc>
        <w:tc>
          <w:tcPr>
            <w:tcW w:w="3008" w:type="dxa"/>
          </w:tcPr>
          <w:p w14:paraId="54C2D98E" w14:textId="4A2B20AB" w:rsidR="00024C72" w:rsidRPr="00B86885" w:rsidRDefault="00024C72">
            <w:pPr>
              <w:pStyle w:val="TableText0"/>
              <w:keepLines w:val="0"/>
              <w:widowControl w:val="0"/>
              <w:rPr>
                <w:b/>
                <w:bCs w:val="0"/>
              </w:rPr>
            </w:pPr>
            <w:r w:rsidRPr="00B86885">
              <w:rPr>
                <w:b/>
                <w:bCs w:val="0"/>
              </w:rPr>
              <w:t>$19.13</w:t>
            </w:r>
            <w:r w:rsidR="006E23B3" w:rsidRPr="00B86885">
              <w:rPr>
                <w:b/>
                <w:bCs w:val="0"/>
              </w:rPr>
              <w:t xml:space="preserve"> for 15 g</w:t>
            </w:r>
          </w:p>
        </w:tc>
      </w:tr>
      <w:tr w:rsidR="00024C72" w:rsidRPr="00B86885" w14:paraId="5177CA67" w14:textId="77777777">
        <w:trPr>
          <w:trHeight w:val="70"/>
        </w:trPr>
        <w:tc>
          <w:tcPr>
            <w:tcW w:w="3009" w:type="dxa"/>
          </w:tcPr>
          <w:p w14:paraId="55164B38" w14:textId="77777777" w:rsidR="00024C72" w:rsidRPr="00B86885" w:rsidRDefault="00024C72">
            <w:pPr>
              <w:pStyle w:val="TableText0"/>
              <w:keepLines w:val="0"/>
              <w:widowControl w:val="0"/>
            </w:pPr>
            <w:r w:rsidRPr="00B86885">
              <w:t>Difference in AEMP</w:t>
            </w:r>
          </w:p>
        </w:tc>
        <w:tc>
          <w:tcPr>
            <w:tcW w:w="6008" w:type="dxa"/>
            <w:gridSpan w:val="2"/>
          </w:tcPr>
          <w:p w14:paraId="53507A7C" w14:textId="77777777" w:rsidR="00024C72" w:rsidRPr="00B86885" w:rsidRDefault="00024C72">
            <w:pPr>
              <w:pStyle w:val="TableText0"/>
              <w:keepLines w:val="0"/>
              <w:widowControl w:val="0"/>
              <w:jc w:val="center"/>
            </w:pPr>
            <w:r w:rsidRPr="00B86885">
              <w:t>$19.13</w:t>
            </w:r>
          </w:p>
        </w:tc>
      </w:tr>
    </w:tbl>
    <w:p w14:paraId="7B9CA5B6" w14:textId="77777777" w:rsidR="00024C72" w:rsidRDefault="00024C72" w:rsidP="00024C72">
      <w:pPr>
        <w:pStyle w:val="TableFigureFooter"/>
      </w:pPr>
      <w:r>
        <w:t xml:space="preserve">Source: tabulated during evaluation. </w:t>
      </w:r>
    </w:p>
    <w:p w14:paraId="438E1E38" w14:textId="77777777" w:rsidR="00024C72" w:rsidRDefault="00024C72" w:rsidP="00024C72">
      <w:pPr>
        <w:pStyle w:val="TableFigureFooter"/>
        <w:rPr>
          <w:i/>
          <w:iCs/>
        </w:rPr>
      </w:pPr>
      <w:r>
        <w:t xml:space="preserve">AEMP  = approved ex-manufacturer price; DPMQ = dispensed price for maximum quantity </w:t>
      </w:r>
    </w:p>
    <w:p w14:paraId="3E2A21C9" w14:textId="77777777" w:rsidR="00024C72" w:rsidRPr="005E2F22" w:rsidRDefault="00024C72" w:rsidP="00024C72">
      <w:pPr>
        <w:pStyle w:val="TableFigureFooter"/>
      </w:pPr>
      <w:r>
        <w:rPr>
          <w:vertAlign w:val="superscript"/>
        </w:rPr>
        <w:t>a</w:t>
      </w:r>
      <w:r>
        <w:t xml:space="preserve"> Cost per gram of pimecrolimus, based on the AEMP for a 15 g tube.</w:t>
      </w:r>
    </w:p>
    <w:p w14:paraId="3F5F972B" w14:textId="2D79D108" w:rsidR="000552ED" w:rsidRPr="00BF0496" w:rsidRDefault="00EC3B06" w:rsidP="000552ED">
      <w:pPr>
        <w:pStyle w:val="3-BodyText"/>
        <w:rPr>
          <w:color w:val="000000" w:themeColor="text1"/>
        </w:rPr>
      </w:pPr>
      <w:r w:rsidRPr="00B86885">
        <w:rPr>
          <w:color w:val="000000" w:themeColor="text1"/>
        </w:rPr>
        <w:t xml:space="preserve">Of </w:t>
      </w:r>
      <w:r w:rsidRPr="00BF0496">
        <w:rPr>
          <w:color w:val="000000" w:themeColor="text1"/>
        </w:rPr>
        <w:t xml:space="preserve">note, the proposed price of </w:t>
      </w:r>
      <w:r w:rsidR="0002144B">
        <w:rPr>
          <w:color w:val="000000" w:themeColor="text1"/>
        </w:rPr>
        <w:t xml:space="preserve">0.1% </w:t>
      </w:r>
      <w:r w:rsidR="006402CB" w:rsidRPr="00BF0496">
        <w:t>TAC</w:t>
      </w:r>
      <w:r w:rsidRPr="00BF0496">
        <w:rPr>
          <w:color w:val="000000" w:themeColor="text1"/>
        </w:rPr>
        <w:t xml:space="preserve"> utilised in the cost-utility analysis (DPMQ: $</w:t>
      </w:r>
      <w:r w:rsidR="00460689" w:rsidRPr="00C10373">
        <w:rPr>
          <w:color w:val="000000" w:themeColor="text1"/>
          <w:w w:val="60"/>
          <w:shd w:val="solid" w:color="000000" w:fill="000000"/>
          <w:fitText w:val="466" w:id="-632553470"/>
          <w14:textFill>
            <w14:solidFill>
              <w14:schemeClr w14:val="tx1">
                <w14:alpha w14:val="100000"/>
              </w14:schemeClr>
            </w14:solidFill>
          </w14:textFill>
        </w:rPr>
        <w:t>|||  ||</w:t>
      </w:r>
      <w:r w:rsidR="00460689" w:rsidRPr="00C10373">
        <w:rPr>
          <w:color w:val="000000" w:themeColor="text1"/>
          <w:spacing w:val="2"/>
          <w:w w:val="60"/>
          <w:shd w:val="solid" w:color="000000" w:fill="000000"/>
          <w:fitText w:val="466" w:id="-632553470"/>
          <w14:textFill>
            <w14:solidFill>
              <w14:schemeClr w14:val="tx1">
                <w14:alpha w14:val="100000"/>
              </w14:schemeClr>
            </w14:solidFill>
          </w14:textFill>
        </w:rPr>
        <w:t>|</w:t>
      </w:r>
      <w:r w:rsidRPr="00BF0496">
        <w:rPr>
          <w:color w:val="000000" w:themeColor="text1"/>
        </w:rPr>
        <w:t xml:space="preserve">), is higher than the cost-minimised price calculated </w:t>
      </w:r>
      <w:r w:rsidR="00262C34" w:rsidRPr="00BF0496">
        <w:rPr>
          <w:color w:val="000000" w:themeColor="text1"/>
        </w:rPr>
        <w:t>during the evaluation</w:t>
      </w:r>
      <w:r w:rsidR="000F0354" w:rsidRPr="00BF0496">
        <w:rPr>
          <w:color w:val="000000" w:themeColor="text1"/>
        </w:rPr>
        <w:t xml:space="preserve"> </w:t>
      </w:r>
      <w:r w:rsidR="00262C34" w:rsidRPr="00BF0496">
        <w:rPr>
          <w:color w:val="000000" w:themeColor="text1"/>
        </w:rPr>
        <w:t>(DPMQ: $54.60)</w:t>
      </w:r>
      <w:r w:rsidRPr="00BF0496">
        <w:rPr>
          <w:color w:val="000000" w:themeColor="text1"/>
        </w:rPr>
        <w:t xml:space="preserve">. </w:t>
      </w:r>
      <w:r w:rsidR="00746553" w:rsidRPr="00BF0496">
        <w:rPr>
          <w:color w:val="000000" w:themeColor="text1"/>
        </w:rPr>
        <w:t>The</w:t>
      </w:r>
      <w:r w:rsidR="00C67CDA" w:rsidRPr="00BF0496">
        <w:rPr>
          <w:color w:val="000000" w:themeColor="text1"/>
        </w:rPr>
        <w:t xml:space="preserve"> ESC noted that the</w:t>
      </w:r>
      <w:r w:rsidR="00746553" w:rsidRPr="00BF0496">
        <w:rPr>
          <w:color w:val="000000" w:themeColor="text1"/>
        </w:rPr>
        <w:t xml:space="preserve"> </w:t>
      </w:r>
      <w:r w:rsidR="00746553" w:rsidRPr="00BF0496">
        <w:t xml:space="preserve">submission </w:t>
      </w:r>
      <w:r w:rsidR="00F2088D" w:rsidRPr="00BF0496">
        <w:t xml:space="preserve">inappropriately </w:t>
      </w:r>
      <w:r w:rsidR="00746553" w:rsidRPr="00BF0496">
        <w:t>did not propose a weighted price according to the expected use in moderate AD on the face and eyelid</w:t>
      </w:r>
      <w:r w:rsidR="00BC5C4E" w:rsidRPr="00BF0496">
        <w:t>s</w:t>
      </w:r>
      <w:r w:rsidR="00746553" w:rsidRPr="00BF0496">
        <w:t xml:space="preserve"> versus rest of body moderate to severe AD</w:t>
      </w:r>
      <w:r w:rsidR="00AE288C" w:rsidRPr="00BF0496">
        <w:t xml:space="preserve"> and that</w:t>
      </w:r>
      <w:r w:rsidR="00746553" w:rsidRPr="00BF0496">
        <w:t>, at the proposed DPMQ,</w:t>
      </w:r>
      <w:r w:rsidR="006402CB" w:rsidRPr="00BF0496">
        <w:t xml:space="preserve"> </w:t>
      </w:r>
      <w:r w:rsidR="0002144B">
        <w:t xml:space="preserve">0.1% </w:t>
      </w:r>
      <w:r w:rsidR="006402CB" w:rsidRPr="00BF0496">
        <w:t xml:space="preserve">TAC </w:t>
      </w:r>
      <w:r w:rsidR="00746553" w:rsidRPr="00BF0496">
        <w:t xml:space="preserve">would be associated with a higher cost per gram than </w:t>
      </w:r>
      <w:r w:rsidR="0002144B">
        <w:t xml:space="preserve">1% </w:t>
      </w:r>
      <w:r w:rsidR="00024C72" w:rsidRPr="00BF0496">
        <w:t>PIM</w:t>
      </w:r>
      <w:r w:rsidR="00746553" w:rsidRPr="00BF0496">
        <w:t>.</w:t>
      </w:r>
      <w:r w:rsidR="002C5AF6" w:rsidRPr="00BF0496">
        <w:t xml:space="preserve"> </w:t>
      </w:r>
      <w:r w:rsidR="00BA7F28">
        <w:t>Although t</w:t>
      </w:r>
      <w:r w:rsidR="002C5AF6" w:rsidRPr="00BF0496">
        <w:t xml:space="preserve">he PSCR stated that </w:t>
      </w:r>
      <w:r w:rsidR="004E19E6" w:rsidRPr="00BF0496">
        <w:t>a weighted price would be difficult to calculate</w:t>
      </w:r>
      <w:r w:rsidR="005E6E1A" w:rsidRPr="00BF0496">
        <w:t xml:space="preserve"> as clinician estimates of grams of ointment applied to the face</w:t>
      </w:r>
      <w:r w:rsidR="00ED400D" w:rsidRPr="00BF0496">
        <w:t xml:space="preserve"> and eyelids versus the body vary widely</w:t>
      </w:r>
      <w:r w:rsidR="00BA7F28">
        <w:t>, the pre-PBAC response</w:t>
      </w:r>
      <w:r w:rsidR="0076613A">
        <w:t xml:space="preserve"> </w:t>
      </w:r>
      <w:r w:rsidR="00B61CEA">
        <w:t>stated that if 80% of 0.1%</w:t>
      </w:r>
      <w:r w:rsidR="0002144B">
        <w:t xml:space="preserve"> </w:t>
      </w:r>
      <w:r w:rsidR="00B61CEA">
        <w:t>TAC use was assumed to be for the body, with 20% for the face and eyelids</w:t>
      </w:r>
      <w:r w:rsidR="008E5748">
        <w:t>, this would result in a</w:t>
      </w:r>
      <w:r w:rsidR="00632299">
        <w:t>n</w:t>
      </w:r>
      <w:r w:rsidR="008E5748">
        <w:t xml:space="preserve"> </w:t>
      </w:r>
      <w:r w:rsidR="00632299">
        <w:t>A</w:t>
      </w:r>
      <w:r w:rsidR="008E5748">
        <w:t>EMP for 0.1% TAC of $52.34 (DPMQ: $69.74)</w:t>
      </w:r>
      <w:r w:rsidR="00ED400D" w:rsidRPr="00BF0496">
        <w:t>.</w:t>
      </w:r>
      <w:r w:rsidR="00D30078" w:rsidRPr="00BF0496">
        <w:t xml:space="preserve"> </w:t>
      </w:r>
    </w:p>
    <w:p w14:paraId="2BE6D3BB" w14:textId="297DC3CC" w:rsidR="00746553" w:rsidRPr="00BF0496" w:rsidRDefault="00746553" w:rsidP="00E20A39">
      <w:pPr>
        <w:pStyle w:val="3-BodyText"/>
      </w:pPr>
      <w:r w:rsidRPr="00B86885">
        <w:t xml:space="preserve">While equivalence on a per gram basis may be reasonable for the treatment of flares, due to the differences in pack sizes between </w:t>
      </w:r>
      <w:r w:rsidR="009B5B30">
        <w:t xml:space="preserve">0.1% </w:t>
      </w:r>
      <w:r w:rsidR="006402CB" w:rsidRPr="00B86885">
        <w:t xml:space="preserve">TAC </w:t>
      </w:r>
      <w:r w:rsidRPr="00B86885">
        <w:t xml:space="preserve">and </w:t>
      </w:r>
      <w:r w:rsidR="009B5B30">
        <w:t>1%</w:t>
      </w:r>
      <w:r w:rsidRPr="00B86885">
        <w:t xml:space="preserve"> </w:t>
      </w:r>
      <w:r w:rsidR="00622646" w:rsidRPr="00B86885">
        <w:t>PIM</w:t>
      </w:r>
      <w:r w:rsidRPr="00B86885">
        <w:t xml:space="preserve">, the </w:t>
      </w:r>
      <w:r w:rsidR="00622646" w:rsidRPr="00B86885">
        <w:t>CMA</w:t>
      </w:r>
      <w:r w:rsidRPr="00B86885">
        <w:t xml:space="preserve"> assumes that patients would otherwise use two tubes of </w:t>
      </w:r>
      <w:r w:rsidR="009B5B30">
        <w:t xml:space="preserve">1% </w:t>
      </w:r>
      <w:r w:rsidR="00622646" w:rsidRPr="00B86885">
        <w:t>PIM</w:t>
      </w:r>
      <w:r w:rsidRPr="00B86885">
        <w:t xml:space="preserve">. </w:t>
      </w:r>
    </w:p>
    <w:p w14:paraId="5F1A1F6A" w14:textId="77777777" w:rsidR="00E20A39" w:rsidRDefault="00E20A39" w:rsidP="00E20A39">
      <w:pPr>
        <w:pStyle w:val="4-SubsectionHeading"/>
      </w:pPr>
      <w:bookmarkStart w:id="107" w:name="_Toc22897646"/>
      <w:bookmarkStart w:id="108" w:name="_Toc198710825"/>
      <w:r w:rsidRPr="00D86D87">
        <w:t>Drug</w:t>
      </w:r>
      <w:r>
        <w:t xml:space="preserve"> </w:t>
      </w:r>
      <w:r w:rsidRPr="00D86D87">
        <w:t>cost/patient/year</w:t>
      </w:r>
      <w:bookmarkStart w:id="109" w:name="_Ref104805102"/>
      <w:bookmarkEnd w:id="107"/>
      <w:bookmarkEnd w:id="108"/>
    </w:p>
    <w:p w14:paraId="66B0952C" w14:textId="33777941" w:rsidR="000637BF" w:rsidRPr="00B86885" w:rsidRDefault="000637BF" w:rsidP="00AF0DAB">
      <w:pPr>
        <w:pStyle w:val="3-BodyText"/>
        <w:spacing w:after="120"/>
      </w:pPr>
      <w:r w:rsidRPr="00B86885">
        <w:t xml:space="preserve">The drug cost/patient/year for </w:t>
      </w:r>
      <w:r w:rsidR="009B5B30">
        <w:t>0.1% TAC</w:t>
      </w:r>
      <w:r w:rsidRPr="00B86885">
        <w:t xml:space="preserve"> is presented in </w:t>
      </w:r>
      <w:r w:rsidRPr="00B86885">
        <w:fldChar w:fldCharType="begin"/>
      </w:r>
      <w:r w:rsidRPr="00B86885">
        <w:instrText xml:space="preserve"> REF _Ref197681196 \h  \* MERGEFORMAT </w:instrText>
      </w:r>
      <w:r w:rsidRPr="00B86885">
        <w:fldChar w:fldCharType="separate"/>
      </w:r>
      <w:r w:rsidR="00124226">
        <w:t xml:space="preserve">Table </w:t>
      </w:r>
      <w:r w:rsidR="00124226">
        <w:rPr>
          <w:noProof/>
        </w:rPr>
        <w:t>15</w:t>
      </w:r>
      <w:r w:rsidRPr="00B86885">
        <w:fldChar w:fldCharType="end"/>
      </w:r>
      <w:r w:rsidRPr="00B86885">
        <w:t xml:space="preserve">. The financial estimates utilised the average use per day reported in the </w:t>
      </w:r>
      <w:r w:rsidRPr="0008659F">
        <w:rPr>
          <w:i/>
          <w:iCs/>
        </w:rPr>
        <w:t>post-hoc</w:t>
      </w:r>
      <w:r w:rsidRPr="00B86885">
        <w:t xml:space="preserve"> analysis of the CONTROL study for estimation of treatment costs. </w:t>
      </w:r>
      <w:r w:rsidR="00FE7150">
        <w:t>This</w:t>
      </w:r>
      <w:r w:rsidRPr="00B86885">
        <w:t xml:space="preserve"> assumed that all patients would receive treatment </w:t>
      </w:r>
      <w:r w:rsidR="00AA3279" w:rsidRPr="00B86885">
        <w:t>in Year 1,</w:t>
      </w:r>
      <w:r w:rsidR="002A35E1" w:rsidRPr="00B86885">
        <w:t xml:space="preserve"> with 65% of patients continuing treatment in each </w:t>
      </w:r>
      <w:r w:rsidR="00AA3279" w:rsidRPr="00B86885">
        <w:t xml:space="preserve">subsequent </w:t>
      </w:r>
      <w:r w:rsidR="002A35E1" w:rsidRPr="00B86885">
        <w:t>year</w:t>
      </w:r>
      <w:r w:rsidR="00AA3279" w:rsidRPr="00B86885">
        <w:t xml:space="preserve">. This </w:t>
      </w:r>
      <w:r w:rsidRPr="00B86885">
        <w:t>result</w:t>
      </w:r>
      <w:r w:rsidR="00AA3279" w:rsidRPr="00B86885">
        <w:t>ed</w:t>
      </w:r>
      <w:r w:rsidRPr="00B86885">
        <w:t xml:space="preserve"> in a higher cost per year in the financial analysis</w:t>
      </w:r>
      <w:r w:rsidR="00E31533" w:rsidRPr="00B86885">
        <w:t xml:space="preserve"> and longer duration of treatment</w:t>
      </w:r>
      <w:r w:rsidRPr="00B86885">
        <w:t xml:space="preserve"> compared to the economic analysis.  </w:t>
      </w:r>
    </w:p>
    <w:p w14:paraId="08341CF2" w14:textId="1CAB0B53" w:rsidR="00E20A39" w:rsidRDefault="00E20A39" w:rsidP="0086378A">
      <w:pPr>
        <w:pStyle w:val="Caption"/>
      </w:pPr>
      <w:bookmarkStart w:id="110" w:name="_Ref197681196"/>
      <w:r>
        <w:t xml:space="preserve">Table </w:t>
      </w:r>
      <w:r w:rsidR="002A692B">
        <w:fldChar w:fldCharType="begin"/>
      </w:r>
      <w:r w:rsidR="002A692B">
        <w:instrText xml:space="preserve"> SEQ Table \* ARABIC </w:instrText>
      </w:r>
      <w:r w:rsidR="002A692B">
        <w:fldChar w:fldCharType="separate"/>
      </w:r>
      <w:r w:rsidR="00124226">
        <w:rPr>
          <w:noProof/>
        </w:rPr>
        <w:t>15</w:t>
      </w:r>
      <w:r w:rsidR="002A692B">
        <w:rPr>
          <w:noProof/>
        </w:rPr>
        <w:fldChar w:fldCharType="end"/>
      </w:r>
      <w:bookmarkEnd w:id="110"/>
      <w:r>
        <w:t xml:space="preserve">: Drug cost per year for tacrolimus </w:t>
      </w:r>
    </w:p>
    <w:tbl>
      <w:tblPr>
        <w:tblStyle w:val="TableGrid"/>
        <w:tblW w:w="0" w:type="auto"/>
        <w:tblLook w:val="04A0" w:firstRow="1" w:lastRow="0" w:firstColumn="1" w:lastColumn="0" w:noHBand="0" w:noVBand="1"/>
        <w:tblCaption w:val="Table 15: Drug cost per year for tacrolimus "/>
      </w:tblPr>
      <w:tblGrid>
        <w:gridCol w:w="2972"/>
        <w:gridCol w:w="1843"/>
        <w:gridCol w:w="2126"/>
        <w:gridCol w:w="2076"/>
      </w:tblGrid>
      <w:tr w:rsidR="000637BF" w14:paraId="281130F9" w14:textId="77777777">
        <w:tc>
          <w:tcPr>
            <w:tcW w:w="2972" w:type="dxa"/>
          </w:tcPr>
          <w:p w14:paraId="416403BF" w14:textId="77777777" w:rsidR="000637BF" w:rsidRDefault="000637BF" w:rsidP="0086378A">
            <w:pPr>
              <w:pStyle w:val="TableText0"/>
            </w:pPr>
          </w:p>
        </w:tc>
        <w:tc>
          <w:tcPr>
            <w:tcW w:w="1843" w:type="dxa"/>
          </w:tcPr>
          <w:p w14:paraId="34F08BE2" w14:textId="77777777" w:rsidR="000637BF" w:rsidRDefault="000637BF" w:rsidP="0086378A">
            <w:pPr>
              <w:pStyle w:val="In-tableHeading"/>
            </w:pPr>
            <w:r>
              <w:t>Trial dose and duration</w:t>
            </w:r>
          </w:p>
        </w:tc>
        <w:tc>
          <w:tcPr>
            <w:tcW w:w="2126" w:type="dxa"/>
          </w:tcPr>
          <w:p w14:paraId="0B331A3F" w14:textId="77777777" w:rsidR="000637BF" w:rsidRDefault="000637BF" w:rsidP="0086378A">
            <w:pPr>
              <w:pStyle w:val="In-tableHeading"/>
            </w:pPr>
            <w:r>
              <w:t>Economic model</w:t>
            </w:r>
          </w:p>
        </w:tc>
        <w:tc>
          <w:tcPr>
            <w:tcW w:w="2076" w:type="dxa"/>
          </w:tcPr>
          <w:p w14:paraId="42829EC1" w14:textId="77777777" w:rsidR="000637BF" w:rsidRDefault="000637BF" w:rsidP="0086378A">
            <w:pPr>
              <w:pStyle w:val="In-tableHeading"/>
            </w:pPr>
            <w:r>
              <w:t xml:space="preserve">Financial estimates </w:t>
            </w:r>
          </w:p>
        </w:tc>
      </w:tr>
      <w:tr w:rsidR="000637BF" w14:paraId="643CEA20" w14:textId="77777777">
        <w:tc>
          <w:tcPr>
            <w:tcW w:w="9017" w:type="dxa"/>
            <w:gridSpan w:val="4"/>
          </w:tcPr>
          <w:p w14:paraId="369098A6" w14:textId="77777777" w:rsidR="000637BF" w:rsidRPr="00630D07" w:rsidRDefault="000637BF" w:rsidP="0086378A">
            <w:pPr>
              <w:pStyle w:val="TableText0"/>
              <w:rPr>
                <w:b/>
                <w:bCs w:val="0"/>
              </w:rPr>
            </w:pPr>
            <w:r w:rsidRPr="00630D07">
              <w:rPr>
                <w:b/>
                <w:bCs w:val="0"/>
              </w:rPr>
              <w:t>Mean dose</w:t>
            </w:r>
          </w:p>
        </w:tc>
      </w:tr>
      <w:tr w:rsidR="000637BF" w14:paraId="23035645" w14:textId="77777777">
        <w:tc>
          <w:tcPr>
            <w:tcW w:w="2972" w:type="dxa"/>
          </w:tcPr>
          <w:p w14:paraId="0FEEB4F4" w14:textId="77777777" w:rsidR="000637BF" w:rsidRDefault="000637BF" w:rsidP="0086378A">
            <w:pPr>
              <w:pStyle w:val="TableText0"/>
            </w:pPr>
            <w:r>
              <w:t>Flare days</w:t>
            </w:r>
          </w:p>
        </w:tc>
        <w:tc>
          <w:tcPr>
            <w:tcW w:w="1843" w:type="dxa"/>
            <w:vMerge w:val="restart"/>
          </w:tcPr>
          <w:p w14:paraId="53A0BA9F" w14:textId="77777777" w:rsidR="000637BF" w:rsidRDefault="000637BF" w:rsidP="0086378A">
            <w:pPr>
              <w:pStyle w:val="TableText0"/>
            </w:pPr>
            <w:r>
              <w:t>1.68 g</w:t>
            </w:r>
          </w:p>
        </w:tc>
        <w:tc>
          <w:tcPr>
            <w:tcW w:w="2126" w:type="dxa"/>
          </w:tcPr>
          <w:p w14:paraId="582458A0" w14:textId="77777777" w:rsidR="000637BF" w:rsidRDefault="000637BF" w:rsidP="0086378A">
            <w:pPr>
              <w:pStyle w:val="TableText0"/>
            </w:pPr>
            <w:r>
              <w:t>3.88 g</w:t>
            </w:r>
          </w:p>
        </w:tc>
        <w:tc>
          <w:tcPr>
            <w:tcW w:w="2076" w:type="dxa"/>
            <w:vMerge w:val="restart"/>
          </w:tcPr>
          <w:p w14:paraId="0568DD6D" w14:textId="77777777" w:rsidR="000637BF" w:rsidRDefault="000637BF" w:rsidP="0086378A">
            <w:pPr>
              <w:pStyle w:val="TableText0"/>
            </w:pPr>
            <w:r>
              <w:t>1.68 g</w:t>
            </w:r>
          </w:p>
        </w:tc>
      </w:tr>
      <w:tr w:rsidR="000637BF" w14:paraId="29FD92D2" w14:textId="77777777">
        <w:tc>
          <w:tcPr>
            <w:tcW w:w="2972" w:type="dxa"/>
          </w:tcPr>
          <w:p w14:paraId="52116D55" w14:textId="77777777" w:rsidR="000637BF" w:rsidRDefault="000637BF" w:rsidP="0086378A">
            <w:pPr>
              <w:pStyle w:val="TableText0"/>
            </w:pPr>
            <w:r>
              <w:t xml:space="preserve">Flare-free days </w:t>
            </w:r>
          </w:p>
        </w:tc>
        <w:tc>
          <w:tcPr>
            <w:tcW w:w="1843" w:type="dxa"/>
            <w:vMerge/>
          </w:tcPr>
          <w:p w14:paraId="019C2EAC" w14:textId="77777777" w:rsidR="000637BF" w:rsidRDefault="000637BF" w:rsidP="0086378A">
            <w:pPr>
              <w:pStyle w:val="TableText0"/>
            </w:pPr>
          </w:p>
        </w:tc>
        <w:tc>
          <w:tcPr>
            <w:tcW w:w="2126" w:type="dxa"/>
          </w:tcPr>
          <w:p w14:paraId="5FB73953" w14:textId="77777777" w:rsidR="000637BF" w:rsidRDefault="000637BF" w:rsidP="0086378A">
            <w:pPr>
              <w:pStyle w:val="TableText0"/>
            </w:pPr>
            <w:r>
              <w:t xml:space="preserve">1.23 g </w:t>
            </w:r>
          </w:p>
        </w:tc>
        <w:tc>
          <w:tcPr>
            <w:tcW w:w="2076" w:type="dxa"/>
            <w:vMerge/>
          </w:tcPr>
          <w:p w14:paraId="131F11E1" w14:textId="77777777" w:rsidR="000637BF" w:rsidRDefault="000637BF" w:rsidP="0086378A">
            <w:pPr>
              <w:pStyle w:val="TableText0"/>
            </w:pPr>
          </w:p>
        </w:tc>
      </w:tr>
      <w:tr w:rsidR="000637BF" w14:paraId="278CE2EE" w14:textId="77777777">
        <w:tc>
          <w:tcPr>
            <w:tcW w:w="9017" w:type="dxa"/>
            <w:gridSpan w:val="4"/>
          </w:tcPr>
          <w:p w14:paraId="7FF650F6" w14:textId="77777777" w:rsidR="000637BF" w:rsidRDefault="000637BF" w:rsidP="0086378A">
            <w:pPr>
              <w:pStyle w:val="TableText0"/>
            </w:pPr>
            <w:r>
              <w:rPr>
                <w:b/>
              </w:rPr>
              <w:t>Number of flare days</w:t>
            </w:r>
            <w:r w:rsidRPr="006B49C1">
              <w:rPr>
                <w:b/>
              </w:rPr>
              <w:t xml:space="preserve"> </w:t>
            </w:r>
            <w:r>
              <w:rPr>
                <w:b/>
              </w:rPr>
              <w:t xml:space="preserve">for patients on treatment with tacrolimus </w:t>
            </w:r>
          </w:p>
        </w:tc>
      </w:tr>
      <w:tr w:rsidR="000637BF" w14:paraId="626ED7F9" w14:textId="77777777">
        <w:tc>
          <w:tcPr>
            <w:tcW w:w="2972" w:type="dxa"/>
          </w:tcPr>
          <w:p w14:paraId="62EA9E26" w14:textId="77777777" w:rsidR="000637BF" w:rsidRDefault="000637BF" w:rsidP="0086378A">
            <w:pPr>
              <w:pStyle w:val="TableText0"/>
            </w:pPr>
            <w:r>
              <w:t xml:space="preserve">Flare days – primary therapy </w:t>
            </w:r>
          </w:p>
        </w:tc>
        <w:tc>
          <w:tcPr>
            <w:tcW w:w="1843" w:type="dxa"/>
            <w:vMerge w:val="restart"/>
          </w:tcPr>
          <w:p w14:paraId="5DC201E7" w14:textId="77777777" w:rsidR="000637BF" w:rsidRDefault="000637BF" w:rsidP="0086378A">
            <w:pPr>
              <w:pStyle w:val="TableText0"/>
            </w:pPr>
            <w:r>
              <w:t>NA</w:t>
            </w:r>
          </w:p>
        </w:tc>
        <w:tc>
          <w:tcPr>
            <w:tcW w:w="2126" w:type="dxa"/>
          </w:tcPr>
          <w:p w14:paraId="76CFDC8C" w14:textId="77777777" w:rsidR="000637BF" w:rsidRDefault="000637BF" w:rsidP="0086378A">
            <w:pPr>
              <w:pStyle w:val="TableText0"/>
            </w:pPr>
            <w:r>
              <w:t xml:space="preserve">21 </w:t>
            </w:r>
          </w:p>
        </w:tc>
        <w:tc>
          <w:tcPr>
            <w:tcW w:w="2076" w:type="dxa"/>
            <w:vMerge w:val="restart"/>
          </w:tcPr>
          <w:p w14:paraId="1F4CDAB3" w14:textId="77777777" w:rsidR="000637BF" w:rsidRDefault="000637BF" w:rsidP="0086378A">
            <w:pPr>
              <w:pStyle w:val="TableText0"/>
            </w:pPr>
            <w:r>
              <w:t>NA</w:t>
            </w:r>
          </w:p>
        </w:tc>
      </w:tr>
      <w:tr w:rsidR="000637BF" w14:paraId="3DCF4523" w14:textId="77777777">
        <w:tc>
          <w:tcPr>
            <w:tcW w:w="2972" w:type="dxa"/>
          </w:tcPr>
          <w:p w14:paraId="51604838" w14:textId="77777777" w:rsidR="000637BF" w:rsidRDefault="000637BF" w:rsidP="0086378A">
            <w:pPr>
              <w:pStyle w:val="TableText0"/>
            </w:pPr>
            <w:r>
              <w:t>Flare days – maintenance therapy</w:t>
            </w:r>
          </w:p>
        </w:tc>
        <w:tc>
          <w:tcPr>
            <w:tcW w:w="1843" w:type="dxa"/>
            <w:vMerge/>
          </w:tcPr>
          <w:p w14:paraId="75BF613C" w14:textId="77777777" w:rsidR="000637BF" w:rsidRDefault="000637BF" w:rsidP="0086378A">
            <w:pPr>
              <w:pStyle w:val="TableText0"/>
            </w:pPr>
          </w:p>
        </w:tc>
        <w:tc>
          <w:tcPr>
            <w:tcW w:w="2126" w:type="dxa"/>
          </w:tcPr>
          <w:p w14:paraId="4A023348" w14:textId="77777777" w:rsidR="000637BF" w:rsidRDefault="000637BF" w:rsidP="0086378A">
            <w:pPr>
              <w:pStyle w:val="TableText0"/>
            </w:pPr>
            <w:r>
              <w:t>30.92</w:t>
            </w:r>
          </w:p>
        </w:tc>
        <w:tc>
          <w:tcPr>
            <w:tcW w:w="2076" w:type="dxa"/>
            <w:vMerge/>
          </w:tcPr>
          <w:p w14:paraId="51762DFE" w14:textId="77777777" w:rsidR="000637BF" w:rsidRDefault="000637BF" w:rsidP="0086378A">
            <w:pPr>
              <w:pStyle w:val="TableText0"/>
            </w:pPr>
          </w:p>
        </w:tc>
      </w:tr>
      <w:tr w:rsidR="000637BF" w14:paraId="69057179" w14:textId="77777777">
        <w:tc>
          <w:tcPr>
            <w:tcW w:w="2972" w:type="dxa"/>
          </w:tcPr>
          <w:p w14:paraId="539C1DB7" w14:textId="77777777" w:rsidR="000637BF" w:rsidRDefault="000637BF" w:rsidP="0086378A">
            <w:pPr>
              <w:pStyle w:val="TableText0"/>
            </w:pPr>
            <w:r>
              <w:t>Flare free days</w:t>
            </w:r>
          </w:p>
        </w:tc>
        <w:tc>
          <w:tcPr>
            <w:tcW w:w="1843" w:type="dxa"/>
            <w:vMerge/>
          </w:tcPr>
          <w:p w14:paraId="272CD2B1" w14:textId="77777777" w:rsidR="000637BF" w:rsidRDefault="000637BF" w:rsidP="0086378A">
            <w:pPr>
              <w:pStyle w:val="TableText0"/>
            </w:pPr>
          </w:p>
        </w:tc>
        <w:tc>
          <w:tcPr>
            <w:tcW w:w="2126" w:type="dxa"/>
          </w:tcPr>
          <w:p w14:paraId="7D9BA8A3" w14:textId="77777777" w:rsidR="000637BF" w:rsidRDefault="000637BF" w:rsidP="0086378A">
            <w:pPr>
              <w:pStyle w:val="TableText0"/>
            </w:pPr>
            <w:r>
              <w:t xml:space="preserve">178.16  </w:t>
            </w:r>
          </w:p>
        </w:tc>
        <w:tc>
          <w:tcPr>
            <w:tcW w:w="2076" w:type="dxa"/>
            <w:vMerge/>
          </w:tcPr>
          <w:p w14:paraId="57A17B56" w14:textId="77777777" w:rsidR="000637BF" w:rsidRDefault="000637BF" w:rsidP="0086378A">
            <w:pPr>
              <w:pStyle w:val="TableText0"/>
            </w:pPr>
          </w:p>
        </w:tc>
      </w:tr>
      <w:tr w:rsidR="000637BF" w14:paraId="3AC941B6" w14:textId="77777777">
        <w:tc>
          <w:tcPr>
            <w:tcW w:w="2972" w:type="dxa"/>
          </w:tcPr>
          <w:p w14:paraId="10DF29FE" w14:textId="77777777" w:rsidR="000637BF" w:rsidRDefault="000637BF" w:rsidP="0086378A">
            <w:pPr>
              <w:pStyle w:val="TableText0"/>
            </w:pPr>
            <w:r w:rsidRPr="008C3B71">
              <w:rPr>
                <w:b/>
              </w:rPr>
              <w:t>Mean treatment duration</w:t>
            </w:r>
            <w:r>
              <w:rPr>
                <w:b/>
              </w:rPr>
              <w:t xml:space="preserve"> </w:t>
            </w:r>
          </w:p>
        </w:tc>
        <w:tc>
          <w:tcPr>
            <w:tcW w:w="1843" w:type="dxa"/>
          </w:tcPr>
          <w:p w14:paraId="5C5AB27D" w14:textId="77777777" w:rsidR="000637BF" w:rsidRDefault="000637BF" w:rsidP="0086378A">
            <w:pPr>
              <w:pStyle w:val="TableText0"/>
            </w:pPr>
            <w:r>
              <w:t xml:space="preserve">386 days </w:t>
            </w:r>
            <w:r>
              <w:rPr>
                <w:b/>
                <w:vertAlign w:val="superscript"/>
              </w:rPr>
              <w:t xml:space="preserve"> a</w:t>
            </w:r>
          </w:p>
        </w:tc>
        <w:tc>
          <w:tcPr>
            <w:tcW w:w="2126" w:type="dxa"/>
          </w:tcPr>
          <w:p w14:paraId="1E7E4E9D" w14:textId="77777777" w:rsidR="000637BF" w:rsidRDefault="000637BF" w:rsidP="0086378A">
            <w:pPr>
              <w:pStyle w:val="TableText0"/>
            </w:pPr>
            <w:r>
              <w:t xml:space="preserve">230.08 </w:t>
            </w:r>
            <w:r>
              <w:rPr>
                <w:vertAlign w:val="superscript"/>
              </w:rPr>
              <w:t>b</w:t>
            </w:r>
          </w:p>
        </w:tc>
        <w:tc>
          <w:tcPr>
            <w:tcW w:w="2076" w:type="dxa"/>
          </w:tcPr>
          <w:p w14:paraId="6E9A9168" w14:textId="4D178F5A" w:rsidR="000637BF" w:rsidRDefault="002A35E1" w:rsidP="0086378A">
            <w:pPr>
              <w:pStyle w:val="TableText0"/>
            </w:pPr>
            <w:r>
              <w:t xml:space="preserve">2.64 years </w:t>
            </w:r>
            <w:r>
              <w:rPr>
                <w:vertAlign w:val="superscript"/>
              </w:rPr>
              <w:t>c</w:t>
            </w:r>
            <w:r w:rsidR="000637BF">
              <w:t xml:space="preserve">  </w:t>
            </w:r>
          </w:p>
        </w:tc>
      </w:tr>
      <w:tr w:rsidR="000637BF" w14:paraId="589F45A1" w14:textId="77777777">
        <w:tc>
          <w:tcPr>
            <w:tcW w:w="2972" w:type="dxa"/>
          </w:tcPr>
          <w:p w14:paraId="55EAB191" w14:textId="77777777" w:rsidR="000637BF" w:rsidRDefault="000637BF" w:rsidP="0086378A">
            <w:pPr>
              <w:pStyle w:val="TableText0"/>
            </w:pPr>
            <w:r w:rsidRPr="00B10C21">
              <w:t>Cost for primary treatment</w:t>
            </w:r>
          </w:p>
        </w:tc>
        <w:tc>
          <w:tcPr>
            <w:tcW w:w="1843" w:type="dxa"/>
            <w:vMerge w:val="restart"/>
          </w:tcPr>
          <w:p w14:paraId="27AAE856" w14:textId="77777777" w:rsidR="000637BF" w:rsidRDefault="000637BF" w:rsidP="0086378A">
            <w:pPr>
              <w:pStyle w:val="TableText0"/>
            </w:pPr>
            <w:r>
              <w:t>NA</w:t>
            </w:r>
          </w:p>
        </w:tc>
        <w:tc>
          <w:tcPr>
            <w:tcW w:w="2126" w:type="dxa"/>
          </w:tcPr>
          <w:p w14:paraId="629FEADB" w14:textId="4434C6EA" w:rsidR="000637BF" w:rsidRDefault="000637BF" w:rsidP="0086378A">
            <w:pPr>
              <w:pStyle w:val="TableText0"/>
            </w:pPr>
            <w:r>
              <w:t>$</w:t>
            </w:r>
            <w:r w:rsidR="00460689" w:rsidRPr="00460689">
              <w:rPr>
                <w:color w:val="000000"/>
                <w:spacing w:val="53"/>
                <w:shd w:val="solid" w:color="000000" w:fill="000000"/>
                <w:fitText w:val="330" w:id="-632553469"/>
                <w14:textFill>
                  <w14:solidFill>
                    <w14:srgbClr w14:val="000000">
                      <w14:alpha w14:val="100000"/>
                    </w14:srgbClr>
                  </w14:solidFill>
                </w14:textFill>
              </w:rPr>
              <w:t>|||</w:t>
            </w:r>
            <w:r w:rsidR="00460689" w:rsidRPr="00460689">
              <w:rPr>
                <w:color w:val="000000"/>
                <w:spacing w:val="1"/>
                <w:shd w:val="solid" w:color="000000" w:fill="000000"/>
                <w:fitText w:val="330" w:id="-632553469"/>
                <w14:textFill>
                  <w14:solidFill>
                    <w14:srgbClr w14:val="000000">
                      <w14:alpha w14:val="100000"/>
                    </w14:srgbClr>
                  </w14:solidFill>
                </w14:textFill>
              </w:rPr>
              <w:t>|</w:t>
            </w:r>
          </w:p>
        </w:tc>
        <w:tc>
          <w:tcPr>
            <w:tcW w:w="2076" w:type="dxa"/>
            <w:vMerge w:val="restart"/>
          </w:tcPr>
          <w:p w14:paraId="2C01B591" w14:textId="77777777" w:rsidR="000637BF" w:rsidRDefault="000637BF" w:rsidP="0086378A">
            <w:pPr>
              <w:pStyle w:val="TableText0"/>
            </w:pPr>
            <w:r>
              <w:t>NA</w:t>
            </w:r>
          </w:p>
        </w:tc>
      </w:tr>
      <w:tr w:rsidR="000637BF" w14:paraId="08FA11F0" w14:textId="77777777">
        <w:tc>
          <w:tcPr>
            <w:tcW w:w="2972" w:type="dxa"/>
          </w:tcPr>
          <w:p w14:paraId="713F160A" w14:textId="77777777" w:rsidR="000637BF" w:rsidRDefault="000637BF" w:rsidP="0086378A">
            <w:pPr>
              <w:pStyle w:val="TableText0"/>
            </w:pPr>
            <w:r w:rsidRPr="00B10C21">
              <w:t>Cost for maintenance treatment</w:t>
            </w:r>
          </w:p>
        </w:tc>
        <w:tc>
          <w:tcPr>
            <w:tcW w:w="1843" w:type="dxa"/>
            <w:vMerge/>
          </w:tcPr>
          <w:p w14:paraId="1C3D74B2" w14:textId="77777777" w:rsidR="000637BF" w:rsidRDefault="000637BF" w:rsidP="0086378A">
            <w:pPr>
              <w:pStyle w:val="TableText0"/>
            </w:pPr>
          </w:p>
        </w:tc>
        <w:tc>
          <w:tcPr>
            <w:tcW w:w="2126" w:type="dxa"/>
          </w:tcPr>
          <w:p w14:paraId="7CB29C43" w14:textId="16F71AEA" w:rsidR="000637BF" w:rsidRDefault="000637BF" w:rsidP="0086378A">
            <w:pPr>
              <w:pStyle w:val="TableText0"/>
            </w:pPr>
            <w:r>
              <w:t>$</w:t>
            </w:r>
            <w:r w:rsidR="00460689" w:rsidRPr="00460689">
              <w:rPr>
                <w:color w:val="000000"/>
                <w:spacing w:val="53"/>
                <w:shd w:val="solid" w:color="000000" w:fill="000000"/>
                <w:fitText w:val="330" w:id="-632553468"/>
                <w14:textFill>
                  <w14:solidFill>
                    <w14:srgbClr w14:val="000000">
                      <w14:alpha w14:val="100000"/>
                    </w14:srgbClr>
                  </w14:solidFill>
                </w14:textFill>
              </w:rPr>
              <w:t>|||</w:t>
            </w:r>
            <w:r w:rsidR="00460689" w:rsidRPr="00460689">
              <w:rPr>
                <w:color w:val="000000"/>
                <w:spacing w:val="1"/>
                <w:shd w:val="solid" w:color="000000" w:fill="000000"/>
                <w:fitText w:val="330" w:id="-632553468"/>
                <w14:textFill>
                  <w14:solidFill>
                    <w14:srgbClr w14:val="000000">
                      <w14:alpha w14:val="100000"/>
                    </w14:srgbClr>
                  </w14:solidFill>
                </w14:textFill>
              </w:rPr>
              <w:t>|</w:t>
            </w:r>
            <w:r>
              <w:t xml:space="preserve"> </w:t>
            </w:r>
          </w:p>
        </w:tc>
        <w:tc>
          <w:tcPr>
            <w:tcW w:w="2076" w:type="dxa"/>
            <w:vMerge/>
          </w:tcPr>
          <w:p w14:paraId="6B21C11B" w14:textId="77777777" w:rsidR="000637BF" w:rsidRDefault="000637BF" w:rsidP="0086378A">
            <w:pPr>
              <w:pStyle w:val="TableText0"/>
            </w:pPr>
          </w:p>
        </w:tc>
      </w:tr>
      <w:tr w:rsidR="000637BF" w14:paraId="4E414CBF" w14:textId="77777777">
        <w:tc>
          <w:tcPr>
            <w:tcW w:w="2972" w:type="dxa"/>
          </w:tcPr>
          <w:p w14:paraId="7C8ED1AA" w14:textId="77777777" w:rsidR="000637BF" w:rsidRDefault="000637BF" w:rsidP="0086378A">
            <w:pPr>
              <w:pStyle w:val="TableText0"/>
            </w:pPr>
            <w:r w:rsidRPr="008C3B71">
              <w:rPr>
                <w:b/>
              </w:rPr>
              <w:t>Cost/patient/</w:t>
            </w:r>
            <w:r>
              <w:rPr>
                <w:b/>
              </w:rPr>
              <w:t>year</w:t>
            </w:r>
          </w:p>
        </w:tc>
        <w:tc>
          <w:tcPr>
            <w:tcW w:w="1843" w:type="dxa"/>
          </w:tcPr>
          <w:p w14:paraId="0E0E70C7" w14:textId="70B2A590" w:rsidR="000637BF" w:rsidRPr="00320FE0" w:rsidRDefault="00DB3A3A" w:rsidP="0086378A">
            <w:pPr>
              <w:pStyle w:val="TableText0"/>
              <w:rPr>
                <w:b/>
                <w:bCs w:val="0"/>
              </w:rPr>
            </w:pPr>
            <w:r>
              <w:rPr>
                <w:b/>
                <w:bCs w:val="0"/>
              </w:rPr>
              <w:t>$</w:t>
            </w:r>
            <w:r w:rsidR="00460689" w:rsidRPr="00460689">
              <w:rPr>
                <w:b/>
                <w:bCs w:val="0"/>
                <w:color w:val="000000"/>
                <w:spacing w:val="56"/>
                <w:shd w:val="solid" w:color="000000" w:fill="000000"/>
                <w:fitText w:val="354" w:id="-632553467"/>
                <w14:textFill>
                  <w14:solidFill>
                    <w14:srgbClr w14:val="000000">
                      <w14:alpha w14:val="100000"/>
                    </w14:srgbClr>
                  </w14:solidFill>
                </w14:textFill>
              </w:rPr>
              <w:t>|||</w:t>
            </w:r>
            <w:r w:rsidR="00460689" w:rsidRPr="00460689">
              <w:rPr>
                <w:b/>
                <w:bCs w:val="0"/>
                <w:color w:val="000000"/>
                <w:spacing w:val="3"/>
                <w:shd w:val="solid" w:color="000000" w:fill="000000"/>
                <w:fitText w:val="354" w:id="-632553467"/>
                <w14:textFill>
                  <w14:solidFill>
                    <w14:srgbClr w14:val="000000">
                      <w14:alpha w14:val="100000"/>
                    </w14:srgbClr>
                  </w14:solidFill>
                </w14:textFill>
              </w:rPr>
              <w:t>|</w:t>
            </w:r>
          </w:p>
        </w:tc>
        <w:tc>
          <w:tcPr>
            <w:tcW w:w="2126" w:type="dxa"/>
          </w:tcPr>
          <w:p w14:paraId="5B094C3F" w14:textId="5CBD6176" w:rsidR="000637BF" w:rsidRPr="00320FE0" w:rsidRDefault="000637BF" w:rsidP="0086378A">
            <w:pPr>
              <w:pStyle w:val="TableText0"/>
              <w:rPr>
                <w:b/>
                <w:bCs w:val="0"/>
              </w:rPr>
            </w:pPr>
            <w:r w:rsidRPr="00320FE0">
              <w:rPr>
                <w:b/>
                <w:bCs w:val="0"/>
              </w:rPr>
              <w:t>$</w:t>
            </w:r>
            <w:r w:rsidR="00460689" w:rsidRPr="00460689">
              <w:rPr>
                <w:b/>
                <w:bCs w:val="0"/>
                <w:color w:val="000000"/>
                <w:spacing w:val="56"/>
                <w:shd w:val="solid" w:color="000000" w:fill="000000"/>
                <w:fitText w:val="354" w:id="-632553466"/>
                <w14:textFill>
                  <w14:solidFill>
                    <w14:srgbClr w14:val="000000">
                      <w14:alpha w14:val="100000"/>
                    </w14:srgbClr>
                  </w14:solidFill>
                </w14:textFill>
              </w:rPr>
              <w:t>|||</w:t>
            </w:r>
            <w:r w:rsidR="00460689" w:rsidRPr="00460689">
              <w:rPr>
                <w:b/>
                <w:bCs w:val="0"/>
                <w:color w:val="000000"/>
                <w:spacing w:val="3"/>
                <w:shd w:val="solid" w:color="000000" w:fill="000000"/>
                <w:fitText w:val="354" w:id="-632553466"/>
                <w14:textFill>
                  <w14:solidFill>
                    <w14:srgbClr w14:val="000000">
                      <w14:alpha w14:val="100000"/>
                    </w14:srgbClr>
                  </w14:solidFill>
                </w14:textFill>
              </w:rPr>
              <w:t>|</w:t>
            </w:r>
          </w:p>
        </w:tc>
        <w:tc>
          <w:tcPr>
            <w:tcW w:w="2076" w:type="dxa"/>
          </w:tcPr>
          <w:p w14:paraId="0EBEF172" w14:textId="3D53F954" w:rsidR="000637BF" w:rsidRPr="00320FE0" w:rsidRDefault="000637BF" w:rsidP="0086378A">
            <w:pPr>
              <w:pStyle w:val="TableText0"/>
              <w:rPr>
                <w:b/>
                <w:bCs w:val="0"/>
              </w:rPr>
            </w:pPr>
            <w:r w:rsidRPr="00320FE0">
              <w:rPr>
                <w:b/>
                <w:bCs w:val="0"/>
              </w:rPr>
              <w:t>$</w:t>
            </w:r>
            <w:r w:rsidR="00460689" w:rsidRPr="00460689">
              <w:rPr>
                <w:b/>
                <w:bCs w:val="0"/>
                <w:color w:val="000000"/>
                <w:spacing w:val="56"/>
                <w:shd w:val="solid" w:color="000000" w:fill="000000"/>
                <w:fitText w:val="354" w:id="-632553465"/>
                <w14:textFill>
                  <w14:solidFill>
                    <w14:srgbClr w14:val="000000">
                      <w14:alpha w14:val="100000"/>
                    </w14:srgbClr>
                  </w14:solidFill>
                </w14:textFill>
              </w:rPr>
              <w:t>|||</w:t>
            </w:r>
            <w:r w:rsidR="00460689" w:rsidRPr="00460689">
              <w:rPr>
                <w:b/>
                <w:bCs w:val="0"/>
                <w:color w:val="000000"/>
                <w:spacing w:val="3"/>
                <w:shd w:val="solid" w:color="000000" w:fill="000000"/>
                <w:fitText w:val="354" w:id="-632553465"/>
                <w14:textFill>
                  <w14:solidFill>
                    <w14:srgbClr w14:val="000000">
                      <w14:alpha w14:val="100000"/>
                    </w14:srgbClr>
                  </w14:solidFill>
                </w14:textFill>
              </w:rPr>
              <w:t>|</w:t>
            </w:r>
            <w:r w:rsidRPr="00320FE0">
              <w:rPr>
                <w:b/>
                <w:bCs w:val="0"/>
              </w:rPr>
              <w:t xml:space="preserve"> </w:t>
            </w:r>
          </w:p>
        </w:tc>
      </w:tr>
      <w:tr w:rsidR="000637BF" w14:paraId="0F2DC63E" w14:textId="77777777">
        <w:tc>
          <w:tcPr>
            <w:tcW w:w="2972" w:type="dxa"/>
          </w:tcPr>
          <w:p w14:paraId="3A2A2D47" w14:textId="77777777" w:rsidR="000637BF" w:rsidRDefault="000637BF" w:rsidP="0086378A">
            <w:pPr>
              <w:pStyle w:val="TableText0"/>
            </w:pPr>
            <w:r w:rsidRPr="00B10C21">
              <w:t>Number of scripts per patient</w:t>
            </w:r>
          </w:p>
        </w:tc>
        <w:tc>
          <w:tcPr>
            <w:tcW w:w="1843" w:type="dxa"/>
          </w:tcPr>
          <w:p w14:paraId="7F17DA3A" w14:textId="3C775566" w:rsidR="000637BF" w:rsidRDefault="00DB3A3A" w:rsidP="0086378A">
            <w:pPr>
              <w:pStyle w:val="TableText0"/>
            </w:pPr>
            <w:r>
              <w:t>20</w:t>
            </w:r>
          </w:p>
        </w:tc>
        <w:tc>
          <w:tcPr>
            <w:tcW w:w="2126" w:type="dxa"/>
          </w:tcPr>
          <w:p w14:paraId="511BD051" w14:textId="77777777" w:rsidR="000637BF" w:rsidRDefault="000637BF" w:rsidP="0086378A">
            <w:pPr>
              <w:pStyle w:val="TableText0"/>
            </w:pPr>
            <w:r>
              <w:t xml:space="preserve">14.02 </w:t>
            </w:r>
          </w:p>
        </w:tc>
        <w:tc>
          <w:tcPr>
            <w:tcW w:w="2076" w:type="dxa"/>
          </w:tcPr>
          <w:p w14:paraId="331386F9" w14:textId="77777777" w:rsidR="000637BF" w:rsidRDefault="000637BF" w:rsidP="0086378A">
            <w:pPr>
              <w:pStyle w:val="TableText0"/>
            </w:pPr>
            <w:r>
              <w:t>20</w:t>
            </w:r>
          </w:p>
        </w:tc>
      </w:tr>
    </w:tbl>
    <w:bookmarkEnd w:id="109"/>
    <w:p w14:paraId="4BD51C48" w14:textId="77777777" w:rsidR="002A35E1" w:rsidRDefault="002A35E1" w:rsidP="002A35E1">
      <w:pPr>
        <w:pStyle w:val="TableFigureFooter"/>
      </w:pPr>
      <w:r>
        <w:t>Source: tabulated during the evaluation, from Table 3-11, p150 of the submission, the “Attachment 2 Tacrolimus final model 06March2025” and “Attachment 3 – Azematop BIM” workbooks included in the submission.</w:t>
      </w:r>
    </w:p>
    <w:p w14:paraId="49AADAA3" w14:textId="77777777" w:rsidR="002A35E1" w:rsidRDefault="002A35E1" w:rsidP="002A35E1">
      <w:pPr>
        <w:pStyle w:val="TableFigureFooter"/>
      </w:pPr>
      <w:r>
        <w:rPr>
          <w:vertAlign w:val="superscript"/>
        </w:rPr>
        <w:t xml:space="preserve">a </w:t>
      </w:r>
      <w:r>
        <w:t xml:space="preserve">Based on 21 days of primary therapy in Ruzicka and 365 days of maintenance therapy in CONTROL. </w:t>
      </w:r>
    </w:p>
    <w:p w14:paraId="3A9268F2" w14:textId="77777777" w:rsidR="002A35E1" w:rsidRDefault="002A35E1" w:rsidP="002A35E1">
      <w:pPr>
        <w:pStyle w:val="TableFigureFooter"/>
      </w:pPr>
      <w:r>
        <w:rPr>
          <w:vertAlign w:val="superscript"/>
        </w:rPr>
        <w:t xml:space="preserve">b </w:t>
      </w:r>
      <w:r>
        <w:t xml:space="preserve">21 days of primary therapy and 209.08 days of maintenance therapy. </w:t>
      </w:r>
    </w:p>
    <w:p w14:paraId="1DD0DB91" w14:textId="77777777" w:rsidR="002A35E1" w:rsidRPr="006E08C7" w:rsidRDefault="002A35E1" w:rsidP="002A35E1">
      <w:pPr>
        <w:pStyle w:val="TableFigureFooter"/>
      </w:pPr>
      <w:r>
        <w:rPr>
          <w:vertAlign w:val="superscript"/>
        </w:rPr>
        <w:t>c</w:t>
      </w:r>
      <w:r>
        <w:t xml:space="preserve"> Truncated mean, assuming 65% of patients will continue treatment each year. </w:t>
      </w:r>
    </w:p>
    <w:p w14:paraId="268768EF" w14:textId="3626F292" w:rsidR="00B60939" w:rsidRPr="00D86D87" w:rsidRDefault="00B60939" w:rsidP="002B05A1">
      <w:pPr>
        <w:pStyle w:val="4-SubsectionHeading"/>
      </w:pPr>
      <w:bookmarkStart w:id="111" w:name="_Toc198710826"/>
      <w:r w:rsidRPr="00D86D87">
        <w:t>Estimated PBS usage &amp; financial implications</w:t>
      </w:r>
      <w:bookmarkEnd w:id="93"/>
      <w:bookmarkEnd w:id="111"/>
    </w:p>
    <w:p w14:paraId="7EB000D2" w14:textId="207B6D81" w:rsidR="00505BD5" w:rsidRPr="006E4957" w:rsidRDefault="00505BD5" w:rsidP="00505BD5">
      <w:pPr>
        <w:pStyle w:val="3-BodyText"/>
        <w:rPr>
          <w:color w:val="0066FF"/>
        </w:rPr>
      </w:pPr>
      <w:bookmarkStart w:id="112" w:name="_Toc22897648"/>
      <w:bookmarkStart w:id="113" w:name="_Toc22897650"/>
      <w:r w:rsidRPr="00D86D87">
        <w:t xml:space="preserve">This submission </w:t>
      </w:r>
      <w:r w:rsidR="00F02248">
        <w:t>was not</w:t>
      </w:r>
      <w:r w:rsidRPr="00D86D87">
        <w:t xml:space="preserve"> considered by DUSC</w:t>
      </w:r>
      <w:r>
        <w:t xml:space="preserve">. The submission adopted a combined epidemiological and market share approach to estimate the use and financial impact of </w:t>
      </w:r>
      <w:r w:rsidR="009B5B30">
        <w:t xml:space="preserve">0.1% </w:t>
      </w:r>
      <w:r w:rsidR="005D2C87">
        <w:t>TAC</w:t>
      </w:r>
      <w:r>
        <w:t xml:space="preserve">. </w:t>
      </w:r>
      <w:r w:rsidRPr="00165A94">
        <w:t xml:space="preserve">The epidemiological approach estimated the net costs associated with </w:t>
      </w:r>
      <w:r w:rsidR="009B5B30">
        <w:t xml:space="preserve">0.1% </w:t>
      </w:r>
      <w:r w:rsidR="005D2C87">
        <w:t>TAC</w:t>
      </w:r>
      <w:r w:rsidRPr="00165A94">
        <w:t xml:space="preserve"> for patients with moderate </w:t>
      </w:r>
      <w:r w:rsidR="002A5E70">
        <w:t>to</w:t>
      </w:r>
      <w:r w:rsidR="002A5E70" w:rsidRPr="00165A94">
        <w:t xml:space="preserve"> </w:t>
      </w:r>
      <w:r w:rsidRPr="00165A94">
        <w:t>severe AD on their body and severe AD on their face or eyelids whereas the market share approach estimated the net costs associated with patients with moderate AD on their face or eyelids.</w:t>
      </w:r>
    </w:p>
    <w:p w14:paraId="411C6CBA" w14:textId="28BCF9F8" w:rsidR="00505BD5" w:rsidRPr="00881E2D" w:rsidRDefault="00505BD5" w:rsidP="00505BD5">
      <w:pPr>
        <w:pStyle w:val="3-BodyText"/>
        <w:rPr>
          <w:color w:val="0066FF"/>
        </w:rPr>
      </w:pPr>
      <w:r>
        <w:t xml:space="preserve">Key components of the financial analyses are presented in </w:t>
      </w:r>
      <w:r>
        <w:fldChar w:fldCharType="begin"/>
      </w:r>
      <w:r>
        <w:instrText xml:space="preserve"> REF _Ref197089647 \h </w:instrText>
      </w:r>
      <w:r>
        <w:fldChar w:fldCharType="separate"/>
      </w:r>
      <w:r w:rsidR="00124226">
        <w:t xml:space="preserve">Table </w:t>
      </w:r>
      <w:r w:rsidR="00124226">
        <w:rPr>
          <w:noProof/>
        </w:rPr>
        <w:t>16</w:t>
      </w:r>
      <w:r>
        <w:fldChar w:fldCharType="end"/>
      </w:r>
      <w:r>
        <w:t xml:space="preserve">. </w:t>
      </w:r>
    </w:p>
    <w:p w14:paraId="7A83FFE5" w14:textId="38610E16" w:rsidR="00505BD5" w:rsidRPr="00881E2D" w:rsidRDefault="00505BD5" w:rsidP="00505BD5">
      <w:pPr>
        <w:pStyle w:val="Caption"/>
        <w:rPr>
          <w:color w:val="0066FF"/>
        </w:rPr>
      </w:pPr>
      <w:bookmarkStart w:id="114" w:name="_Ref197089647"/>
      <w:r>
        <w:t xml:space="preserve">Table </w:t>
      </w:r>
      <w:r w:rsidR="00ED1DB4">
        <w:fldChar w:fldCharType="begin"/>
      </w:r>
      <w:r w:rsidR="00ED1DB4">
        <w:instrText xml:space="preserve"> SEQ Table \* ARABIC </w:instrText>
      </w:r>
      <w:r w:rsidR="00ED1DB4">
        <w:fldChar w:fldCharType="separate"/>
      </w:r>
      <w:r w:rsidR="00124226">
        <w:rPr>
          <w:noProof/>
        </w:rPr>
        <w:t>16</w:t>
      </w:r>
      <w:r w:rsidR="00ED1DB4">
        <w:rPr>
          <w:noProof/>
        </w:rPr>
        <w:fldChar w:fldCharType="end"/>
      </w:r>
      <w:bookmarkEnd w:id="114"/>
      <w:r>
        <w:t>: Key inputs for the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Key inputs for the financial estimates"/>
      </w:tblPr>
      <w:tblGrid>
        <w:gridCol w:w="1838"/>
        <w:gridCol w:w="3553"/>
        <w:gridCol w:w="3789"/>
      </w:tblGrid>
      <w:tr w:rsidR="00505BD5" w:rsidRPr="00B86885" w14:paraId="73EF83DC" w14:textId="77777777" w:rsidTr="00ED400D">
        <w:trPr>
          <w:cantSplit/>
          <w:tblHeader/>
        </w:trPr>
        <w:tc>
          <w:tcPr>
            <w:tcW w:w="1838" w:type="dxa"/>
            <w:tcMar>
              <w:left w:w="20" w:type="dxa"/>
              <w:right w:w="20" w:type="dxa"/>
            </w:tcMar>
            <w:vAlign w:val="center"/>
          </w:tcPr>
          <w:p w14:paraId="34FCFCB6" w14:textId="77777777" w:rsidR="00505BD5" w:rsidRPr="00B86885" w:rsidRDefault="00505BD5">
            <w:pPr>
              <w:pStyle w:val="In-tableHeading"/>
              <w:keepLines w:val="0"/>
              <w:jc w:val="center"/>
              <w:rPr>
                <w:lang w:val="en-AU"/>
              </w:rPr>
            </w:pPr>
            <w:r w:rsidRPr="00B86885">
              <w:rPr>
                <w:lang w:val="en-AU"/>
              </w:rPr>
              <w:t>Data</w:t>
            </w:r>
          </w:p>
        </w:tc>
        <w:tc>
          <w:tcPr>
            <w:tcW w:w="3553" w:type="dxa"/>
            <w:tcMar>
              <w:left w:w="20" w:type="dxa"/>
              <w:right w:w="20" w:type="dxa"/>
            </w:tcMar>
            <w:vAlign w:val="center"/>
          </w:tcPr>
          <w:p w14:paraId="6877AA28" w14:textId="77777777" w:rsidR="00505BD5" w:rsidRPr="00B86885" w:rsidRDefault="00505BD5">
            <w:pPr>
              <w:pStyle w:val="In-tableHeading"/>
              <w:keepLines w:val="0"/>
              <w:jc w:val="center"/>
              <w:rPr>
                <w:lang w:val="en-AU"/>
              </w:rPr>
            </w:pPr>
            <w:r w:rsidRPr="00B86885">
              <w:rPr>
                <w:lang w:val="en-AU"/>
              </w:rPr>
              <w:t>Value/Source</w:t>
            </w:r>
          </w:p>
        </w:tc>
        <w:tc>
          <w:tcPr>
            <w:tcW w:w="3789" w:type="dxa"/>
            <w:tcMar>
              <w:left w:w="20" w:type="dxa"/>
              <w:right w:w="20" w:type="dxa"/>
            </w:tcMar>
            <w:vAlign w:val="center"/>
          </w:tcPr>
          <w:p w14:paraId="51C7AAC7" w14:textId="77777777" w:rsidR="00505BD5" w:rsidRPr="00B86885" w:rsidRDefault="00505BD5">
            <w:pPr>
              <w:pStyle w:val="In-tableHeading"/>
              <w:keepLines w:val="0"/>
              <w:jc w:val="center"/>
              <w:rPr>
                <w:lang w:val="en-AU"/>
              </w:rPr>
            </w:pPr>
            <w:r w:rsidRPr="00B86885">
              <w:rPr>
                <w:lang w:val="en-AU"/>
              </w:rPr>
              <w:t>Comment</w:t>
            </w:r>
          </w:p>
        </w:tc>
      </w:tr>
      <w:tr w:rsidR="00505BD5" w:rsidRPr="00B86885" w14:paraId="624313DC" w14:textId="77777777" w:rsidTr="00ED400D">
        <w:trPr>
          <w:cantSplit/>
        </w:trPr>
        <w:tc>
          <w:tcPr>
            <w:tcW w:w="9180" w:type="dxa"/>
            <w:gridSpan w:val="3"/>
            <w:tcMar>
              <w:left w:w="20" w:type="dxa"/>
              <w:right w:w="20" w:type="dxa"/>
            </w:tcMar>
            <w:vAlign w:val="center"/>
          </w:tcPr>
          <w:p w14:paraId="46A27A85" w14:textId="77777777" w:rsidR="00505BD5" w:rsidRPr="00B86885" w:rsidRDefault="00505BD5">
            <w:pPr>
              <w:pStyle w:val="In-tableHeading"/>
              <w:keepLines w:val="0"/>
              <w:rPr>
                <w:lang w:val="en-AU"/>
              </w:rPr>
            </w:pPr>
            <w:r w:rsidRPr="00B86885">
              <w:rPr>
                <w:lang w:val="en-AU"/>
              </w:rPr>
              <w:t>Eligible population and treatment utilisation for epidemiological approach</w:t>
            </w:r>
          </w:p>
        </w:tc>
      </w:tr>
      <w:tr w:rsidR="00505BD5" w:rsidRPr="00B86885" w14:paraId="44DC165C" w14:textId="77777777" w:rsidTr="00ED400D">
        <w:trPr>
          <w:cantSplit/>
        </w:trPr>
        <w:tc>
          <w:tcPr>
            <w:tcW w:w="1838" w:type="dxa"/>
            <w:tcMar>
              <w:left w:w="20" w:type="dxa"/>
              <w:right w:w="20" w:type="dxa"/>
            </w:tcMar>
            <w:vAlign w:val="center"/>
          </w:tcPr>
          <w:p w14:paraId="425DCD11" w14:textId="77777777" w:rsidR="00505BD5" w:rsidRPr="00B86885" w:rsidRDefault="00505BD5">
            <w:pPr>
              <w:pStyle w:val="TableText0"/>
              <w:keepLines w:val="0"/>
            </w:pPr>
            <w:r w:rsidRPr="00B86885">
              <w:t>Prevalence of AD</w:t>
            </w:r>
          </w:p>
        </w:tc>
        <w:tc>
          <w:tcPr>
            <w:tcW w:w="3553" w:type="dxa"/>
            <w:tcMar>
              <w:left w:w="20" w:type="dxa"/>
              <w:right w:w="20" w:type="dxa"/>
            </w:tcMar>
            <w:vAlign w:val="center"/>
          </w:tcPr>
          <w:p w14:paraId="2390DF77" w14:textId="77777777" w:rsidR="00505BD5" w:rsidRPr="00B86885" w:rsidRDefault="00505BD5">
            <w:pPr>
              <w:pStyle w:val="TableText0"/>
              <w:keepLines w:val="0"/>
            </w:pPr>
            <w:r w:rsidRPr="00B86885">
              <w:t>6.3%. Chidwick et al.</w:t>
            </w:r>
            <w:bookmarkStart w:id="115" w:name="_Ref197434107"/>
            <w:r w:rsidRPr="00B86885">
              <w:rPr>
                <w:rStyle w:val="FootnoteReference"/>
              </w:rPr>
              <w:footnoteReference w:id="33"/>
            </w:r>
            <w:bookmarkEnd w:id="115"/>
          </w:p>
        </w:tc>
        <w:tc>
          <w:tcPr>
            <w:tcW w:w="3789" w:type="dxa"/>
            <w:tcMar>
              <w:left w:w="20" w:type="dxa"/>
              <w:right w:w="20" w:type="dxa"/>
            </w:tcMar>
            <w:vAlign w:val="center"/>
          </w:tcPr>
          <w:p w14:paraId="07D9AD5A" w14:textId="07C8AF06" w:rsidR="00505BD5" w:rsidRPr="00B86885" w:rsidRDefault="00505BD5">
            <w:pPr>
              <w:pStyle w:val="TableText0"/>
              <w:keepLines w:val="0"/>
            </w:pPr>
            <w:r w:rsidRPr="00B86885">
              <w:t>This prevalence rate was for all Australians (not only for those aged 16 years and over).</w:t>
            </w:r>
          </w:p>
        </w:tc>
      </w:tr>
      <w:tr w:rsidR="00505BD5" w:rsidRPr="00B86885" w14:paraId="49BC9090" w14:textId="77777777" w:rsidTr="00ED400D">
        <w:trPr>
          <w:cantSplit/>
        </w:trPr>
        <w:tc>
          <w:tcPr>
            <w:tcW w:w="1838" w:type="dxa"/>
            <w:tcMar>
              <w:left w:w="20" w:type="dxa"/>
              <w:right w:w="20" w:type="dxa"/>
            </w:tcMar>
            <w:vAlign w:val="center"/>
          </w:tcPr>
          <w:p w14:paraId="4A5297E5" w14:textId="77777777" w:rsidR="00505BD5" w:rsidRPr="00B86885" w:rsidRDefault="00505BD5">
            <w:pPr>
              <w:pStyle w:val="TableText0"/>
              <w:keepLines w:val="0"/>
            </w:pPr>
            <w:r w:rsidRPr="00B86885">
              <w:t>Distribution of AD severity</w:t>
            </w:r>
          </w:p>
        </w:tc>
        <w:tc>
          <w:tcPr>
            <w:tcW w:w="3553" w:type="dxa"/>
            <w:tcMar>
              <w:left w:w="20" w:type="dxa"/>
              <w:right w:w="20" w:type="dxa"/>
            </w:tcMar>
            <w:vAlign w:val="center"/>
          </w:tcPr>
          <w:p w14:paraId="5D9A092D" w14:textId="4A4C8454" w:rsidR="00505BD5" w:rsidRPr="00B86885" w:rsidRDefault="00505BD5">
            <w:pPr>
              <w:pStyle w:val="TableText0"/>
            </w:pPr>
            <w:r w:rsidRPr="00B86885">
              <w:t xml:space="preserve">Mild: 70%, </w:t>
            </w:r>
            <w:r w:rsidR="00AF0DAB" w:rsidRPr="00B86885">
              <w:t>m</w:t>
            </w:r>
            <w:r w:rsidRPr="00B86885">
              <w:t>oderate: 20% and severe: 10%. Beiber et al.</w:t>
            </w:r>
            <w:bookmarkStart w:id="116" w:name="_Ref197434122"/>
            <w:r w:rsidRPr="00B86885">
              <w:rPr>
                <w:rStyle w:val="FootnoteReference"/>
              </w:rPr>
              <w:footnoteReference w:id="34"/>
            </w:r>
            <w:bookmarkEnd w:id="116"/>
          </w:p>
        </w:tc>
        <w:tc>
          <w:tcPr>
            <w:tcW w:w="3789" w:type="dxa"/>
            <w:tcMar>
              <w:left w:w="20" w:type="dxa"/>
              <w:right w:w="20" w:type="dxa"/>
            </w:tcMar>
            <w:vAlign w:val="center"/>
          </w:tcPr>
          <w:p w14:paraId="795EED25" w14:textId="44020BC7" w:rsidR="00505BD5" w:rsidRPr="00B86885" w:rsidRDefault="004A3B9C">
            <w:pPr>
              <w:pStyle w:val="TableText0"/>
              <w:keepLines w:val="0"/>
            </w:pPr>
            <w:r>
              <w:t>B</w:t>
            </w:r>
            <w:r w:rsidR="00505BD5" w:rsidRPr="00B86885">
              <w:t>ased on European data.</w:t>
            </w:r>
          </w:p>
        </w:tc>
      </w:tr>
      <w:tr w:rsidR="00505BD5" w:rsidRPr="00B86885" w14:paraId="2B9FF5B8" w14:textId="77777777" w:rsidTr="00ED400D">
        <w:trPr>
          <w:cantSplit/>
        </w:trPr>
        <w:tc>
          <w:tcPr>
            <w:tcW w:w="1838" w:type="dxa"/>
            <w:tcMar>
              <w:left w:w="20" w:type="dxa"/>
              <w:right w:w="20" w:type="dxa"/>
            </w:tcMar>
            <w:vAlign w:val="center"/>
          </w:tcPr>
          <w:p w14:paraId="6202C259" w14:textId="77777777" w:rsidR="00505BD5" w:rsidRPr="00B86885" w:rsidRDefault="00505BD5">
            <w:pPr>
              <w:pStyle w:val="TableText0"/>
              <w:keepLines w:val="0"/>
            </w:pPr>
            <w:r w:rsidRPr="00B86885">
              <w:t>Location of AD</w:t>
            </w:r>
          </w:p>
        </w:tc>
        <w:tc>
          <w:tcPr>
            <w:tcW w:w="3553" w:type="dxa"/>
            <w:tcMar>
              <w:left w:w="20" w:type="dxa"/>
              <w:right w:w="20" w:type="dxa"/>
            </w:tcMar>
            <w:vAlign w:val="center"/>
          </w:tcPr>
          <w:p w14:paraId="1EE6A89A" w14:textId="77777777" w:rsidR="00505BD5" w:rsidRPr="00B86885" w:rsidRDefault="00505BD5">
            <w:pPr>
              <w:pStyle w:val="TableText0"/>
            </w:pPr>
            <w:r w:rsidRPr="00B86885">
              <w:t>Face/eyelids: 25%, Body: 75% Szefler et al.</w:t>
            </w:r>
            <w:bookmarkStart w:id="117" w:name="_Ref197434145"/>
            <w:r w:rsidRPr="00B86885">
              <w:rPr>
                <w:rStyle w:val="FootnoteReference"/>
              </w:rPr>
              <w:footnoteReference w:id="35"/>
            </w:r>
            <w:bookmarkEnd w:id="117"/>
          </w:p>
        </w:tc>
        <w:tc>
          <w:tcPr>
            <w:tcW w:w="3789" w:type="dxa"/>
            <w:tcMar>
              <w:left w:w="20" w:type="dxa"/>
              <w:right w:w="20" w:type="dxa"/>
            </w:tcMar>
            <w:vAlign w:val="center"/>
          </w:tcPr>
          <w:p w14:paraId="11DECE60" w14:textId="77777777" w:rsidR="00505BD5" w:rsidRPr="00B86885" w:rsidRDefault="00505BD5">
            <w:pPr>
              <w:pStyle w:val="TableText0"/>
              <w:keepLines w:val="0"/>
            </w:pPr>
            <w:r w:rsidRPr="00B86885">
              <w:t xml:space="preserve">No evidence was provided in the cited source to substantiate that 25% of patients would have AD on their eyelids, though the proportion with AD on their eyelids </w:t>
            </w:r>
            <w:r w:rsidRPr="00ED400D">
              <w:t xml:space="preserve">or </w:t>
            </w:r>
            <w:r w:rsidRPr="00B86885">
              <w:t>face would be higher than the proportion on eyelids alone.</w:t>
            </w:r>
          </w:p>
        </w:tc>
      </w:tr>
      <w:tr w:rsidR="00505BD5" w:rsidRPr="00B86885" w14:paraId="7AC5A34C" w14:textId="77777777" w:rsidTr="00ED400D">
        <w:trPr>
          <w:cantSplit/>
        </w:trPr>
        <w:tc>
          <w:tcPr>
            <w:tcW w:w="1838" w:type="dxa"/>
            <w:tcMar>
              <w:left w:w="20" w:type="dxa"/>
              <w:right w:w="20" w:type="dxa"/>
            </w:tcMar>
            <w:vAlign w:val="center"/>
          </w:tcPr>
          <w:p w14:paraId="32A25A34" w14:textId="77777777" w:rsidR="00505BD5" w:rsidRPr="00B86885" w:rsidRDefault="00505BD5">
            <w:pPr>
              <w:pStyle w:val="TableText0"/>
              <w:keepLines w:val="0"/>
            </w:pPr>
            <w:r w:rsidRPr="00B86885">
              <w:t>Proportion with history of TCS treatment</w:t>
            </w:r>
          </w:p>
        </w:tc>
        <w:tc>
          <w:tcPr>
            <w:tcW w:w="3553" w:type="dxa"/>
            <w:tcMar>
              <w:left w:w="20" w:type="dxa"/>
              <w:right w:w="20" w:type="dxa"/>
            </w:tcMar>
            <w:vAlign w:val="center"/>
          </w:tcPr>
          <w:p w14:paraId="196B45E0" w14:textId="2E316193" w:rsidR="00505BD5" w:rsidRPr="00B86885" w:rsidRDefault="00505BD5">
            <w:pPr>
              <w:pStyle w:val="TableText0"/>
              <w:keepLines w:val="0"/>
            </w:pPr>
            <w:r w:rsidRPr="00B86885">
              <w:t xml:space="preserve">92%. </w:t>
            </w:r>
            <w:r w:rsidR="00AF0DAB" w:rsidRPr="00B86885">
              <w:t xml:space="preserve">DUPI </w:t>
            </w:r>
            <w:r w:rsidRPr="00B86885">
              <w:t>DUSC report</w:t>
            </w:r>
          </w:p>
        </w:tc>
        <w:tc>
          <w:tcPr>
            <w:tcW w:w="3789" w:type="dxa"/>
            <w:tcMar>
              <w:left w:w="20" w:type="dxa"/>
              <w:right w:w="20" w:type="dxa"/>
            </w:tcMar>
            <w:vAlign w:val="center"/>
          </w:tcPr>
          <w:p w14:paraId="436452B4" w14:textId="1D8AA477" w:rsidR="00505BD5" w:rsidRPr="00B86885" w:rsidRDefault="004A3B9C">
            <w:pPr>
              <w:pStyle w:val="TableText0"/>
              <w:keepLines w:val="0"/>
            </w:pPr>
            <w:r>
              <w:t>-</w:t>
            </w:r>
          </w:p>
        </w:tc>
      </w:tr>
      <w:tr w:rsidR="00505BD5" w:rsidRPr="00B86885" w14:paraId="31F6F7CC" w14:textId="77777777" w:rsidTr="00ED400D">
        <w:trPr>
          <w:cantSplit/>
        </w:trPr>
        <w:tc>
          <w:tcPr>
            <w:tcW w:w="1838" w:type="dxa"/>
            <w:tcMar>
              <w:left w:w="20" w:type="dxa"/>
              <w:right w:w="20" w:type="dxa"/>
            </w:tcMar>
            <w:vAlign w:val="center"/>
          </w:tcPr>
          <w:p w14:paraId="0B1687A2" w14:textId="77777777" w:rsidR="00505BD5" w:rsidRPr="00B86885" w:rsidRDefault="00505BD5">
            <w:pPr>
              <w:pStyle w:val="TableText0"/>
              <w:keepLines w:val="0"/>
            </w:pPr>
            <w:r w:rsidRPr="00B86885">
              <w:t>Proportion who fail or are contraindicated to TCS</w:t>
            </w:r>
          </w:p>
        </w:tc>
        <w:tc>
          <w:tcPr>
            <w:tcW w:w="3553" w:type="dxa"/>
            <w:tcMar>
              <w:left w:w="20" w:type="dxa"/>
              <w:right w:w="20" w:type="dxa"/>
            </w:tcMar>
            <w:vAlign w:val="center"/>
          </w:tcPr>
          <w:p w14:paraId="7A5E106A" w14:textId="77777777" w:rsidR="00505BD5" w:rsidRPr="00B86885" w:rsidRDefault="00505BD5">
            <w:pPr>
              <w:pStyle w:val="TableText0"/>
              <w:keepLines w:val="0"/>
            </w:pPr>
            <w:r w:rsidRPr="00B86885">
              <w:t>30%. Augustin et al.</w:t>
            </w:r>
            <w:bookmarkStart w:id="118" w:name="_Ref197434134"/>
            <w:r w:rsidRPr="00B86885">
              <w:rPr>
                <w:rStyle w:val="FootnoteReference"/>
              </w:rPr>
              <w:footnoteReference w:id="36"/>
            </w:r>
            <w:bookmarkEnd w:id="118"/>
          </w:p>
        </w:tc>
        <w:tc>
          <w:tcPr>
            <w:tcW w:w="3789" w:type="dxa"/>
            <w:tcMar>
              <w:left w:w="20" w:type="dxa"/>
              <w:right w:w="20" w:type="dxa"/>
            </w:tcMar>
            <w:vAlign w:val="center"/>
          </w:tcPr>
          <w:p w14:paraId="05A8A60D" w14:textId="77777777" w:rsidR="00505BD5" w:rsidRPr="00B86885" w:rsidRDefault="00505BD5">
            <w:pPr>
              <w:pStyle w:val="TableText0"/>
              <w:keepLines w:val="0"/>
            </w:pPr>
            <w:r w:rsidRPr="00B86885">
              <w:t>The applied proportion differed to what was reported in the study (40.8%).</w:t>
            </w:r>
          </w:p>
        </w:tc>
      </w:tr>
      <w:tr w:rsidR="00505BD5" w:rsidRPr="00B86885" w14:paraId="6D3A930B" w14:textId="77777777" w:rsidTr="00ED400D">
        <w:trPr>
          <w:cantSplit/>
        </w:trPr>
        <w:tc>
          <w:tcPr>
            <w:tcW w:w="1838" w:type="dxa"/>
            <w:tcMar>
              <w:left w:w="20" w:type="dxa"/>
              <w:right w:w="20" w:type="dxa"/>
            </w:tcMar>
            <w:vAlign w:val="center"/>
          </w:tcPr>
          <w:p w14:paraId="6A8D13FD" w14:textId="77777777" w:rsidR="00505BD5" w:rsidRPr="00B86885" w:rsidRDefault="00505BD5">
            <w:pPr>
              <w:pStyle w:val="TableText0"/>
              <w:keepLines w:val="0"/>
            </w:pPr>
            <w:r w:rsidRPr="00B86885">
              <w:t>Uptake rate</w:t>
            </w:r>
          </w:p>
        </w:tc>
        <w:tc>
          <w:tcPr>
            <w:tcW w:w="3553" w:type="dxa"/>
            <w:tcMar>
              <w:left w:w="20" w:type="dxa"/>
              <w:right w:w="20" w:type="dxa"/>
            </w:tcMar>
            <w:vAlign w:val="center"/>
          </w:tcPr>
          <w:p w14:paraId="4144CAAB" w14:textId="2B453113" w:rsidR="00505BD5" w:rsidRPr="00B86885" w:rsidRDefault="00505BD5">
            <w:pPr>
              <w:pStyle w:val="TableText0"/>
              <w:keepLines w:val="0"/>
            </w:pPr>
            <w:r w:rsidRPr="00B86885">
              <w:t xml:space="preserve">From </w:t>
            </w:r>
            <w:r w:rsidR="00460689" w:rsidRPr="00460689">
              <w:rPr>
                <w:color w:val="000000"/>
                <w:spacing w:val="51"/>
                <w:shd w:val="solid" w:color="000000" w:fill="000000"/>
                <w:fitText w:val="324" w:id="-632553464"/>
                <w14:textFill>
                  <w14:solidFill>
                    <w14:srgbClr w14:val="000000">
                      <w14:alpha w14:val="100000"/>
                    </w14:srgbClr>
                  </w14:solidFill>
                </w14:textFill>
              </w:rPr>
              <w:t>|||</w:t>
            </w:r>
            <w:r w:rsidR="00460689" w:rsidRPr="00460689">
              <w:rPr>
                <w:color w:val="000000"/>
                <w:spacing w:val="1"/>
                <w:shd w:val="solid" w:color="000000" w:fill="000000"/>
                <w:fitText w:val="324" w:id="-632553464"/>
                <w14:textFill>
                  <w14:solidFill>
                    <w14:srgbClr w14:val="000000">
                      <w14:alpha w14:val="100000"/>
                    </w14:srgbClr>
                  </w14:solidFill>
                </w14:textFill>
              </w:rPr>
              <w:t>|</w:t>
            </w:r>
            <w:r w:rsidRPr="00B86885">
              <w:t xml:space="preserve">% in Year 1 (based on the average proportion of moderate </w:t>
            </w:r>
            <w:r w:rsidR="00122C67" w:rsidRPr="00B86885">
              <w:t xml:space="preserve">to </w:t>
            </w:r>
            <w:r w:rsidRPr="00B86885">
              <w:t>severe AD patients not meeting their treatment goals in Augustin et al.</w:t>
            </w:r>
            <w:r w:rsidRPr="00B86885">
              <w:fldChar w:fldCharType="begin"/>
            </w:r>
            <w:r w:rsidRPr="00B86885">
              <w:instrText xml:space="preserve"> NOTEREF _Ref197434134 \f \h </w:instrText>
            </w:r>
            <w:r w:rsidR="00B86885" w:rsidRPr="00B86885">
              <w:instrText xml:space="preserve"> \* MERGEFORMAT </w:instrText>
            </w:r>
            <w:r w:rsidRPr="00B86885">
              <w:fldChar w:fldCharType="separate"/>
            </w:r>
            <w:r w:rsidR="00124226" w:rsidRPr="00124226">
              <w:rPr>
                <w:rStyle w:val="FootnoteReference"/>
              </w:rPr>
              <w:t>35</w:t>
            </w:r>
            <w:r w:rsidRPr="00B86885">
              <w:fldChar w:fldCharType="end"/>
            </w:r>
            <w:r w:rsidRPr="00B86885">
              <w:t xml:space="preserve">) to </w:t>
            </w:r>
            <w:r w:rsidR="00460689" w:rsidRPr="00460689">
              <w:rPr>
                <w:color w:val="000000"/>
                <w:spacing w:val="53"/>
                <w:shd w:val="solid" w:color="000000" w:fill="000000"/>
                <w:fitText w:val="330" w:id="-632553463"/>
                <w14:textFill>
                  <w14:solidFill>
                    <w14:srgbClr w14:val="000000">
                      <w14:alpha w14:val="100000"/>
                    </w14:srgbClr>
                  </w14:solidFill>
                </w14:textFill>
              </w:rPr>
              <w:t>|||</w:t>
            </w:r>
            <w:r w:rsidR="00460689" w:rsidRPr="00460689">
              <w:rPr>
                <w:color w:val="000000"/>
                <w:spacing w:val="1"/>
                <w:shd w:val="solid" w:color="000000" w:fill="000000"/>
                <w:fitText w:val="330" w:id="-632553463"/>
                <w14:textFill>
                  <w14:solidFill>
                    <w14:srgbClr w14:val="000000">
                      <w14:alpha w14:val="100000"/>
                    </w14:srgbClr>
                  </w14:solidFill>
                </w14:textFill>
              </w:rPr>
              <w:t>|</w:t>
            </w:r>
            <w:r w:rsidRPr="00B86885">
              <w:t>% in Year 6 (assumed).</w:t>
            </w:r>
          </w:p>
        </w:tc>
        <w:tc>
          <w:tcPr>
            <w:tcW w:w="3789" w:type="dxa"/>
            <w:tcMar>
              <w:left w:w="20" w:type="dxa"/>
              <w:right w:w="20" w:type="dxa"/>
            </w:tcMar>
            <w:vAlign w:val="center"/>
          </w:tcPr>
          <w:p w14:paraId="071FE255" w14:textId="7BAC9709" w:rsidR="00505BD5" w:rsidRPr="00B86885" w:rsidRDefault="004A3B9C">
            <w:pPr>
              <w:pStyle w:val="TableText0"/>
              <w:keepLines w:val="0"/>
            </w:pPr>
            <w:r>
              <w:t>-</w:t>
            </w:r>
          </w:p>
        </w:tc>
      </w:tr>
      <w:tr w:rsidR="00505BD5" w:rsidRPr="00B86885" w14:paraId="391B2A72" w14:textId="77777777" w:rsidTr="00ED400D">
        <w:trPr>
          <w:cantSplit/>
        </w:trPr>
        <w:tc>
          <w:tcPr>
            <w:tcW w:w="1838" w:type="dxa"/>
            <w:tcMar>
              <w:left w:w="20" w:type="dxa"/>
              <w:right w:w="20" w:type="dxa"/>
            </w:tcMar>
            <w:vAlign w:val="center"/>
          </w:tcPr>
          <w:p w14:paraId="7B2807BA" w14:textId="77777777" w:rsidR="00505BD5" w:rsidRPr="00B86885" w:rsidRDefault="00505BD5">
            <w:pPr>
              <w:pStyle w:val="TableText0"/>
              <w:keepLines w:val="0"/>
            </w:pPr>
            <w:r w:rsidRPr="00B86885">
              <w:t>Treatment discontinuation rate.</w:t>
            </w:r>
          </w:p>
        </w:tc>
        <w:tc>
          <w:tcPr>
            <w:tcW w:w="3553" w:type="dxa"/>
            <w:tcMar>
              <w:left w:w="20" w:type="dxa"/>
              <w:right w:w="20" w:type="dxa"/>
            </w:tcMar>
            <w:vAlign w:val="center"/>
          </w:tcPr>
          <w:p w14:paraId="49BD58CA" w14:textId="5DE11AB3" w:rsidR="00505BD5" w:rsidRPr="00B86885" w:rsidRDefault="00505BD5">
            <w:pPr>
              <w:pStyle w:val="TableText0"/>
              <w:keepLines w:val="0"/>
            </w:pPr>
            <w:r w:rsidRPr="00B86885">
              <w:t xml:space="preserve">0% for patients in their first year of treatment. 35% for patients in Year 2+ of treatment based on 35% of </w:t>
            </w:r>
            <w:r w:rsidR="00AF0DAB" w:rsidRPr="00B86885">
              <w:t>TAC</w:t>
            </w:r>
            <w:r w:rsidRPr="00B86885">
              <w:t xml:space="preserve"> patients who discontinued treatment within 12 months of treatment in the </w:t>
            </w:r>
            <w:r w:rsidRPr="0008659F">
              <w:rPr>
                <w:i/>
                <w:iCs/>
              </w:rPr>
              <w:t>post hoc</w:t>
            </w:r>
            <w:r w:rsidRPr="00B86885">
              <w:t xml:space="preserve"> analysis of the trial.</w:t>
            </w:r>
            <w:r w:rsidRPr="00B86885">
              <w:fldChar w:fldCharType="begin"/>
            </w:r>
            <w:r w:rsidRPr="00B86885">
              <w:instrText xml:space="preserve"> NOTEREF _Ref197964586 \f \h </w:instrText>
            </w:r>
            <w:r w:rsidR="00B86885" w:rsidRPr="00B86885">
              <w:instrText xml:space="preserve"> \* MERGEFORMAT </w:instrText>
            </w:r>
            <w:r w:rsidRPr="00B86885">
              <w:fldChar w:fldCharType="separate"/>
            </w:r>
            <w:r w:rsidR="00124226" w:rsidRPr="00124226">
              <w:rPr>
                <w:rStyle w:val="FootnoteReference"/>
              </w:rPr>
              <w:t>26</w:t>
            </w:r>
            <w:r w:rsidRPr="00B86885">
              <w:fldChar w:fldCharType="end"/>
            </w:r>
          </w:p>
        </w:tc>
        <w:tc>
          <w:tcPr>
            <w:tcW w:w="3789" w:type="dxa"/>
            <w:tcMar>
              <w:left w:w="20" w:type="dxa"/>
              <w:right w:w="20" w:type="dxa"/>
            </w:tcMar>
            <w:vAlign w:val="center"/>
          </w:tcPr>
          <w:p w14:paraId="00041EB8" w14:textId="47D9665B" w:rsidR="00505BD5" w:rsidRPr="00B86885" w:rsidRDefault="00505BD5">
            <w:pPr>
              <w:pStyle w:val="TableText0"/>
              <w:keepLines w:val="0"/>
            </w:pPr>
            <w:r w:rsidRPr="00B86885">
              <w:t xml:space="preserve">It may not be reasonable to assume that all patients would complete their first year of </w:t>
            </w:r>
            <w:r w:rsidR="009B5B30">
              <w:t xml:space="preserve">0.1% </w:t>
            </w:r>
            <w:r w:rsidR="00AF0DAB" w:rsidRPr="00B86885">
              <w:t xml:space="preserve">TAC </w:t>
            </w:r>
            <w:r w:rsidRPr="00B86885">
              <w:t>treatment, and the assumption of ongoing treatment was not supported by the clinical or economic evidence.</w:t>
            </w:r>
          </w:p>
        </w:tc>
      </w:tr>
      <w:tr w:rsidR="00505BD5" w:rsidRPr="00B86885" w14:paraId="1CC5F932" w14:textId="77777777" w:rsidTr="00ED400D">
        <w:trPr>
          <w:cantSplit/>
        </w:trPr>
        <w:tc>
          <w:tcPr>
            <w:tcW w:w="1838" w:type="dxa"/>
            <w:tcMar>
              <w:left w:w="20" w:type="dxa"/>
              <w:right w:w="20" w:type="dxa"/>
            </w:tcMar>
            <w:vAlign w:val="center"/>
          </w:tcPr>
          <w:p w14:paraId="62383AB2" w14:textId="634C93DA" w:rsidR="00505BD5" w:rsidRPr="00B86885" w:rsidRDefault="009B5B30">
            <w:pPr>
              <w:pStyle w:val="TableText0"/>
              <w:keepLines w:val="0"/>
            </w:pPr>
            <w:r>
              <w:t xml:space="preserve">0.1% </w:t>
            </w:r>
            <w:r w:rsidR="00AF0DAB" w:rsidRPr="00B86885">
              <w:t>TAC</w:t>
            </w:r>
            <w:r w:rsidR="00505BD5" w:rsidRPr="00B86885">
              <w:t xml:space="preserve"> scripts per patient per year</w:t>
            </w:r>
          </w:p>
        </w:tc>
        <w:tc>
          <w:tcPr>
            <w:tcW w:w="3553" w:type="dxa"/>
            <w:tcMar>
              <w:left w:w="20" w:type="dxa"/>
              <w:right w:w="20" w:type="dxa"/>
            </w:tcMar>
            <w:vAlign w:val="center"/>
          </w:tcPr>
          <w:p w14:paraId="223099DB" w14:textId="1D445880" w:rsidR="00505BD5" w:rsidRPr="00B86885" w:rsidRDefault="00505BD5">
            <w:pPr>
              <w:pStyle w:val="TableText0"/>
              <w:keepNext w:val="0"/>
              <w:keepLines w:val="0"/>
            </w:pPr>
            <w:r w:rsidRPr="00B86885">
              <w:t xml:space="preserve">20 based on an average use of 1.68 g of </w:t>
            </w:r>
            <w:r w:rsidR="009B5B30">
              <w:t xml:space="preserve">0.1% </w:t>
            </w:r>
            <w:r w:rsidR="00AF0DAB" w:rsidRPr="00B86885">
              <w:t>TAC</w:t>
            </w:r>
            <w:r w:rsidRPr="00B86885">
              <w:t xml:space="preserve"> per day, each 30 g tube lasts approximately 18 days. </w:t>
            </w:r>
          </w:p>
        </w:tc>
        <w:tc>
          <w:tcPr>
            <w:tcW w:w="3789" w:type="dxa"/>
            <w:tcMar>
              <w:left w:w="20" w:type="dxa"/>
              <w:right w:w="20" w:type="dxa"/>
            </w:tcMar>
            <w:vAlign w:val="center"/>
          </w:tcPr>
          <w:p w14:paraId="3D8B1C35" w14:textId="57FE85FB" w:rsidR="00505BD5" w:rsidRPr="00B86885" w:rsidRDefault="00505BD5">
            <w:pPr>
              <w:pStyle w:val="TableText0"/>
              <w:keepNext w:val="0"/>
              <w:keepLines w:val="0"/>
            </w:pPr>
            <w:r w:rsidRPr="00B86885">
              <w:t xml:space="preserve">While this was consistent with the CUA, it is uncertain whether patients with AD on their face or eyelids would use the same amount of </w:t>
            </w:r>
            <w:r w:rsidR="009B5B30">
              <w:t xml:space="preserve">0.1% </w:t>
            </w:r>
            <w:r w:rsidR="00AF0DAB" w:rsidRPr="00B86885">
              <w:t>TAC</w:t>
            </w:r>
            <w:r w:rsidRPr="00B86885">
              <w:t xml:space="preserve"> as patients with AD on their body. </w:t>
            </w:r>
          </w:p>
        </w:tc>
      </w:tr>
      <w:tr w:rsidR="00505BD5" w:rsidRPr="00B86885" w14:paraId="2CF81F92" w14:textId="77777777" w:rsidTr="00ED400D">
        <w:trPr>
          <w:cantSplit/>
        </w:trPr>
        <w:tc>
          <w:tcPr>
            <w:tcW w:w="1838" w:type="dxa"/>
            <w:tcMar>
              <w:left w:w="20" w:type="dxa"/>
              <w:right w:w="20" w:type="dxa"/>
            </w:tcMar>
            <w:vAlign w:val="center"/>
          </w:tcPr>
          <w:p w14:paraId="71F5A1C4" w14:textId="77777777" w:rsidR="00505BD5" w:rsidRPr="00B86885" w:rsidRDefault="00505BD5">
            <w:pPr>
              <w:pStyle w:val="TableText0"/>
              <w:keepNext w:val="0"/>
              <w:keepLines w:val="0"/>
            </w:pPr>
            <w:r w:rsidRPr="00B86885">
              <w:t>Proportion of patients who do not receive further systemic therapy</w:t>
            </w:r>
          </w:p>
        </w:tc>
        <w:tc>
          <w:tcPr>
            <w:tcW w:w="3553" w:type="dxa"/>
            <w:tcMar>
              <w:left w:w="20" w:type="dxa"/>
              <w:right w:w="20" w:type="dxa"/>
            </w:tcMar>
            <w:vAlign w:val="center"/>
          </w:tcPr>
          <w:p w14:paraId="774BDBA7" w14:textId="38B1E119" w:rsidR="00505BD5" w:rsidRPr="00B86885" w:rsidRDefault="00505BD5">
            <w:pPr>
              <w:pStyle w:val="TableText0"/>
              <w:keepNext w:val="0"/>
              <w:keepLines w:val="0"/>
            </w:pPr>
            <w:r w:rsidRPr="00B86885">
              <w:t xml:space="preserve">65% based on treatment satisfaction rates reported </w:t>
            </w:r>
            <w:r w:rsidR="00810885">
              <w:t xml:space="preserve">for </w:t>
            </w:r>
            <w:r w:rsidR="009B5B30">
              <w:t xml:space="preserve">0.1% </w:t>
            </w:r>
            <w:r w:rsidR="00810885">
              <w:t xml:space="preserve">TAC </w:t>
            </w:r>
            <w:r w:rsidRPr="00B86885">
              <w:t xml:space="preserve">in </w:t>
            </w:r>
            <w:r w:rsidR="00E55980">
              <w:t xml:space="preserve">a single arm </w:t>
            </w:r>
            <w:r w:rsidR="00810885">
              <w:t xml:space="preserve">non comparative </w:t>
            </w:r>
            <w:r w:rsidR="00E55980">
              <w:t xml:space="preserve">study </w:t>
            </w:r>
            <w:r w:rsidRPr="00B86885">
              <w:t>Reitamo et al.</w:t>
            </w:r>
            <w:bookmarkStart w:id="119" w:name="_Ref197952693"/>
            <w:r w:rsidRPr="00B86885">
              <w:rPr>
                <w:rStyle w:val="FootnoteReference"/>
              </w:rPr>
              <w:footnoteReference w:id="37"/>
            </w:r>
            <w:bookmarkEnd w:id="119"/>
            <w:r w:rsidRPr="00B86885">
              <w:t xml:space="preserve"> </w:t>
            </w:r>
          </w:p>
        </w:tc>
        <w:tc>
          <w:tcPr>
            <w:tcW w:w="3789" w:type="dxa"/>
            <w:tcMar>
              <w:left w:w="20" w:type="dxa"/>
              <w:right w:w="20" w:type="dxa"/>
            </w:tcMar>
            <w:vAlign w:val="center"/>
          </w:tcPr>
          <w:p w14:paraId="343694D3" w14:textId="2A3123C0" w:rsidR="00505BD5" w:rsidRPr="00B86885" w:rsidRDefault="00505BD5">
            <w:pPr>
              <w:pStyle w:val="TableText0"/>
              <w:keepNext w:val="0"/>
              <w:keepLines w:val="0"/>
            </w:pPr>
            <w:r w:rsidRPr="00B86885">
              <w:t>This could not be verified from the cited source (which reported 75% for all patients enrolled and 72% for patients aged over 16 years).</w:t>
            </w:r>
            <w:r w:rsidRPr="00B86885">
              <w:fldChar w:fldCharType="begin"/>
            </w:r>
            <w:r w:rsidRPr="00B86885">
              <w:instrText xml:space="preserve"> NOTEREF _Ref197952693 \f \h  \* MERGEFORMAT </w:instrText>
            </w:r>
            <w:r w:rsidRPr="00B86885">
              <w:fldChar w:fldCharType="separate"/>
            </w:r>
            <w:r w:rsidR="00124226" w:rsidRPr="00124226">
              <w:rPr>
                <w:rStyle w:val="FootnoteReference"/>
              </w:rPr>
              <w:t>36</w:t>
            </w:r>
            <w:r w:rsidRPr="00B86885">
              <w:fldChar w:fldCharType="end"/>
            </w:r>
            <w:r w:rsidRPr="00B86885">
              <w:t xml:space="preserve"> </w:t>
            </w:r>
            <w:r w:rsidR="003C49F6">
              <w:t xml:space="preserve">The PBAC </w:t>
            </w:r>
            <w:r w:rsidR="003B4848">
              <w:t>considered</w:t>
            </w:r>
            <w:r w:rsidR="003C49F6">
              <w:t xml:space="preserve"> th</w:t>
            </w:r>
            <w:r w:rsidR="0082611D">
              <w:t xml:space="preserve">at satisfaction with </w:t>
            </w:r>
            <w:r w:rsidR="008001B8">
              <w:t xml:space="preserve">0.1% TAC </w:t>
            </w:r>
            <w:r w:rsidR="00810885">
              <w:t>does not</w:t>
            </w:r>
            <w:r w:rsidR="00AE73D1">
              <w:t xml:space="preserve"> directly</w:t>
            </w:r>
            <w:r w:rsidR="00810885">
              <w:t xml:space="preserve"> </w:t>
            </w:r>
            <w:r w:rsidR="00E04A63">
              <w:t>translate</w:t>
            </w:r>
            <w:r w:rsidR="00F5099B">
              <w:t xml:space="preserve"> </w:t>
            </w:r>
            <w:r w:rsidR="00273914">
              <w:t xml:space="preserve">to </w:t>
            </w:r>
            <w:r w:rsidR="00AE73D1">
              <w:t>avoiding the use o</w:t>
            </w:r>
            <w:r w:rsidR="00CD7254">
              <w:t xml:space="preserve">f </w:t>
            </w:r>
            <w:r w:rsidR="00E904C4">
              <w:t>systemic therapies.</w:t>
            </w:r>
          </w:p>
        </w:tc>
      </w:tr>
      <w:tr w:rsidR="00505BD5" w:rsidRPr="00B86885" w14:paraId="578FA722" w14:textId="77777777" w:rsidTr="00ED400D">
        <w:trPr>
          <w:cantSplit/>
        </w:trPr>
        <w:tc>
          <w:tcPr>
            <w:tcW w:w="1838" w:type="dxa"/>
            <w:tcMar>
              <w:left w:w="20" w:type="dxa"/>
              <w:right w:w="20" w:type="dxa"/>
            </w:tcMar>
            <w:vAlign w:val="center"/>
          </w:tcPr>
          <w:p w14:paraId="45DFF15D" w14:textId="482BB5D1" w:rsidR="00505BD5" w:rsidRPr="00B86885" w:rsidRDefault="00505BD5">
            <w:pPr>
              <w:pStyle w:val="TableText0"/>
              <w:keepNext w:val="0"/>
              <w:keepLines w:val="0"/>
            </w:pPr>
            <w:r w:rsidRPr="00B86885">
              <w:t xml:space="preserve">Proportion of patients who would reduce </w:t>
            </w:r>
            <w:r w:rsidR="00AF0DAB" w:rsidRPr="00B86885">
              <w:t>DUPI</w:t>
            </w:r>
            <w:r w:rsidRPr="00B86885">
              <w:t xml:space="preserve"> and </w:t>
            </w:r>
            <w:r w:rsidR="00AF0DAB" w:rsidRPr="00B86885">
              <w:t>UPA</w:t>
            </w:r>
            <w:r w:rsidRPr="00B86885">
              <w:t xml:space="preserve"> use among those who do not receive further systemic therapy</w:t>
            </w:r>
          </w:p>
        </w:tc>
        <w:tc>
          <w:tcPr>
            <w:tcW w:w="3553" w:type="dxa"/>
            <w:tcMar>
              <w:left w:w="20" w:type="dxa"/>
              <w:right w:w="20" w:type="dxa"/>
            </w:tcMar>
            <w:vAlign w:val="center"/>
          </w:tcPr>
          <w:p w14:paraId="3B3B6802" w14:textId="0AB5F7A5" w:rsidR="00505BD5" w:rsidRPr="00B86885" w:rsidRDefault="00D716A5">
            <w:pPr>
              <w:pStyle w:val="TableText0"/>
              <w:keepNext w:val="0"/>
            </w:pPr>
            <w:r w:rsidRPr="00B86885">
              <w:t>DUPI</w:t>
            </w:r>
            <w:r w:rsidR="00505BD5" w:rsidRPr="00B86885">
              <w:t xml:space="preserve"> use (9%) based on a survey of eczema patients conducted by Barta et al.</w:t>
            </w:r>
            <w:bookmarkStart w:id="120" w:name="_Ref197951953"/>
            <w:r w:rsidR="00505BD5" w:rsidRPr="00B86885">
              <w:rPr>
                <w:rStyle w:val="FootnoteReference"/>
              </w:rPr>
              <w:footnoteReference w:id="38"/>
            </w:r>
            <w:bookmarkEnd w:id="120"/>
            <w:r w:rsidR="00505BD5" w:rsidRPr="00B86885">
              <w:t xml:space="preserve">. </w:t>
            </w:r>
            <w:r w:rsidRPr="00B86885">
              <w:t>UPA</w:t>
            </w:r>
            <w:r w:rsidR="00505BD5" w:rsidRPr="00B86885">
              <w:t xml:space="preserve"> use (2%) was based on the ratio of </w:t>
            </w:r>
            <w:r w:rsidRPr="00B86885">
              <w:t>UPA</w:t>
            </w:r>
            <w:r w:rsidR="00505BD5" w:rsidRPr="00B86885">
              <w:t xml:space="preserve"> versus </w:t>
            </w:r>
            <w:r w:rsidRPr="00B86885">
              <w:t>DUPI</w:t>
            </w:r>
            <w:r w:rsidR="00505BD5" w:rsidRPr="00B86885">
              <w:t xml:space="preserve"> patients (3,339/15,886) outlined in the </w:t>
            </w:r>
            <w:r w:rsidRPr="00B86885">
              <w:t>DUPI</w:t>
            </w:r>
            <w:r w:rsidR="00505BD5" w:rsidRPr="00B86885">
              <w:t xml:space="preserve"> DUSC report multiplied by the proportion of </w:t>
            </w:r>
            <w:r w:rsidRPr="00B86885">
              <w:t>DUPI</w:t>
            </w:r>
            <w:r w:rsidR="00505BD5" w:rsidRPr="00B86885">
              <w:t xml:space="preserve"> patients (9%).</w:t>
            </w:r>
          </w:p>
        </w:tc>
        <w:tc>
          <w:tcPr>
            <w:tcW w:w="3789" w:type="dxa"/>
            <w:tcMar>
              <w:left w:w="20" w:type="dxa"/>
              <w:right w:w="20" w:type="dxa"/>
            </w:tcMar>
            <w:vAlign w:val="center"/>
          </w:tcPr>
          <w:p w14:paraId="7111EBCA" w14:textId="28DACC77" w:rsidR="00505BD5" w:rsidRPr="00B86885" w:rsidRDefault="00505BD5">
            <w:pPr>
              <w:pStyle w:val="TableText0"/>
              <w:keepNext w:val="0"/>
              <w:keepLines w:val="0"/>
            </w:pPr>
            <w:r w:rsidRPr="00B86885">
              <w:t>The survey</w:t>
            </w:r>
            <w:r w:rsidRPr="00B86885">
              <w:fldChar w:fldCharType="begin"/>
            </w:r>
            <w:r w:rsidRPr="00B86885">
              <w:instrText xml:space="preserve"> NOTEREF _Ref197951953 \f \h  \* MERGEFORMAT </w:instrText>
            </w:r>
            <w:r w:rsidRPr="00B86885">
              <w:fldChar w:fldCharType="separate"/>
            </w:r>
            <w:r w:rsidR="00124226" w:rsidRPr="00124226">
              <w:rPr>
                <w:rStyle w:val="FootnoteReference"/>
              </w:rPr>
              <w:t>37</w:t>
            </w:r>
            <w:r w:rsidRPr="00B86885">
              <w:fldChar w:fldCharType="end"/>
            </w:r>
            <w:r w:rsidRPr="00B86885">
              <w:t xml:space="preserve"> of eczema patients with unspecified disease severity has unlikely applicability to patients expected to receive </w:t>
            </w:r>
            <w:r w:rsidR="00D716A5" w:rsidRPr="00B86885">
              <w:t>DUPI</w:t>
            </w:r>
            <w:r w:rsidRPr="00B86885">
              <w:t xml:space="preserve"> or </w:t>
            </w:r>
            <w:r w:rsidR="00D716A5" w:rsidRPr="00B86885">
              <w:t>UPA</w:t>
            </w:r>
            <w:r w:rsidRPr="00B86885">
              <w:t xml:space="preserve"> (chronic severe AD despite using topical therapy). Additionally</w:t>
            </w:r>
            <w:r w:rsidR="008416AE" w:rsidRPr="00B86885">
              <w:t>,</w:t>
            </w:r>
            <w:r w:rsidRPr="00B86885">
              <w:t xml:space="preserve"> it is unclear whether </w:t>
            </w:r>
            <w:r w:rsidR="00D716A5" w:rsidRPr="00B86885">
              <w:t>UPA</w:t>
            </w:r>
            <w:r w:rsidRPr="00B86885">
              <w:t xml:space="preserve"> use would occur in addition or instead of </w:t>
            </w:r>
            <w:r w:rsidR="00D716A5" w:rsidRPr="00B86885">
              <w:t>DUPI</w:t>
            </w:r>
            <w:r w:rsidRPr="00B86885">
              <w:t xml:space="preserve"> use as reported in the Barta et al. study, given that </w:t>
            </w:r>
            <w:r w:rsidR="00D716A5" w:rsidRPr="00B86885">
              <w:t>UPA</w:t>
            </w:r>
            <w:r w:rsidRPr="00B86885">
              <w:t xml:space="preserve"> was expected share the market with </w:t>
            </w:r>
            <w:r w:rsidR="00D716A5" w:rsidRPr="00B86885">
              <w:t>DUPI</w:t>
            </w:r>
            <w:r w:rsidRPr="00B86885">
              <w:t xml:space="preserve"> (para 6.72, upadacitinib PSD, July 2021 PBAC Meeting).</w:t>
            </w:r>
          </w:p>
        </w:tc>
      </w:tr>
      <w:tr w:rsidR="00505BD5" w:rsidRPr="00B86885" w14:paraId="016674CE" w14:textId="77777777" w:rsidTr="00ED400D">
        <w:trPr>
          <w:cantSplit/>
        </w:trPr>
        <w:tc>
          <w:tcPr>
            <w:tcW w:w="9180" w:type="dxa"/>
            <w:gridSpan w:val="3"/>
            <w:tcMar>
              <w:left w:w="20" w:type="dxa"/>
              <w:right w:w="20" w:type="dxa"/>
            </w:tcMar>
            <w:vAlign w:val="center"/>
          </w:tcPr>
          <w:p w14:paraId="3D0B9BD8" w14:textId="77777777" w:rsidR="00505BD5" w:rsidRPr="00B86885" w:rsidRDefault="00505BD5">
            <w:pPr>
              <w:pStyle w:val="TableText0"/>
              <w:keepNext w:val="0"/>
              <w:keepLines w:val="0"/>
              <w:rPr>
                <w:b/>
                <w:bCs w:val="0"/>
              </w:rPr>
            </w:pPr>
            <w:r w:rsidRPr="00B86885">
              <w:rPr>
                <w:b/>
                <w:bCs w:val="0"/>
              </w:rPr>
              <w:t>Eligible scripts and treatment utilisation for the market share approach</w:t>
            </w:r>
          </w:p>
        </w:tc>
      </w:tr>
      <w:tr w:rsidR="00505BD5" w:rsidRPr="00B86885" w14:paraId="1B618F45" w14:textId="77777777" w:rsidTr="00ED400D">
        <w:trPr>
          <w:cantSplit/>
        </w:trPr>
        <w:tc>
          <w:tcPr>
            <w:tcW w:w="1838" w:type="dxa"/>
            <w:tcMar>
              <w:left w:w="20" w:type="dxa"/>
              <w:right w:w="20" w:type="dxa"/>
            </w:tcMar>
            <w:vAlign w:val="center"/>
          </w:tcPr>
          <w:p w14:paraId="529BB350" w14:textId="6E25F63D" w:rsidR="00505BD5" w:rsidRPr="00B86885" w:rsidRDefault="00505BD5">
            <w:pPr>
              <w:pStyle w:val="TableText0"/>
              <w:keepNext w:val="0"/>
              <w:keepLines w:val="0"/>
            </w:pPr>
            <w:r w:rsidRPr="00B86885">
              <w:t xml:space="preserve">Forecasted </w:t>
            </w:r>
            <w:r w:rsidR="009B5B30">
              <w:t>1%</w:t>
            </w:r>
            <w:r w:rsidRPr="00B86885">
              <w:t xml:space="preserve"> </w:t>
            </w:r>
            <w:r w:rsidR="00D716A5" w:rsidRPr="00B86885">
              <w:t>PIM</w:t>
            </w:r>
            <w:r w:rsidRPr="00B86885">
              <w:t xml:space="preserve"> scripts for patients with moderate AD on their face and eyelids</w:t>
            </w:r>
          </w:p>
        </w:tc>
        <w:tc>
          <w:tcPr>
            <w:tcW w:w="3553" w:type="dxa"/>
            <w:tcMar>
              <w:left w:w="20" w:type="dxa"/>
              <w:right w:w="20" w:type="dxa"/>
            </w:tcMar>
            <w:vAlign w:val="center"/>
          </w:tcPr>
          <w:p w14:paraId="3A3AF1E9" w14:textId="32DCD258" w:rsidR="00505BD5" w:rsidRPr="00B86885" w:rsidRDefault="002A692B">
            <w:pPr>
              <w:pStyle w:val="TableText0"/>
              <w:keepNext w:val="0"/>
              <w:keepLines w:val="0"/>
            </w:pPr>
            <w:r w:rsidRPr="00B86885">
              <w:t xml:space="preserve">From </w:t>
            </w:r>
            <w:r w:rsidR="00505BD5" w:rsidRPr="00B86885">
              <w:t xml:space="preserve">25,006 </w:t>
            </w:r>
            <w:r w:rsidRPr="00B86885">
              <w:t xml:space="preserve">in Year 1 </w:t>
            </w:r>
            <w:r w:rsidR="005B57C1" w:rsidRPr="00B86885">
              <w:t xml:space="preserve">to </w:t>
            </w:r>
            <w:r w:rsidR="00505BD5" w:rsidRPr="00B86885">
              <w:t>47,043</w:t>
            </w:r>
            <w:r w:rsidRPr="00B86885">
              <w:t xml:space="preserve"> in Year 6</w:t>
            </w:r>
            <w:r w:rsidR="00505BD5" w:rsidRPr="00B86885">
              <w:t xml:space="preserve">. Annual growth of </w:t>
            </w:r>
            <w:r w:rsidR="009B5B30">
              <w:t xml:space="preserve">1% </w:t>
            </w:r>
            <w:r w:rsidR="00D716A5" w:rsidRPr="00B86885">
              <w:t>PIM</w:t>
            </w:r>
            <w:r w:rsidR="00505BD5" w:rsidRPr="00B86885">
              <w:t xml:space="preserve"> script (13.5%) based on the </w:t>
            </w:r>
            <w:r w:rsidR="00D716A5" w:rsidRPr="00B86885">
              <w:t>PIM</w:t>
            </w:r>
            <w:r w:rsidR="00505BD5" w:rsidRPr="00B86885">
              <w:t xml:space="preserve"> script data over the last six years.</w:t>
            </w:r>
          </w:p>
        </w:tc>
        <w:tc>
          <w:tcPr>
            <w:tcW w:w="3789" w:type="dxa"/>
            <w:tcMar>
              <w:left w:w="20" w:type="dxa"/>
              <w:right w:w="20" w:type="dxa"/>
            </w:tcMar>
            <w:vAlign w:val="center"/>
          </w:tcPr>
          <w:p w14:paraId="025F4187" w14:textId="3A6EBF38" w:rsidR="00505BD5" w:rsidRPr="00B86885" w:rsidRDefault="00505BD5">
            <w:pPr>
              <w:pStyle w:val="TableText0"/>
              <w:keepNext w:val="0"/>
              <w:keepLines w:val="0"/>
            </w:pPr>
            <w:r w:rsidRPr="00B86885">
              <w:t xml:space="preserve">The submission had not linearly extrapolated </w:t>
            </w:r>
            <w:r w:rsidR="009B5B30">
              <w:t xml:space="preserve">1% </w:t>
            </w:r>
            <w:r w:rsidR="00D716A5" w:rsidRPr="00B86885">
              <w:t>PIM</w:t>
            </w:r>
            <w:r w:rsidRPr="00B86885">
              <w:t xml:space="preserve"> scripts, the fixed growth rate of 13.5% per year assumes an exponential growth of scripts. However, this trend reflects the past six years of script data.  </w:t>
            </w:r>
          </w:p>
        </w:tc>
      </w:tr>
      <w:tr w:rsidR="00505BD5" w:rsidRPr="00B86885" w14:paraId="6F14C629" w14:textId="77777777" w:rsidTr="00ED400D">
        <w:trPr>
          <w:cantSplit/>
        </w:trPr>
        <w:tc>
          <w:tcPr>
            <w:tcW w:w="1838" w:type="dxa"/>
            <w:tcMar>
              <w:left w:w="20" w:type="dxa"/>
              <w:right w:w="20" w:type="dxa"/>
            </w:tcMar>
            <w:vAlign w:val="center"/>
          </w:tcPr>
          <w:p w14:paraId="08C1F887" w14:textId="5567078D" w:rsidR="00505BD5" w:rsidRPr="00B86885" w:rsidRDefault="00505BD5">
            <w:pPr>
              <w:pStyle w:val="TableText0"/>
              <w:keepNext w:val="0"/>
              <w:keepLines w:val="0"/>
            </w:pPr>
            <w:r w:rsidRPr="00B86885">
              <w:t xml:space="preserve">Distribution of </w:t>
            </w:r>
            <w:r w:rsidR="009B5B30">
              <w:t xml:space="preserve">1% </w:t>
            </w:r>
            <w:r w:rsidR="00D716A5" w:rsidRPr="00B86885">
              <w:t>PIM</w:t>
            </w:r>
            <w:r w:rsidRPr="00B86885">
              <w:t xml:space="preserve"> scripts by disease severity.</w:t>
            </w:r>
          </w:p>
        </w:tc>
        <w:tc>
          <w:tcPr>
            <w:tcW w:w="3553" w:type="dxa"/>
            <w:tcMar>
              <w:left w:w="20" w:type="dxa"/>
              <w:right w:w="20" w:type="dxa"/>
            </w:tcMar>
            <w:vAlign w:val="center"/>
          </w:tcPr>
          <w:p w14:paraId="14680ED7" w14:textId="4EEF38C0" w:rsidR="00505BD5" w:rsidRPr="00B86885" w:rsidRDefault="00505BD5">
            <w:pPr>
              <w:pStyle w:val="TableText0"/>
              <w:keepNext w:val="0"/>
            </w:pPr>
            <w:r w:rsidRPr="00B86885">
              <w:t xml:space="preserve">Mild: 78%, </w:t>
            </w:r>
            <w:r w:rsidR="00D716A5" w:rsidRPr="00B86885">
              <w:t>m</w:t>
            </w:r>
            <w:r w:rsidRPr="00B86885">
              <w:t>oderate: 22% (Beiber et al.</w:t>
            </w:r>
            <w:r w:rsidRPr="00B86885">
              <w:fldChar w:fldCharType="begin"/>
            </w:r>
            <w:r w:rsidRPr="00B86885">
              <w:instrText xml:space="preserve"> NOTEREF _Ref197434122 \f \h </w:instrText>
            </w:r>
            <w:r w:rsidR="00B86885" w:rsidRPr="00B86885">
              <w:instrText xml:space="preserve"> \* MERGEFORMAT </w:instrText>
            </w:r>
            <w:r w:rsidRPr="00B86885">
              <w:fldChar w:fldCharType="separate"/>
            </w:r>
            <w:r w:rsidR="00124226" w:rsidRPr="00124226">
              <w:rPr>
                <w:rStyle w:val="FootnoteReference"/>
              </w:rPr>
              <w:t>33</w:t>
            </w:r>
            <w:r w:rsidRPr="00B86885">
              <w:fldChar w:fldCharType="end"/>
            </w:r>
            <w:r w:rsidRPr="00B86885">
              <w:t xml:space="preserve">) and </w:t>
            </w:r>
            <w:r w:rsidR="00D716A5" w:rsidRPr="00B86885">
              <w:t>s</w:t>
            </w:r>
            <w:r w:rsidRPr="00B86885">
              <w:t xml:space="preserve">evere: 0% (assumed). </w:t>
            </w:r>
          </w:p>
        </w:tc>
        <w:tc>
          <w:tcPr>
            <w:tcW w:w="3789" w:type="dxa"/>
            <w:tcMar>
              <w:left w:w="20" w:type="dxa"/>
              <w:right w:w="20" w:type="dxa"/>
            </w:tcMar>
            <w:vAlign w:val="center"/>
          </w:tcPr>
          <w:p w14:paraId="770DFFA1" w14:textId="28DD3A6D" w:rsidR="00505BD5" w:rsidRPr="00B86885" w:rsidRDefault="004A3B9C">
            <w:pPr>
              <w:pStyle w:val="TableText0"/>
              <w:keepNext w:val="0"/>
              <w:keepLines w:val="0"/>
            </w:pPr>
            <w:r>
              <w:t>-</w:t>
            </w:r>
          </w:p>
        </w:tc>
      </w:tr>
      <w:tr w:rsidR="00505BD5" w:rsidRPr="00B86885" w14:paraId="5AA67645" w14:textId="77777777" w:rsidTr="00ED400D">
        <w:trPr>
          <w:cantSplit/>
        </w:trPr>
        <w:tc>
          <w:tcPr>
            <w:tcW w:w="1838" w:type="dxa"/>
            <w:tcMar>
              <w:left w:w="20" w:type="dxa"/>
              <w:right w:w="20" w:type="dxa"/>
            </w:tcMar>
            <w:vAlign w:val="center"/>
          </w:tcPr>
          <w:p w14:paraId="0B030AB5" w14:textId="4217DFA3" w:rsidR="00505BD5" w:rsidRPr="00B86885" w:rsidRDefault="00505BD5">
            <w:pPr>
              <w:pStyle w:val="TableText0"/>
              <w:keepNext w:val="0"/>
              <w:keepLines w:val="0"/>
            </w:pPr>
            <w:r w:rsidRPr="00B86885">
              <w:t xml:space="preserve">Market share of </w:t>
            </w:r>
            <w:r w:rsidR="009B5B30">
              <w:t xml:space="preserve">1% </w:t>
            </w:r>
            <w:r w:rsidR="00D716A5" w:rsidRPr="00B86885">
              <w:t>PIM</w:t>
            </w:r>
            <w:r w:rsidRPr="00B86885">
              <w:t xml:space="preserve"> scripts</w:t>
            </w:r>
          </w:p>
        </w:tc>
        <w:tc>
          <w:tcPr>
            <w:tcW w:w="3553" w:type="dxa"/>
            <w:tcMar>
              <w:left w:w="20" w:type="dxa"/>
              <w:right w:w="20" w:type="dxa"/>
            </w:tcMar>
            <w:vAlign w:val="center"/>
          </w:tcPr>
          <w:p w14:paraId="0EBE8651" w14:textId="77777777" w:rsidR="00505BD5" w:rsidRPr="00B86885" w:rsidRDefault="00505BD5">
            <w:pPr>
              <w:pStyle w:val="TableText0"/>
              <w:keepNext w:val="0"/>
              <w:keepLines w:val="0"/>
            </w:pPr>
            <w:r w:rsidRPr="00B86885">
              <w:t>50% in Year 1 increasing to 70% in Year 6. Sponsor assumption.</w:t>
            </w:r>
          </w:p>
        </w:tc>
        <w:tc>
          <w:tcPr>
            <w:tcW w:w="3789" w:type="dxa"/>
            <w:tcMar>
              <w:left w:w="20" w:type="dxa"/>
              <w:right w:w="20" w:type="dxa"/>
            </w:tcMar>
            <w:vAlign w:val="center"/>
          </w:tcPr>
          <w:p w14:paraId="3E338C9F" w14:textId="3DE26BCB" w:rsidR="00505BD5" w:rsidRPr="00B86885" w:rsidRDefault="009B5B30">
            <w:pPr>
              <w:pStyle w:val="TableText0"/>
              <w:keepNext w:val="0"/>
              <w:keepLines w:val="0"/>
            </w:pPr>
            <w:r>
              <w:t>-</w:t>
            </w:r>
          </w:p>
        </w:tc>
      </w:tr>
      <w:tr w:rsidR="00505BD5" w:rsidRPr="00B86885" w14:paraId="65CE8E5F" w14:textId="77777777" w:rsidTr="00ED400D">
        <w:trPr>
          <w:cantSplit/>
        </w:trPr>
        <w:tc>
          <w:tcPr>
            <w:tcW w:w="1838" w:type="dxa"/>
            <w:tcMar>
              <w:left w:w="20" w:type="dxa"/>
              <w:right w:w="20" w:type="dxa"/>
            </w:tcMar>
            <w:vAlign w:val="center"/>
          </w:tcPr>
          <w:p w14:paraId="3F140BFC" w14:textId="62AE082B" w:rsidR="00505BD5" w:rsidRPr="00B86885" w:rsidRDefault="009B5B30">
            <w:pPr>
              <w:pStyle w:val="TableText0"/>
              <w:keepNext w:val="0"/>
              <w:keepLines w:val="0"/>
            </w:pPr>
            <w:r>
              <w:t xml:space="preserve">1% </w:t>
            </w:r>
            <w:r w:rsidR="00D716A5" w:rsidRPr="00B86885">
              <w:t>PIM</w:t>
            </w:r>
            <w:r w:rsidR="00505BD5" w:rsidRPr="00B86885">
              <w:t xml:space="preserve"> to </w:t>
            </w:r>
            <w:r>
              <w:t xml:space="preserve">0.1% </w:t>
            </w:r>
            <w:r w:rsidR="00D716A5" w:rsidRPr="00B86885">
              <w:t>TAC</w:t>
            </w:r>
            <w:r w:rsidR="00505BD5" w:rsidRPr="00B86885">
              <w:t xml:space="preserve"> script replacement rate</w:t>
            </w:r>
          </w:p>
        </w:tc>
        <w:tc>
          <w:tcPr>
            <w:tcW w:w="3553" w:type="dxa"/>
            <w:tcMar>
              <w:left w:w="20" w:type="dxa"/>
              <w:right w:w="20" w:type="dxa"/>
            </w:tcMar>
            <w:vAlign w:val="center"/>
          </w:tcPr>
          <w:p w14:paraId="7F1C90FE" w14:textId="48110836" w:rsidR="00505BD5" w:rsidRPr="00B86885" w:rsidRDefault="00505BD5">
            <w:pPr>
              <w:pStyle w:val="TableText0"/>
              <w:keepNext w:val="0"/>
              <w:keepLines w:val="0"/>
            </w:pPr>
            <w:r w:rsidRPr="00B86885">
              <w:t xml:space="preserve">2:1. </w:t>
            </w:r>
            <w:r w:rsidR="009B5B30">
              <w:t xml:space="preserve">1% </w:t>
            </w:r>
            <w:r w:rsidR="00D716A5" w:rsidRPr="00B86885">
              <w:t>PIM</w:t>
            </w:r>
            <w:r w:rsidRPr="00B86885">
              <w:t xml:space="preserve"> is dispensed as a 15 g tube whereas </w:t>
            </w:r>
            <w:r w:rsidR="009B5B30">
              <w:t xml:space="preserve">0.1% </w:t>
            </w:r>
            <w:r w:rsidR="00D716A5" w:rsidRPr="00B86885">
              <w:t>TAC</w:t>
            </w:r>
            <w:r w:rsidRPr="00B86885">
              <w:t xml:space="preserve"> is dispensed as a 30 g tube, assuming that two scripts of </w:t>
            </w:r>
            <w:r w:rsidR="009B5B30">
              <w:t xml:space="preserve">1% </w:t>
            </w:r>
            <w:r w:rsidR="00D716A5" w:rsidRPr="00B86885">
              <w:t xml:space="preserve">PIM </w:t>
            </w:r>
            <w:r w:rsidRPr="00B86885">
              <w:t xml:space="preserve">would be replaced with one script of </w:t>
            </w:r>
            <w:r w:rsidR="009B5B30">
              <w:t xml:space="preserve">0.1% </w:t>
            </w:r>
            <w:r w:rsidR="00D716A5" w:rsidRPr="00B86885">
              <w:t>TAC</w:t>
            </w:r>
            <w:r w:rsidRPr="00B86885">
              <w:t>.</w:t>
            </w:r>
          </w:p>
        </w:tc>
        <w:tc>
          <w:tcPr>
            <w:tcW w:w="3789" w:type="dxa"/>
            <w:tcMar>
              <w:left w:w="20" w:type="dxa"/>
              <w:right w:w="20" w:type="dxa"/>
            </w:tcMar>
            <w:vAlign w:val="center"/>
          </w:tcPr>
          <w:p w14:paraId="05F3674C" w14:textId="00E3DCAD" w:rsidR="00505BD5" w:rsidRPr="00B86885" w:rsidRDefault="00505BD5">
            <w:pPr>
              <w:pStyle w:val="TableText0"/>
              <w:keepNext w:val="0"/>
              <w:keepLines w:val="0"/>
            </w:pPr>
            <w:r w:rsidRPr="00B86885">
              <w:t xml:space="preserve">As raised in the CMA, this may not be reasonable as the equi-effective dose of 1 g: 1g does not consider that </w:t>
            </w:r>
            <w:r w:rsidR="009B5B30">
              <w:t xml:space="preserve">1% </w:t>
            </w:r>
            <w:r w:rsidR="00D716A5" w:rsidRPr="00B86885">
              <w:t xml:space="preserve">PIM </w:t>
            </w:r>
            <w:r w:rsidRPr="00B86885">
              <w:t xml:space="preserve">is only used for flares whereas </w:t>
            </w:r>
            <w:r w:rsidR="009B5B30">
              <w:t xml:space="preserve">0.1% </w:t>
            </w:r>
            <w:r w:rsidR="00D716A5" w:rsidRPr="00B86885">
              <w:t>TAC</w:t>
            </w:r>
            <w:r w:rsidRPr="00B86885">
              <w:t xml:space="preserve"> can be used for maintenance therapy.</w:t>
            </w:r>
          </w:p>
        </w:tc>
      </w:tr>
      <w:tr w:rsidR="00505BD5" w:rsidRPr="00B86885" w14:paraId="5C88C437" w14:textId="77777777" w:rsidTr="00ED400D">
        <w:trPr>
          <w:cantSplit/>
        </w:trPr>
        <w:tc>
          <w:tcPr>
            <w:tcW w:w="9180" w:type="dxa"/>
            <w:gridSpan w:val="3"/>
            <w:tcMar>
              <w:left w:w="20" w:type="dxa"/>
              <w:right w:w="20" w:type="dxa"/>
            </w:tcMar>
            <w:vAlign w:val="center"/>
          </w:tcPr>
          <w:p w14:paraId="4038C274" w14:textId="77777777" w:rsidR="00505BD5" w:rsidRPr="00B86885" w:rsidRDefault="00505BD5">
            <w:pPr>
              <w:pStyle w:val="TableText0"/>
              <w:keepNext w:val="0"/>
              <w:keepLines w:val="0"/>
              <w:rPr>
                <w:b/>
              </w:rPr>
            </w:pPr>
            <w:r w:rsidRPr="00B86885">
              <w:rPr>
                <w:b/>
              </w:rPr>
              <w:t>Costs</w:t>
            </w:r>
          </w:p>
        </w:tc>
      </w:tr>
      <w:tr w:rsidR="00505BD5" w:rsidRPr="00B86885" w14:paraId="5D68B5E0" w14:textId="77777777" w:rsidTr="00ED400D">
        <w:trPr>
          <w:cantSplit/>
        </w:trPr>
        <w:tc>
          <w:tcPr>
            <w:tcW w:w="1838" w:type="dxa"/>
            <w:tcMar>
              <w:left w:w="20" w:type="dxa"/>
              <w:right w:w="20" w:type="dxa"/>
            </w:tcMar>
            <w:vAlign w:val="center"/>
          </w:tcPr>
          <w:p w14:paraId="05DC574A" w14:textId="311F1698" w:rsidR="00505BD5" w:rsidRPr="00B86885" w:rsidRDefault="009B5B30">
            <w:pPr>
              <w:pStyle w:val="TableText0"/>
              <w:keepNext w:val="0"/>
              <w:keepLines w:val="0"/>
            </w:pPr>
            <w:r>
              <w:t xml:space="preserve">0.1% </w:t>
            </w:r>
            <w:r w:rsidR="00D716A5" w:rsidRPr="00B86885">
              <w:t>TAC</w:t>
            </w:r>
            <w:r w:rsidR="00505BD5" w:rsidRPr="00B86885">
              <w:t xml:space="preserve"> script</w:t>
            </w:r>
          </w:p>
        </w:tc>
        <w:tc>
          <w:tcPr>
            <w:tcW w:w="3553" w:type="dxa"/>
            <w:tcMar>
              <w:left w:w="20" w:type="dxa"/>
              <w:right w:w="20" w:type="dxa"/>
            </w:tcMar>
            <w:vAlign w:val="center"/>
          </w:tcPr>
          <w:p w14:paraId="710D552C" w14:textId="0DC6221A" w:rsidR="00505BD5" w:rsidRPr="00B86885" w:rsidRDefault="00505BD5">
            <w:pPr>
              <w:pStyle w:val="TableText0"/>
              <w:keepNext w:val="0"/>
              <w:keepLines w:val="0"/>
            </w:pPr>
            <w:r w:rsidRPr="00B86885">
              <w:t>$</w:t>
            </w:r>
            <w:r w:rsidR="00460689" w:rsidRPr="00460689">
              <w:rPr>
                <w:color w:val="000000"/>
                <w:spacing w:val="53"/>
                <w:shd w:val="solid" w:color="000000" w:fill="000000"/>
                <w:fitText w:val="330" w:id="-632553462"/>
                <w14:textFill>
                  <w14:solidFill>
                    <w14:srgbClr w14:val="000000">
                      <w14:alpha w14:val="100000"/>
                    </w14:srgbClr>
                  </w14:solidFill>
                </w14:textFill>
              </w:rPr>
              <w:t>|||</w:t>
            </w:r>
            <w:r w:rsidR="00460689" w:rsidRPr="00460689">
              <w:rPr>
                <w:color w:val="000000"/>
                <w:spacing w:val="1"/>
                <w:shd w:val="solid" w:color="000000" w:fill="000000"/>
                <w:fitText w:val="330" w:id="-632553462"/>
                <w14:textFill>
                  <w14:solidFill>
                    <w14:srgbClr w14:val="000000">
                      <w14:alpha w14:val="100000"/>
                    </w14:srgbClr>
                  </w14:solidFill>
                </w14:textFill>
              </w:rPr>
              <w:t>|</w:t>
            </w:r>
            <w:r w:rsidRPr="00B86885">
              <w:t>. DPMQ based on a proposed AEMP of $</w:t>
            </w:r>
            <w:r w:rsidR="00460689" w:rsidRPr="00460689">
              <w:rPr>
                <w:color w:val="000000"/>
                <w:spacing w:val="53"/>
                <w:shd w:val="solid" w:color="000000" w:fill="000000"/>
                <w:fitText w:val="330" w:id="-632553461"/>
                <w14:textFill>
                  <w14:solidFill>
                    <w14:srgbClr w14:val="000000">
                      <w14:alpha w14:val="100000"/>
                    </w14:srgbClr>
                  </w14:solidFill>
                </w14:textFill>
              </w:rPr>
              <w:t>|||</w:t>
            </w:r>
            <w:r w:rsidR="00460689" w:rsidRPr="00460689">
              <w:rPr>
                <w:color w:val="000000"/>
                <w:spacing w:val="1"/>
                <w:shd w:val="solid" w:color="000000" w:fill="000000"/>
                <w:fitText w:val="330" w:id="-632553461"/>
                <w14:textFill>
                  <w14:solidFill>
                    <w14:srgbClr w14:val="000000">
                      <w14:alpha w14:val="100000"/>
                    </w14:srgbClr>
                  </w14:solidFill>
                </w14:textFill>
              </w:rPr>
              <w:t>|</w:t>
            </w:r>
            <w:r w:rsidRPr="00B86885">
              <w:t xml:space="preserve"> with Section 85 dispensing fees.</w:t>
            </w:r>
          </w:p>
        </w:tc>
        <w:tc>
          <w:tcPr>
            <w:tcW w:w="3789" w:type="dxa"/>
            <w:tcMar>
              <w:left w:w="20" w:type="dxa"/>
              <w:right w:w="20" w:type="dxa"/>
            </w:tcMar>
            <w:vAlign w:val="center"/>
          </w:tcPr>
          <w:p w14:paraId="27896808" w14:textId="324E23FD" w:rsidR="00505BD5" w:rsidRPr="00B86885" w:rsidRDefault="004A3B9C">
            <w:pPr>
              <w:pStyle w:val="TableText0"/>
              <w:keepNext w:val="0"/>
              <w:keepLines w:val="0"/>
            </w:pPr>
            <w:r>
              <w:t>-</w:t>
            </w:r>
          </w:p>
        </w:tc>
      </w:tr>
      <w:tr w:rsidR="00505BD5" w:rsidRPr="00B86885" w14:paraId="45083B9B" w14:textId="77777777" w:rsidTr="00ED400D">
        <w:trPr>
          <w:cantSplit/>
        </w:trPr>
        <w:tc>
          <w:tcPr>
            <w:tcW w:w="1838" w:type="dxa"/>
            <w:tcMar>
              <w:left w:w="20" w:type="dxa"/>
              <w:right w:w="20" w:type="dxa"/>
            </w:tcMar>
            <w:vAlign w:val="center"/>
          </w:tcPr>
          <w:p w14:paraId="15162A58" w14:textId="78FF8E45" w:rsidR="00505BD5" w:rsidRPr="00B86885" w:rsidRDefault="009B5B30">
            <w:pPr>
              <w:pStyle w:val="TableText0"/>
              <w:keepNext w:val="0"/>
              <w:keepLines w:val="0"/>
            </w:pPr>
            <w:r>
              <w:t xml:space="preserve">1% </w:t>
            </w:r>
            <w:r w:rsidR="00D716A5" w:rsidRPr="00B86885">
              <w:t>PIM</w:t>
            </w:r>
            <w:r w:rsidR="00505BD5" w:rsidRPr="00B86885">
              <w:t xml:space="preserve"> script</w:t>
            </w:r>
          </w:p>
        </w:tc>
        <w:tc>
          <w:tcPr>
            <w:tcW w:w="3553" w:type="dxa"/>
            <w:tcMar>
              <w:left w:w="20" w:type="dxa"/>
              <w:right w:w="20" w:type="dxa"/>
            </w:tcMar>
            <w:vAlign w:val="center"/>
          </w:tcPr>
          <w:p w14:paraId="0E632EE4" w14:textId="77777777" w:rsidR="00505BD5" w:rsidRPr="00B86885" w:rsidRDefault="00505BD5">
            <w:pPr>
              <w:pStyle w:val="TableText0"/>
              <w:keepNext w:val="0"/>
              <w:keepLines w:val="0"/>
            </w:pPr>
            <w:r w:rsidRPr="00B86885">
              <w:t>$34.03. DPMQ of PBS item 8802G.</w:t>
            </w:r>
          </w:p>
        </w:tc>
        <w:tc>
          <w:tcPr>
            <w:tcW w:w="3789" w:type="dxa"/>
            <w:tcMar>
              <w:left w:w="20" w:type="dxa"/>
              <w:right w:w="20" w:type="dxa"/>
            </w:tcMar>
            <w:vAlign w:val="center"/>
          </w:tcPr>
          <w:p w14:paraId="0E0A87CB" w14:textId="7AC76132" w:rsidR="00505BD5" w:rsidRPr="00B86885" w:rsidRDefault="004A3B9C">
            <w:pPr>
              <w:pStyle w:val="TableText0"/>
              <w:keepNext w:val="0"/>
              <w:keepLines w:val="0"/>
            </w:pPr>
            <w:r>
              <w:t>-</w:t>
            </w:r>
          </w:p>
        </w:tc>
      </w:tr>
      <w:tr w:rsidR="00505BD5" w:rsidRPr="00B86885" w14:paraId="025EE3D8" w14:textId="77777777" w:rsidTr="00ED400D">
        <w:trPr>
          <w:cantSplit/>
        </w:trPr>
        <w:tc>
          <w:tcPr>
            <w:tcW w:w="1838" w:type="dxa"/>
            <w:tcMar>
              <w:left w:w="20" w:type="dxa"/>
              <w:right w:w="20" w:type="dxa"/>
            </w:tcMar>
            <w:vAlign w:val="center"/>
          </w:tcPr>
          <w:p w14:paraId="67E38060" w14:textId="34532FE6" w:rsidR="00505BD5" w:rsidRPr="00B86885" w:rsidRDefault="00D716A5">
            <w:pPr>
              <w:pStyle w:val="TableText0"/>
              <w:keepLines w:val="0"/>
            </w:pPr>
            <w:r w:rsidRPr="00B86885">
              <w:t>DUPI</w:t>
            </w:r>
          </w:p>
        </w:tc>
        <w:tc>
          <w:tcPr>
            <w:tcW w:w="3553" w:type="dxa"/>
            <w:tcMar>
              <w:left w:w="20" w:type="dxa"/>
              <w:right w:w="20" w:type="dxa"/>
            </w:tcMar>
            <w:vAlign w:val="center"/>
          </w:tcPr>
          <w:p w14:paraId="1DC0BF44" w14:textId="77777777" w:rsidR="00505BD5" w:rsidRPr="00B86885" w:rsidRDefault="00505BD5">
            <w:pPr>
              <w:pStyle w:val="TableText0"/>
              <w:keepLines w:val="0"/>
            </w:pPr>
            <w:r w:rsidRPr="00B86885">
              <w:t>$1,756. DPMQ of PBS items 12291X and 12292Y</w:t>
            </w:r>
          </w:p>
        </w:tc>
        <w:tc>
          <w:tcPr>
            <w:tcW w:w="3789" w:type="dxa"/>
            <w:vMerge w:val="restart"/>
            <w:tcMar>
              <w:left w:w="20" w:type="dxa"/>
              <w:right w:w="20" w:type="dxa"/>
            </w:tcMar>
            <w:vAlign w:val="center"/>
          </w:tcPr>
          <w:p w14:paraId="067645C2" w14:textId="7388A0FB" w:rsidR="00505BD5" w:rsidRPr="00B86885" w:rsidRDefault="00505BD5">
            <w:pPr>
              <w:pStyle w:val="TableText0"/>
              <w:keepLines w:val="0"/>
            </w:pPr>
          </w:p>
        </w:tc>
      </w:tr>
      <w:tr w:rsidR="00505BD5" w:rsidRPr="00B86885" w14:paraId="6840C7BA" w14:textId="77777777" w:rsidTr="00ED400D">
        <w:trPr>
          <w:cantSplit/>
        </w:trPr>
        <w:tc>
          <w:tcPr>
            <w:tcW w:w="1838" w:type="dxa"/>
            <w:tcMar>
              <w:left w:w="20" w:type="dxa"/>
              <w:right w:w="20" w:type="dxa"/>
            </w:tcMar>
            <w:vAlign w:val="center"/>
          </w:tcPr>
          <w:p w14:paraId="0D578A12" w14:textId="752E7D7A" w:rsidR="00505BD5" w:rsidRPr="00B86885" w:rsidRDefault="00D716A5">
            <w:pPr>
              <w:pStyle w:val="TableText0"/>
              <w:keepNext w:val="0"/>
              <w:keepLines w:val="0"/>
            </w:pPr>
            <w:r w:rsidRPr="00B86885">
              <w:t>UPA</w:t>
            </w:r>
          </w:p>
        </w:tc>
        <w:tc>
          <w:tcPr>
            <w:tcW w:w="3553" w:type="dxa"/>
            <w:tcMar>
              <w:left w:w="20" w:type="dxa"/>
              <w:right w:w="20" w:type="dxa"/>
            </w:tcMar>
            <w:vAlign w:val="center"/>
          </w:tcPr>
          <w:p w14:paraId="72589BA5" w14:textId="77777777" w:rsidR="00505BD5" w:rsidRPr="00B86885" w:rsidRDefault="00505BD5">
            <w:pPr>
              <w:pStyle w:val="TableText0"/>
              <w:keepNext w:val="0"/>
              <w:keepLines w:val="0"/>
            </w:pPr>
            <w:r w:rsidRPr="00B86885">
              <w:t>$1,273. DPMQ of PBS items 12828E and 12831H</w:t>
            </w:r>
          </w:p>
        </w:tc>
        <w:tc>
          <w:tcPr>
            <w:tcW w:w="3789" w:type="dxa"/>
            <w:vMerge/>
            <w:tcMar>
              <w:left w:w="20" w:type="dxa"/>
              <w:right w:w="20" w:type="dxa"/>
            </w:tcMar>
            <w:vAlign w:val="center"/>
          </w:tcPr>
          <w:p w14:paraId="4C58083C" w14:textId="77777777" w:rsidR="00505BD5" w:rsidRPr="00B86885" w:rsidRDefault="00505BD5">
            <w:pPr>
              <w:pStyle w:val="TableText0"/>
              <w:keepNext w:val="0"/>
              <w:keepLines w:val="0"/>
            </w:pPr>
          </w:p>
        </w:tc>
      </w:tr>
    </w:tbl>
    <w:p w14:paraId="183B13EC" w14:textId="77777777" w:rsidR="00505BD5" w:rsidRDefault="00505BD5" w:rsidP="00505BD5">
      <w:pPr>
        <w:pStyle w:val="TableFigureFooter"/>
        <w:keepNext/>
      </w:pPr>
      <w:r w:rsidRPr="00D86D87">
        <w:t>Source:</w:t>
      </w:r>
      <w:r>
        <w:t xml:space="preserve"> </w:t>
      </w:r>
      <w:r w:rsidRPr="005F77E9">
        <w:t>Constructed during the evaluation from the</w:t>
      </w:r>
      <w:r>
        <w:rPr>
          <w:i/>
          <w:iCs/>
        </w:rPr>
        <w:t xml:space="preserve"> </w:t>
      </w:r>
      <w:r w:rsidRPr="00D15BDA">
        <w:t>“Attachment 3 - Azematop BIM” excel spreadsheet provided with the submission.</w:t>
      </w:r>
    </w:p>
    <w:p w14:paraId="2D78070C" w14:textId="411794AC" w:rsidR="00505BD5" w:rsidRDefault="00505BD5" w:rsidP="00505BD5">
      <w:pPr>
        <w:pStyle w:val="TableFigureFooter"/>
      </w:pPr>
      <w:r>
        <w:t xml:space="preserve">ABS = Australian Bureau of Statistics; AD = atopic dermatitis; AEMP = approved ex-manufacturer price; CMA = cost-minimisation approach; CUA = cost-utility analysis; DPMQ = dispensed price for maximum quantity; </w:t>
      </w:r>
      <w:r w:rsidR="00D716A5">
        <w:t xml:space="preserve">DUPI = dupilumab; </w:t>
      </w:r>
      <w:r>
        <w:t xml:space="preserve">DUSC = Drug Utilisation Sub Committee; PBS = Pharmaceutical Benefits Scheme; </w:t>
      </w:r>
      <w:r w:rsidR="00D716A5">
        <w:t xml:space="preserve">PIM = </w:t>
      </w:r>
      <w:r w:rsidR="00F505C4">
        <w:t xml:space="preserve">pimecrolimus; </w:t>
      </w:r>
      <w:r>
        <w:t xml:space="preserve">RPBS = Repatriation Pharmaceutical Benefits Scheme; </w:t>
      </w:r>
      <w:r w:rsidR="00F505C4">
        <w:t xml:space="preserve">TAC = tacrolimus; </w:t>
      </w:r>
      <w:r>
        <w:t>TCS = topical corticosteroids</w:t>
      </w:r>
      <w:r w:rsidR="00F505C4">
        <w:t>; UPA = upadacitinib</w:t>
      </w:r>
      <w:r>
        <w:t>.</w:t>
      </w:r>
    </w:p>
    <w:p w14:paraId="70B327AE" w14:textId="4FA5580D" w:rsidR="00505BD5" w:rsidRPr="00B86885" w:rsidRDefault="00505BD5" w:rsidP="00505BD5">
      <w:pPr>
        <w:pStyle w:val="3-BodyText"/>
      </w:pPr>
      <w:r w:rsidRPr="00B86885">
        <w:t xml:space="preserve">The derivation of the number of </w:t>
      </w:r>
      <w:r w:rsidR="009B5B30">
        <w:t>0.1% TAC</w:t>
      </w:r>
      <w:r w:rsidRPr="00B86885">
        <w:t xml:space="preserve"> scripts using the epidemiology and market share approach has been described in </w:t>
      </w:r>
      <w:r w:rsidRPr="00B86885">
        <w:fldChar w:fldCharType="begin"/>
      </w:r>
      <w:r w:rsidRPr="00B86885">
        <w:instrText xml:space="preserve"> REF _Ref197089647 \h </w:instrText>
      </w:r>
      <w:r w:rsidR="00B86885" w:rsidRPr="00B86885">
        <w:instrText xml:space="preserve"> \* MERGEFORMAT </w:instrText>
      </w:r>
      <w:r w:rsidRPr="00B86885">
        <w:fldChar w:fldCharType="separate"/>
      </w:r>
      <w:r w:rsidR="00124226">
        <w:t xml:space="preserve">Table </w:t>
      </w:r>
      <w:r w:rsidR="00124226">
        <w:rPr>
          <w:noProof/>
        </w:rPr>
        <w:t>16</w:t>
      </w:r>
      <w:r w:rsidRPr="00B86885">
        <w:fldChar w:fldCharType="end"/>
      </w:r>
      <w:r w:rsidRPr="00B86885">
        <w:t xml:space="preserve">. The application of both these approaches assumes that patients with severe AD on their face would not currently be using </w:t>
      </w:r>
      <w:r w:rsidR="009B5B30">
        <w:t>1% PIM</w:t>
      </w:r>
      <w:r w:rsidRPr="00B86885">
        <w:t xml:space="preserve"> (i.e. that the current market for </w:t>
      </w:r>
      <w:r w:rsidR="009B5B30">
        <w:t>1% PIM</w:t>
      </w:r>
      <w:r w:rsidRPr="00B86885">
        <w:t xml:space="preserve"> is in mild-moderate AD only). There were some uncertainties noted during the evaluation regarding the epidemiological inputs (see </w:t>
      </w:r>
      <w:r w:rsidRPr="00B86885">
        <w:fldChar w:fldCharType="begin"/>
      </w:r>
      <w:r w:rsidRPr="00B86885">
        <w:instrText xml:space="preserve"> REF _Ref197089647 \h  \* MERGEFORMAT </w:instrText>
      </w:r>
      <w:r w:rsidRPr="00B86885">
        <w:fldChar w:fldCharType="separate"/>
      </w:r>
      <w:r w:rsidR="00124226">
        <w:t xml:space="preserve">Table </w:t>
      </w:r>
      <w:r w:rsidR="00124226">
        <w:rPr>
          <w:noProof/>
        </w:rPr>
        <w:t>16</w:t>
      </w:r>
      <w:r w:rsidRPr="00B86885">
        <w:fldChar w:fldCharType="end"/>
      </w:r>
      <w:r w:rsidRPr="00B86885">
        <w:t>).</w:t>
      </w:r>
    </w:p>
    <w:p w14:paraId="240633A0" w14:textId="3B854CC2" w:rsidR="00505BD5" w:rsidRPr="00B86885" w:rsidRDefault="00505BD5" w:rsidP="00505BD5">
      <w:pPr>
        <w:pStyle w:val="3-BodyText"/>
        <w:rPr>
          <w:color w:val="0066FF"/>
        </w:rPr>
      </w:pPr>
      <w:r w:rsidRPr="00B86885">
        <w:t xml:space="preserve">The estimated number of </w:t>
      </w:r>
      <w:r w:rsidR="009B5B30">
        <w:t xml:space="preserve">0.1% </w:t>
      </w:r>
      <w:r w:rsidR="005D2C87" w:rsidRPr="00B86885">
        <w:t>TAC</w:t>
      </w:r>
      <w:r w:rsidRPr="00B86885">
        <w:t xml:space="preserve"> scripts and the net costs to the PBS per year are presented in </w:t>
      </w:r>
      <w:r w:rsidRPr="00B86885">
        <w:fldChar w:fldCharType="begin"/>
      </w:r>
      <w:r w:rsidRPr="00B86885">
        <w:instrText xml:space="preserve"> REF _Ref104805295 \h </w:instrText>
      </w:r>
      <w:r w:rsidR="00B86885" w:rsidRPr="00B86885">
        <w:instrText xml:space="preserve"> \* MERGEFORMAT </w:instrText>
      </w:r>
      <w:r w:rsidRPr="00B86885">
        <w:fldChar w:fldCharType="separate"/>
      </w:r>
      <w:r w:rsidR="00124226" w:rsidRPr="00D86D87">
        <w:t xml:space="preserve">Table </w:t>
      </w:r>
      <w:r w:rsidR="00124226">
        <w:rPr>
          <w:noProof/>
        </w:rPr>
        <w:t>17</w:t>
      </w:r>
      <w:r w:rsidRPr="00B86885">
        <w:fldChar w:fldCharType="end"/>
      </w:r>
      <w:r w:rsidRPr="00B86885">
        <w:t xml:space="preserve">. </w:t>
      </w:r>
    </w:p>
    <w:p w14:paraId="1CF74CE1" w14:textId="66E603D0" w:rsidR="00505BD5" w:rsidRPr="00D86D87" w:rsidRDefault="00505BD5" w:rsidP="00505BD5">
      <w:pPr>
        <w:pStyle w:val="TableFigureHeading"/>
      </w:pPr>
      <w:bookmarkStart w:id="121" w:name="_Ref104805295"/>
      <w:r w:rsidRPr="00D86D87">
        <w:t xml:space="preserve">Table </w:t>
      </w:r>
      <w:r w:rsidR="002A692B">
        <w:fldChar w:fldCharType="begin"/>
      </w:r>
      <w:r w:rsidR="002A692B">
        <w:instrText xml:space="preserve"> SEQ Table \* ARABIC </w:instrText>
      </w:r>
      <w:r w:rsidR="002A692B">
        <w:fldChar w:fldCharType="separate"/>
      </w:r>
      <w:r w:rsidR="00124226">
        <w:rPr>
          <w:noProof/>
        </w:rPr>
        <w:t>17</w:t>
      </w:r>
      <w:r w:rsidR="002A692B">
        <w:rPr>
          <w:noProof/>
        </w:rPr>
        <w:fldChar w:fldCharType="end"/>
      </w:r>
      <w:bookmarkEnd w:id="121"/>
      <w:r w:rsidRPr="00D86D87">
        <w:t>:</w:t>
      </w:r>
      <w:r w:rsidRPr="00D86D87">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Pr>
      <w:tblGrid>
        <w:gridCol w:w="2547"/>
        <w:gridCol w:w="1079"/>
        <w:gridCol w:w="1079"/>
        <w:gridCol w:w="1078"/>
        <w:gridCol w:w="1078"/>
        <w:gridCol w:w="1078"/>
        <w:gridCol w:w="1078"/>
      </w:tblGrid>
      <w:tr w:rsidR="00505BD5" w:rsidRPr="00BF6730" w14:paraId="5B8E738D" w14:textId="77777777" w:rsidTr="00755E3A">
        <w:trPr>
          <w:tblHeader/>
        </w:trPr>
        <w:tc>
          <w:tcPr>
            <w:tcW w:w="1412" w:type="pct"/>
            <w:vAlign w:val="center"/>
          </w:tcPr>
          <w:p w14:paraId="564D1FB7" w14:textId="77777777" w:rsidR="00505BD5" w:rsidRPr="00BF6730" w:rsidRDefault="00505BD5">
            <w:pPr>
              <w:pStyle w:val="In-tableHeading"/>
              <w:jc w:val="center"/>
              <w:rPr>
                <w:lang w:val="en-AU"/>
              </w:rPr>
            </w:pPr>
            <w:r w:rsidRPr="00BF6730">
              <w:t>Description</w:t>
            </w:r>
          </w:p>
        </w:tc>
        <w:tc>
          <w:tcPr>
            <w:tcW w:w="598" w:type="pct"/>
            <w:vAlign w:val="center"/>
          </w:tcPr>
          <w:p w14:paraId="67C6905C" w14:textId="77777777" w:rsidR="00505BD5" w:rsidRPr="00BF6730" w:rsidRDefault="00505BD5">
            <w:pPr>
              <w:pStyle w:val="In-tableHeading"/>
              <w:jc w:val="center"/>
              <w:rPr>
                <w:lang w:val="en-AU"/>
              </w:rPr>
            </w:pPr>
            <w:r w:rsidRPr="00BF6730">
              <w:t>2025</w:t>
            </w:r>
          </w:p>
        </w:tc>
        <w:tc>
          <w:tcPr>
            <w:tcW w:w="598" w:type="pct"/>
            <w:vAlign w:val="center"/>
          </w:tcPr>
          <w:p w14:paraId="479D144E" w14:textId="77777777" w:rsidR="00505BD5" w:rsidRPr="00BF6730" w:rsidRDefault="00505BD5">
            <w:pPr>
              <w:pStyle w:val="In-tableHeading"/>
              <w:jc w:val="center"/>
              <w:rPr>
                <w:lang w:val="en-AU"/>
              </w:rPr>
            </w:pPr>
            <w:r w:rsidRPr="00BF6730">
              <w:t>2026</w:t>
            </w:r>
          </w:p>
        </w:tc>
        <w:tc>
          <w:tcPr>
            <w:tcW w:w="598" w:type="pct"/>
            <w:vAlign w:val="center"/>
          </w:tcPr>
          <w:p w14:paraId="7020C9FA" w14:textId="77777777" w:rsidR="00505BD5" w:rsidRPr="00BF6730" w:rsidRDefault="00505BD5">
            <w:pPr>
              <w:pStyle w:val="In-tableHeading"/>
              <w:jc w:val="center"/>
              <w:rPr>
                <w:lang w:val="en-AU"/>
              </w:rPr>
            </w:pPr>
            <w:r w:rsidRPr="00BF6730">
              <w:t>2027</w:t>
            </w:r>
          </w:p>
        </w:tc>
        <w:tc>
          <w:tcPr>
            <w:tcW w:w="598" w:type="pct"/>
            <w:vAlign w:val="center"/>
          </w:tcPr>
          <w:p w14:paraId="34F16D43" w14:textId="77777777" w:rsidR="00505BD5" w:rsidRPr="00BF6730" w:rsidRDefault="00505BD5">
            <w:pPr>
              <w:pStyle w:val="In-tableHeading"/>
              <w:jc w:val="center"/>
              <w:rPr>
                <w:lang w:val="en-AU"/>
              </w:rPr>
            </w:pPr>
            <w:r w:rsidRPr="00BF6730">
              <w:t>2028</w:t>
            </w:r>
          </w:p>
        </w:tc>
        <w:tc>
          <w:tcPr>
            <w:tcW w:w="598" w:type="pct"/>
            <w:vAlign w:val="center"/>
          </w:tcPr>
          <w:p w14:paraId="2CF97D7B" w14:textId="77777777" w:rsidR="00505BD5" w:rsidRPr="00BF6730" w:rsidRDefault="00505BD5">
            <w:pPr>
              <w:pStyle w:val="In-tableHeading"/>
              <w:jc w:val="center"/>
              <w:rPr>
                <w:lang w:val="en-AU"/>
              </w:rPr>
            </w:pPr>
            <w:r w:rsidRPr="00BF6730">
              <w:t>2029</w:t>
            </w:r>
          </w:p>
        </w:tc>
        <w:tc>
          <w:tcPr>
            <w:tcW w:w="598" w:type="pct"/>
            <w:vAlign w:val="center"/>
          </w:tcPr>
          <w:p w14:paraId="7A4F9EDD" w14:textId="77777777" w:rsidR="00505BD5" w:rsidRPr="00BF6730" w:rsidRDefault="00505BD5">
            <w:pPr>
              <w:pStyle w:val="In-tableHeading"/>
              <w:jc w:val="center"/>
              <w:rPr>
                <w:lang w:val="en-AU"/>
              </w:rPr>
            </w:pPr>
            <w:r w:rsidRPr="00BF6730">
              <w:t>2030</w:t>
            </w:r>
          </w:p>
        </w:tc>
      </w:tr>
      <w:tr w:rsidR="00505BD5" w:rsidRPr="00BF6730" w14:paraId="60A74099" w14:textId="77777777" w:rsidTr="00755E3A">
        <w:tc>
          <w:tcPr>
            <w:tcW w:w="5000" w:type="pct"/>
            <w:gridSpan w:val="7"/>
          </w:tcPr>
          <w:p w14:paraId="02F3DE63" w14:textId="77777777" w:rsidR="00505BD5" w:rsidRPr="00BF6730" w:rsidRDefault="00505BD5">
            <w:pPr>
              <w:pStyle w:val="TableText0"/>
              <w:rPr>
                <w:b/>
                <w:bCs w:val="0"/>
              </w:rPr>
            </w:pPr>
            <w:r w:rsidRPr="00BF6730">
              <w:rPr>
                <w:b/>
                <w:bCs w:val="0"/>
              </w:rPr>
              <w:t>Epidemiology approach population (patients with moderate – severe AD on body or severe AD on face or eyelids)</w:t>
            </w:r>
          </w:p>
        </w:tc>
      </w:tr>
      <w:tr w:rsidR="00505BD5" w:rsidRPr="00BF6730" w14:paraId="05AE4579" w14:textId="77777777" w:rsidTr="00755E3A">
        <w:tc>
          <w:tcPr>
            <w:tcW w:w="1412" w:type="pct"/>
          </w:tcPr>
          <w:p w14:paraId="59A00AA4" w14:textId="77777777" w:rsidR="00505BD5" w:rsidRPr="00BF6730" w:rsidRDefault="00505BD5">
            <w:pPr>
              <w:pStyle w:val="TableText0"/>
              <w:rPr>
                <w:szCs w:val="20"/>
                <w:vertAlign w:val="superscript"/>
              </w:rPr>
            </w:pPr>
            <w:r w:rsidRPr="00BF6730">
              <w:t>Epidemiological approach eligible population</w:t>
            </w:r>
          </w:p>
        </w:tc>
        <w:tc>
          <w:tcPr>
            <w:tcW w:w="598" w:type="pct"/>
            <w:vAlign w:val="bottom"/>
          </w:tcPr>
          <w:p w14:paraId="6BC51D80" w14:textId="3F83D828" w:rsidR="00505BD5" w:rsidRPr="009C4AB1" w:rsidRDefault="00460689">
            <w:pPr>
              <w:pStyle w:val="TableText0"/>
              <w:jc w:val="right"/>
              <w:rPr>
                <w:szCs w:val="20"/>
                <w:highlight w:val="darkGray"/>
              </w:rPr>
            </w:pPr>
            <w:r w:rsidRPr="000342A1">
              <w:rPr>
                <w:color w:val="000000"/>
                <w:spacing w:val="53"/>
                <w:shd w:val="solid" w:color="000000" w:fill="000000"/>
                <w:fitText w:val="330" w:id="-632553460"/>
                <w14:textFill>
                  <w14:solidFill>
                    <w14:srgbClr w14:val="000000">
                      <w14:alpha w14:val="100000"/>
                    </w14:srgbClr>
                  </w14:solidFill>
                </w14:textFill>
              </w:rPr>
              <w:t>|||</w:t>
            </w:r>
            <w:r w:rsidRPr="000342A1">
              <w:rPr>
                <w:color w:val="000000"/>
                <w:spacing w:val="1"/>
                <w:shd w:val="solid" w:color="000000" w:fill="000000"/>
                <w:fitText w:val="330" w:id="-632553460"/>
                <w14:textFill>
                  <w14:solidFill>
                    <w14:srgbClr w14:val="000000">
                      <w14:alpha w14:val="100000"/>
                    </w14:srgbClr>
                  </w14:solidFill>
                </w14:textFill>
              </w:rPr>
              <w:t>|</w:t>
            </w:r>
            <w:r w:rsidR="00FB1022" w:rsidRPr="00FB1022">
              <w:rPr>
                <w:vertAlign w:val="superscript"/>
              </w:rPr>
              <w:t>1</w:t>
            </w:r>
          </w:p>
        </w:tc>
        <w:tc>
          <w:tcPr>
            <w:tcW w:w="598" w:type="pct"/>
            <w:vAlign w:val="bottom"/>
          </w:tcPr>
          <w:p w14:paraId="0409B53C" w14:textId="40085B89" w:rsidR="00505BD5" w:rsidRPr="009C4AB1" w:rsidRDefault="00460689">
            <w:pPr>
              <w:pStyle w:val="TableText0"/>
              <w:jc w:val="right"/>
              <w:rPr>
                <w:szCs w:val="20"/>
                <w:highlight w:val="darkGray"/>
              </w:rPr>
            </w:pPr>
            <w:r w:rsidRPr="00460689">
              <w:rPr>
                <w:color w:val="000000"/>
                <w:spacing w:val="53"/>
                <w:shd w:val="solid" w:color="000000" w:fill="000000"/>
                <w:fitText w:val="330" w:id="-632553458"/>
                <w14:textFill>
                  <w14:solidFill>
                    <w14:srgbClr w14:val="000000">
                      <w14:alpha w14:val="100000"/>
                    </w14:srgbClr>
                  </w14:solidFill>
                </w14:textFill>
              </w:rPr>
              <w:t>|||</w:t>
            </w:r>
            <w:r w:rsidRPr="00460689">
              <w:rPr>
                <w:color w:val="000000"/>
                <w:spacing w:val="1"/>
                <w:shd w:val="solid" w:color="000000" w:fill="000000"/>
                <w:fitText w:val="330" w:id="-632553458"/>
                <w14:textFill>
                  <w14:solidFill>
                    <w14:srgbClr w14:val="000000">
                      <w14:alpha w14:val="100000"/>
                    </w14:srgbClr>
                  </w14:solidFill>
                </w14:textFill>
              </w:rPr>
              <w:t>|</w:t>
            </w:r>
            <w:r w:rsidR="004302A3" w:rsidRPr="004302A3">
              <w:rPr>
                <w:vertAlign w:val="superscript"/>
              </w:rPr>
              <w:t>2</w:t>
            </w:r>
          </w:p>
        </w:tc>
        <w:tc>
          <w:tcPr>
            <w:tcW w:w="598" w:type="pct"/>
            <w:vAlign w:val="bottom"/>
          </w:tcPr>
          <w:p w14:paraId="037A6A7C" w14:textId="22A3225B" w:rsidR="00505BD5" w:rsidRPr="009C4AB1" w:rsidRDefault="00460689">
            <w:pPr>
              <w:pStyle w:val="TableText0"/>
              <w:jc w:val="right"/>
              <w:rPr>
                <w:szCs w:val="20"/>
                <w:highlight w:val="darkGray"/>
              </w:rPr>
            </w:pPr>
            <w:r w:rsidRPr="00460689">
              <w:rPr>
                <w:color w:val="000000"/>
                <w:spacing w:val="53"/>
                <w:shd w:val="solid" w:color="000000" w:fill="000000"/>
                <w:fitText w:val="330" w:id="-632553456"/>
                <w14:textFill>
                  <w14:solidFill>
                    <w14:srgbClr w14:val="000000">
                      <w14:alpha w14:val="100000"/>
                    </w14:srgbClr>
                  </w14:solidFill>
                </w14:textFill>
              </w:rPr>
              <w:t>|||</w:t>
            </w:r>
            <w:r w:rsidRPr="00460689">
              <w:rPr>
                <w:color w:val="000000"/>
                <w:spacing w:val="1"/>
                <w:shd w:val="solid" w:color="000000" w:fill="000000"/>
                <w:fitText w:val="330" w:id="-632553456"/>
                <w14:textFill>
                  <w14:solidFill>
                    <w14:srgbClr w14:val="000000">
                      <w14:alpha w14:val="100000"/>
                    </w14:srgbClr>
                  </w14:solidFill>
                </w14:textFill>
              </w:rPr>
              <w:t>|</w:t>
            </w:r>
            <w:r w:rsidR="00A125F7" w:rsidRPr="004302A3">
              <w:rPr>
                <w:vertAlign w:val="superscript"/>
              </w:rPr>
              <w:t>2</w:t>
            </w:r>
          </w:p>
        </w:tc>
        <w:tc>
          <w:tcPr>
            <w:tcW w:w="598" w:type="pct"/>
            <w:vAlign w:val="bottom"/>
          </w:tcPr>
          <w:p w14:paraId="0A53C68E" w14:textId="232D2F48" w:rsidR="00505BD5" w:rsidRPr="009C4AB1" w:rsidRDefault="00460689">
            <w:pPr>
              <w:pStyle w:val="TableText0"/>
              <w:jc w:val="right"/>
              <w:rPr>
                <w:szCs w:val="20"/>
                <w:highlight w:val="darkGray"/>
              </w:rPr>
            </w:pPr>
            <w:r w:rsidRPr="00460689">
              <w:rPr>
                <w:color w:val="000000"/>
                <w:spacing w:val="53"/>
                <w:shd w:val="solid" w:color="000000" w:fill="000000"/>
                <w:fitText w:val="330" w:id="-632553471"/>
                <w14:textFill>
                  <w14:solidFill>
                    <w14:srgbClr w14:val="000000">
                      <w14:alpha w14:val="100000"/>
                    </w14:srgbClr>
                  </w14:solidFill>
                </w14:textFill>
              </w:rPr>
              <w:t>|||</w:t>
            </w:r>
            <w:r w:rsidRPr="00460689">
              <w:rPr>
                <w:color w:val="000000"/>
                <w:spacing w:val="1"/>
                <w:shd w:val="solid" w:color="000000" w:fill="000000"/>
                <w:fitText w:val="330" w:id="-632553471"/>
                <w14:textFill>
                  <w14:solidFill>
                    <w14:srgbClr w14:val="000000">
                      <w14:alpha w14:val="100000"/>
                    </w14:srgbClr>
                  </w14:solidFill>
                </w14:textFill>
              </w:rPr>
              <w:t>|</w:t>
            </w:r>
            <w:r w:rsidR="00A125F7" w:rsidRPr="004302A3">
              <w:rPr>
                <w:vertAlign w:val="superscript"/>
              </w:rPr>
              <w:t>2</w:t>
            </w:r>
          </w:p>
        </w:tc>
        <w:tc>
          <w:tcPr>
            <w:tcW w:w="598" w:type="pct"/>
            <w:vAlign w:val="bottom"/>
          </w:tcPr>
          <w:p w14:paraId="4AF4EF35" w14:textId="3D681EF3" w:rsidR="00505BD5" w:rsidRPr="009C4AB1" w:rsidRDefault="00460689">
            <w:pPr>
              <w:pStyle w:val="TableText0"/>
              <w:jc w:val="right"/>
              <w:rPr>
                <w:szCs w:val="20"/>
                <w:highlight w:val="darkGray"/>
              </w:rPr>
            </w:pPr>
            <w:r w:rsidRPr="00460689">
              <w:rPr>
                <w:color w:val="000000"/>
                <w:spacing w:val="53"/>
                <w:shd w:val="solid" w:color="000000" w:fill="000000"/>
                <w:fitText w:val="330" w:id="-632553215"/>
                <w14:textFill>
                  <w14:solidFill>
                    <w14:srgbClr w14:val="000000">
                      <w14:alpha w14:val="100000"/>
                    </w14:srgbClr>
                  </w14:solidFill>
                </w14:textFill>
              </w:rPr>
              <w:t>|||</w:t>
            </w:r>
            <w:r w:rsidRPr="00460689">
              <w:rPr>
                <w:color w:val="000000"/>
                <w:spacing w:val="1"/>
                <w:shd w:val="solid" w:color="000000" w:fill="000000"/>
                <w:fitText w:val="330" w:id="-632553215"/>
                <w14:textFill>
                  <w14:solidFill>
                    <w14:srgbClr w14:val="000000">
                      <w14:alpha w14:val="100000"/>
                    </w14:srgbClr>
                  </w14:solidFill>
                </w14:textFill>
              </w:rPr>
              <w:t>|</w:t>
            </w:r>
            <w:r w:rsidR="00A125F7" w:rsidRPr="004302A3">
              <w:rPr>
                <w:vertAlign w:val="superscript"/>
              </w:rPr>
              <w:t>2</w:t>
            </w:r>
          </w:p>
        </w:tc>
        <w:tc>
          <w:tcPr>
            <w:tcW w:w="598" w:type="pct"/>
            <w:vAlign w:val="bottom"/>
          </w:tcPr>
          <w:p w14:paraId="318991E1" w14:textId="2D5C0D9E" w:rsidR="00505BD5" w:rsidRPr="009C4AB1" w:rsidRDefault="00460689">
            <w:pPr>
              <w:pStyle w:val="TableText0"/>
              <w:jc w:val="right"/>
              <w:rPr>
                <w:szCs w:val="20"/>
                <w:highlight w:val="darkGray"/>
              </w:rPr>
            </w:pPr>
            <w:r w:rsidRPr="00460689">
              <w:rPr>
                <w:color w:val="000000"/>
                <w:spacing w:val="53"/>
                <w:shd w:val="solid" w:color="000000" w:fill="000000"/>
                <w:fitText w:val="330" w:id="-632553213"/>
                <w14:textFill>
                  <w14:solidFill>
                    <w14:srgbClr w14:val="000000">
                      <w14:alpha w14:val="100000"/>
                    </w14:srgbClr>
                  </w14:solidFill>
                </w14:textFill>
              </w:rPr>
              <w:t>|||</w:t>
            </w:r>
            <w:r w:rsidRPr="00460689">
              <w:rPr>
                <w:color w:val="000000"/>
                <w:spacing w:val="1"/>
                <w:shd w:val="solid" w:color="000000" w:fill="000000"/>
                <w:fitText w:val="330" w:id="-632553213"/>
                <w14:textFill>
                  <w14:solidFill>
                    <w14:srgbClr w14:val="000000">
                      <w14:alpha w14:val="100000"/>
                    </w14:srgbClr>
                  </w14:solidFill>
                </w14:textFill>
              </w:rPr>
              <w:t>|</w:t>
            </w:r>
            <w:r w:rsidR="00A125F7" w:rsidRPr="004302A3">
              <w:rPr>
                <w:vertAlign w:val="superscript"/>
              </w:rPr>
              <w:t>2</w:t>
            </w:r>
          </w:p>
        </w:tc>
      </w:tr>
      <w:tr w:rsidR="00505BD5" w:rsidRPr="00BF6730" w14:paraId="744394E6" w14:textId="77777777" w:rsidTr="00755E3A">
        <w:tc>
          <w:tcPr>
            <w:tcW w:w="1412" w:type="pct"/>
          </w:tcPr>
          <w:p w14:paraId="09ABF98B" w14:textId="77777777" w:rsidR="00505BD5" w:rsidRPr="00BF6730" w:rsidRDefault="00505BD5">
            <w:pPr>
              <w:pStyle w:val="TableText0"/>
              <w:rPr>
                <w:szCs w:val="20"/>
              </w:rPr>
            </w:pPr>
            <w:r w:rsidRPr="00BF6730">
              <w:t>Uptake rate (assumption)</w:t>
            </w:r>
          </w:p>
        </w:tc>
        <w:tc>
          <w:tcPr>
            <w:tcW w:w="598" w:type="pct"/>
            <w:vAlign w:val="bottom"/>
          </w:tcPr>
          <w:p w14:paraId="25910105" w14:textId="40E85BB5" w:rsidR="00505BD5" w:rsidRPr="00BF6730" w:rsidRDefault="00460689">
            <w:pPr>
              <w:pStyle w:val="TableText0"/>
              <w:jc w:val="right"/>
              <w:rPr>
                <w:szCs w:val="20"/>
              </w:rPr>
            </w:pPr>
            <w:r w:rsidRPr="00460689">
              <w:rPr>
                <w:color w:val="000000"/>
                <w:spacing w:val="51"/>
                <w:shd w:val="solid" w:color="000000" w:fill="000000"/>
                <w:fitText w:val="324" w:id="-632553211"/>
                <w14:textFill>
                  <w14:solidFill>
                    <w14:srgbClr w14:val="000000">
                      <w14:alpha w14:val="100000"/>
                    </w14:srgbClr>
                  </w14:solidFill>
                </w14:textFill>
              </w:rPr>
              <w:t>|||</w:t>
            </w:r>
            <w:r w:rsidRPr="00460689">
              <w:rPr>
                <w:color w:val="000000"/>
                <w:spacing w:val="1"/>
                <w:shd w:val="solid" w:color="000000" w:fill="000000"/>
                <w:fitText w:val="324" w:id="-632553211"/>
                <w14:textFill>
                  <w14:solidFill>
                    <w14:srgbClr w14:val="000000">
                      <w14:alpha w14:val="100000"/>
                    </w14:srgbClr>
                  </w14:solidFill>
                </w14:textFill>
              </w:rPr>
              <w:t>|</w:t>
            </w:r>
            <w:r w:rsidR="00505BD5" w:rsidRPr="00BF6730">
              <w:t>%</w:t>
            </w:r>
          </w:p>
        </w:tc>
        <w:tc>
          <w:tcPr>
            <w:tcW w:w="598" w:type="pct"/>
            <w:vAlign w:val="bottom"/>
          </w:tcPr>
          <w:p w14:paraId="46E0E725" w14:textId="1AE3816A" w:rsidR="00505BD5" w:rsidRPr="00BF6730" w:rsidRDefault="00460689">
            <w:pPr>
              <w:pStyle w:val="TableText0"/>
              <w:jc w:val="right"/>
              <w:rPr>
                <w:szCs w:val="20"/>
              </w:rPr>
            </w:pPr>
            <w:r w:rsidRPr="00460689">
              <w:rPr>
                <w:color w:val="000000"/>
                <w:spacing w:val="51"/>
                <w:shd w:val="solid" w:color="000000" w:fill="000000"/>
                <w:fitText w:val="324" w:id="-632553210"/>
                <w14:textFill>
                  <w14:solidFill>
                    <w14:srgbClr w14:val="000000">
                      <w14:alpha w14:val="100000"/>
                    </w14:srgbClr>
                  </w14:solidFill>
                </w14:textFill>
              </w:rPr>
              <w:t>|||</w:t>
            </w:r>
            <w:r w:rsidRPr="00460689">
              <w:rPr>
                <w:color w:val="000000"/>
                <w:spacing w:val="1"/>
                <w:shd w:val="solid" w:color="000000" w:fill="000000"/>
                <w:fitText w:val="324" w:id="-632553210"/>
                <w14:textFill>
                  <w14:solidFill>
                    <w14:srgbClr w14:val="000000">
                      <w14:alpha w14:val="100000"/>
                    </w14:srgbClr>
                  </w14:solidFill>
                </w14:textFill>
              </w:rPr>
              <w:t>|</w:t>
            </w:r>
            <w:r w:rsidR="00505BD5" w:rsidRPr="00BF6730">
              <w:t>%</w:t>
            </w:r>
          </w:p>
        </w:tc>
        <w:tc>
          <w:tcPr>
            <w:tcW w:w="598" w:type="pct"/>
            <w:vAlign w:val="bottom"/>
          </w:tcPr>
          <w:p w14:paraId="3D105779" w14:textId="5222BA82" w:rsidR="00505BD5" w:rsidRPr="00BF6730" w:rsidRDefault="00460689">
            <w:pPr>
              <w:pStyle w:val="TableText0"/>
              <w:jc w:val="right"/>
              <w:rPr>
                <w:szCs w:val="20"/>
              </w:rPr>
            </w:pPr>
            <w:r w:rsidRPr="00460689">
              <w:rPr>
                <w:color w:val="000000"/>
                <w:spacing w:val="53"/>
                <w:shd w:val="solid" w:color="000000" w:fill="000000"/>
                <w:fitText w:val="330" w:id="-632553209"/>
                <w14:textFill>
                  <w14:solidFill>
                    <w14:srgbClr w14:val="000000">
                      <w14:alpha w14:val="100000"/>
                    </w14:srgbClr>
                  </w14:solidFill>
                </w14:textFill>
              </w:rPr>
              <w:t>|||</w:t>
            </w:r>
            <w:r w:rsidRPr="00460689">
              <w:rPr>
                <w:color w:val="000000"/>
                <w:spacing w:val="1"/>
                <w:shd w:val="solid" w:color="000000" w:fill="000000"/>
                <w:fitText w:val="330" w:id="-632553209"/>
                <w14:textFill>
                  <w14:solidFill>
                    <w14:srgbClr w14:val="000000">
                      <w14:alpha w14:val="100000"/>
                    </w14:srgbClr>
                  </w14:solidFill>
                </w14:textFill>
              </w:rPr>
              <w:t>|</w:t>
            </w:r>
            <w:r w:rsidR="00505BD5" w:rsidRPr="00BF6730">
              <w:t>%</w:t>
            </w:r>
          </w:p>
        </w:tc>
        <w:tc>
          <w:tcPr>
            <w:tcW w:w="598" w:type="pct"/>
            <w:vAlign w:val="bottom"/>
          </w:tcPr>
          <w:p w14:paraId="36F89F6A" w14:textId="0B02B2B9" w:rsidR="00505BD5" w:rsidRPr="00BF6730" w:rsidRDefault="00460689">
            <w:pPr>
              <w:pStyle w:val="TableText0"/>
              <w:jc w:val="right"/>
              <w:rPr>
                <w:szCs w:val="20"/>
              </w:rPr>
            </w:pPr>
            <w:r w:rsidRPr="00460689">
              <w:rPr>
                <w:color w:val="000000"/>
                <w:spacing w:val="53"/>
                <w:shd w:val="solid" w:color="000000" w:fill="000000"/>
                <w:fitText w:val="330" w:id="-632553208"/>
                <w14:textFill>
                  <w14:solidFill>
                    <w14:srgbClr w14:val="000000">
                      <w14:alpha w14:val="100000"/>
                    </w14:srgbClr>
                  </w14:solidFill>
                </w14:textFill>
              </w:rPr>
              <w:t>|||</w:t>
            </w:r>
            <w:r w:rsidRPr="00460689">
              <w:rPr>
                <w:color w:val="000000"/>
                <w:spacing w:val="1"/>
                <w:shd w:val="solid" w:color="000000" w:fill="000000"/>
                <w:fitText w:val="330" w:id="-632553208"/>
                <w14:textFill>
                  <w14:solidFill>
                    <w14:srgbClr w14:val="000000">
                      <w14:alpha w14:val="100000"/>
                    </w14:srgbClr>
                  </w14:solidFill>
                </w14:textFill>
              </w:rPr>
              <w:t>|</w:t>
            </w:r>
            <w:r w:rsidR="00505BD5" w:rsidRPr="00BF6730">
              <w:t>%</w:t>
            </w:r>
          </w:p>
        </w:tc>
        <w:tc>
          <w:tcPr>
            <w:tcW w:w="598" w:type="pct"/>
            <w:vAlign w:val="bottom"/>
          </w:tcPr>
          <w:p w14:paraId="7B0872E8" w14:textId="34AC24FE" w:rsidR="00505BD5" w:rsidRPr="00BF6730" w:rsidRDefault="00460689">
            <w:pPr>
              <w:pStyle w:val="TableText0"/>
              <w:jc w:val="right"/>
              <w:rPr>
                <w:szCs w:val="20"/>
              </w:rPr>
            </w:pPr>
            <w:r w:rsidRPr="00460689">
              <w:rPr>
                <w:color w:val="000000"/>
                <w:spacing w:val="53"/>
                <w:shd w:val="solid" w:color="000000" w:fill="000000"/>
                <w:fitText w:val="330" w:id="-632553207"/>
                <w14:textFill>
                  <w14:solidFill>
                    <w14:srgbClr w14:val="000000">
                      <w14:alpha w14:val="100000"/>
                    </w14:srgbClr>
                  </w14:solidFill>
                </w14:textFill>
              </w:rPr>
              <w:t>|||</w:t>
            </w:r>
            <w:r w:rsidRPr="00460689">
              <w:rPr>
                <w:color w:val="000000"/>
                <w:spacing w:val="1"/>
                <w:shd w:val="solid" w:color="000000" w:fill="000000"/>
                <w:fitText w:val="330" w:id="-632553207"/>
                <w14:textFill>
                  <w14:solidFill>
                    <w14:srgbClr w14:val="000000">
                      <w14:alpha w14:val="100000"/>
                    </w14:srgbClr>
                  </w14:solidFill>
                </w14:textFill>
              </w:rPr>
              <w:t>|</w:t>
            </w:r>
            <w:r w:rsidR="00505BD5" w:rsidRPr="00BF6730">
              <w:t>%</w:t>
            </w:r>
          </w:p>
        </w:tc>
        <w:tc>
          <w:tcPr>
            <w:tcW w:w="598" w:type="pct"/>
            <w:vAlign w:val="bottom"/>
          </w:tcPr>
          <w:p w14:paraId="0E2D207A" w14:textId="4122C575" w:rsidR="00505BD5" w:rsidRPr="00BF6730" w:rsidRDefault="00460689">
            <w:pPr>
              <w:pStyle w:val="TableText0"/>
              <w:jc w:val="right"/>
              <w:rPr>
                <w:szCs w:val="20"/>
              </w:rPr>
            </w:pPr>
            <w:r w:rsidRPr="00460689">
              <w:rPr>
                <w:color w:val="000000"/>
                <w:spacing w:val="53"/>
                <w:shd w:val="solid" w:color="000000" w:fill="000000"/>
                <w:fitText w:val="330" w:id="-632553206"/>
                <w14:textFill>
                  <w14:solidFill>
                    <w14:srgbClr w14:val="000000">
                      <w14:alpha w14:val="100000"/>
                    </w14:srgbClr>
                  </w14:solidFill>
                </w14:textFill>
              </w:rPr>
              <w:t>|||</w:t>
            </w:r>
            <w:r w:rsidRPr="00460689">
              <w:rPr>
                <w:color w:val="000000"/>
                <w:spacing w:val="1"/>
                <w:shd w:val="solid" w:color="000000" w:fill="000000"/>
                <w:fitText w:val="330" w:id="-632553206"/>
                <w14:textFill>
                  <w14:solidFill>
                    <w14:srgbClr w14:val="000000">
                      <w14:alpha w14:val="100000"/>
                    </w14:srgbClr>
                  </w14:solidFill>
                </w14:textFill>
              </w:rPr>
              <w:t>|</w:t>
            </w:r>
            <w:r w:rsidR="00505BD5" w:rsidRPr="00BF6730">
              <w:t>%</w:t>
            </w:r>
          </w:p>
        </w:tc>
      </w:tr>
      <w:tr w:rsidR="00505BD5" w:rsidRPr="00BF6730" w14:paraId="2AB6CAA2" w14:textId="77777777" w:rsidTr="00755E3A">
        <w:tc>
          <w:tcPr>
            <w:tcW w:w="1412" w:type="pct"/>
          </w:tcPr>
          <w:p w14:paraId="5FB43EAD" w14:textId="77777777" w:rsidR="00505BD5" w:rsidRPr="00BF6730" w:rsidRDefault="00505BD5">
            <w:pPr>
              <w:pStyle w:val="TableText0"/>
              <w:rPr>
                <w:szCs w:val="20"/>
              </w:rPr>
            </w:pPr>
            <w:r w:rsidRPr="00BF6730">
              <w:t>Prevalent patients who uptake</w:t>
            </w:r>
          </w:p>
        </w:tc>
        <w:tc>
          <w:tcPr>
            <w:tcW w:w="598" w:type="pct"/>
            <w:vAlign w:val="bottom"/>
          </w:tcPr>
          <w:p w14:paraId="20D56E42" w14:textId="6F56DB42" w:rsidR="00505BD5" w:rsidRPr="009E4F81" w:rsidRDefault="00460689">
            <w:pPr>
              <w:pStyle w:val="TableText0"/>
              <w:jc w:val="right"/>
              <w:rPr>
                <w:szCs w:val="20"/>
                <w:highlight w:val="darkGray"/>
              </w:rPr>
            </w:pPr>
            <w:r w:rsidRPr="00460689">
              <w:rPr>
                <w:color w:val="000000"/>
                <w:spacing w:val="53"/>
                <w:shd w:val="solid" w:color="000000" w:fill="000000"/>
                <w:fitText w:val="330" w:id="-632553205"/>
                <w14:textFill>
                  <w14:solidFill>
                    <w14:srgbClr w14:val="000000">
                      <w14:alpha w14:val="100000"/>
                    </w14:srgbClr>
                  </w14:solidFill>
                </w14:textFill>
              </w:rPr>
              <w:t>|||</w:t>
            </w:r>
            <w:r w:rsidRPr="00460689">
              <w:rPr>
                <w:color w:val="000000"/>
                <w:spacing w:val="1"/>
                <w:shd w:val="solid" w:color="000000" w:fill="000000"/>
                <w:fitText w:val="330" w:id="-632553205"/>
                <w14:textFill>
                  <w14:solidFill>
                    <w14:srgbClr w14:val="000000">
                      <w14:alpha w14:val="100000"/>
                    </w14:srgbClr>
                  </w14:solidFill>
                </w14:textFill>
              </w:rPr>
              <w:t>|</w:t>
            </w:r>
            <w:r w:rsidR="006526E1" w:rsidRPr="006526E1">
              <w:rPr>
                <w:vertAlign w:val="superscript"/>
              </w:rPr>
              <w:t>3</w:t>
            </w:r>
          </w:p>
        </w:tc>
        <w:tc>
          <w:tcPr>
            <w:tcW w:w="598" w:type="pct"/>
            <w:vAlign w:val="bottom"/>
          </w:tcPr>
          <w:p w14:paraId="36F393AC" w14:textId="31BA39A1" w:rsidR="00505BD5" w:rsidRPr="009E4F81" w:rsidRDefault="00460689">
            <w:pPr>
              <w:pStyle w:val="TableText0"/>
              <w:jc w:val="right"/>
              <w:rPr>
                <w:szCs w:val="20"/>
                <w:highlight w:val="darkGray"/>
              </w:rPr>
            </w:pPr>
            <w:r w:rsidRPr="00460689">
              <w:rPr>
                <w:color w:val="000000"/>
                <w:spacing w:val="53"/>
                <w:shd w:val="solid" w:color="000000" w:fill="000000"/>
                <w:fitText w:val="330" w:id="-632553203"/>
                <w14:textFill>
                  <w14:solidFill>
                    <w14:srgbClr w14:val="000000">
                      <w14:alpha w14:val="100000"/>
                    </w14:srgbClr>
                  </w14:solidFill>
                </w14:textFill>
              </w:rPr>
              <w:t>|||</w:t>
            </w:r>
            <w:r w:rsidRPr="00460689">
              <w:rPr>
                <w:color w:val="000000"/>
                <w:spacing w:val="1"/>
                <w:shd w:val="solid" w:color="000000" w:fill="000000"/>
                <w:fitText w:val="330" w:id="-632553203"/>
                <w14:textFill>
                  <w14:solidFill>
                    <w14:srgbClr w14:val="000000">
                      <w14:alpha w14:val="100000"/>
                    </w14:srgbClr>
                  </w14:solidFill>
                </w14:textFill>
              </w:rPr>
              <w:t>|</w:t>
            </w:r>
            <w:r w:rsidR="00B01428" w:rsidRPr="00B01428">
              <w:rPr>
                <w:vertAlign w:val="superscript"/>
              </w:rPr>
              <w:t>4</w:t>
            </w:r>
          </w:p>
        </w:tc>
        <w:tc>
          <w:tcPr>
            <w:tcW w:w="598" w:type="pct"/>
            <w:vAlign w:val="bottom"/>
          </w:tcPr>
          <w:p w14:paraId="39750214" w14:textId="63880C42" w:rsidR="00505BD5" w:rsidRPr="009E4F81" w:rsidRDefault="00460689">
            <w:pPr>
              <w:pStyle w:val="TableText0"/>
              <w:jc w:val="right"/>
              <w:rPr>
                <w:szCs w:val="20"/>
                <w:highlight w:val="darkGray"/>
              </w:rPr>
            </w:pPr>
            <w:r w:rsidRPr="00460689">
              <w:rPr>
                <w:color w:val="000000"/>
                <w:spacing w:val="53"/>
                <w:shd w:val="solid" w:color="000000" w:fill="000000"/>
                <w:fitText w:val="330" w:id="-632553201"/>
                <w14:textFill>
                  <w14:solidFill>
                    <w14:srgbClr w14:val="000000">
                      <w14:alpha w14:val="100000"/>
                    </w14:srgbClr>
                  </w14:solidFill>
                </w14:textFill>
              </w:rPr>
              <w:t>|||</w:t>
            </w:r>
            <w:r w:rsidRPr="00460689">
              <w:rPr>
                <w:color w:val="000000"/>
                <w:spacing w:val="1"/>
                <w:shd w:val="solid" w:color="000000" w:fill="000000"/>
                <w:fitText w:val="330" w:id="-632553201"/>
                <w14:textFill>
                  <w14:solidFill>
                    <w14:srgbClr w14:val="000000">
                      <w14:alpha w14:val="100000"/>
                    </w14:srgbClr>
                  </w14:solidFill>
                </w14:textFill>
              </w:rPr>
              <w:t>|</w:t>
            </w:r>
            <w:r w:rsidR="00C50648" w:rsidRPr="00C50648">
              <w:rPr>
                <w:vertAlign w:val="superscript"/>
              </w:rPr>
              <w:t>5</w:t>
            </w:r>
          </w:p>
        </w:tc>
        <w:tc>
          <w:tcPr>
            <w:tcW w:w="598" w:type="pct"/>
            <w:vAlign w:val="bottom"/>
          </w:tcPr>
          <w:p w14:paraId="58DD95E0" w14:textId="549A12CD" w:rsidR="00505BD5" w:rsidRPr="009E4F81" w:rsidRDefault="00460689">
            <w:pPr>
              <w:pStyle w:val="TableText0"/>
              <w:jc w:val="right"/>
              <w:rPr>
                <w:szCs w:val="20"/>
                <w:highlight w:val="darkGray"/>
              </w:rPr>
            </w:pPr>
            <w:r w:rsidRPr="00460689">
              <w:rPr>
                <w:color w:val="000000"/>
                <w:spacing w:val="53"/>
                <w:shd w:val="solid" w:color="000000" w:fill="000000"/>
                <w:fitText w:val="330" w:id="-632553216"/>
                <w14:textFill>
                  <w14:solidFill>
                    <w14:srgbClr w14:val="000000">
                      <w14:alpha w14:val="100000"/>
                    </w14:srgbClr>
                  </w14:solidFill>
                </w14:textFill>
              </w:rPr>
              <w:t>|||</w:t>
            </w:r>
            <w:r w:rsidRPr="00460689">
              <w:rPr>
                <w:color w:val="000000"/>
                <w:spacing w:val="1"/>
                <w:shd w:val="solid" w:color="000000" w:fill="000000"/>
                <w:fitText w:val="330" w:id="-632553216"/>
                <w14:textFill>
                  <w14:solidFill>
                    <w14:srgbClr w14:val="000000">
                      <w14:alpha w14:val="100000"/>
                    </w14:srgbClr>
                  </w14:solidFill>
                </w14:textFill>
              </w:rPr>
              <w:t>|</w:t>
            </w:r>
            <w:r w:rsidR="008D2A49" w:rsidRPr="008D2A49">
              <w:rPr>
                <w:vertAlign w:val="superscript"/>
              </w:rPr>
              <w:t>6</w:t>
            </w:r>
          </w:p>
        </w:tc>
        <w:tc>
          <w:tcPr>
            <w:tcW w:w="598" w:type="pct"/>
            <w:vAlign w:val="bottom"/>
          </w:tcPr>
          <w:p w14:paraId="47CB9FB2" w14:textId="53C36CD9" w:rsidR="00505BD5" w:rsidRPr="009E4F81" w:rsidRDefault="00460689">
            <w:pPr>
              <w:pStyle w:val="TableText0"/>
              <w:jc w:val="right"/>
              <w:rPr>
                <w:szCs w:val="20"/>
                <w:highlight w:val="darkGray"/>
              </w:rPr>
            </w:pPr>
            <w:r w:rsidRPr="00460689">
              <w:rPr>
                <w:color w:val="000000"/>
                <w:spacing w:val="53"/>
                <w:shd w:val="solid" w:color="000000" w:fill="000000"/>
                <w:fitText w:val="330" w:id="-632553214"/>
                <w14:textFill>
                  <w14:solidFill>
                    <w14:srgbClr w14:val="000000">
                      <w14:alpha w14:val="100000"/>
                    </w14:srgbClr>
                  </w14:solidFill>
                </w14:textFill>
              </w:rPr>
              <w:t>|||</w:t>
            </w:r>
            <w:r w:rsidRPr="00460689">
              <w:rPr>
                <w:color w:val="000000"/>
                <w:spacing w:val="1"/>
                <w:shd w:val="solid" w:color="000000" w:fill="000000"/>
                <w:fitText w:val="330" w:id="-632553214"/>
                <w14:textFill>
                  <w14:solidFill>
                    <w14:srgbClr w14:val="000000">
                      <w14:alpha w14:val="100000"/>
                    </w14:srgbClr>
                  </w14:solidFill>
                </w14:textFill>
              </w:rPr>
              <w:t>|</w:t>
            </w:r>
            <w:r w:rsidR="008D2A49" w:rsidRPr="008D2A49">
              <w:rPr>
                <w:vertAlign w:val="superscript"/>
              </w:rPr>
              <w:t>6</w:t>
            </w:r>
          </w:p>
        </w:tc>
        <w:tc>
          <w:tcPr>
            <w:tcW w:w="598" w:type="pct"/>
            <w:vAlign w:val="bottom"/>
          </w:tcPr>
          <w:p w14:paraId="69BA4A06" w14:textId="0F861270" w:rsidR="00505BD5" w:rsidRPr="009E4F81" w:rsidRDefault="00460689">
            <w:pPr>
              <w:pStyle w:val="TableText0"/>
              <w:jc w:val="right"/>
              <w:rPr>
                <w:szCs w:val="20"/>
                <w:highlight w:val="darkGray"/>
              </w:rPr>
            </w:pPr>
            <w:r w:rsidRPr="00460689">
              <w:rPr>
                <w:color w:val="000000"/>
                <w:spacing w:val="53"/>
                <w:shd w:val="solid" w:color="000000" w:fill="000000"/>
                <w:fitText w:val="330" w:id="-632553212"/>
                <w14:textFill>
                  <w14:solidFill>
                    <w14:srgbClr w14:val="000000">
                      <w14:alpha w14:val="100000"/>
                    </w14:srgbClr>
                  </w14:solidFill>
                </w14:textFill>
              </w:rPr>
              <w:t>|||</w:t>
            </w:r>
            <w:r w:rsidRPr="00460689">
              <w:rPr>
                <w:color w:val="000000"/>
                <w:spacing w:val="1"/>
                <w:shd w:val="solid" w:color="000000" w:fill="000000"/>
                <w:fitText w:val="330" w:id="-632553212"/>
                <w14:textFill>
                  <w14:solidFill>
                    <w14:srgbClr w14:val="000000">
                      <w14:alpha w14:val="100000"/>
                    </w14:srgbClr>
                  </w14:solidFill>
                </w14:textFill>
              </w:rPr>
              <w:t>|</w:t>
            </w:r>
            <w:r w:rsidR="0079572A" w:rsidRPr="00FB1022">
              <w:rPr>
                <w:vertAlign w:val="superscript"/>
              </w:rPr>
              <w:t>1</w:t>
            </w:r>
          </w:p>
        </w:tc>
      </w:tr>
      <w:tr w:rsidR="00505BD5" w:rsidRPr="00BF6730" w14:paraId="67066824" w14:textId="77777777" w:rsidTr="00755E3A">
        <w:tc>
          <w:tcPr>
            <w:tcW w:w="1412" w:type="pct"/>
          </w:tcPr>
          <w:p w14:paraId="41886565" w14:textId="40AF7302" w:rsidR="00505BD5" w:rsidRPr="00BF6730" w:rsidRDefault="00505BD5">
            <w:pPr>
              <w:pStyle w:val="TableText0"/>
              <w:rPr>
                <w:szCs w:val="20"/>
              </w:rPr>
            </w:pPr>
            <w:r w:rsidRPr="00BF6730">
              <w:t>Treatment naïve patients</w:t>
            </w:r>
            <w:r w:rsidR="002A692B" w:rsidRPr="00BF6730">
              <w:rPr>
                <w:vertAlign w:val="superscript"/>
              </w:rPr>
              <w:t>a</w:t>
            </w:r>
          </w:p>
        </w:tc>
        <w:tc>
          <w:tcPr>
            <w:tcW w:w="598" w:type="pct"/>
            <w:vAlign w:val="bottom"/>
          </w:tcPr>
          <w:p w14:paraId="28A6A48A" w14:textId="1ED7C2D4" w:rsidR="00505BD5" w:rsidRPr="009E4F81" w:rsidRDefault="00460689">
            <w:pPr>
              <w:pStyle w:val="TableText0"/>
              <w:jc w:val="right"/>
              <w:rPr>
                <w:szCs w:val="20"/>
                <w:highlight w:val="darkGray"/>
              </w:rPr>
            </w:pPr>
            <w:r w:rsidRPr="00460689">
              <w:rPr>
                <w:color w:val="000000"/>
                <w:spacing w:val="53"/>
                <w:shd w:val="solid" w:color="000000" w:fill="000000"/>
                <w:fitText w:val="330" w:id="-632553210"/>
                <w14:textFill>
                  <w14:solidFill>
                    <w14:srgbClr w14:val="000000">
                      <w14:alpha w14:val="100000"/>
                    </w14:srgbClr>
                  </w14:solidFill>
                </w14:textFill>
              </w:rPr>
              <w:t>|||</w:t>
            </w:r>
            <w:r w:rsidRPr="00460689">
              <w:rPr>
                <w:color w:val="000000"/>
                <w:spacing w:val="1"/>
                <w:shd w:val="solid" w:color="000000" w:fill="000000"/>
                <w:fitText w:val="330" w:id="-632553210"/>
                <w14:textFill>
                  <w14:solidFill>
                    <w14:srgbClr w14:val="000000">
                      <w14:alpha w14:val="100000"/>
                    </w14:srgbClr>
                  </w14:solidFill>
                </w14:textFill>
              </w:rPr>
              <w:t>|</w:t>
            </w:r>
            <w:r w:rsidR="0096510B" w:rsidRPr="0096510B">
              <w:rPr>
                <w:vertAlign w:val="superscript"/>
              </w:rPr>
              <w:t>3</w:t>
            </w:r>
          </w:p>
        </w:tc>
        <w:tc>
          <w:tcPr>
            <w:tcW w:w="598" w:type="pct"/>
            <w:vAlign w:val="bottom"/>
          </w:tcPr>
          <w:p w14:paraId="1C031B9A" w14:textId="5973DB32" w:rsidR="00505BD5" w:rsidRPr="009E4F81" w:rsidRDefault="00460689">
            <w:pPr>
              <w:pStyle w:val="TableText0"/>
              <w:jc w:val="right"/>
              <w:rPr>
                <w:szCs w:val="20"/>
                <w:highlight w:val="darkGray"/>
              </w:rPr>
            </w:pPr>
            <w:r w:rsidRPr="00460689">
              <w:rPr>
                <w:color w:val="000000"/>
                <w:spacing w:val="53"/>
                <w:shd w:val="solid" w:color="000000" w:fill="000000"/>
                <w:fitText w:val="330" w:id="-632553208"/>
                <w14:textFill>
                  <w14:solidFill>
                    <w14:srgbClr w14:val="000000">
                      <w14:alpha w14:val="100000"/>
                    </w14:srgbClr>
                  </w14:solidFill>
                </w14:textFill>
              </w:rPr>
              <w:t>|||</w:t>
            </w:r>
            <w:r w:rsidRPr="00460689">
              <w:rPr>
                <w:color w:val="000000"/>
                <w:spacing w:val="1"/>
                <w:shd w:val="solid" w:color="000000" w:fill="000000"/>
                <w:fitText w:val="330" w:id="-632553208"/>
                <w14:textFill>
                  <w14:solidFill>
                    <w14:srgbClr w14:val="000000">
                      <w14:alpha w14:val="100000"/>
                    </w14:srgbClr>
                  </w14:solidFill>
                </w14:textFill>
              </w:rPr>
              <w:t>|</w:t>
            </w:r>
            <w:r w:rsidR="00010E4D" w:rsidRPr="00010E4D">
              <w:rPr>
                <w:vertAlign w:val="superscript"/>
              </w:rPr>
              <w:t>7</w:t>
            </w:r>
          </w:p>
        </w:tc>
        <w:tc>
          <w:tcPr>
            <w:tcW w:w="598" w:type="pct"/>
            <w:vAlign w:val="bottom"/>
          </w:tcPr>
          <w:p w14:paraId="3E4691C7" w14:textId="5540E637" w:rsidR="00505BD5" w:rsidRPr="009E4F81" w:rsidRDefault="00460689">
            <w:pPr>
              <w:pStyle w:val="TableText0"/>
              <w:jc w:val="right"/>
              <w:rPr>
                <w:szCs w:val="20"/>
                <w:highlight w:val="darkGray"/>
              </w:rPr>
            </w:pPr>
            <w:r w:rsidRPr="00460689">
              <w:rPr>
                <w:color w:val="000000"/>
                <w:spacing w:val="53"/>
                <w:shd w:val="solid" w:color="000000" w:fill="000000"/>
                <w:fitText w:val="330" w:id="-632553206"/>
                <w14:textFill>
                  <w14:solidFill>
                    <w14:srgbClr w14:val="000000">
                      <w14:alpha w14:val="100000"/>
                    </w14:srgbClr>
                  </w14:solidFill>
                </w14:textFill>
              </w:rPr>
              <w:t>|||</w:t>
            </w:r>
            <w:r w:rsidRPr="00460689">
              <w:rPr>
                <w:color w:val="000000"/>
                <w:spacing w:val="1"/>
                <w:shd w:val="solid" w:color="000000" w:fill="000000"/>
                <w:fitText w:val="330" w:id="-632553206"/>
                <w14:textFill>
                  <w14:solidFill>
                    <w14:srgbClr w14:val="000000">
                      <w14:alpha w14:val="100000"/>
                    </w14:srgbClr>
                  </w14:solidFill>
                </w14:textFill>
              </w:rPr>
              <w:t>|</w:t>
            </w:r>
            <w:r w:rsidR="0087245A" w:rsidRPr="00010E4D">
              <w:rPr>
                <w:vertAlign w:val="superscript"/>
              </w:rPr>
              <w:t>7</w:t>
            </w:r>
          </w:p>
        </w:tc>
        <w:tc>
          <w:tcPr>
            <w:tcW w:w="598" w:type="pct"/>
            <w:vAlign w:val="bottom"/>
          </w:tcPr>
          <w:p w14:paraId="345346ED" w14:textId="12C915A5" w:rsidR="00505BD5" w:rsidRPr="009E4F81" w:rsidRDefault="00460689">
            <w:pPr>
              <w:pStyle w:val="TableText0"/>
              <w:jc w:val="right"/>
              <w:rPr>
                <w:szCs w:val="20"/>
                <w:highlight w:val="darkGray"/>
              </w:rPr>
            </w:pPr>
            <w:r w:rsidRPr="00460689">
              <w:rPr>
                <w:color w:val="000000"/>
                <w:spacing w:val="53"/>
                <w:shd w:val="solid" w:color="000000" w:fill="000000"/>
                <w:fitText w:val="330" w:id="-632553204"/>
                <w14:textFill>
                  <w14:solidFill>
                    <w14:srgbClr w14:val="000000">
                      <w14:alpha w14:val="100000"/>
                    </w14:srgbClr>
                  </w14:solidFill>
                </w14:textFill>
              </w:rPr>
              <w:t>|||</w:t>
            </w:r>
            <w:r w:rsidRPr="00460689">
              <w:rPr>
                <w:color w:val="000000"/>
                <w:spacing w:val="1"/>
                <w:shd w:val="solid" w:color="000000" w:fill="000000"/>
                <w:fitText w:val="330" w:id="-632553204"/>
                <w14:textFill>
                  <w14:solidFill>
                    <w14:srgbClr w14:val="000000">
                      <w14:alpha w14:val="100000"/>
                    </w14:srgbClr>
                  </w14:solidFill>
                </w14:textFill>
              </w:rPr>
              <w:t>|</w:t>
            </w:r>
            <w:r w:rsidR="0087245A" w:rsidRPr="00010E4D">
              <w:rPr>
                <w:vertAlign w:val="superscript"/>
              </w:rPr>
              <w:t>7</w:t>
            </w:r>
          </w:p>
        </w:tc>
        <w:tc>
          <w:tcPr>
            <w:tcW w:w="598" w:type="pct"/>
            <w:vAlign w:val="bottom"/>
          </w:tcPr>
          <w:p w14:paraId="79D4BE72" w14:textId="6CBCB744" w:rsidR="00505BD5" w:rsidRPr="009E4F81" w:rsidRDefault="00460689">
            <w:pPr>
              <w:pStyle w:val="TableText0"/>
              <w:jc w:val="right"/>
              <w:rPr>
                <w:szCs w:val="20"/>
                <w:highlight w:val="darkGray"/>
              </w:rPr>
            </w:pPr>
            <w:r w:rsidRPr="00460689">
              <w:rPr>
                <w:color w:val="000000"/>
                <w:spacing w:val="53"/>
                <w:shd w:val="solid" w:color="000000" w:fill="000000"/>
                <w:fitText w:val="330" w:id="-632553202"/>
                <w14:textFill>
                  <w14:solidFill>
                    <w14:srgbClr w14:val="000000">
                      <w14:alpha w14:val="100000"/>
                    </w14:srgbClr>
                  </w14:solidFill>
                </w14:textFill>
              </w:rPr>
              <w:t>|||</w:t>
            </w:r>
            <w:r w:rsidRPr="00460689">
              <w:rPr>
                <w:color w:val="000000"/>
                <w:spacing w:val="1"/>
                <w:shd w:val="solid" w:color="000000" w:fill="000000"/>
                <w:fitText w:val="330" w:id="-632553202"/>
                <w14:textFill>
                  <w14:solidFill>
                    <w14:srgbClr w14:val="000000">
                      <w14:alpha w14:val="100000"/>
                    </w14:srgbClr>
                  </w14:solidFill>
                </w14:textFill>
              </w:rPr>
              <w:t>|</w:t>
            </w:r>
            <w:r w:rsidR="00F1397C" w:rsidRPr="00F1397C">
              <w:rPr>
                <w:vertAlign w:val="superscript"/>
              </w:rPr>
              <w:t>8</w:t>
            </w:r>
          </w:p>
        </w:tc>
        <w:tc>
          <w:tcPr>
            <w:tcW w:w="598" w:type="pct"/>
            <w:vAlign w:val="bottom"/>
          </w:tcPr>
          <w:p w14:paraId="719B1F23" w14:textId="0F0EA89F" w:rsidR="00505BD5" w:rsidRPr="009E4F81" w:rsidRDefault="00460689">
            <w:pPr>
              <w:pStyle w:val="TableText0"/>
              <w:jc w:val="right"/>
              <w:rPr>
                <w:szCs w:val="20"/>
                <w:highlight w:val="darkGray"/>
              </w:rPr>
            </w:pPr>
            <w:r w:rsidRPr="00460689">
              <w:rPr>
                <w:color w:val="000000"/>
                <w:spacing w:val="53"/>
                <w:shd w:val="solid" w:color="000000" w:fill="000000"/>
                <w:fitText w:val="330" w:id="-632553200"/>
                <w14:textFill>
                  <w14:solidFill>
                    <w14:srgbClr w14:val="000000">
                      <w14:alpha w14:val="100000"/>
                    </w14:srgbClr>
                  </w14:solidFill>
                </w14:textFill>
              </w:rPr>
              <w:t>|||</w:t>
            </w:r>
            <w:r w:rsidRPr="00460689">
              <w:rPr>
                <w:color w:val="000000"/>
                <w:spacing w:val="1"/>
                <w:shd w:val="solid" w:color="000000" w:fill="000000"/>
                <w:fitText w:val="330" w:id="-632553200"/>
                <w14:textFill>
                  <w14:solidFill>
                    <w14:srgbClr w14:val="000000">
                      <w14:alpha w14:val="100000"/>
                    </w14:srgbClr>
                  </w14:solidFill>
                </w14:textFill>
              </w:rPr>
              <w:t>|</w:t>
            </w:r>
            <w:r w:rsidR="00F1397C" w:rsidRPr="00F1397C">
              <w:rPr>
                <w:vertAlign w:val="superscript"/>
              </w:rPr>
              <w:t>8</w:t>
            </w:r>
          </w:p>
        </w:tc>
      </w:tr>
      <w:tr w:rsidR="00505BD5" w:rsidRPr="00BF6730" w14:paraId="757B297F" w14:textId="77777777" w:rsidTr="00755E3A">
        <w:tc>
          <w:tcPr>
            <w:tcW w:w="1412" w:type="pct"/>
          </w:tcPr>
          <w:p w14:paraId="7BD6129A" w14:textId="25DBFC7A" w:rsidR="00505BD5" w:rsidRPr="00BF6730" w:rsidRDefault="00505BD5">
            <w:pPr>
              <w:pStyle w:val="TableText0"/>
            </w:pPr>
            <w:r w:rsidRPr="00BF6730">
              <w:t>Patients continuing treatment from previous years (65%</w:t>
            </w:r>
            <w:r w:rsidR="002A692B" w:rsidRPr="00BF6730">
              <w:rPr>
                <w:vertAlign w:val="superscript"/>
              </w:rPr>
              <w:t>b</w:t>
            </w:r>
            <w:r w:rsidRPr="00BF6730">
              <w:t>)</w:t>
            </w:r>
          </w:p>
        </w:tc>
        <w:tc>
          <w:tcPr>
            <w:tcW w:w="598" w:type="pct"/>
            <w:vAlign w:val="bottom"/>
          </w:tcPr>
          <w:p w14:paraId="5E94A2DE" w14:textId="77777777" w:rsidR="00505BD5" w:rsidRPr="009E4F81" w:rsidRDefault="00505BD5">
            <w:pPr>
              <w:pStyle w:val="TableText0"/>
              <w:jc w:val="right"/>
              <w:rPr>
                <w:highlight w:val="darkGray"/>
              </w:rPr>
            </w:pPr>
            <w:r w:rsidRPr="00052C70">
              <w:t>0</w:t>
            </w:r>
          </w:p>
        </w:tc>
        <w:tc>
          <w:tcPr>
            <w:tcW w:w="598" w:type="pct"/>
            <w:vAlign w:val="bottom"/>
          </w:tcPr>
          <w:p w14:paraId="0739017C" w14:textId="3537C3F1" w:rsidR="00505BD5" w:rsidRPr="009E4F81" w:rsidRDefault="00460689">
            <w:pPr>
              <w:pStyle w:val="TableText0"/>
              <w:jc w:val="right"/>
              <w:rPr>
                <w:highlight w:val="darkGray"/>
              </w:rPr>
            </w:pPr>
            <w:r w:rsidRPr="00460689">
              <w:rPr>
                <w:color w:val="000000"/>
                <w:spacing w:val="53"/>
                <w:shd w:val="solid" w:color="000000" w:fill="000000"/>
                <w:fitText w:val="330" w:id="-632553215"/>
                <w14:textFill>
                  <w14:solidFill>
                    <w14:srgbClr w14:val="000000">
                      <w14:alpha w14:val="100000"/>
                    </w14:srgbClr>
                  </w14:solidFill>
                </w14:textFill>
              </w:rPr>
              <w:t>|||</w:t>
            </w:r>
            <w:r w:rsidRPr="00460689">
              <w:rPr>
                <w:color w:val="000000"/>
                <w:spacing w:val="1"/>
                <w:shd w:val="solid" w:color="000000" w:fill="000000"/>
                <w:fitText w:val="330" w:id="-632553215"/>
                <w14:textFill>
                  <w14:solidFill>
                    <w14:srgbClr w14:val="000000">
                      <w14:alpha w14:val="100000"/>
                    </w14:srgbClr>
                  </w14:solidFill>
                </w14:textFill>
              </w:rPr>
              <w:t>|</w:t>
            </w:r>
            <w:r w:rsidR="00A03B2F" w:rsidRPr="00A03B2F">
              <w:rPr>
                <w:vertAlign w:val="superscript"/>
              </w:rPr>
              <w:t>9</w:t>
            </w:r>
          </w:p>
        </w:tc>
        <w:tc>
          <w:tcPr>
            <w:tcW w:w="598" w:type="pct"/>
            <w:vAlign w:val="bottom"/>
          </w:tcPr>
          <w:p w14:paraId="30FA9590" w14:textId="47F6E86B" w:rsidR="00505BD5" w:rsidRPr="009E4F81" w:rsidRDefault="00460689">
            <w:pPr>
              <w:pStyle w:val="TableText0"/>
              <w:jc w:val="right"/>
              <w:rPr>
                <w:highlight w:val="darkGray"/>
              </w:rPr>
            </w:pPr>
            <w:r w:rsidRPr="00460689">
              <w:rPr>
                <w:color w:val="000000"/>
                <w:spacing w:val="53"/>
                <w:shd w:val="solid" w:color="000000" w:fill="000000"/>
                <w:fitText w:val="330" w:id="-632553213"/>
                <w14:textFill>
                  <w14:solidFill>
                    <w14:srgbClr w14:val="000000">
                      <w14:alpha w14:val="100000"/>
                    </w14:srgbClr>
                  </w14:solidFill>
                </w14:textFill>
              </w:rPr>
              <w:t>|||</w:t>
            </w:r>
            <w:r w:rsidRPr="00460689">
              <w:rPr>
                <w:color w:val="000000"/>
                <w:spacing w:val="1"/>
                <w:shd w:val="solid" w:color="000000" w:fill="000000"/>
                <w:fitText w:val="330" w:id="-632553213"/>
                <w14:textFill>
                  <w14:solidFill>
                    <w14:srgbClr w14:val="000000">
                      <w14:alpha w14:val="100000"/>
                    </w14:srgbClr>
                  </w14:solidFill>
                </w14:textFill>
              </w:rPr>
              <w:t>|</w:t>
            </w:r>
            <w:r w:rsidR="00E14A96" w:rsidRPr="00E14A96">
              <w:rPr>
                <w:vertAlign w:val="superscript"/>
              </w:rPr>
              <w:t>10</w:t>
            </w:r>
          </w:p>
        </w:tc>
        <w:tc>
          <w:tcPr>
            <w:tcW w:w="598" w:type="pct"/>
            <w:vAlign w:val="bottom"/>
          </w:tcPr>
          <w:p w14:paraId="184892E7" w14:textId="405E2DC4" w:rsidR="00505BD5" w:rsidRPr="009E4F81" w:rsidRDefault="00460689">
            <w:pPr>
              <w:pStyle w:val="TableText0"/>
              <w:jc w:val="right"/>
              <w:rPr>
                <w:highlight w:val="darkGray"/>
              </w:rPr>
            </w:pPr>
            <w:r w:rsidRPr="00460689">
              <w:rPr>
                <w:color w:val="000000"/>
                <w:spacing w:val="53"/>
                <w:shd w:val="solid" w:color="000000" w:fill="000000"/>
                <w:fitText w:val="330" w:id="-632553211"/>
                <w14:textFill>
                  <w14:solidFill>
                    <w14:srgbClr w14:val="000000">
                      <w14:alpha w14:val="100000"/>
                    </w14:srgbClr>
                  </w14:solidFill>
                </w14:textFill>
              </w:rPr>
              <w:t>|||</w:t>
            </w:r>
            <w:r w:rsidRPr="00460689">
              <w:rPr>
                <w:color w:val="000000"/>
                <w:spacing w:val="1"/>
                <w:shd w:val="solid" w:color="000000" w:fill="000000"/>
                <w:fitText w:val="330" w:id="-632553211"/>
                <w14:textFill>
                  <w14:solidFill>
                    <w14:srgbClr w14:val="000000">
                      <w14:alpha w14:val="100000"/>
                    </w14:srgbClr>
                  </w14:solidFill>
                </w14:textFill>
              </w:rPr>
              <w:t>|</w:t>
            </w:r>
            <w:r w:rsidR="00E14A96" w:rsidRPr="00E14A96">
              <w:rPr>
                <w:vertAlign w:val="superscript"/>
              </w:rPr>
              <w:t>10</w:t>
            </w:r>
          </w:p>
        </w:tc>
        <w:tc>
          <w:tcPr>
            <w:tcW w:w="598" w:type="pct"/>
            <w:vAlign w:val="bottom"/>
          </w:tcPr>
          <w:p w14:paraId="33385660" w14:textId="3DCB3329" w:rsidR="00505BD5" w:rsidRPr="009E4F81" w:rsidRDefault="00460689">
            <w:pPr>
              <w:pStyle w:val="TableText0"/>
              <w:jc w:val="right"/>
              <w:rPr>
                <w:highlight w:val="darkGray"/>
              </w:rPr>
            </w:pPr>
            <w:r w:rsidRPr="00460689">
              <w:rPr>
                <w:color w:val="000000"/>
                <w:spacing w:val="53"/>
                <w:shd w:val="solid" w:color="000000" w:fill="000000"/>
                <w:fitText w:val="330" w:id="-632553209"/>
                <w14:textFill>
                  <w14:solidFill>
                    <w14:srgbClr w14:val="000000">
                      <w14:alpha w14:val="100000"/>
                    </w14:srgbClr>
                  </w14:solidFill>
                </w14:textFill>
              </w:rPr>
              <w:t>|||</w:t>
            </w:r>
            <w:r w:rsidRPr="00460689">
              <w:rPr>
                <w:color w:val="000000"/>
                <w:spacing w:val="1"/>
                <w:shd w:val="solid" w:color="000000" w:fill="000000"/>
                <w:fitText w:val="330" w:id="-632553209"/>
                <w14:textFill>
                  <w14:solidFill>
                    <w14:srgbClr w14:val="000000">
                      <w14:alpha w14:val="100000"/>
                    </w14:srgbClr>
                  </w14:solidFill>
                </w14:textFill>
              </w:rPr>
              <w:t>|</w:t>
            </w:r>
            <w:r w:rsidR="00E14A96" w:rsidRPr="00E14A96">
              <w:rPr>
                <w:vertAlign w:val="superscript"/>
              </w:rPr>
              <w:t>10</w:t>
            </w:r>
          </w:p>
        </w:tc>
        <w:tc>
          <w:tcPr>
            <w:tcW w:w="598" w:type="pct"/>
            <w:vAlign w:val="bottom"/>
          </w:tcPr>
          <w:p w14:paraId="13566C08" w14:textId="207629AD" w:rsidR="00505BD5" w:rsidRPr="009E4F81" w:rsidRDefault="00460689">
            <w:pPr>
              <w:pStyle w:val="TableText0"/>
              <w:jc w:val="right"/>
              <w:rPr>
                <w:highlight w:val="darkGray"/>
              </w:rPr>
            </w:pPr>
            <w:r w:rsidRPr="00460689">
              <w:rPr>
                <w:color w:val="000000"/>
                <w:spacing w:val="53"/>
                <w:shd w:val="solid" w:color="000000" w:fill="000000"/>
                <w:fitText w:val="330" w:id="-632553207"/>
                <w14:textFill>
                  <w14:solidFill>
                    <w14:srgbClr w14:val="000000">
                      <w14:alpha w14:val="100000"/>
                    </w14:srgbClr>
                  </w14:solidFill>
                </w14:textFill>
              </w:rPr>
              <w:t>|||</w:t>
            </w:r>
            <w:r w:rsidRPr="00460689">
              <w:rPr>
                <w:color w:val="000000"/>
                <w:spacing w:val="1"/>
                <w:shd w:val="solid" w:color="000000" w:fill="000000"/>
                <w:fitText w:val="330" w:id="-632553207"/>
                <w14:textFill>
                  <w14:solidFill>
                    <w14:srgbClr w14:val="000000">
                      <w14:alpha w14:val="100000"/>
                    </w14:srgbClr>
                  </w14:solidFill>
                </w14:textFill>
              </w:rPr>
              <w:t>|</w:t>
            </w:r>
            <w:r w:rsidR="0087245A" w:rsidRPr="00010E4D">
              <w:rPr>
                <w:vertAlign w:val="superscript"/>
              </w:rPr>
              <w:t>7</w:t>
            </w:r>
          </w:p>
        </w:tc>
      </w:tr>
      <w:tr w:rsidR="00505BD5" w:rsidRPr="00BF6730" w14:paraId="106A6B36" w14:textId="77777777" w:rsidTr="00755E3A">
        <w:tc>
          <w:tcPr>
            <w:tcW w:w="1412" w:type="pct"/>
          </w:tcPr>
          <w:p w14:paraId="10F3EEFE" w14:textId="77777777" w:rsidR="00505BD5" w:rsidRPr="00BF6730" w:rsidRDefault="00505BD5">
            <w:pPr>
              <w:pStyle w:val="TableText0"/>
              <w:rPr>
                <w:szCs w:val="20"/>
              </w:rPr>
            </w:pPr>
            <w:r w:rsidRPr="00BF6730">
              <w:t>Patients on treatment per year</w:t>
            </w:r>
          </w:p>
        </w:tc>
        <w:tc>
          <w:tcPr>
            <w:tcW w:w="598" w:type="pct"/>
            <w:vAlign w:val="bottom"/>
          </w:tcPr>
          <w:p w14:paraId="79243181" w14:textId="578B471B" w:rsidR="00505BD5" w:rsidRPr="009E4F81" w:rsidRDefault="00460689">
            <w:pPr>
              <w:pStyle w:val="TableText0"/>
              <w:jc w:val="right"/>
              <w:rPr>
                <w:szCs w:val="20"/>
                <w:highlight w:val="darkGray"/>
              </w:rPr>
            </w:pPr>
            <w:r w:rsidRPr="00460689">
              <w:rPr>
                <w:color w:val="000000"/>
                <w:spacing w:val="53"/>
                <w:shd w:val="solid" w:color="000000" w:fill="000000"/>
                <w:fitText w:val="330" w:id="-632553205"/>
                <w14:textFill>
                  <w14:solidFill>
                    <w14:srgbClr w14:val="000000">
                      <w14:alpha w14:val="100000"/>
                    </w14:srgbClr>
                  </w14:solidFill>
                </w14:textFill>
              </w:rPr>
              <w:t>|||</w:t>
            </w:r>
            <w:r w:rsidRPr="00460689">
              <w:rPr>
                <w:color w:val="000000"/>
                <w:spacing w:val="1"/>
                <w:shd w:val="solid" w:color="000000" w:fill="000000"/>
                <w:fitText w:val="330" w:id="-632553205"/>
                <w14:textFill>
                  <w14:solidFill>
                    <w14:srgbClr w14:val="000000">
                      <w14:alpha w14:val="100000"/>
                    </w14:srgbClr>
                  </w14:solidFill>
                </w14:textFill>
              </w:rPr>
              <w:t>|</w:t>
            </w:r>
            <w:r w:rsidR="00052C70" w:rsidRPr="006526E1">
              <w:rPr>
                <w:vertAlign w:val="superscript"/>
              </w:rPr>
              <w:t>3</w:t>
            </w:r>
          </w:p>
        </w:tc>
        <w:tc>
          <w:tcPr>
            <w:tcW w:w="598" w:type="pct"/>
            <w:vAlign w:val="bottom"/>
          </w:tcPr>
          <w:p w14:paraId="7C8C1AA5" w14:textId="3E610291" w:rsidR="00505BD5" w:rsidRPr="009E4F81" w:rsidRDefault="00460689">
            <w:pPr>
              <w:pStyle w:val="TableText0"/>
              <w:jc w:val="right"/>
              <w:rPr>
                <w:szCs w:val="20"/>
                <w:highlight w:val="darkGray"/>
              </w:rPr>
            </w:pPr>
            <w:r w:rsidRPr="00460689">
              <w:rPr>
                <w:color w:val="000000"/>
                <w:spacing w:val="53"/>
                <w:shd w:val="solid" w:color="000000" w:fill="000000"/>
                <w:fitText w:val="330" w:id="-632553203"/>
                <w14:textFill>
                  <w14:solidFill>
                    <w14:srgbClr w14:val="000000">
                      <w14:alpha w14:val="100000"/>
                    </w14:srgbClr>
                  </w14:solidFill>
                </w14:textFill>
              </w:rPr>
              <w:t>|||</w:t>
            </w:r>
            <w:r w:rsidRPr="00460689">
              <w:rPr>
                <w:color w:val="000000"/>
                <w:spacing w:val="1"/>
                <w:shd w:val="solid" w:color="000000" w:fill="000000"/>
                <w:fitText w:val="330" w:id="-632553203"/>
                <w14:textFill>
                  <w14:solidFill>
                    <w14:srgbClr w14:val="000000">
                      <w14:alpha w14:val="100000"/>
                    </w14:srgbClr>
                  </w14:solidFill>
                </w14:textFill>
              </w:rPr>
              <w:t>|</w:t>
            </w:r>
            <w:r w:rsidR="000F3515" w:rsidRPr="000F3515">
              <w:rPr>
                <w:vertAlign w:val="superscript"/>
              </w:rPr>
              <w:t>11</w:t>
            </w:r>
          </w:p>
        </w:tc>
        <w:tc>
          <w:tcPr>
            <w:tcW w:w="598" w:type="pct"/>
            <w:vAlign w:val="bottom"/>
          </w:tcPr>
          <w:p w14:paraId="25E724A7" w14:textId="44B83536" w:rsidR="00505BD5" w:rsidRPr="009E4F81" w:rsidRDefault="00460689">
            <w:pPr>
              <w:pStyle w:val="TableText0"/>
              <w:jc w:val="right"/>
              <w:rPr>
                <w:szCs w:val="20"/>
                <w:highlight w:val="darkGray"/>
              </w:rPr>
            </w:pPr>
            <w:r w:rsidRPr="00460689">
              <w:rPr>
                <w:color w:val="000000"/>
                <w:spacing w:val="53"/>
                <w:shd w:val="solid" w:color="000000" w:fill="000000"/>
                <w:fitText w:val="330" w:id="-632553201"/>
                <w14:textFill>
                  <w14:solidFill>
                    <w14:srgbClr w14:val="000000">
                      <w14:alpha w14:val="100000"/>
                    </w14:srgbClr>
                  </w14:solidFill>
                </w14:textFill>
              </w:rPr>
              <w:t>|||</w:t>
            </w:r>
            <w:r w:rsidRPr="00460689">
              <w:rPr>
                <w:color w:val="000000"/>
                <w:spacing w:val="1"/>
                <w:shd w:val="solid" w:color="000000" w:fill="000000"/>
                <w:fitText w:val="330" w:id="-632553201"/>
                <w14:textFill>
                  <w14:solidFill>
                    <w14:srgbClr w14:val="000000">
                      <w14:alpha w14:val="100000"/>
                    </w14:srgbClr>
                  </w14:solidFill>
                </w14:textFill>
              </w:rPr>
              <w:t>|</w:t>
            </w:r>
            <w:r w:rsidR="00C01926" w:rsidRPr="000F3515">
              <w:rPr>
                <w:vertAlign w:val="superscript"/>
              </w:rPr>
              <w:t>11</w:t>
            </w:r>
          </w:p>
        </w:tc>
        <w:tc>
          <w:tcPr>
            <w:tcW w:w="598" w:type="pct"/>
            <w:vAlign w:val="bottom"/>
          </w:tcPr>
          <w:p w14:paraId="2F75E61F" w14:textId="0D7217C7" w:rsidR="00505BD5" w:rsidRPr="009E4F81" w:rsidRDefault="00460689">
            <w:pPr>
              <w:pStyle w:val="TableText0"/>
              <w:jc w:val="right"/>
              <w:rPr>
                <w:szCs w:val="20"/>
                <w:highlight w:val="darkGray"/>
              </w:rPr>
            </w:pPr>
            <w:r w:rsidRPr="00460689">
              <w:rPr>
                <w:color w:val="000000"/>
                <w:spacing w:val="53"/>
                <w:shd w:val="solid" w:color="000000" w:fill="000000"/>
                <w:fitText w:val="330" w:id="-632553216"/>
                <w14:textFill>
                  <w14:solidFill>
                    <w14:srgbClr w14:val="000000">
                      <w14:alpha w14:val="100000"/>
                    </w14:srgbClr>
                  </w14:solidFill>
                </w14:textFill>
              </w:rPr>
              <w:t>|||</w:t>
            </w:r>
            <w:r w:rsidRPr="00460689">
              <w:rPr>
                <w:color w:val="000000"/>
                <w:spacing w:val="1"/>
                <w:shd w:val="solid" w:color="000000" w:fill="000000"/>
                <w:fitText w:val="330" w:id="-632553216"/>
                <w14:textFill>
                  <w14:solidFill>
                    <w14:srgbClr w14:val="000000">
                      <w14:alpha w14:val="100000"/>
                    </w14:srgbClr>
                  </w14:solidFill>
                </w14:textFill>
              </w:rPr>
              <w:t>|</w:t>
            </w:r>
            <w:r w:rsidR="00B449A9" w:rsidRPr="00A03B2F">
              <w:rPr>
                <w:vertAlign w:val="superscript"/>
              </w:rPr>
              <w:t>9</w:t>
            </w:r>
          </w:p>
        </w:tc>
        <w:tc>
          <w:tcPr>
            <w:tcW w:w="598" w:type="pct"/>
            <w:vAlign w:val="bottom"/>
          </w:tcPr>
          <w:p w14:paraId="590A09BA" w14:textId="57CF26D2" w:rsidR="00505BD5" w:rsidRPr="009E4F81" w:rsidRDefault="00460689">
            <w:pPr>
              <w:pStyle w:val="TableText0"/>
              <w:jc w:val="right"/>
              <w:rPr>
                <w:szCs w:val="20"/>
                <w:highlight w:val="darkGray"/>
              </w:rPr>
            </w:pPr>
            <w:r w:rsidRPr="00460689">
              <w:rPr>
                <w:color w:val="000000"/>
                <w:spacing w:val="53"/>
                <w:shd w:val="solid" w:color="000000" w:fill="000000"/>
                <w:fitText w:val="330" w:id="-632553214"/>
                <w14:textFill>
                  <w14:solidFill>
                    <w14:srgbClr w14:val="000000">
                      <w14:alpha w14:val="100000"/>
                    </w14:srgbClr>
                  </w14:solidFill>
                </w14:textFill>
              </w:rPr>
              <w:t>|||</w:t>
            </w:r>
            <w:r w:rsidRPr="00460689">
              <w:rPr>
                <w:color w:val="000000"/>
                <w:spacing w:val="1"/>
                <w:shd w:val="solid" w:color="000000" w:fill="000000"/>
                <w:fitText w:val="330" w:id="-632553214"/>
                <w14:textFill>
                  <w14:solidFill>
                    <w14:srgbClr w14:val="000000">
                      <w14:alpha w14:val="100000"/>
                    </w14:srgbClr>
                  </w14:solidFill>
                </w14:textFill>
              </w:rPr>
              <w:t>|</w:t>
            </w:r>
            <w:r w:rsidR="00E14A96" w:rsidRPr="00E14A96">
              <w:rPr>
                <w:vertAlign w:val="superscript"/>
              </w:rPr>
              <w:t>10</w:t>
            </w:r>
          </w:p>
        </w:tc>
        <w:tc>
          <w:tcPr>
            <w:tcW w:w="598" w:type="pct"/>
            <w:vAlign w:val="bottom"/>
          </w:tcPr>
          <w:p w14:paraId="712415EF" w14:textId="28B74E62" w:rsidR="00505BD5" w:rsidRPr="009E4F81" w:rsidRDefault="00460689">
            <w:pPr>
              <w:pStyle w:val="TableText0"/>
              <w:jc w:val="right"/>
              <w:rPr>
                <w:szCs w:val="20"/>
                <w:highlight w:val="darkGray"/>
              </w:rPr>
            </w:pPr>
            <w:r w:rsidRPr="00460689">
              <w:rPr>
                <w:color w:val="000000"/>
                <w:spacing w:val="53"/>
                <w:shd w:val="solid" w:color="000000" w:fill="000000"/>
                <w:fitText w:val="330" w:id="-632553212"/>
                <w14:textFill>
                  <w14:solidFill>
                    <w14:srgbClr w14:val="000000">
                      <w14:alpha w14:val="100000"/>
                    </w14:srgbClr>
                  </w14:solidFill>
                </w14:textFill>
              </w:rPr>
              <w:t>|||</w:t>
            </w:r>
            <w:r w:rsidRPr="00460689">
              <w:rPr>
                <w:color w:val="000000"/>
                <w:spacing w:val="1"/>
                <w:shd w:val="solid" w:color="000000" w:fill="000000"/>
                <w:fitText w:val="330" w:id="-632553212"/>
                <w14:textFill>
                  <w14:solidFill>
                    <w14:srgbClr w14:val="000000">
                      <w14:alpha w14:val="100000"/>
                    </w14:srgbClr>
                  </w14:solidFill>
                </w14:textFill>
              </w:rPr>
              <w:t>|</w:t>
            </w:r>
            <w:r w:rsidR="0087245A" w:rsidRPr="00010E4D">
              <w:rPr>
                <w:vertAlign w:val="superscript"/>
              </w:rPr>
              <w:t>7</w:t>
            </w:r>
          </w:p>
        </w:tc>
      </w:tr>
      <w:tr w:rsidR="00505BD5" w:rsidRPr="00BF6730" w14:paraId="53E21D1D" w14:textId="77777777" w:rsidTr="00755E3A">
        <w:tc>
          <w:tcPr>
            <w:tcW w:w="1412" w:type="pct"/>
          </w:tcPr>
          <w:p w14:paraId="5D9FB3FB" w14:textId="77777777" w:rsidR="00505BD5" w:rsidRPr="00BF6730" w:rsidRDefault="00505BD5">
            <w:pPr>
              <w:pStyle w:val="TableText0"/>
              <w:rPr>
                <w:vertAlign w:val="superscript"/>
              </w:rPr>
            </w:pPr>
            <w:r w:rsidRPr="00BF6730">
              <w:t>Scripts per year (20 per patient)</w:t>
            </w:r>
          </w:p>
        </w:tc>
        <w:tc>
          <w:tcPr>
            <w:tcW w:w="598" w:type="pct"/>
            <w:vAlign w:val="bottom"/>
          </w:tcPr>
          <w:p w14:paraId="52C89B52" w14:textId="7BD1C544" w:rsidR="00505BD5" w:rsidRPr="009E4F81" w:rsidRDefault="00460689">
            <w:pPr>
              <w:pStyle w:val="TableText0"/>
              <w:jc w:val="right"/>
              <w:rPr>
                <w:highlight w:val="darkGray"/>
              </w:rPr>
            </w:pPr>
            <w:r w:rsidRPr="00460689">
              <w:rPr>
                <w:color w:val="000000"/>
                <w:spacing w:val="53"/>
                <w:shd w:val="solid" w:color="000000" w:fill="000000"/>
                <w:fitText w:val="330" w:id="-632553210"/>
                <w14:textFill>
                  <w14:solidFill>
                    <w14:srgbClr w14:val="000000">
                      <w14:alpha w14:val="100000"/>
                    </w14:srgbClr>
                  </w14:solidFill>
                </w14:textFill>
              </w:rPr>
              <w:t>|||</w:t>
            </w:r>
            <w:r w:rsidRPr="00460689">
              <w:rPr>
                <w:color w:val="000000"/>
                <w:spacing w:val="1"/>
                <w:shd w:val="solid" w:color="000000" w:fill="000000"/>
                <w:fitText w:val="330" w:id="-632553210"/>
                <w14:textFill>
                  <w14:solidFill>
                    <w14:srgbClr w14:val="000000">
                      <w14:alpha w14:val="100000"/>
                    </w14:srgbClr>
                  </w14:solidFill>
                </w14:textFill>
              </w:rPr>
              <w:t>|</w:t>
            </w:r>
            <w:r w:rsidR="00C01926" w:rsidRPr="00C01926">
              <w:rPr>
                <w:vertAlign w:val="superscript"/>
              </w:rPr>
              <w:t>12</w:t>
            </w:r>
          </w:p>
        </w:tc>
        <w:tc>
          <w:tcPr>
            <w:tcW w:w="598" w:type="pct"/>
            <w:vAlign w:val="bottom"/>
          </w:tcPr>
          <w:p w14:paraId="74FB6B48" w14:textId="2F6C476E" w:rsidR="00505BD5" w:rsidRPr="009E4F81" w:rsidRDefault="00460689">
            <w:pPr>
              <w:pStyle w:val="TableText0"/>
              <w:jc w:val="right"/>
              <w:rPr>
                <w:highlight w:val="darkGray"/>
              </w:rPr>
            </w:pPr>
            <w:r w:rsidRPr="00460689">
              <w:rPr>
                <w:color w:val="000000"/>
                <w:spacing w:val="53"/>
                <w:shd w:val="solid" w:color="000000" w:fill="000000"/>
                <w:fitText w:val="330" w:id="-632553208"/>
                <w14:textFill>
                  <w14:solidFill>
                    <w14:srgbClr w14:val="000000">
                      <w14:alpha w14:val="100000"/>
                    </w14:srgbClr>
                  </w14:solidFill>
                </w14:textFill>
              </w:rPr>
              <w:t>|||</w:t>
            </w:r>
            <w:r w:rsidRPr="00460689">
              <w:rPr>
                <w:color w:val="000000"/>
                <w:spacing w:val="1"/>
                <w:shd w:val="solid" w:color="000000" w:fill="000000"/>
                <w:fitText w:val="330" w:id="-632553208"/>
                <w14:textFill>
                  <w14:solidFill>
                    <w14:srgbClr w14:val="000000">
                      <w14:alpha w14:val="100000"/>
                    </w14:srgbClr>
                  </w14:solidFill>
                </w14:textFill>
              </w:rPr>
              <w:t>|</w:t>
            </w:r>
            <w:r w:rsidR="00121B28" w:rsidRPr="00121B28">
              <w:rPr>
                <w:vertAlign w:val="superscript"/>
              </w:rPr>
              <w:t>13</w:t>
            </w:r>
          </w:p>
        </w:tc>
        <w:tc>
          <w:tcPr>
            <w:tcW w:w="598" w:type="pct"/>
            <w:vAlign w:val="bottom"/>
          </w:tcPr>
          <w:p w14:paraId="6C4FA8D5" w14:textId="44B607AE" w:rsidR="00505BD5" w:rsidRPr="009E4F81" w:rsidRDefault="00460689">
            <w:pPr>
              <w:pStyle w:val="TableText0"/>
              <w:jc w:val="right"/>
              <w:rPr>
                <w:highlight w:val="darkGray"/>
              </w:rPr>
            </w:pPr>
            <w:r w:rsidRPr="00460689">
              <w:rPr>
                <w:color w:val="000000"/>
                <w:spacing w:val="53"/>
                <w:shd w:val="solid" w:color="000000" w:fill="000000"/>
                <w:fitText w:val="330" w:id="-632553206"/>
                <w14:textFill>
                  <w14:solidFill>
                    <w14:srgbClr w14:val="000000">
                      <w14:alpha w14:val="100000"/>
                    </w14:srgbClr>
                  </w14:solidFill>
                </w14:textFill>
              </w:rPr>
              <w:t>|||</w:t>
            </w:r>
            <w:r w:rsidRPr="00460689">
              <w:rPr>
                <w:color w:val="000000"/>
                <w:spacing w:val="1"/>
                <w:shd w:val="solid" w:color="000000" w:fill="000000"/>
                <w:fitText w:val="330" w:id="-632553206"/>
                <w14:textFill>
                  <w14:solidFill>
                    <w14:srgbClr w14:val="000000">
                      <w14:alpha w14:val="100000"/>
                    </w14:srgbClr>
                  </w14:solidFill>
                </w14:textFill>
              </w:rPr>
              <w:t>|</w:t>
            </w:r>
            <w:r w:rsidR="009872D5" w:rsidRPr="009872D5">
              <w:rPr>
                <w:vertAlign w:val="superscript"/>
              </w:rPr>
              <w:t>14</w:t>
            </w:r>
          </w:p>
        </w:tc>
        <w:tc>
          <w:tcPr>
            <w:tcW w:w="598" w:type="pct"/>
            <w:vAlign w:val="bottom"/>
          </w:tcPr>
          <w:p w14:paraId="470CE100" w14:textId="6CC66BE9" w:rsidR="00505BD5" w:rsidRPr="009E4F81" w:rsidRDefault="00460689">
            <w:pPr>
              <w:pStyle w:val="TableText0"/>
              <w:jc w:val="right"/>
              <w:rPr>
                <w:highlight w:val="darkGray"/>
              </w:rPr>
            </w:pPr>
            <w:r w:rsidRPr="00460689">
              <w:rPr>
                <w:color w:val="000000"/>
                <w:spacing w:val="53"/>
                <w:shd w:val="solid" w:color="000000" w:fill="000000"/>
                <w:fitText w:val="330" w:id="-632553204"/>
                <w14:textFill>
                  <w14:solidFill>
                    <w14:srgbClr w14:val="000000">
                      <w14:alpha w14:val="100000"/>
                    </w14:srgbClr>
                  </w14:solidFill>
                </w14:textFill>
              </w:rPr>
              <w:t>|||</w:t>
            </w:r>
            <w:r w:rsidRPr="00460689">
              <w:rPr>
                <w:color w:val="000000"/>
                <w:spacing w:val="1"/>
                <w:shd w:val="solid" w:color="000000" w:fill="000000"/>
                <w:fitText w:val="330" w:id="-632553204"/>
                <w14:textFill>
                  <w14:solidFill>
                    <w14:srgbClr w14:val="000000">
                      <w14:alpha w14:val="100000"/>
                    </w14:srgbClr>
                  </w14:solidFill>
                </w14:textFill>
              </w:rPr>
              <w:t>|</w:t>
            </w:r>
            <w:r w:rsidR="00DA674E" w:rsidRPr="00DA674E">
              <w:rPr>
                <w:vertAlign w:val="superscript"/>
              </w:rPr>
              <w:t>15</w:t>
            </w:r>
          </w:p>
        </w:tc>
        <w:tc>
          <w:tcPr>
            <w:tcW w:w="598" w:type="pct"/>
            <w:vAlign w:val="bottom"/>
          </w:tcPr>
          <w:p w14:paraId="54208CF3" w14:textId="2B5157B3" w:rsidR="00505BD5" w:rsidRPr="009E4F81" w:rsidRDefault="00460689">
            <w:pPr>
              <w:pStyle w:val="TableText0"/>
              <w:jc w:val="right"/>
              <w:rPr>
                <w:highlight w:val="darkGray"/>
              </w:rPr>
            </w:pPr>
            <w:r w:rsidRPr="00460689">
              <w:rPr>
                <w:color w:val="000000"/>
                <w:spacing w:val="53"/>
                <w:shd w:val="solid" w:color="000000" w:fill="000000"/>
                <w:fitText w:val="330" w:id="-632553202"/>
                <w14:textFill>
                  <w14:solidFill>
                    <w14:srgbClr w14:val="000000">
                      <w14:alpha w14:val="100000"/>
                    </w14:srgbClr>
                  </w14:solidFill>
                </w14:textFill>
              </w:rPr>
              <w:t>|||</w:t>
            </w:r>
            <w:r w:rsidRPr="00460689">
              <w:rPr>
                <w:color w:val="000000"/>
                <w:spacing w:val="1"/>
                <w:shd w:val="solid" w:color="000000" w:fill="000000"/>
                <w:fitText w:val="330" w:id="-632553202"/>
                <w14:textFill>
                  <w14:solidFill>
                    <w14:srgbClr w14:val="000000">
                      <w14:alpha w14:val="100000"/>
                    </w14:srgbClr>
                  </w14:solidFill>
                </w14:textFill>
              </w:rPr>
              <w:t>|</w:t>
            </w:r>
            <w:r w:rsidR="0012711B" w:rsidRPr="0012711B">
              <w:rPr>
                <w:vertAlign w:val="superscript"/>
              </w:rPr>
              <w:t>16</w:t>
            </w:r>
          </w:p>
        </w:tc>
        <w:tc>
          <w:tcPr>
            <w:tcW w:w="598" w:type="pct"/>
            <w:vAlign w:val="bottom"/>
          </w:tcPr>
          <w:p w14:paraId="7FCC18D8" w14:textId="29929A38" w:rsidR="00505BD5" w:rsidRPr="009E4F81" w:rsidRDefault="00460689">
            <w:pPr>
              <w:pStyle w:val="TableText0"/>
              <w:jc w:val="right"/>
              <w:rPr>
                <w:highlight w:val="darkGray"/>
              </w:rPr>
            </w:pPr>
            <w:r w:rsidRPr="00460689">
              <w:rPr>
                <w:color w:val="000000"/>
                <w:spacing w:val="53"/>
                <w:shd w:val="solid" w:color="000000" w:fill="000000"/>
                <w:fitText w:val="330" w:id="-632553200"/>
                <w14:textFill>
                  <w14:solidFill>
                    <w14:srgbClr w14:val="000000">
                      <w14:alpha w14:val="100000"/>
                    </w14:srgbClr>
                  </w14:solidFill>
                </w14:textFill>
              </w:rPr>
              <w:t>|||</w:t>
            </w:r>
            <w:r w:rsidRPr="00460689">
              <w:rPr>
                <w:color w:val="000000"/>
                <w:spacing w:val="1"/>
                <w:shd w:val="solid" w:color="000000" w:fill="000000"/>
                <w:fitText w:val="330" w:id="-632553200"/>
                <w14:textFill>
                  <w14:solidFill>
                    <w14:srgbClr w14:val="000000">
                      <w14:alpha w14:val="100000"/>
                    </w14:srgbClr>
                  </w14:solidFill>
                </w14:textFill>
              </w:rPr>
              <w:t>|</w:t>
            </w:r>
            <w:r w:rsidR="00040F32" w:rsidRPr="00040F32">
              <w:rPr>
                <w:vertAlign w:val="superscript"/>
              </w:rPr>
              <w:t>17</w:t>
            </w:r>
          </w:p>
        </w:tc>
      </w:tr>
      <w:tr w:rsidR="00505BD5" w:rsidRPr="00BF6730" w14:paraId="6F13C863" w14:textId="77777777" w:rsidTr="00755E3A">
        <w:tc>
          <w:tcPr>
            <w:tcW w:w="5000" w:type="pct"/>
            <w:gridSpan w:val="7"/>
          </w:tcPr>
          <w:p w14:paraId="2483CB1C" w14:textId="77777777" w:rsidR="00505BD5" w:rsidRPr="00BF6730" w:rsidRDefault="00505BD5">
            <w:pPr>
              <w:pStyle w:val="TableText0"/>
              <w:rPr>
                <w:b/>
                <w:bCs w:val="0"/>
                <w:vertAlign w:val="superscript"/>
              </w:rPr>
            </w:pPr>
            <w:r w:rsidRPr="00BF6730">
              <w:rPr>
                <w:b/>
                <w:bCs w:val="0"/>
              </w:rPr>
              <w:t>Market share approach population (moderate AD on their face or eyelids)</w:t>
            </w:r>
            <w:r w:rsidRPr="00BF6730" w:rsidDel="00B00626">
              <w:rPr>
                <w:b/>
                <w:bCs w:val="0"/>
                <w:vertAlign w:val="superscript"/>
              </w:rPr>
              <w:t xml:space="preserve"> </w:t>
            </w:r>
          </w:p>
        </w:tc>
      </w:tr>
      <w:tr w:rsidR="00505BD5" w:rsidRPr="00BF6730" w14:paraId="5F10E6C3" w14:textId="77777777" w:rsidTr="00755E3A">
        <w:tc>
          <w:tcPr>
            <w:tcW w:w="1412" w:type="pct"/>
          </w:tcPr>
          <w:p w14:paraId="3FA31D00" w14:textId="5613FAA2" w:rsidR="00505BD5" w:rsidRPr="00BF6730" w:rsidRDefault="00505BD5">
            <w:pPr>
              <w:pStyle w:val="TableText0"/>
              <w:rPr>
                <w:vertAlign w:val="superscript"/>
              </w:rPr>
            </w:pPr>
            <w:r w:rsidRPr="00BF6730">
              <w:t>Moderate AD scripts</w:t>
            </w:r>
          </w:p>
        </w:tc>
        <w:tc>
          <w:tcPr>
            <w:tcW w:w="598" w:type="pct"/>
            <w:vAlign w:val="bottom"/>
          </w:tcPr>
          <w:p w14:paraId="6F9C53EB" w14:textId="527A68CB" w:rsidR="00505BD5" w:rsidRPr="009E4F81" w:rsidRDefault="00460689">
            <w:pPr>
              <w:pStyle w:val="TableText0"/>
              <w:jc w:val="right"/>
              <w:rPr>
                <w:highlight w:val="darkGray"/>
              </w:rPr>
            </w:pPr>
            <w:r w:rsidRPr="00460689">
              <w:rPr>
                <w:color w:val="000000"/>
                <w:spacing w:val="53"/>
                <w:shd w:val="solid" w:color="000000" w:fill="000000"/>
                <w:fitText w:val="330" w:id="-632553215"/>
                <w14:textFill>
                  <w14:solidFill>
                    <w14:srgbClr w14:val="000000">
                      <w14:alpha w14:val="100000"/>
                    </w14:srgbClr>
                  </w14:solidFill>
                </w14:textFill>
              </w:rPr>
              <w:t>|||</w:t>
            </w:r>
            <w:r w:rsidRPr="00460689">
              <w:rPr>
                <w:color w:val="000000"/>
                <w:spacing w:val="1"/>
                <w:shd w:val="solid" w:color="000000" w:fill="000000"/>
                <w:fitText w:val="330" w:id="-632553215"/>
                <w14:textFill>
                  <w14:solidFill>
                    <w14:srgbClr w14:val="000000">
                      <w14:alpha w14:val="100000"/>
                    </w14:srgbClr>
                  </w14:solidFill>
                </w14:textFill>
              </w:rPr>
              <w:t>|</w:t>
            </w:r>
            <w:r w:rsidR="005F19D6" w:rsidRPr="005F19D6">
              <w:rPr>
                <w:vertAlign w:val="superscript"/>
              </w:rPr>
              <w:t>10</w:t>
            </w:r>
          </w:p>
        </w:tc>
        <w:tc>
          <w:tcPr>
            <w:tcW w:w="598" w:type="pct"/>
            <w:vAlign w:val="bottom"/>
          </w:tcPr>
          <w:p w14:paraId="5B4C4180" w14:textId="4F49D62F" w:rsidR="00505BD5" w:rsidRPr="009E4F81" w:rsidRDefault="00460689">
            <w:pPr>
              <w:pStyle w:val="TableText0"/>
              <w:jc w:val="right"/>
              <w:rPr>
                <w:highlight w:val="darkGray"/>
              </w:rPr>
            </w:pPr>
            <w:r w:rsidRPr="00460689">
              <w:rPr>
                <w:color w:val="000000"/>
                <w:spacing w:val="53"/>
                <w:shd w:val="solid" w:color="000000" w:fill="000000"/>
                <w:fitText w:val="330" w:id="-632553213"/>
                <w14:textFill>
                  <w14:solidFill>
                    <w14:srgbClr w14:val="000000">
                      <w14:alpha w14:val="100000"/>
                    </w14:srgbClr>
                  </w14:solidFill>
                </w14:textFill>
              </w:rPr>
              <w:t>|||</w:t>
            </w:r>
            <w:r w:rsidRPr="00460689">
              <w:rPr>
                <w:color w:val="000000"/>
                <w:spacing w:val="1"/>
                <w:shd w:val="solid" w:color="000000" w:fill="000000"/>
                <w:fitText w:val="330" w:id="-632553213"/>
                <w14:textFill>
                  <w14:solidFill>
                    <w14:srgbClr w14:val="000000">
                      <w14:alpha w14:val="100000"/>
                    </w14:srgbClr>
                  </w14:solidFill>
                </w14:textFill>
              </w:rPr>
              <w:t>|</w:t>
            </w:r>
            <w:r w:rsidR="005F19D6" w:rsidRPr="005F19D6">
              <w:rPr>
                <w:vertAlign w:val="superscript"/>
              </w:rPr>
              <w:t>10</w:t>
            </w:r>
          </w:p>
        </w:tc>
        <w:tc>
          <w:tcPr>
            <w:tcW w:w="598" w:type="pct"/>
            <w:vAlign w:val="bottom"/>
          </w:tcPr>
          <w:p w14:paraId="1779B155" w14:textId="255098F0" w:rsidR="00505BD5" w:rsidRPr="009E4F81" w:rsidRDefault="00460689">
            <w:pPr>
              <w:pStyle w:val="TableText0"/>
              <w:jc w:val="right"/>
              <w:rPr>
                <w:highlight w:val="darkGray"/>
              </w:rPr>
            </w:pPr>
            <w:r w:rsidRPr="00460689">
              <w:rPr>
                <w:color w:val="000000"/>
                <w:spacing w:val="53"/>
                <w:shd w:val="solid" w:color="000000" w:fill="000000"/>
                <w:fitText w:val="330" w:id="-632553211"/>
                <w14:textFill>
                  <w14:solidFill>
                    <w14:srgbClr w14:val="000000">
                      <w14:alpha w14:val="100000"/>
                    </w14:srgbClr>
                  </w14:solidFill>
                </w14:textFill>
              </w:rPr>
              <w:t>|||</w:t>
            </w:r>
            <w:r w:rsidRPr="00460689">
              <w:rPr>
                <w:color w:val="000000"/>
                <w:spacing w:val="1"/>
                <w:shd w:val="solid" w:color="000000" w:fill="000000"/>
                <w:fitText w:val="330" w:id="-632553211"/>
                <w14:textFill>
                  <w14:solidFill>
                    <w14:srgbClr w14:val="000000">
                      <w14:alpha w14:val="100000"/>
                    </w14:srgbClr>
                  </w14:solidFill>
                </w14:textFill>
              </w:rPr>
              <w:t>|</w:t>
            </w:r>
            <w:r w:rsidR="00915D56" w:rsidRPr="00915D56">
              <w:rPr>
                <w:vertAlign w:val="superscript"/>
              </w:rPr>
              <w:t>9</w:t>
            </w:r>
          </w:p>
        </w:tc>
        <w:tc>
          <w:tcPr>
            <w:tcW w:w="598" w:type="pct"/>
            <w:vAlign w:val="bottom"/>
          </w:tcPr>
          <w:p w14:paraId="3294B796" w14:textId="49015623" w:rsidR="00505BD5" w:rsidRPr="009E4F81" w:rsidRDefault="00460689">
            <w:pPr>
              <w:pStyle w:val="TableText0"/>
              <w:jc w:val="right"/>
              <w:rPr>
                <w:highlight w:val="darkGray"/>
              </w:rPr>
            </w:pPr>
            <w:r w:rsidRPr="00460689">
              <w:rPr>
                <w:color w:val="000000"/>
                <w:spacing w:val="53"/>
                <w:shd w:val="solid" w:color="000000" w:fill="000000"/>
                <w:fitText w:val="330" w:id="-632553209"/>
                <w14:textFill>
                  <w14:solidFill>
                    <w14:srgbClr w14:val="000000">
                      <w14:alpha w14:val="100000"/>
                    </w14:srgbClr>
                  </w14:solidFill>
                </w14:textFill>
              </w:rPr>
              <w:t>|||</w:t>
            </w:r>
            <w:r w:rsidRPr="00460689">
              <w:rPr>
                <w:color w:val="000000"/>
                <w:spacing w:val="1"/>
                <w:shd w:val="solid" w:color="000000" w:fill="000000"/>
                <w:fitText w:val="330" w:id="-632553209"/>
                <w14:textFill>
                  <w14:solidFill>
                    <w14:srgbClr w14:val="000000">
                      <w14:alpha w14:val="100000"/>
                    </w14:srgbClr>
                  </w14:solidFill>
                </w14:textFill>
              </w:rPr>
              <w:t>|</w:t>
            </w:r>
            <w:r w:rsidR="00915D56" w:rsidRPr="00915D56">
              <w:rPr>
                <w:vertAlign w:val="superscript"/>
              </w:rPr>
              <w:t>9</w:t>
            </w:r>
          </w:p>
        </w:tc>
        <w:tc>
          <w:tcPr>
            <w:tcW w:w="598" w:type="pct"/>
            <w:vAlign w:val="bottom"/>
          </w:tcPr>
          <w:p w14:paraId="0E53C7B1" w14:textId="5B2FDD34" w:rsidR="00505BD5" w:rsidRPr="009E4F81" w:rsidRDefault="00460689">
            <w:pPr>
              <w:pStyle w:val="TableText0"/>
              <w:jc w:val="right"/>
              <w:rPr>
                <w:highlight w:val="darkGray"/>
              </w:rPr>
            </w:pPr>
            <w:r w:rsidRPr="00460689">
              <w:rPr>
                <w:color w:val="000000"/>
                <w:spacing w:val="53"/>
                <w:shd w:val="solid" w:color="000000" w:fill="000000"/>
                <w:fitText w:val="330" w:id="-632553207"/>
                <w14:textFill>
                  <w14:solidFill>
                    <w14:srgbClr w14:val="000000">
                      <w14:alpha w14:val="100000"/>
                    </w14:srgbClr>
                  </w14:solidFill>
                </w14:textFill>
              </w:rPr>
              <w:t>|||</w:t>
            </w:r>
            <w:r w:rsidRPr="00460689">
              <w:rPr>
                <w:color w:val="000000"/>
                <w:spacing w:val="1"/>
                <w:shd w:val="solid" w:color="000000" w:fill="000000"/>
                <w:fitText w:val="330" w:id="-632553207"/>
                <w14:textFill>
                  <w14:solidFill>
                    <w14:srgbClr w14:val="000000">
                      <w14:alpha w14:val="100000"/>
                    </w14:srgbClr>
                  </w14:solidFill>
                </w14:textFill>
              </w:rPr>
              <w:t>|</w:t>
            </w:r>
            <w:r w:rsidR="00783536" w:rsidRPr="00783536">
              <w:rPr>
                <w:vertAlign w:val="superscript"/>
              </w:rPr>
              <w:t>11</w:t>
            </w:r>
          </w:p>
        </w:tc>
        <w:tc>
          <w:tcPr>
            <w:tcW w:w="598" w:type="pct"/>
            <w:vAlign w:val="bottom"/>
          </w:tcPr>
          <w:p w14:paraId="3F208EBE" w14:textId="737C29AB" w:rsidR="00505BD5" w:rsidRPr="009E4F81" w:rsidRDefault="00460689">
            <w:pPr>
              <w:pStyle w:val="TableText0"/>
              <w:jc w:val="right"/>
              <w:rPr>
                <w:highlight w:val="darkGray"/>
              </w:rPr>
            </w:pPr>
            <w:r w:rsidRPr="00460689">
              <w:rPr>
                <w:color w:val="000000"/>
                <w:spacing w:val="53"/>
                <w:shd w:val="solid" w:color="000000" w:fill="000000"/>
                <w:fitText w:val="330" w:id="-632553205"/>
                <w14:textFill>
                  <w14:solidFill>
                    <w14:srgbClr w14:val="000000">
                      <w14:alpha w14:val="100000"/>
                    </w14:srgbClr>
                  </w14:solidFill>
                </w14:textFill>
              </w:rPr>
              <w:t>|||</w:t>
            </w:r>
            <w:r w:rsidRPr="00460689">
              <w:rPr>
                <w:color w:val="000000"/>
                <w:spacing w:val="1"/>
                <w:shd w:val="solid" w:color="000000" w:fill="000000"/>
                <w:fitText w:val="330" w:id="-632553205"/>
                <w14:textFill>
                  <w14:solidFill>
                    <w14:srgbClr w14:val="000000">
                      <w14:alpha w14:val="100000"/>
                    </w14:srgbClr>
                  </w14:solidFill>
                </w14:textFill>
              </w:rPr>
              <w:t>|</w:t>
            </w:r>
            <w:r w:rsidR="00783536" w:rsidRPr="00783536">
              <w:rPr>
                <w:vertAlign w:val="superscript"/>
              </w:rPr>
              <w:t>11</w:t>
            </w:r>
          </w:p>
        </w:tc>
      </w:tr>
      <w:tr w:rsidR="00505BD5" w:rsidRPr="00BF6730" w14:paraId="09D38D14" w14:textId="77777777" w:rsidTr="00755E3A">
        <w:tc>
          <w:tcPr>
            <w:tcW w:w="1412" w:type="pct"/>
          </w:tcPr>
          <w:p w14:paraId="2671BB94" w14:textId="77777777" w:rsidR="00505BD5" w:rsidRPr="00BF6730" w:rsidRDefault="00505BD5">
            <w:pPr>
              <w:pStyle w:val="TableText0"/>
            </w:pPr>
            <w:r w:rsidRPr="00BF6730">
              <w:t xml:space="preserve">Tacrolimus uptake rate </w:t>
            </w:r>
          </w:p>
        </w:tc>
        <w:tc>
          <w:tcPr>
            <w:tcW w:w="598" w:type="pct"/>
            <w:vAlign w:val="bottom"/>
          </w:tcPr>
          <w:p w14:paraId="7435F674" w14:textId="2609E975" w:rsidR="00505BD5" w:rsidRPr="00BF6730" w:rsidRDefault="00460689">
            <w:pPr>
              <w:pStyle w:val="TableText0"/>
              <w:jc w:val="right"/>
            </w:pPr>
            <w:r w:rsidRPr="00460689">
              <w:rPr>
                <w:color w:val="000000"/>
                <w:spacing w:val="51"/>
                <w:shd w:val="solid" w:color="000000" w:fill="000000"/>
                <w:fitText w:val="324" w:id="-632553203"/>
                <w14:textFill>
                  <w14:solidFill>
                    <w14:srgbClr w14:val="000000">
                      <w14:alpha w14:val="100000"/>
                    </w14:srgbClr>
                  </w14:solidFill>
                </w14:textFill>
              </w:rPr>
              <w:t>|||</w:t>
            </w:r>
            <w:r w:rsidRPr="00460689">
              <w:rPr>
                <w:color w:val="000000"/>
                <w:spacing w:val="1"/>
                <w:shd w:val="solid" w:color="000000" w:fill="000000"/>
                <w:fitText w:val="324" w:id="-632553203"/>
                <w14:textFill>
                  <w14:solidFill>
                    <w14:srgbClr w14:val="000000">
                      <w14:alpha w14:val="100000"/>
                    </w14:srgbClr>
                  </w14:solidFill>
                </w14:textFill>
              </w:rPr>
              <w:t>|</w:t>
            </w:r>
            <w:r w:rsidR="00505BD5" w:rsidRPr="00BF6730">
              <w:t>%</w:t>
            </w:r>
          </w:p>
        </w:tc>
        <w:tc>
          <w:tcPr>
            <w:tcW w:w="598" w:type="pct"/>
            <w:vAlign w:val="bottom"/>
          </w:tcPr>
          <w:p w14:paraId="553CAA3D" w14:textId="28EB68D0" w:rsidR="00505BD5" w:rsidRPr="00BF6730" w:rsidRDefault="00460689">
            <w:pPr>
              <w:pStyle w:val="TableText0"/>
              <w:jc w:val="right"/>
            </w:pPr>
            <w:r w:rsidRPr="00460689">
              <w:rPr>
                <w:color w:val="000000"/>
                <w:spacing w:val="51"/>
                <w:shd w:val="solid" w:color="000000" w:fill="000000"/>
                <w:fitText w:val="324" w:id="-632553202"/>
                <w14:textFill>
                  <w14:solidFill>
                    <w14:srgbClr w14:val="000000">
                      <w14:alpha w14:val="100000"/>
                    </w14:srgbClr>
                  </w14:solidFill>
                </w14:textFill>
              </w:rPr>
              <w:t>|||</w:t>
            </w:r>
            <w:r w:rsidRPr="00460689">
              <w:rPr>
                <w:color w:val="000000"/>
                <w:spacing w:val="1"/>
                <w:shd w:val="solid" w:color="000000" w:fill="000000"/>
                <w:fitText w:val="324" w:id="-632553202"/>
                <w14:textFill>
                  <w14:solidFill>
                    <w14:srgbClr w14:val="000000">
                      <w14:alpha w14:val="100000"/>
                    </w14:srgbClr>
                  </w14:solidFill>
                </w14:textFill>
              </w:rPr>
              <w:t>|</w:t>
            </w:r>
            <w:r w:rsidR="00505BD5" w:rsidRPr="00BF6730">
              <w:t>%</w:t>
            </w:r>
          </w:p>
        </w:tc>
        <w:tc>
          <w:tcPr>
            <w:tcW w:w="598" w:type="pct"/>
            <w:vAlign w:val="bottom"/>
          </w:tcPr>
          <w:p w14:paraId="135BC7CB" w14:textId="7C0C0A93" w:rsidR="00505BD5" w:rsidRPr="00BF6730" w:rsidRDefault="00460689">
            <w:pPr>
              <w:pStyle w:val="TableText0"/>
              <w:jc w:val="right"/>
            </w:pPr>
            <w:r w:rsidRPr="00460689">
              <w:rPr>
                <w:color w:val="000000"/>
                <w:spacing w:val="53"/>
                <w:shd w:val="solid" w:color="000000" w:fill="000000"/>
                <w:fitText w:val="330" w:id="-632553201"/>
                <w14:textFill>
                  <w14:solidFill>
                    <w14:srgbClr w14:val="000000">
                      <w14:alpha w14:val="100000"/>
                    </w14:srgbClr>
                  </w14:solidFill>
                </w14:textFill>
              </w:rPr>
              <w:t>|||</w:t>
            </w:r>
            <w:r w:rsidRPr="00460689">
              <w:rPr>
                <w:color w:val="000000"/>
                <w:spacing w:val="1"/>
                <w:shd w:val="solid" w:color="000000" w:fill="000000"/>
                <w:fitText w:val="330" w:id="-632553201"/>
                <w14:textFill>
                  <w14:solidFill>
                    <w14:srgbClr w14:val="000000">
                      <w14:alpha w14:val="100000"/>
                    </w14:srgbClr>
                  </w14:solidFill>
                </w14:textFill>
              </w:rPr>
              <w:t>|</w:t>
            </w:r>
            <w:r w:rsidR="00505BD5" w:rsidRPr="00BF6730">
              <w:t>%</w:t>
            </w:r>
          </w:p>
        </w:tc>
        <w:tc>
          <w:tcPr>
            <w:tcW w:w="598" w:type="pct"/>
            <w:vAlign w:val="bottom"/>
          </w:tcPr>
          <w:p w14:paraId="430C8439" w14:textId="4F55BD4D" w:rsidR="00505BD5" w:rsidRPr="00BF6730" w:rsidRDefault="00460689">
            <w:pPr>
              <w:pStyle w:val="TableText0"/>
              <w:jc w:val="right"/>
            </w:pPr>
            <w:r w:rsidRPr="00460689">
              <w:rPr>
                <w:color w:val="000000"/>
                <w:spacing w:val="53"/>
                <w:shd w:val="solid" w:color="000000" w:fill="000000"/>
                <w:fitText w:val="330" w:id="-632553200"/>
                <w14:textFill>
                  <w14:solidFill>
                    <w14:srgbClr w14:val="000000">
                      <w14:alpha w14:val="100000"/>
                    </w14:srgbClr>
                  </w14:solidFill>
                </w14:textFill>
              </w:rPr>
              <w:t>|||</w:t>
            </w:r>
            <w:r w:rsidRPr="00460689">
              <w:rPr>
                <w:color w:val="000000"/>
                <w:spacing w:val="1"/>
                <w:shd w:val="solid" w:color="000000" w:fill="000000"/>
                <w:fitText w:val="330" w:id="-632553200"/>
                <w14:textFill>
                  <w14:solidFill>
                    <w14:srgbClr w14:val="000000">
                      <w14:alpha w14:val="100000"/>
                    </w14:srgbClr>
                  </w14:solidFill>
                </w14:textFill>
              </w:rPr>
              <w:t>|</w:t>
            </w:r>
            <w:r w:rsidR="00505BD5" w:rsidRPr="00BF6730">
              <w:t>%</w:t>
            </w:r>
          </w:p>
        </w:tc>
        <w:tc>
          <w:tcPr>
            <w:tcW w:w="598" w:type="pct"/>
            <w:vAlign w:val="bottom"/>
          </w:tcPr>
          <w:p w14:paraId="52395181" w14:textId="2E591762" w:rsidR="00505BD5" w:rsidRPr="00BF6730" w:rsidRDefault="00460689">
            <w:pPr>
              <w:pStyle w:val="TableText0"/>
              <w:jc w:val="right"/>
            </w:pPr>
            <w:r w:rsidRPr="00460689">
              <w:rPr>
                <w:color w:val="000000"/>
                <w:spacing w:val="53"/>
                <w:shd w:val="solid" w:color="000000" w:fill="000000"/>
                <w:fitText w:val="330" w:id="-632553216"/>
                <w14:textFill>
                  <w14:solidFill>
                    <w14:srgbClr w14:val="000000">
                      <w14:alpha w14:val="100000"/>
                    </w14:srgbClr>
                  </w14:solidFill>
                </w14:textFill>
              </w:rPr>
              <w:t>|||</w:t>
            </w:r>
            <w:r w:rsidRPr="00460689">
              <w:rPr>
                <w:color w:val="000000"/>
                <w:spacing w:val="1"/>
                <w:shd w:val="solid" w:color="000000" w:fill="000000"/>
                <w:fitText w:val="330" w:id="-632553216"/>
                <w14:textFill>
                  <w14:solidFill>
                    <w14:srgbClr w14:val="000000">
                      <w14:alpha w14:val="100000"/>
                    </w14:srgbClr>
                  </w14:solidFill>
                </w14:textFill>
              </w:rPr>
              <w:t>|</w:t>
            </w:r>
            <w:r w:rsidR="00505BD5" w:rsidRPr="00BF6730">
              <w:t>%</w:t>
            </w:r>
          </w:p>
        </w:tc>
        <w:tc>
          <w:tcPr>
            <w:tcW w:w="598" w:type="pct"/>
            <w:vAlign w:val="bottom"/>
          </w:tcPr>
          <w:p w14:paraId="7BF890AF" w14:textId="13FA400D" w:rsidR="00505BD5" w:rsidRPr="00BF6730" w:rsidRDefault="00460689">
            <w:pPr>
              <w:pStyle w:val="TableText0"/>
              <w:jc w:val="right"/>
            </w:pPr>
            <w:r w:rsidRPr="00460689">
              <w:rPr>
                <w:color w:val="000000"/>
                <w:spacing w:val="53"/>
                <w:shd w:val="solid" w:color="000000" w:fill="000000"/>
                <w:fitText w:val="330" w:id="-632553215"/>
                <w14:textFill>
                  <w14:solidFill>
                    <w14:srgbClr w14:val="000000">
                      <w14:alpha w14:val="100000"/>
                    </w14:srgbClr>
                  </w14:solidFill>
                </w14:textFill>
              </w:rPr>
              <w:t>|||</w:t>
            </w:r>
            <w:r w:rsidRPr="00460689">
              <w:rPr>
                <w:color w:val="000000"/>
                <w:spacing w:val="1"/>
                <w:shd w:val="solid" w:color="000000" w:fill="000000"/>
                <w:fitText w:val="330" w:id="-632553215"/>
                <w14:textFill>
                  <w14:solidFill>
                    <w14:srgbClr w14:val="000000">
                      <w14:alpha w14:val="100000"/>
                    </w14:srgbClr>
                  </w14:solidFill>
                </w14:textFill>
              </w:rPr>
              <w:t>|</w:t>
            </w:r>
            <w:r w:rsidR="00505BD5" w:rsidRPr="00BF6730">
              <w:t>%</w:t>
            </w:r>
          </w:p>
        </w:tc>
      </w:tr>
      <w:tr w:rsidR="00505BD5" w:rsidRPr="00BF6730" w14:paraId="12903E59" w14:textId="77777777" w:rsidTr="00460689">
        <w:tc>
          <w:tcPr>
            <w:tcW w:w="1412" w:type="pct"/>
          </w:tcPr>
          <w:p w14:paraId="13D7E35A" w14:textId="77777777" w:rsidR="00505BD5" w:rsidRPr="00BF6730" w:rsidRDefault="00505BD5">
            <w:pPr>
              <w:pStyle w:val="TableText0"/>
            </w:pPr>
            <w:r w:rsidRPr="00BF6730">
              <w:t>Pimecrolimus scripts replaced</w:t>
            </w:r>
          </w:p>
        </w:tc>
        <w:tc>
          <w:tcPr>
            <w:tcW w:w="598" w:type="pct"/>
            <w:tcBorders>
              <w:bottom w:val="single" w:sz="4" w:space="0" w:color="auto"/>
            </w:tcBorders>
            <w:vAlign w:val="bottom"/>
          </w:tcPr>
          <w:p w14:paraId="5C39B82E" w14:textId="3C86D0DC" w:rsidR="00505BD5" w:rsidRPr="009E4F81" w:rsidRDefault="00460689">
            <w:pPr>
              <w:pStyle w:val="TableText0"/>
              <w:jc w:val="right"/>
              <w:rPr>
                <w:highlight w:val="darkGray"/>
              </w:rPr>
            </w:pPr>
            <w:r w:rsidRPr="00460689">
              <w:rPr>
                <w:color w:val="000000"/>
                <w:spacing w:val="53"/>
                <w:shd w:val="solid" w:color="000000" w:fill="000000"/>
                <w:fitText w:val="330" w:id="-632553214"/>
                <w14:textFill>
                  <w14:solidFill>
                    <w14:srgbClr w14:val="000000">
                      <w14:alpha w14:val="100000"/>
                    </w14:srgbClr>
                  </w14:solidFill>
                </w14:textFill>
              </w:rPr>
              <w:t>|||</w:t>
            </w:r>
            <w:r w:rsidRPr="00460689">
              <w:rPr>
                <w:color w:val="000000"/>
                <w:spacing w:val="1"/>
                <w:shd w:val="solid" w:color="000000" w:fill="000000"/>
                <w:fitText w:val="330" w:id="-632553214"/>
                <w14:textFill>
                  <w14:solidFill>
                    <w14:srgbClr w14:val="000000">
                      <w14:alpha w14:val="100000"/>
                    </w14:srgbClr>
                  </w14:solidFill>
                </w14:textFill>
              </w:rPr>
              <w:t>|</w:t>
            </w:r>
            <w:r w:rsidR="0087245A" w:rsidRPr="00010E4D">
              <w:rPr>
                <w:vertAlign w:val="superscript"/>
              </w:rPr>
              <w:t>7</w:t>
            </w:r>
          </w:p>
        </w:tc>
        <w:tc>
          <w:tcPr>
            <w:tcW w:w="598" w:type="pct"/>
            <w:tcBorders>
              <w:bottom w:val="single" w:sz="4" w:space="0" w:color="auto"/>
            </w:tcBorders>
            <w:vAlign w:val="bottom"/>
          </w:tcPr>
          <w:p w14:paraId="2D5B974D" w14:textId="60041CD0" w:rsidR="00505BD5" w:rsidRPr="009E4F81" w:rsidRDefault="00460689">
            <w:pPr>
              <w:pStyle w:val="TableText0"/>
              <w:jc w:val="right"/>
              <w:rPr>
                <w:highlight w:val="darkGray"/>
              </w:rPr>
            </w:pPr>
            <w:r w:rsidRPr="00460689">
              <w:rPr>
                <w:color w:val="000000"/>
                <w:spacing w:val="53"/>
                <w:shd w:val="solid" w:color="000000" w:fill="000000"/>
                <w:fitText w:val="330" w:id="-632553212"/>
                <w14:textFill>
                  <w14:solidFill>
                    <w14:srgbClr w14:val="000000">
                      <w14:alpha w14:val="100000"/>
                    </w14:srgbClr>
                  </w14:solidFill>
                </w14:textFill>
              </w:rPr>
              <w:t>|||</w:t>
            </w:r>
            <w:r w:rsidRPr="00460689">
              <w:rPr>
                <w:color w:val="000000"/>
                <w:spacing w:val="1"/>
                <w:shd w:val="solid" w:color="000000" w:fill="000000"/>
                <w:fitText w:val="330" w:id="-632553212"/>
                <w14:textFill>
                  <w14:solidFill>
                    <w14:srgbClr w14:val="000000">
                      <w14:alpha w14:val="100000"/>
                    </w14:srgbClr>
                  </w14:solidFill>
                </w14:textFill>
              </w:rPr>
              <w:t>|</w:t>
            </w:r>
            <w:r w:rsidR="0087245A" w:rsidRPr="00010E4D">
              <w:rPr>
                <w:vertAlign w:val="superscript"/>
              </w:rPr>
              <w:t>7</w:t>
            </w:r>
          </w:p>
        </w:tc>
        <w:tc>
          <w:tcPr>
            <w:tcW w:w="598" w:type="pct"/>
            <w:vAlign w:val="bottom"/>
          </w:tcPr>
          <w:p w14:paraId="2DC82F9A" w14:textId="0B55B940" w:rsidR="00505BD5" w:rsidRPr="009E4F81" w:rsidRDefault="00460689">
            <w:pPr>
              <w:pStyle w:val="TableText0"/>
              <w:jc w:val="right"/>
              <w:rPr>
                <w:highlight w:val="darkGray"/>
              </w:rPr>
            </w:pPr>
            <w:r w:rsidRPr="00460689">
              <w:rPr>
                <w:color w:val="000000"/>
                <w:spacing w:val="53"/>
                <w:shd w:val="solid" w:color="000000" w:fill="000000"/>
                <w:fitText w:val="330" w:id="-632553210"/>
                <w14:textFill>
                  <w14:solidFill>
                    <w14:srgbClr w14:val="000000">
                      <w14:alpha w14:val="100000"/>
                    </w14:srgbClr>
                  </w14:solidFill>
                </w14:textFill>
              </w:rPr>
              <w:t>|||</w:t>
            </w:r>
            <w:r w:rsidRPr="00460689">
              <w:rPr>
                <w:color w:val="000000"/>
                <w:spacing w:val="1"/>
                <w:shd w:val="solid" w:color="000000" w:fill="000000"/>
                <w:fitText w:val="330" w:id="-632553210"/>
                <w14:textFill>
                  <w14:solidFill>
                    <w14:srgbClr w14:val="000000">
                      <w14:alpha w14:val="100000"/>
                    </w14:srgbClr>
                  </w14:solidFill>
                </w14:textFill>
              </w:rPr>
              <w:t>|</w:t>
            </w:r>
            <w:r w:rsidR="00121B28" w:rsidRPr="00121B28">
              <w:rPr>
                <w:vertAlign w:val="superscript"/>
              </w:rPr>
              <w:t>10</w:t>
            </w:r>
          </w:p>
        </w:tc>
        <w:tc>
          <w:tcPr>
            <w:tcW w:w="598" w:type="pct"/>
            <w:vAlign w:val="bottom"/>
          </w:tcPr>
          <w:p w14:paraId="73D6FD7C" w14:textId="69A0C063" w:rsidR="00505BD5" w:rsidRPr="009E4F81" w:rsidRDefault="00460689">
            <w:pPr>
              <w:pStyle w:val="TableText0"/>
              <w:jc w:val="right"/>
              <w:rPr>
                <w:highlight w:val="darkGray"/>
              </w:rPr>
            </w:pPr>
            <w:r w:rsidRPr="00460689">
              <w:rPr>
                <w:color w:val="000000"/>
                <w:spacing w:val="53"/>
                <w:shd w:val="solid" w:color="000000" w:fill="000000"/>
                <w:fitText w:val="330" w:id="-632553208"/>
                <w14:textFill>
                  <w14:solidFill>
                    <w14:srgbClr w14:val="000000">
                      <w14:alpha w14:val="100000"/>
                    </w14:srgbClr>
                  </w14:solidFill>
                </w14:textFill>
              </w:rPr>
              <w:t>|||</w:t>
            </w:r>
            <w:r w:rsidRPr="00460689">
              <w:rPr>
                <w:color w:val="000000"/>
                <w:spacing w:val="1"/>
                <w:shd w:val="solid" w:color="000000" w:fill="000000"/>
                <w:fitText w:val="330" w:id="-632553208"/>
                <w14:textFill>
                  <w14:solidFill>
                    <w14:srgbClr w14:val="000000">
                      <w14:alpha w14:val="100000"/>
                    </w14:srgbClr>
                  </w14:solidFill>
                </w14:textFill>
              </w:rPr>
              <w:t>|</w:t>
            </w:r>
            <w:r w:rsidR="00121B28" w:rsidRPr="00121B28">
              <w:rPr>
                <w:vertAlign w:val="superscript"/>
              </w:rPr>
              <w:t>10</w:t>
            </w:r>
          </w:p>
        </w:tc>
        <w:tc>
          <w:tcPr>
            <w:tcW w:w="598" w:type="pct"/>
            <w:vAlign w:val="bottom"/>
          </w:tcPr>
          <w:p w14:paraId="19C77662" w14:textId="4D295A77" w:rsidR="00505BD5" w:rsidRPr="009E4F81" w:rsidRDefault="00460689">
            <w:pPr>
              <w:pStyle w:val="TableText0"/>
              <w:jc w:val="right"/>
              <w:rPr>
                <w:highlight w:val="darkGray"/>
              </w:rPr>
            </w:pPr>
            <w:r w:rsidRPr="00460689">
              <w:rPr>
                <w:color w:val="000000"/>
                <w:spacing w:val="53"/>
                <w:shd w:val="solid" w:color="000000" w:fill="000000"/>
                <w:fitText w:val="330" w:id="-632553206"/>
                <w14:textFill>
                  <w14:solidFill>
                    <w14:srgbClr w14:val="000000">
                      <w14:alpha w14:val="100000"/>
                    </w14:srgbClr>
                  </w14:solidFill>
                </w14:textFill>
              </w:rPr>
              <w:t>|||</w:t>
            </w:r>
            <w:r w:rsidRPr="00460689">
              <w:rPr>
                <w:color w:val="000000"/>
                <w:spacing w:val="1"/>
                <w:shd w:val="solid" w:color="000000" w:fill="000000"/>
                <w:fitText w:val="330" w:id="-632553206"/>
                <w14:textFill>
                  <w14:solidFill>
                    <w14:srgbClr w14:val="000000">
                      <w14:alpha w14:val="100000"/>
                    </w14:srgbClr>
                  </w14:solidFill>
                </w14:textFill>
              </w:rPr>
              <w:t>|</w:t>
            </w:r>
            <w:r w:rsidR="00121B28" w:rsidRPr="00121B28">
              <w:rPr>
                <w:vertAlign w:val="superscript"/>
              </w:rPr>
              <w:t>10</w:t>
            </w:r>
          </w:p>
        </w:tc>
        <w:tc>
          <w:tcPr>
            <w:tcW w:w="598" w:type="pct"/>
            <w:vAlign w:val="bottom"/>
          </w:tcPr>
          <w:p w14:paraId="14155CA7" w14:textId="2C97ECF9" w:rsidR="00505BD5" w:rsidRPr="009E4F81" w:rsidRDefault="00460689">
            <w:pPr>
              <w:pStyle w:val="TableText0"/>
              <w:jc w:val="right"/>
              <w:rPr>
                <w:highlight w:val="darkGray"/>
              </w:rPr>
            </w:pPr>
            <w:r w:rsidRPr="00460689">
              <w:rPr>
                <w:color w:val="000000"/>
                <w:spacing w:val="53"/>
                <w:shd w:val="solid" w:color="000000" w:fill="000000"/>
                <w:fitText w:val="330" w:id="-632553204"/>
                <w14:textFill>
                  <w14:solidFill>
                    <w14:srgbClr w14:val="000000">
                      <w14:alpha w14:val="100000"/>
                    </w14:srgbClr>
                  </w14:solidFill>
                </w14:textFill>
              </w:rPr>
              <w:t>|||</w:t>
            </w:r>
            <w:r w:rsidRPr="00460689">
              <w:rPr>
                <w:color w:val="000000"/>
                <w:spacing w:val="1"/>
                <w:shd w:val="solid" w:color="000000" w:fill="000000"/>
                <w:fitText w:val="330" w:id="-632553204"/>
                <w14:textFill>
                  <w14:solidFill>
                    <w14:srgbClr w14:val="000000">
                      <w14:alpha w14:val="100000"/>
                    </w14:srgbClr>
                  </w14:solidFill>
                </w14:textFill>
              </w:rPr>
              <w:t>|</w:t>
            </w:r>
            <w:r w:rsidR="00121B28" w:rsidRPr="00121B28">
              <w:rPr>
                <w:vertAlign w:val="superscript"/>
              </w:rPr>
              <w:t>9</w:t>
            </w:r>
          </w:p>
        </w:tc>
      </w:tr>
      <w:tr w:rsidR="00505BD5" w:rsidRPr="00BF6730" w14:paraId="243B5449" w14:textId="77777777" w:rsidTr="00460689">
        <w:tc>
          <w:tcPr>
            <w:tcW w:w="1412" w:type="pct"/>
          </w:tcPr>
          <w:p w14:paraId="42B4A157" w14:textId="77777777" w:rsidR="00505BD5" w:rsidRPr="00BF6730" w:rsidRDefault="00505BD5">
            <w:pPr>
              <w:pStyle w:val="TableText0"/>
            </w:pPr>
            <w:r w:rsidRPr="00BF6730">
              <w:t xml:space="preserve">Tacrolimus scripts </w:t>
            </w:r>
            <w:r w:rsidRPr="00BF6730">
              <w:br/>
              <w:t>(2:1 script replacement rate)</w:t>
            </w:r>
          </w:p>
        </w:tc>
        <w:tc>
          <w:tcPr>
            <w:tcW w:w="598" w:type="pct"/>
            <w:shd w:val="solid" w:color="000000" w:fill="000000"/>
            <w:vAlign w:val="bottom"/>
          </w:tcPr>
          <w:p w14:paraId="269E6B9C" w14:textId="7D54F4B9" w:rsidR="00505BD5" w:rsidRPr="009E4F81" w:rsidRDefault="00460689">
            <w:pPr>
              <w:pStyle w:val="TableText0"/>
              <w:jc w:val="right"/>
              <w:rPr>
                <w:highlight w:val="darkGray"/>
              </w:rPr>
            </w:pPr>
            <w:r w:rsidRPr="00460689">
              <w:rPr>
                <w:color w:val="000000"/>
                <w:spacing w:val="51"/>
                <w:fitText w:val="324" w:id="-632553202"/>
                <w14:textFill>
                  <w14:solidFill>
                    <w14:srgbClr w14:val="000000">
                      <w14:alpha w14:val="100000"/>
                    </w14:srgbClr>
                  </w14:solidFill>
                </w14:textFill>
              </w:rPr>
              <w:t>|||</w:t>
            </w:r>
            <w:r w:rsidRPr="00460689">
              <w:rPr>
                <w:color w:val="000000"/>
                <w:spacing w:val="1"/>
                <w:fitText w:val="324" w:id="-632553202"/>
                <w14:textFill>
                  <w14:solidFill>
                    <w14:srgbClr w14:val="000000">
                      <w14:alpha w14:val="100000"/>
                    </w14:srgbClr>
                  </w14:solidFill>
                </w14:textFill>
              </w:rPr>
              <w:t>|</w:t>
            </w:r>
          </w:p>
        </w:tc>
        <w:tc>
          <w:tcPr>
            <w:tcW w:w="598" w:type="pct"/>
            <w:shd w:val="solid" w:color="000000" w:fill="000000"/>
            <w:vAlign w:val="bottom"/>
          </w:tcPr>
          <w:p w14:paraId="269313D1" w14:textId="58A488D4" w:rsidR="00505BD5" w:rsidRPr="009E4F81" w:rsidRDefault="00460689">
            <w:pPr>
              <w:pStyle w:val="TableText0"/>
              <w:jc w:val="right"/>
              <w:rPr>
                <w:highlight w:val="darkGray"/>
              </w:rPr>
            </w:pPr>
            <w:r w:rsidRPr="00460689">
              <w:rPr>
                <w:color w:val="000000"/>
                <w:spacing w:val="51"/>
                <w:fitText w:val="324" w:id="-632553201"/>
                <w14:textFill>
                  <w14:solidFill>
                    <w14:srgbClr w14:val="000000">
                      <w14:alpha w14:val="100000"/>
                    </w14:srgbClr>
                  </w14:solidFill>
                </w14:textFill>
              </w:rPr>
              <w:t>|||</w:t>
            </w:r>
            <w:r w:rsidRPr="00460689">
              <w:rPr>
                <w:color w:val="000000"/>
                <w:spacing w:val="1"/>
                <w:fitText w:val="324" w:id="-632553201"/>
                <w14:textFill>
                  <w14:solidFill>
                    <w14:srgbClr w14:val="000000">
                      <w14:alpha w14:val="100000"/>
                    </w14:srgbClr>
                  </w14:solidFill>
                </w14:textFill>
              </w:rPr>
              <w:t>|</w:t>
            </w:r>
          </w:p>
        </w:tc>
        <w:tc>
          <w:tcPr>
            <w:tcW w:w="598" w:type="pct"/>
            <w:vAlign w:val="bottom"/>
          </w:tcPr>
          <w:p w14:paraId="736C1216" w14:textId="758CA31E" w:rsidR="00505BD5" w:rsidRPr="009E4F81" w:rsidRDefault="00460689">
            <w:pPr>
              <w:pStyle w:val="TableText0"/>
              <w:jc w:val="right"/>
              <w:rPr>
                <w:highlight w:val="darkGray"/>
              </w:rPr>
            </w:pPr>
            <w:r w:rsidRPr="00460689">
              <w:rPr>
                <w:color w:val="000000"/>
                <w:spacing w:val="53"/>
                <w:shd w:val="solid" w:color="000000" w:fill="000000"/>
                <w:fitText w:val="330" w:id="-632553200"/>
                <w14:textFill>
                  <w14:solidFill>
                    <w14:srgbClr w14:val="000000">
                      <w14:alpha w14:val="100000"/>
                    </w14:srgbClr>
                  </w14:solidFill>
                </w14:textFill>
              </w:rPr>
              <w:t>|||</w:t>
            </w:r>
            <w:r w:rsidRPr="00460689">
              <w:rPr>
                <w:color w:val="000000"/>
                <w:spacing w:val="1"/>
                <w:shd w:val="solid" w:color="000000" w:fill="000000"/>
                <w:fitText w:val="330" w:id="-632553200"/>
                <w14:textFill>
                  <w14:solidFill>
                    <w14:srgbClr w14:val="000000">
                      <w14:alpha w14:val="100000"/>
                    </w14:srgbClr>
                  </w14:solidFill>
                </w14:textFill>
              </w:rPr>
              <w:t>|</w:t>
            </w:r>
            <w:r w:rsidR="0087245A" w:rsidRPr="00010E4D">
              <w:rPr>
                <w:vertAlign w:val="superscript"/>
              </w:rPr>
              <w:t>7</w:t>
            </w:r>
          </w:p>
        </w:tc>
        <w:tc>
          <w:tcPr>
            <w:tcW w:w="598" w:type="pct"/>
            <w:vAlign w:val="bottom"/>
          </w:tcPr>
          <w:p w14:paraId="13FEDC0B" w14:textId="2A2680C2" w:rsidR="00505BD5" w:rsidRPr="009E4F81" w:rsidRDefault="00460689">
            <w:pPr>
              <w:pStyle w:val="TableText0"/>
              <w:jc w:val="right"/>
              <w:rPr>
                <w:highlight w:val="darkGray"/>
              </w:rPr>
            </w:pPr>
            <w:r w:rsidRPr="00460689">
              <w:rPr>
                <w:color w:val="000000"/>
                <w:spacing w:val="53"/>
                <w:shd w:val="solid" w:color="000000" w:fill="000000"/>
                <w:fitText w:val="330" w:id="-632553215"/>
                <w14:textFill>
                  <w14:solidFill>
                    <w14:srgbClr w14:val="000000">
                      <w14:alpha w14:val="100000"/>
                    </w14:srgbClr>
                  </w14:solidFill>
                </w14:textFill>
              </w:rPr>
              <w:t>|||</w:t>
            </w:r>
            <w:r w:rsidRPr="00460689">
              <w:rPr>
                <w:color w:val="000000"/>
                <w:spacing w:val="1"/>
                <w:shd w:val="solid" w:color="000000" w:fill="000000"/>
                <w:fitText w:val="330" w:id="-632553215"/>
                <w14:textFill>
                  <w14:solidFill>
                    <w14:srgbClr w14:val="000000">
                      <w14:alpha w14:val="100000"/>
                    </w14:srgbClr>
                  </w14:solidFill>
                </w14:textFill>
              </w:rPr>
              <w:t>|</w:t>
            </w:r>
            <w:r w:rsidR="0087245A" w:rsidRPr="00010E4D">
              <w:rPr>
                <w:vertAlign w:val="superscript"/>
              </w:rPr>
              <w:t>7</w:t>
            </w:r>
          </w:p>
        </w:tc>
        <w:tc>
          <w:tcPr>
            <w:tcW w:w="598" w:type="pct"/>
            <w:vAlign w:val="bottom"/>
          </w:tcPr>
          <w:p w14:paraId="334C43D3" w14:textId="3EF96520" w:rsidR="00505BD5" w:rsidRPr="009E4F81" w:rsidRDefault="00460689">
            <w:pPr>
              <w:pStyle w:val="TableText0"/>
              <w:jc w:val="right"/>
              <w:rPr>
                <w:highlight w:val="darkGray"/>
              </w:rPr>
            </w:pPr>
            <w:r w:rsidRPr="00460689">
              <w:rPr>
                <w:color w:val="000000"/>
                <w:spacing w:val="53"/>
                <w:shd w:val="solid" w:color="000000" w:fill="000000"/>
                <w:fitText w:val="330" w:id="-632553213"/>
                <w14:textFill>
                  <w14:solidFill>
                    <w14:srgbClr w14:val="000000">
                      <w14:alpha w14:val="100000"/>
                    </w14:srgbClr>
                  </w14:solidFill>
                </w14:textFill>
              </w:rPr>
              <w:t>|||</w:t>
            </w:r>
            <w:r w:rsidRPr="00460689">
              <w:rPr>
                <w:color w:val="000000"/>
                <w:spacing w:val="1"/>
                <w:shd w:val="solid" w:color="000000" w:fill="000000"/>
                <w:fitText w:val="330" w:id="-632553213"/>
                <w14:textFill>
                  <w14:solidFill>
                    <w14:srgbClr w14:val="000000">
                      <w14:alpha w14:val="100000"/>
                    </w14:srgbClr>
                  </w14:solidFill>
                </w14:textFill>
              </w:rPr>
              <w:t>|</w:t>
            </w:r>
            <w:r w:rsidR="0087245A" w:rsidRPr="00010E4D">
              <w:rPr>
                <w:vertAlign w:val="superscript"/>
              </w:rPr>
              <w:t>7</w:t>
            </w:r>
          </w:p>
        </w:tc>
        <w:tc>
          <w:tcPr>
            <w:tcW w:w="598" w:type="pct"/>
            <w:vAlign w:val="bottom"/>
          </w:tcPr>
          <w:p w14:paraId="0FD2C77A" w14:textId="06376F94" w:rsidR="00505BD5" w:rsidRPr="009E4F81" w:rsidRDefault="00460689">
            <w:pPr>
              <w:pStyle w:val="TableText0"/>
              <w:jc w:val="right"/>
              <w:rPr>
                <w:highlight w:val="darkGray"/>
              </w:rPr>
            </w:pPr>
            <w:r w:rsidRPr="00460689">
              <w:rPr>
                <w:color w:val="000000"/>
                <w:spacing w:val="53"/>
                <w:shd w:val="solid" w:color="000000" w:fill="000000"/>
                <w:fitText w:val="330" w:id="-632553211"/>
                <w14:textFill>
                  <w14:solidFill>
                    <w14:srgbClr w14:val="000000">
                      <w14:alpha w14:val="100000"/>
                    </w14:srgbClr>
                  </w14:solidFill>
                </w14:textFill>
              </w:rPr>
              <w:t>|||</w:t>
            </w:r>
            <w:r w:rsidRPr="00460689">
              <w:rPr>
                <w:color w:val="000000"/>
                <w:spacing w:val="1"/>
                <w:shd w:val="solid" w:color="000000" w:fill="000000"/>
                <w:fitText w:val="330" w:id="-632553211"/>
                <w14:textFill>
                  <w14:solidFill>
                    <w14:srgbClr w14:val="000000">
                      <w14:alpha w14:val="100000"/>
                    </w14:srgbClr>
                  </w14:solidFill>
                </w14:textFill>
              </w:rPr>
              <w:t>|</w:t>
            </w:r>
            <w:r w:rsidR="0087245A" w:rsidRPr="00010E4D">
              <w:rPr>
                <w:vertAlign w:val="superscript"/>
              </w:rPr>
              <w:t>7</w:t>
            </w:r>
          </w:p>
        </w:tc>
      </w:tr>
      <w:tr w:rsidR="00505BD5" w:rsidRPr="00BF6730" w14:paraId="635A335D" w14:textId="77777777" w:rsidTr="00755E3A">
        <w:tc>
          <w:tcPr>
            <w:tcW w:w="5000" w:type="pct"/>
            <w:gridSpan w:val="7"/>
          </w:tcPr>
          <w:p w14:paraId="131D3A81" w14:textId="77777777" w:rsidR="00505BD5" w:rsidRPr="00BF6730" w:rsidRDefault="00505BD5">
            <w:pPr>
              <w:pStyle w:val="TableText0"/>
              <w:rPr>
                <w:b/>
                <w:bCs w:val="0"/>
              </w:rPr>
            </w:pPr>
            <w:r w:rsidRPr="00BF6730">
              <w:rPr>
                <w:b/>
                <w:bCs w:val="0"/>
              </w:rPr>
              <w:t>Cost of tacrolimus to the PBS/RPBS</w:t>
            </w:r>
          </w:p>
        </w:tc>
      </w:tr>
      <w:tr w:rsidR="00505BD5" w:rsidRPr="00BF6730" w14:paraId="3CF48706" w14:textId="77777777" w:rsidTr="00755E3A">
        <w:tc>
          <w:tcPr>
            <w:tcW w:w="1412" w:type="pct"/>
          </w:tcPr>
          <w:p w14:paraId="29C909D6" w14:textId="0371AB9E" w:rsidR="00505BD5" w:rsidRPr="00BF6730" w:rsidRDefault="00505BD5">
            <w:pPr>
              <w:pStyle w:val="TableText0"/>
              <w:rPr>
                <w:vertAlign w:val="superscript"/>
              </w:rPr>
            </w:pPr>
            <w:r w:rsidRPr="00BF6730">
              <w:t>Total tacrolimus scripts, revised</w:t>
            </w:r>
            <w:r w:rsidR="002A692B" w:rsidRPr="00BF6730">
              <w:rPr>
                <w:vertAlign w:val="superscript"/>
              </w:rPr>
              <w:t>c</w:t>
            </w:r>
          </w:p>
        </w:tc>
        <w:tc>
          <w:tcPr>
            <w:tcW w:w="598" w:type="pct"/>
            <w:vAlign w:val="bottom"/>
          </w:tcPr>
          <w:p w14:paraId="208B1DC7" w14:textId="053B660E" w:rsidR="00505BD5" w:rsidRPr="009E4F81" w:rsidRDefault="00460689">
            <w:pPr>
              <w:pStyle w:val="TableText0"/>
              <w:jc w:val="right"/>
              <w:rPr>
                <w:highlight w:val="darkGray"/>
              </w:rPr>
            </w:pPr>
            <w:r w:rsidRPr="00460689">
              <w:rPr>
                <w:color w:val="000000"/>
                <w:spacing w:val="53"/>
                <w:shd w:val="solid" w:color="000000" w:fill="000000"/>
                <w:fitText w:val="330" w:id="-632553209"/>
                <w14:textFill>
                  <w14:solidFill>
                    <w14:srgbClr w14:val="000000">
                      <w14:alpha w14:val="100000"/>
                    </w14:srgbClr>
                  </w14:solidFill>
                </w14:textFill>
              </w:rPr>
              <w:t>|||</w:t>
            </w:r>
            <w:r w:rsidRPr="00460689">
              <w:rPr>
                <w:color w:val="000000"/>
                <w:spacing w:val="1"/>
                <w:shd w:val="solid" w:color="000000" w:fill="000000"/>
                <w:fitText w:val="330" w:id="-632553209"/>
                <w14:textFill>
                  <w14:solidFill>
                    <w14:srgbClr w14:val="000000">
                      <w14:alpha w14:val="100000"/>
                    </w14:srgbClr>
                  </w14:solidFill>
                </w14:textFill>
              </w:rPr>
              <w:t>|</w:t>
            </w:r>
            <w:r w:rsidR="00745B48" w:rsidRPr="00745B48">
              <w:rPr>
                <w:vertAlign w:val="superscript"/>
              </w:rPr>
              <w:t>12</w:t>
            </w:r>
          </w:p>
        </w:tc>
        <w:tc>
          <w:tcPr>
            <w:tcW w:w="598" w:type="pct"/>
            <w:vAlign w:val="bottom"/>
          </w:tcPr>
          <w:p w14:paraId="14021644" w14:textId="798E053D" w:rsidR="00505BD5" w:rsidRPr="009E4F81" w:rsidRDefault="00460689">
            <w:pPr>
              <w:pStyle w:val="TableText0"/>
              <w:jc w:val="right"/>
              <w:rPr>
                <w:highlight w:val="darkGray"/>
              </w:rPr>
            </w:pPr>
            <w:r w:rsidRPr="00460689">
              <w:rPr>
                <w:color w:val="000000"/>
                <w:spacing w:val="53"/>
                <w:shd w:val="solid" w:color="000000" w:fill="000000"/>
                <w:fitText w:val="330" w:id="-632553207"/>
                <w14:textFill>
                  <w14:solidFill>
                    <w14:srgbClr w14:val="000000">
                      <w14:alpha w14:val="100000"/>
                    </w14:srgbClr>
                  </w14:solidFill>
                </w14:textFill>
              </w:rPr>
              <w:t>|||</w:t>
            </w:r>
            <w:r w:rsidRPr="00460689">
              <w:rPr>
                <w:color w:val="000000"/>
                <w:spacing w:val="1"/>
                <w:shd w:val="solid" w:color="000000" w:fill="000000"/>
                <w:fitText w:val="330" w:id="-632553207"/>
                <w14:textFill>
                  <w14:solidFill>
                    <w14:srgbClr w14:val="000000">
                      <w14:alpha w14:val="100000"/>
                    </w14:srgbClr>
                  </w14:solidFill>
                </w14:textFill>
              </w:rPr>
              <w:t>|</w:t>
            </w:r>
            <w:r w:rsidR="009872D5" w:rsidRPr="009872D5">
              <w:rPr>
                <w:vertAlign w:val="superscript"/>
              </w:rPr>
              <w:t>13</w:t>
            </w:r>
          </w:p>
        </w:tc>
        <w:tc>
          <w:tcPr>
            <w:tcW w:w="598" w:type="pct"/>
            <w:vAlign w:val="bottom"/>
          </w:tcPr>
          <w:p w14:paraId="2F1CE04F" w14:textId="7DC47169" w:rsidR="00505BD5" w:rsidRPr="009E4F81" w:rsidRDefault="00460689">
            <w:pPr>
              <w:pStyle w:val="TableText0"/>
              <w:jc w:val="right"/>
              <w:rPr>
                <w:highlight w:val="darkGray"/>
              </w:rPr>
            </w:pPr>
            <w:r w:rsidRPr="00460689">
              <w:rPr>
                <w:color w:val="000000"/>
                <w:spacing w:val="53"/>
                <w:shd w:val="solid" w:color="000000" w:fill="000000"/>
                <w:fitText w:val="330" w:id="-632553205"/>
                <w14:textFill>
                  <w14:solidFill>
                    <w14:srgbClr w14:val="000000">
                      <w14:alpha w14:val="100000"/>
                    </w14:srgbClr>
                  </w14:solidFill>
                </w14:textFill>
              </w:rPr>
              <w:t>|||</w:t>
            </w:r>
            <w:r w:rsidRPr="00460689">
              <w:rPr>
                <w:color w:val="000000"/>
                <w:spacing w:val="1"/>
                <w:shd w:val="solid" w:color="000000" w:fill="000000"/>
                <w:fitText w:val="330" w:id="-632553205"/>
                <w14:textFill>
                  <w14:solidFill>
                    <w14:srgbClr w14:val="000000">
                      <w14:alpha w14:val="100000"/>
                    </w14:srgbClr>
                  </w14:solidFill>
                </w14:textFill>
              </w:rPr>
              <w:t>|</w:t>
            </w:r>
            <w:r w:rsidR="004F3E6C" w:rsidRPr="004F3E6C">
              <w:rPr>
                <w:vertAlign w:val="superscript"/>
              </w:rPr>
              <w:t>14</w:t>
            </w:r>
          </w:p>
        </w:tc>
        <w:tc>
          <w:tcPr>
            <w:tcW w:w="598" w:type="pct"/>
            <w:vAlign w:val="bottom"/>
          </w:tcPr>
          <w:p w14:paraId="01D5F39F" w14:textId="5E927D74" w:rsidR="00505BD5" w:rsidRPr="009E4F81" w:rsidRDefault="00460689">
            <w:pPr>
              <w:pStyle w:val="TableText0"/>
              <w:jc w:val="right"/>
              <w:rPr>
                <w:highlight w:val="darkGray"/>
              </w:rPr>
            </w:pPr>
            <w:r w:rsidRPr="00460689">
              <w:rPr>
                <w:color w:val="000000"/>
                <w:spacing w:val="53"/>
                <w:shd w:val="solid" w:color="000000" w:fill="000000"/>
                <w:fitText w:val="330" w:id="-632553203"/>
                <w14:textFill>
                  <w14:solidFill>
                    <w14:srgbClr w14:val="000000">
                      <w14:alpha w14:val="100000"/>
                    </w14:srgbClr>
                  </w14:solidFill>
                </w14:textFill>
              </w:rPr>
              <w:t>|||</w:t>
            </w:r>
            <w:r w:rsidRPr="00460689">
              <w:rPr>
                <w:color w:val="000000"/>
                <w:spacing w:val="1"/>
                <w:shd w:val="solid" w:color="000000" w:fill="000000"/>
                <w:fitText w:val="330" w:id="-632553203"/>
                <w14:textFill>
                  <w14:solidFill>
                    <w14:srgbClr w14:val="000000">
                      <w14:alpha w14:val="100000"/>
                    </w14:srgbClr>
                  </w14:solidFill>
                </w14:textFill>
              </w:rPr>
              <w:t>|</w:t>
            </w:r>
            <w:r w:rsidR="0012711B" w:rsidRPr="0012711B">
              <w:rPr>
                <w:vertAlign w:val="superscript"/>
              </w:rPr>
              <w:t>15</w:t>
            </w:r>
          </w:p>
        </w:tc>
        <w:tc>
          <w:tcPr>
            <w:tcW w:w="598" w:type="pct"/>
            <w:vAlign w:val="bottom"/>
          </w:tcPr>
          <w:p w14:paraId="07EFC1BA" w14:textId="43F5303A" w:rsidR="00505BD5" w:rsidRPr="009E4F81" w:rsidRDefault="00460689">
            <w:pPr>
              <w:pStyle w:val="TableText0"/>
              <w:jc w:val="right"/>
              <w:rPr>
                <w:highlight w:val="darkGray"/>
              </w:rPr>
            </w:pPr>
            <w:r w:rsidRPr="00460689">
              <w:rPr>
                <w:color w:val="000000"/>
                <w:spacing w:val="53"/>
                <w:shd w:val="solid" w:color="000000" w:fill="000000"/>
                <w:fitText w:val="330" w:id="-632553201"/>
                <w14:textFill>
                  <w14:solidFill>
                    <w14:srgbClr w14:val="000000">
                      <w14:alpha w14:val="100000"/>
                    </w14:srgbClr>
                  </w14:solidFill>
                </w14:textFill>
              </w:rPr>
              <w:t>|||</w:t>
            </w:r>
            <w:r w:rsidRPr="00460689">
              <w:rPr>
                <w:color w:val="000000"/>
                <w:spacing w:val="1"/>
                <w:shd w:val="solid" w:color="000000" w:fill="000000"/>
                <w:fitText w:val="330" w:id="-632553201"/>
                <w14:textFill>
                  <w14:solidFill>
                    <w14:srgbClr w14:val="000000">
                      <w14:alpha w14:val="100000"/>
                    </w14:srgbClr>
                  </w14:solidFill>
                </w14:textFill>
              </w:rPr>
              <w:t>|</w:t>
            </w:r>
            <w:r w:rsidR="0012711B" w:rsidRPr="0012711B">
              <w:rPr>
                <w:vertAlign w:val="superscript"/>
              </w:rPr>
              <w:t>16</w:t>
            </w:r>
          </w:p>
        </w:tc>
        <w:tc>
          <w:tcPr>
            <w:tcW w:w="598" w:type="pct"/>
            <w:vAlign w:val="bottom"/>
          </w:tcPr>
          <w:p w14:paraId="13E7C16F" w14:textId="0F79C751" w:rsidR="00505BD5" w:rsidRPr="009E4F81" w:rsidRDefault="00460689">
            <w:pPr>
              <w:pStyle w:val="TableText0"/>
              <w:jc w:val="right"/>
              <w:rPr>
                <w:highlight w:val="darkGray"/>
              </w:rPr>
            </w:pPr>
            <w:r w:rsidRPr="00460689">
              <w:rPr>
                <w:color w:val="000000"/>
                <w:spacing w:val="53"/>
                <w:shd w:val="solid" w:color="000000" w:fill="000000"/>
                <w:fitText w:val="330" w:id="-632553216"/>
                <w14:textFill>
                  <w14:solidFill>
                    <w14:srgbClr w14:val="000000">
                      <w14:alpha w14:val="100000"/>
                    </w14:srgbClr>
                  </w14:solidFill>
                </w14:textFill>
              </w:rPr>
              <w:t>|||</w:t>
            </w:r>
            <w:r w:rsidRPr="00460689">
              <w:rPr>
                <w:color w:val="000000"/>
                <w:spacing w:val="1"/>
                <w:shd w:val="solid" w:color="000000" w:fill="000000"/>
                <w:fitText w:val="330" w:id="-632553216"/>
                <w14:textFill>
                  <w14:solidFill>
                    <w14:srgbClr w14:val="000000">
                      <w14:alpha w14:val="100000"/>
                    </w14:srgbClr>
                  </w14:solidFill>
                </w14:textFill>
              </w:rPr>
              <w:t>|</w:t>
            </w:r>
            <w:r w:rsidR="00040F32" w:rsidRPr="00040F32">
              <w:rPr>
                <w:vertAlign w:val="superscript"/>
              </w:rPr>
              <w:t>17</w:t>
            </w:r>
          </w:p>
        </w:tc>
      </w:tr>
      <w:tr w:rsidR="00505BD5" w:rsidRPr="00BF6730" w14:paraId="16A99B17" w14:textId="77777777" w:rsidTr="00755E3A">
        <w:tc>
          <w:tcPr>
            <w:tcW w:w="1412" w:type="pct"/>
          </w:tcPr>
          <w:p w14:paraId="291CBCC3" w14:textId="12328846" w:rsidR="00505BD5" w:rsidRPr="00BF6730" w:rsidRDefault="009F5466">
            <w:pPr>
              <w:pStyle w:val="TableText0"/>
              <w:rPr>
                <w:vertAlign w:val="superscript"/>
              </w:rPr>
            </w:pPr>
            <w:r>
              <w:t>C</w:t>
            </w:r>
            <w:r w:rsidR="00505BD5" w:rsidRPr="00BF6730">
              <w:t>osts to the PBS/RPBS, revised</w:t>
            </w:r>
            <w:r w:rsidR="002A692B" w:rsidRPr="00BF6730">
              <w:rPr>
                <w:vertAlign w:val="superscript"/>
              </w:rPr>
              <w:t>c,d</w:t>
            </w:r>
          </w:p>
        </w:tc>
        <w:tc>
          <w:tcPr>
            <w:tcW w:w="598" w:type="pct"/>
            <w:vAlign w:val="bottom"/>
          </w:tcPr>
          <w:p w14:paraId="02273E44" w14:textId="7D500BB5" w:rsidR="00D74D56" w:rsidRDefault="00505BD5">
            <w:pPr>
              <w:pStyle w:val="TableText0"/>
              <w:jc w:val="right"/>
            </w:pPr>
            <w:r w:rsidRPr="00BF6730">
              <w:t>$</w:t>
            </w:r>
            <w:r w:rsidR="00460689" w:rsidRPr="00460689">
              <w:rPr>
                <w:color w:val="000000"/>
                <w:spacing w:val="51"/>
                <w:shd w:val="solid" w:color="000000" w:fill="000000"/>
                <w:fitText w:val="324" w:id="-632553214"/>
                <w14:textFill>
                  <w14:solidFill>
                    <w14:srgbClr w14:val="000000">
                      <w14:alpha w14:val="100000"/>
                    </w14:srgbClr>
                  </w14:solidFill>
                </w14:textFill>
              </w:rPr>
              <w:t>|||</w:t>
            </w:r>
            <w:r w:rsidR="00460689" w:rsidRPr="00460689">
              <w:rPr>
                <w:color w:val="000000"/>
                <w:spacing w:val="1"/>
                <w:shd w:val="solid" w:color="000000" w:fill="000000"/>
                <w:fitText w:val="324" w:id="-632553214"/>
                <w14:textFill>
                  <w14:solidFill>
                    <w14:srgbClr w14:val="000000">
                      <w14:alpha w14:val="100000"/>
                    </w14:srgbClr>
                  </w14:solidFill>
                </w14:textFill>
              </w:rPr>
              <w:t>|</w:t>
            </w:r>
          </w:p>
          <w:p w14:paraId="4E8258E9" w14:textId="15FF6736" w:rsidR="00505BD5" w:rsidRPr="00780473" w:rsidRDefault="00780473">
            <w:pPr>
              <w:pStyle w:val="TableText0"/>
              <w:jc w:val="right"/>
              <w:rPr>
                <w:vertAlign w:val="superscript"/>
              </w:rPr>
            </w:pPr>
            <w:r>
              <w:rPr>
                <w:vertAlign w:val="superscript"/>
              </w:rPr>
              <w:t>18</w:t>
            </w:r>
          </w:p>
        </w:tc>
        <w:tc>
          <w:tcPr>
            <w:tcW w:w="598" w:type="pct"/>
            <w:vAlign w:val="bottom"/>
          </w:tcPr>
          <w:p w14:paraId="3855C3EB" w14:textId="65DC28F5" w:rsidR="00F87D21" w:rsidRDefault="00505BD5">
            <w:pPr>
              <w:pStyle w:val="TableText0"/>
              <w:jc w:val="right"/>
            </w:pPr>
            <w:r w:rsidRPr="00BF6730">
              <w:t>$</w:t>
            </w:r>
            <w:r w:rsidR="00460689" w:rsidRPr="00460689">
              <w:rPr>
                <w:color w:val="000000"/>
                <w:spacing w:val="51"/>
                <w:shd w:val="solid" w:color="000000" w:fill="000000"/>
                <w:fitText w:val="324" w:id="-632553213"/>
                <w14:textFill>
                  <w14:solidFill>
                    <w14:srgbClr w14:val="000000">
                      <w14:alpha w14:val="100000"/>
                    </w14:srgbClr>
                  </w14:solidFill>
                </w14:textFill>
              </w:rPr>
              <w:t>|||</w:t>
            </w:r>
            <w:r w:rsidR="00460689" w:rsidRPr="00460689">
              <w:rPr>
                <w:color w:val="000000"/>
                <w:spacing w:val="1"/>
                <w:shd w:val="solid" w:color="000000" w:fill="000000"/>
                <w:fitText w:val="324" w:id="-632553213"/>
                <w14:textFill>
                  <w14:solidFill>
                    <w14:srgbClr w14:val="000000">
                      <w14:alpha w14:val="100000"/>
                    </w14:srgbClr>
                  </w14:solidFill>
                </w14:textFill>
              </w:rPr>
              <w:t>|</w:t>
            </w:r>
          </w:p>
          <w:p w14:paraId="7999B4D6" w14:textId="28073A56" w:rsidR="00505BD5" w:rsidRPr="00F87D21" w:rsidRDefault="00F87D21">
            <w:pPr>
              <w:pStyle w:val="TableText0"/>
              <w:jc w:val="right"/>
              <w:rPr>
                <w:vertAlign w:val="superscript"/>
              </w:rPr>
            </w:pPr>
            <w:r>
              <w:rPr>
                <w:vertAlign w:val="superscript"/>
              </w:rPr>
              <w:t>19</w:t>
            </w:r>
          </w:p>
        </w:tc>
        <w:tc>
          <w:tcPr>
            <w:tcW w:w="598" w:type="pct"/>
            <w:vAlign w:val="bottom"/>
          </w:tcPr>
          <w:p w14:paraId="2CE09C29" w14:textId="6191CEDE" w:rsidR="003C2FB7" w:rsidRDefault="00505BD5">
            <w:pPr>
              <w:pStyle w:val="TableText0"/>
              <w:jc w:val="right"/>
            </w:pPr>
            <w:r w:rsidRPr="00BF6730">
              <w:t>$</w:t>
            </w:r>
            <w:r w:rsidR="00460689" w:rsidRPr="00460689">
              <w:rPr>
                <w:color w:val="000000"/>
                <w:spacing w:val="51"/>
                <w:shd w:val="solid" w:color="000000" w:fill="000000"/>
                <w:fitText w:val="324" w:id="-632553212"/>
                <w14:textFill>
                  <w14:solidFill>
                    <w14:srgbClr w14:val="000000">
                      <w14:alpha w14:val="100000"/>
                    </w14:srgbClr>
                  </w14:solidFill>
                </w14:textFill>
              </w:rPr>
              <w:t>|||</w:t>
            </w:r>
            <w:r w:rsidR="00460689" w:rsidRPr="00460689">
              <w:rPr>
                <w:color w:val="000000"/>
                <w:spacing w:val="1"/>
                <w:shd w:val="solid" w:color="000000" w:fill="000000"/>
                <w:fitText w:val="324" w:id="-632553212"/>
                <w14:textFill>
                  <w14:solidFill>
                    <w14:srgbClr w14:val="000000">
                      <w14:alpha w14:val="100000"/>
                    </w14:srgbClr>
                  </w14:solidFill>
                </w14:textFill>
              </w:rPr>
              <w:t>|</w:t>
            </w:r>
          </w:p>
          <w:p w14:paraId="18BB7FEA" w14:textId="55154ABA" w:rsidR="00505BD5" w:rsidRPr="003C2FB7" w:rsidRDefault="003C2FB7">
            <w:pPr>
              <w:pStyle w:val="TableText0"/>
              <w:jc w:val="right"/>
              <w:rPr>
                <w:vertAlign w:val="superscript"/>
              </w:rPr>
            </w:pPr>
            <w:r>
              <w:rPr>
                <w:vertAlign w:val="superscript"/>
              </w:rPr>
              <w:t>19</w:t>
            </w:r>
          </w:p>
        </w:tc>
        <w:tc>
          <w:tcPr>
            <w:tcW w:w="598" w:type="pct"/>
            <w:vAlign w:val="bottom"/>
          </w:tcPr>
          <w:p w14:paraId="65C99040" w14:textId="0060871F" w:rsidR="00F42A10" w:rsidRDefault="00505BD5">
            <w:pPr>
              <w:pStyle w:val="TableText0"/>
              <w:jc w:val="right"/>
            </w:pPr>
            <w:r w:rsidRPr="00BF6730">
              <w:t>$</w:t>
            </w:r>
            <w:r w:rsidR="00460689" w:rsidRPr="00460689">
              <w:rPr>
                <w:color w:val="000000"/>
                <w:spacing w:val="51"/>
                <w:shd w:val="solid" w:color="000000" w:fill="000000"/>
                <w:fitText w:val="324" w:id="-632553211"/>
                <w14:textFill>
                  <w14:solidFill>
                    <w14:srgbClr w14:val="000000">
                      <w14:alpha w14:val="100000"/>
                    </w14:srgbClr>
                  </w14:solidFill>
                </w14:textFill>
              </w:rPr>
              <w:t>|||</w:t>
            </w:r>
            <w:r w:rsidR="00460689" w:rsidRPr="00460689">
              <w:rPr>
                <w:color w:val="000000"/>
                <w:spacing w:val="1"/>
                <w:shd w:val="solid" w:color="000000" w:fill="000000"/>
                <w:fitText w:val="324" w:id="-632553211"/>
                <w14:textFill>
                  <w14:solidFill>
                    <w14:srgbClr w14:val="000000">
                      <w14:alpha w14:val="100000"/>
                    </w14:srgbClr>
                  </w14:solidFill>
                </w14:textFill>
              </w:rPr>
              <w:t>|</w:t>
            </w:r>
          </w:p>
          <w:p w14:paraId="6C26E562" w14:textId="49052782" w:rsidR="00505BD5" w:rsidRPr="00F42A10" w:rsidRDefault="00F42A10">
            <w:pPr>
              <w:pStyle w:val="TableText0"/>
              <w:jc w:val="right"/>
              <w:rPr>
                <w:vertAlign w:val="superscript"/>
              </w:rPr>
            </w:pPr>
            <w:r>
              <w:rPr>
                <w:vertAlign w:val="superscript"/>
              </w:rPr>
              <w:t>20</w:t>
            </w:r>
          </w:p>
        </w:tc>
        <w:tc>
          <w:tcPr>
            <w:tcW w:w="598" w:type="pct"/>
            <w:vAlign w:val="bottom"/>
          </w:tcPr>
          <w:p w14:paraId="30B32CF2" w14:textId="0337DEE7" w:rsidR="0085667C" w:rsidRDefault="00505BD5">
            <w:pPr>
              <w:pStyle w:val="TableText0"/>
              <w:jc w:val="right"/>
            </w:pPr>
            <w:r w:rsidRPr="00BF6730">
              <w:t>$</w:t>
            </w:r>
            <w:r w:rsidR="00460689" w:rsidRPr="00460689">
              <w:rPr>
                <w:color w:val="000000"/>
                <w:spacing w:val="51"/>
                <w:shd w:val="solid" w:color="000000" w:fill="000000"/>
                <w:fitText w:val="324" w:id="-632553210"/>
                <w14:textFill>
                  <w14:solidFill>
                    <w14:srgbClr w14:val="000000">
                      <w14:alpha w14:val="100000"/>
                    </w14:srgbClr>
                  </w14:solidFill>
                </w14:textFill>
              </w:rPr>
              <w:t>|||</w:t>
            </w:r>
            <w:r w:rsidR="00460689" w:rsidRPr="00460689">
              <w:rPr>
                <w:color w:val="000000"/>
                <w:spacing w:val="1"/>
                <w:shd w:val="solid" w:color="000000" w:fill="000000"/>
                <w:fitText w:val="324" w:id="-632553210"/>
                <w14:textFill>
                  <w14:solidFill>
                    <w14:srgbClr w14:val="000000">
                      <w14:alpha w14:val="100000"/>
                    </w14:srgbClr>
                  </w14:solidFill>
                </w14:textFill>
              </w:rPr>
              <w:t>|</w:t>
            </w:r>
          </w:p>
          <w:p w14:paraId="2B3AD557" w14:textId="4EFBE5FE" w:rsidR="00505BD5" w:rsidRPr="0085667C" w:rsidRDefault="0085667C">
            <w:pPr>
              <w:pStyle w:val="TableText0"/>
              <w:jc w:val="right"/>
              <w:rPr>
                <w:vertAlign w:val="superscript"/>
              </w:rPr>
            </w:pPr>
            <w:r>
              <w:rPr>
                <w:vertAlign w:val="superscript"/>
              </w:rPr>
              <w:t>20</w:t>
            </w:r>
          </w:p>
        </w:tc>
        <w:tc>
          <w:tcPr>
            <w:tcW w:w="598" w:type="pct"/>
            <w:vAlign w:val="bottom"/>
          </w:tcPr>
          <w:p w14:paraId="2BFF8628" w14:textId="6978F585" w:rsidR="008D778F" w:rsidRDefault="00505BD5">
            <w:pPr>
              <w:pStyle w:val="TableText0"/>
              <w:jc w:val="right"/>
            </w:pPr>
            <w:r w:rsidRPr="00BF6730">
              <w:t>$</w:t>
            </w:r>
            <w:r w:rsidR="00460689" w:rsidRPr="00460689">
              <w:rPr>
                <w:color w:val="000000"/>
                <w:spacing w:val="51"/>
                <w:shd w:val="solid" w:color="000000" w:fill="000000"/>
                <w:fitText w:val="324" w:id="-632553209"/>
                <w14:textFill>
                  <w14:solidFill>
                    <w14:srgbClr w14:val="000000">
                      <w14:alpha w14:val="100000"/>
                    </w14:srgbClr>
                  </w14:solidFill>
                </w14:textFill>
              </w:rPr>
              <w:t>|||</w:t>
            </w:r>
            <w:r w:rsidR="00460689" w:rsidRPr="00460689">
              <w:rPr>
                <w:color w:val="000000"/>
                <w:spacing w:val="1"/>
                <w:shd w:val="solid" w:color="000000" w:fill="000000"/>
                <w:fitText w:val="324" w:id="-632553209"/>
                <w14:textFill>
                  <w14:solidFill>
                    <w14:srgbClr w14:val="000000">
                      <w14:alpha w14:val="100000"/>
                    </w14:srgbClr>
                  </w14:solidFill>
                </w14:textFill>
              </w:rPr>
              <w:t>|</w:t>
            </w:r>
          </w:p>
          <w:p w14:paraId="0B174473" w14:textId="1B1FE09A" w:rsidR="00505BD5" w:rsidRPr="008D778F" w:rsidRDefault="008D778F">
            <w:pPr>
              <w:pStyle w:val="TableText0"/>
              <w:jc w:val="right"/>
              <w:rPr>
                <w:vertAlign w:val="superscript"/>
              </w:rPr>
            </w:pPr>
            <w:r>
              <w:rPr>
                <w:vertAlign w:val="superscript"/>
              </w:rPr>
              <w:t>2</w:t>
            </w:r>
            <w:r w:rsidR="00545DAB">
              <w:rPr>
                <w:vertAlign w:val="superscript"/>
              </w:rPr>
              <w:t>2</w:t>
            </w:r>
          </w:p>
        </w:tc>
      </w:tr>
      <w:tr w:rsidR="00505BD5" w:rsidRPr="00BF6730" w14:paraId="7D10A1D3" w14:textId="77777777" w:rsidTr="00755E3A">
        <w:tc>
          <w:tcPr>
            <w:tcW w:w="5000" w:type="pct"/>
            <w:gridSpan w:val="7"/>
          </w:tcPr>
          <w:p w14:paraId="03AF7463" w14:textId="77777777" w:rsidR="00505BD5" w:rsidRPr="00BF6730" w:rsidRDefault="00505BD5">
            <w:pPr>
              <w:pStyle w:val="TableText0"/>
              <w:rPr>
                <w:b/>
                <w:bCs w:val="0"/>
              </w:rPr>
            </w:pPr>
            <w:r w:rsidRPr="00BF6730">
              <w:rPr>
                <w:b/>
                <w:bCs w:val="0"/>
              </w:rPr>
              <w:t>Cost savings due to reduction of use of other medicines</w:t>
            </w:r>
          </w:p>
        </w:tc>
      </w:tr>
      <w:tr w:rsidR="00505BD5" w:rsidRPr="00BF6730" w14:paraId="50E01443" w14:textId="77777777" w:rsidTr="00755E3A">
        <w:tc>
          <w:tcPr>
            <w:tcW w:w="1412" w:type="pct"/>
          </w:tcPr>
          <w:p w14:paraId="021D0DC6" w14:textId="0FE77FC9" w:rsidR="00505BD5" w:rsidRPr="00BF6730" w:rsidRDefault="00505BD5">
            <w:pPr>
              <w:pStyle w:val="TableText0"/>
              <w:rPr>
                <w:vertAlign w:val="superscript"/>
              </w:rPr>
            </w:pPr>
            <w:r w:rsidRPr="00BF6730">
              <w:t>Cost savings due to substitution of pimecrolimus</w:t>
            </w:r>
            <w:r w:rsidR="002A692B" w:rsidRPr="00BF6730">
              <w:rPr>
                <w:vertAlign w:val="superscript"/>
              </w:rPr>
              <w:t>e</w:t>
            </w:r>
          </w:p>
        </w:tc>
        <w:tc>
          <w:tcPr>
            <w:tcW w:w="598" w:type="pct"/>
            <w:vAlign w:val="bottom"/>
          </w:tcPr>
          <w:p w14:paraId="2FA60A9F" w14:textId="7064CB50" w:rsidR="00505BD5" w:rsidRPr="00E604FE" w:rsidRDefault="00505BD5">
            <w:pPr>
              <w:pStyle w:val="TableText0"/>
              <w:jc w:val="right"/>
              <w:rPr>
                <w:vertAlign w:val="superscript"/>
              </w:rPr>
            </w:pPr>
            <w:r w:rsidRPr="00BF6730">
              <w:t>-$</w:t>
            </w:r>
            <w:r w:rsidR="00460689" w:rsidRPr="00460689">
              <w:rPr>
                <w:color w:val="000000"/>
                <w:spacing w:val="53"/>
                <w:shd w:val="solid" w:color="000000" w:fill="000000"/>
                <w:fitText w:val="330" w:id="-632553208"/>
                <w14:textFill>
                  <w14:solidFill>
                    <w14:srgbClr w14:val="000000">
                      <w14:alpha w14:val="100000"/>
                    </w14:srgbClr>
                  </w14:solidFill>
                </w14:textFill>
              </w:rPr>
              <w:t>|||</w:t>
            </w:r>
            <w:r w:rsidR="00460689" w:rsidRPr="00460689">
              <w:rPr>
                <w:color w:val="000000"/>
                <w:spacing w:val="1"/>
                <w:shd w:val="solid" w:color="000000" w:fill="000000"/>
                <w:fitText w:val="330" w:id="-632553208"/>
                <w14:textFill>
                  <w14:solidFill>
                    <w14:srgbClr w14:val="000000">
                      <w14:alpha w14:val="100000"/>
                    </w14:srgbClr>
                  </w14:solidFill>
                </w14:textFill>
              </w:rPr>
              <w:t>|</w:t>
            </w:r>
            <w:r w:rsidR="00E604FE">
              <w:rPr>
                <w:vertAlign w:val="superscript"/>
              </w:rPr>
              <w:t>23</w:t>
            </w:r>
          </w:p>
        </w:tc>
        <w:tc>
          <w:tcPr>
            <w:tcW w:w="598" w:type="pct"/>
            <w:vAlign w:val="bottom"/>
          </w:tcPr>
          <w:p w14:paraId="0FF23741" w14:textId="6A83A288" w:rsidR="00505BD5" w:rsidRPr="00E604FE" w:rsidRDefault="00505BD5">
            <w:pPr>
              <w:pStyle w:val="TableText0"/>
              <w:jc w:val="right"/>
              <w:rPr>
                <w:vertAlign w:val="superscript"/>
              </w:rPr>
            </w:pPr>
            <w:r w:rsidRPr="00BF6730">
              <w:t>-$</w:t>
            </w:r>
            <w:r w:rsidR="00460689" w:rsidRPr="00460689">
              <w:rPr>
                <w:color w:val="000000"/>
                <w:spacing w:val="53"/>
                <w:shd w:val="solid" w:color="000000" w:fill="000000"/>
                <w:fitText w:val="330" w:id="-632553207"/>
                <w14:textFill>
                  <w14:solidFill>
                    <w14:srgbClr w14:val="000000">
                      <w14:alpha w14:val="100000"/>
                    </w14:srgbClr>
                  </w14:solidFill>
                </w14:textFill>
              </w:rPr>
              <w:t>|||</w:t>
            </w:r>
            <w:r w:rsidR="00460689" w:rsidRPr="00460689">
              <w:rPr>
                <w:color w:val="000000"/>
                <w:spacing w:val="1"/>
                <w:shd w:val="solid" w:color="000000" w:fill="000000"/>
                <w:fitText w:val="330" w:id="-632553207"/>
                <w14:textFill>
                  <w14:solidFill>
                    <w14:srgbClr w14:val="000000">
                      <w14:alpha w14:val="100000"/>
                    </w14:srgbClr>
                  </w14:solidFill>
                </w14:textFill>
              </w:rPr>
              <w:t>|</w:t>
            </w:r>
            <w:r w:rsidR="00E604FE">
              <w:rPr>
                <w:vertAlign w:val="superscript"/>
              </w:rPr>
              <w:t>23</w:t>
            </w:r>
          </w:p>
        </w:tc>
        <w:tc>
          <w:tcPr>
            <w:tcW w:w="598" w:type="pct"/>
            <w:vAlign w:val="bottom"/>
          </w:tcPr>
          <w:p w14:paraId="5A3E79A6" w14:textId="4F2FB7F9" w:rsidR="00505BD5" w:rsidRPr="00E604FE" w:rsidRDefault="00505BD5">
            <w:pPr>
              <w:pStyle w:val="TableText0"/>
              <w:jc w:val="right"/>
              <w:rPr>
                <w:vertAlign w:val="superscript"/>
              </w:rPr>
            </w:pPr>
            <w:r w:rsidRPr="00BF6730">
              <w:t>-$</w:t>
            </w:r>
            <w:r w:rsidR="00460689" w:rsidRPr="00460689">
              <w:rPr>
                <w:color w:val="000000"/>
                <w:spacing w:val="53"/>
                <w:shd w:val="solid" w:color="000000" w:fill="000000"/>
                <w:fitText w:val="330" w:id="-632553206"/>
                <w14:textFill>
                  <w14:solidFill>
                    <w14:srgbClr w14:val="000000">
                      <w14:alpha w14:val="100000"/>
                    </w14:srgbClr>
                  </w14:solidFill>
                </w14:textFill>
              </w:rPr>
              <w:t>|||</w:t>
            </w:r>
            <w:r w:rsidR="00460689" w:rsidRPr="00460689">
              <w:rPr>
                <w:color w:val="000000"/>
                <w:spacing w:val="1"/>
                <w:shd w:val="solid" w:color="000000" w:fill="000000"/>
                <w:fitText w:val="330" w:id="-632553206"/>
                <w14:textFill>
                  <w14:solidFill>
                    <w14:srgbClr w14:val="000000">
                      <w14:alpha w14:val="100000"/>
                    </w14:srgbClr>
                  </w14:solidFill>
                </w14:textFill>
              </w:rPr>
              <w:t>|</w:t>
            </w:r>
            <w:r w:rsidR="00E604FE">
              <w:rPr>
                <w:vertAlign w:val="superscript"/>
              </w:rPr>
              <w:t>23</w:t>
            </w:r>
          </w:p>
        </w:tc>
        <w:tc>
          <w:tcPr>
            <w:tcW w:w="598" w:type="pct"/>
            <w:vAlign w:val="bottom"/>
          </w:tcPr>
          <w:p w14:paraId="29CDC89F" w14:textId="0659BA6C" w:rsidR="00505BD5" w:rsidRPr="00E604FE" w:rsidRDefault="00505BD5">
            <w:pPr>
              <w:pStyle w:val="TableText0"/>
              <w:jc w:val="right"/>
              <w:rPr>
                <w:vertAlign w:val="superscript"/>
              </w:rPr>
            </w:pPr>
            <w:r w:rsidRPr="00BF6730">
              <w:t>-$</w:t>
            </w:r>
            <w:r w:rsidR="00460689" w:rsidRPr="00460689">
              <w:rPr>
                <w:color w:val="000000"/>
                <w:spacing w:val="53"/>
                <w:shd w:val="solid" w:color="000000" w:fill="000000"/>
                <w:fitText w:val="330" w:id="-632553205"/>
                <w14:textFill>
                  <w14:solidFill>
                    <w14:srgbClr w14:val="000000">
                      <w14:alpha w14:val="100000"/>
                    </w14:srgbClr>
                  </w14:solidFill>
                </w14:textFill>
              </w:rPr>
              <w:t>|||</w:t>
            </w:r>
            <w:r w:rsidR="00460689" w:rsidRPr="00460689">
              <w:rPr>
                <w:color w:val="000000"/>
                <w:spacing w:val="1"/>
                <w:shd w:val="solid" w:color="000000" w:fill="000000"/>
                <w:fitText w:val="330" w:id="-632553205"/>
                <w14:textFill>
                  <w14:solidFill>
                    <w14:srgbClr w14:val="000000">
                      <w14:alpha w14:val="100000"/>
                    </w14:srgbClr>
                  </w14:solidFill>
                </w14:textFill>
              </w:rPr>
              <w:t>|</w:t>
            </w:r>
            <w:r w:rsidR="00E604FE">
              <w:rPr>
                <w:vertAlign w:val="superscript"/>
              </w:rPr>
              <w:t>23</w:t>
            </w:r>
          </w:p>
        </w:tc>
        <w:tc>
          <w:tcPr>
            <w:tcW w:w="598" w:type="pct"/>
            <w:vAlign w:val="bottom"/>
          </w:tcPr>
          <w:p w14:paraId="56964424" w14:textId="453BD563" w:rsidR="00505BD5" w:rsidRPr="00E604FE" w:rsidRDefault="00505BD5">
            <w:pPr>
              <w:pStyle w:val="TableText0"/>
              <w:jc w:val="right"/>
              <w:rPr>
                <w:vertAlign w:val="superscript"/>
              </w:rPr>
            </w:pPr>
            <w:r w:rsidRPr="00BF6730">
              <w:t>-$</w:t>
            </w:r>
            <w:r w:rsidR="00460689" w:rsidRPr="00460689">
              <w:rPr>
                <w:color w:val="000000"/>
                <w:spacing w:val="53"/>
                <w:shd w:val="solid" w:color="000000" w:fill="000000"/>
                <w:fitText w:val="330" w:id="-632553204"/>
                <w14:textFill>
                  <w14:solidFill>
                    <w14:srgbClr w14:val="000000">
                      <w14:alpha w14:val="100000"/>
                    </w14:srgbClr>
                  </w14:solidFill>
                </w14:textFill>
              </w:rPr>
              <w:t>|||</w:t>
            </w:r>
            <w:r w:rsidR="00460689" w:rsidRPr="00460689">
              <w:rPr>
                <w:color w:val="000000"/>
                <w:spacing w:val="1"/>
                <w:shd w:val="solid" w:color="000000" w:fill="000000"/>
                <w:fitText w:val="330" w:id="-632553204"/>
                <w14:textFill>
                  <w14:solidFill>
                    <w14:srgbClr w14:val="000000">
                      <w14:alpha w14:val="100000"/>
                    </w14:srgbClr>
                  </w14:solidFill>
                </w14:textFill>
              </w:rPr>
              <w:t>|</w:t>
            </w:r>
            <w:r w:rsidR="00E604FE">
              <w:rPr>
                <w:vertAlign w:val="superscript"/>
              </w:rPr>
              <w:t>23</w:t>
            </w:r>
          </w:p>
        </w:tc>
        <w:tc>
          <w:tcPr>
            <w:tcW w:w="598" w:type="pct"/>
            <w:vAlign w:val="bottom"/>
          </w:tcPr>
          <w:p w14:paraId="5DC104C0" w14:textId="3CAB22A0" w:rsidR="00505BD5" w:rsidRPr="00E604FE" w:rsidRDefault="00505BD5">
            <w:pPr>
              <w:pStyle w:val="TableText0"/>
              <w:jc w:val="right"/>
              <w:rPr>
                <w:vertAlign w:val="superscript"/>
              </w:rPr>
            </w:pPr>
            <w:r w:rsidRPr="00BF6730">
              <w:t>-$</w:t>
            </w:r>
            <w:r w:rsidR="00460689" w:rsidRPr="00460689">
              <w:rPr>
                <w:color w:val="000000"/>
                <w:spacing w:val="53"/>
                <w:shd w:val="solid" w:color="000000" w:fill="000000"/>
                <w:fitText w:val="330" w:id="-632553203"/>
                <w14:textFill>
                  <w14:solidFill>
                    <w14:srgbClr w14:val="000000">
                      <w14:alpha w14:val="100000"/>
                    </w14:srgbClr>
                  </w14:solidFill>
                </w14:textFill>
              </w:rPr>
              <w:t>|||</w:t>
            </w:r>
            <w:r w:rsidR="00460689" w:rsidRPr="00460689">
              <w:rPr>
                <w:color w:val="000000"/>
                <w:spacing w:val="1"/>
                <w:shd w:val="solid" w:color="000000" w:fill="000000"/>
                <w:fitText w:val="330" w:id="-632553203"/>
                <w14:textFill>
                  <w14:solidFill>
                    <w14:srgbClr w14:val="000000">
                      <w14:alpha w14:val="100000"/>
                    </w14:srgbClr>
                  </w14:solidFill>
                </w14:textFill>
              </w:rPr>
              <w:t>|</w:t>
            </w:r>
            <w:r w:rsidR="00E604FE">
              <w:rPr>
                <w:vertAlign w:val="superscript"/>
              </w:rPr>
              <w:t>23</w:t>
            </w:r>
          </w:p>
        </w:tc>
      </w:tr>
      <w:tr w:rsidR="00505BD5" w:rsidRPr="00BF6730" w14:paraId="4C7CA92D" w14:textId="77777777" w:rsidTr="00755E3A">
        <w:tc>
          <w:tcPr>
            <w:tcW w:w="1412" w:type="pct"/>
          </w:tcPr>
          <w:p w14:paraId="133657A7" w14:textId="3F1E0382" w:rsidR="00505BD5" w:rsidRPr="00BF6730" w:rsidRDefault="00505BD5">
            <w:pPr>
              <w:pStyle w:val="TableText0"/>
              <w:rPr>
                <w:vertAlign w:val="superscript"/>
              </w:rPr>
            </w:pPr>
            <w:r w:rsidRPr="00BF6730">
              <w:t>Cost savings due to avoided dupilumab use</w:t>
            </w:r>
            <w:r w:rsidR="002A692B" w:rsidRPr="00BF6730">
              <w:rPr>
                <w:vertAlign w:val="superscript"/>
              </w:rPr>
              <w:t>f</w:t>
            </w:r>
          </w:p>
        </w:tc>
        <w:tc>
          <w:tcPr>
            <w:tcW w:w="598" w:type="pct"/>
            <w:vAlign w:val="bottom"/>
          </w:tcPr>
          <w:p w14:paraId="78FDAF32" w14:textId="43AC37D2" w:rsidR="00471B18" w:rsidRDefault="00505BD5">
            <w:pPr>
              <w:pStyle w:val="TableText0"/>
              <w:jc w:val="right"/>
            </w:pPr>
            <w:r w:rsidRPr="00BF6730">
              <w:t>-$</w:t>
            </w:r>
            <w:r w:rsidR="00460689" w:rsidRPr="00460689">
              <w:rPr>
                <w:color w:val="000000"/>
                <w:spacing w:val="51"/>
                <w:shd w:val="solid" w:color="000000" w:fill="000000"/>
                <w:fitText w:val="324" w:id="-632553202"/>
                <w14:textFill>
                  <w14:solidFill>
                    <w14:srgbClr w14:val="000000">
                      <w14:alpha w14:val="100000"/>
                    </w14:srgbClr>
                  </w14:solidFill>
                </w14:textFill>
              </w:rPr>
              <w:t>|||</w:t>
            </w:r>
            <w:r w:rsidR="00460689" w:rsidRPr="00460689">
              <w:rPr>
                <w:color w:val="000000"/>
                <w:spacing w:val="1"/>
                <w:shd w:val="solid" w:color="000000" w:fill="000000"/>
                <w:fitText w:val="324" w:id="-632553202"/>
                <w14:textFill>
                  <w14:solidFill>
                    <w14:srgbClr w14:val="000000">
                      <w14:alpha w14:val="100000"/>
                    </w14:srgbClr>
                  </w14:solidFill>
                </w14:textFill>
              </w:rPr>
              <w:t>|</w:t>
            </w:r>
          </w:p>
          <w:p w14:paraId="26CD5B4A" w14:textId="1E5333FA" w:rsidR="00505BD5" w:rsidRPr="00471B18" w:rsidRDefault="00471B18">
            <w:pPr>
              <w:pStyle w:val="TableText0"/>
              <w:jc w:val="right"/>
              <w:rPr>
                <w:vertAlign w:val="superscript"/>
              </w:rPr>
            </w:pPr>
            <w:r>
              <w:rPr>
                <w:vertAlign w:val="superscript"/>
              </w:rPr>
              <w:t>24</w:t>
            </w:r>
          </w:p>
        </w:tc>
        <w:tc>
          <w:tcPr>
            <w:tcW w:w="598" w:type="pct"/>
            <w:vAlign w:val="bottom"/>
          </w:tcPr>
          <w:p w14:paraId="62CA461C" w14:textId="517B35DA" w:rsidR="003F22A5" w:rsidRDefault="00505BD5">
            <w:pPr>
              <w:pStyle w:val="TableText0"/>
              <w:jc w:val="right"/>
            </w:pPr>
            <w:r w:rsidRPr="00BF6730">
              <w:t>-$</w:t>
            </w:r>
            <w:r w:rsidR="00460689" w:rsidRPr="00460689">
              <w:rPr>
                <w:color w:val="000000"/>
                <w:spacing w:val="51"/>
                <w:shd w:val="solid" w:color="000000" w:fill="000000"/>
                <w:fitText w:val="324" w:id="-632553201"/>
                <w14:textFill>
                  <w14:solidFill>
                    <w14:srgbClr w14:val="000000">
                      <w14:alpha w14:val="100000"/>
                    </w14:srgbClr>
                  </w14:solidFill>
                </w14:textFill>
              </w:rPr>
              <w:t>|||</w:t>
            </w:r>
            <w:r w:rsidR="00460689" w:rsidRPr="00460689">
              <w:rPr>
                <w:color w:val="000000"/>
                <w:spacing w:val="1"/>
                <w:shd w:val="solid" w:color="000000" w:fill="000000"/>
                <w:fitText w:val="324" w:id="-632553201"/>
                <w14:textFill>
                  <w14:solidFill>
                    <w14:srgbClr w14:val="000000">
                      <w14:alpha w14:val="100000"/>
                    </w14:srgbClr>
                  </w14:solidFill>
                </w14:textFill>
              </w:rPr>
              <w:t>|</w:t>
            </w:r>
          </w:p>
          <w:p w14:paraId="2F33F383" w14:textId="1C898544" w:rsidR="00505BD5" w:rsidRPr="003F22A5" w:rsidRDefault="003F22A5">
            <w:pPr>
              <w:pStyle w:val="TableText0"/>
              <w:jc w:val="right"/>
              <w:rPr>
                <w:vertAlign w:val="superscript"/>
              </w:rPr>
            </w:pPr>
            <w:r>
              <w:rPr>
                <w:vertAlign w:val="superscript"/>
              </w:rPr>
              <w:t>25</w:t>
            </w:r>
          </w:p>
        </w:tc>
        <w:tc>
          <w:tcPr>
            <w:tcW w:w="598" w:type="pct"/>
            <w:vAlign w:val="bottom"/>
          </w:tcPr>
          <w:p w14:paraId="6C6BFAE8" w14:textId="15B97586" w:rsidR="00505BD5" w:rsidRDefault="00505BD5">
            <w:pPr>
              <w:pStyle w:val="TableText0"/>
              <w:jc w:val="right"/>
            </w:pPr>
            <w:r w:rsidRPr="00BF6730">
              <w:t>-$</w:t>
            </w:r>
            <w:r w:rsidR="00460689" w:rsidRPr="00460689">
              <w:rPr>
                <w:color w:val="000000"/>
                <w:spacing w:val="51"/>
                <w:shd w:val="solid" w:color="000000" w:fill="000000"/>
                <w:fitText w:val="324" w:id="-632553200"/>
                <w14:textFill>
                  <w14:solidFill>
                    <w14:srgbClr w14:val="000000">
                      <w14:alpha w14:val="100000"/>
                    </w14:srgbClr>
                  </w14:solidFill>
                </w14:textFill>
              </w:rPr>
              <w:t>|||</w:t>
            </w:r>
            <w:r w:rsidR="00460689" w:rsidRPr="00460689">
              <w:rPr>
                <w:color w:val="000000"/>
                <w:spacing w:val="1"/>
                <w:shd w:val="solid" w:color="000000" w:fill="000000"/>
                <w:fitText w:val="324" w:id="-632553200"/>
                <w14:textFill>
                  <w14:solidFill>
                    <w14:srgbClr w14:val="000000">
                      <w14:alpha w14:val="100000"/>
                    </w14:srgbClr>
                  </w14:solidFill>
                </w14:textFill>
              </w:rPr>
              <w:t>|</w:t>
            </w:r>
          </w:p>
          <w:p w14:paraId="7711A2F5" w14:textId="7DD3844B" w:rsidR="00D74D56" w:rsidRPr="00D74D56" w:rsidRDefault="00D74D56">
            <w:pPr>
              <w:pStyle w:val="TableText0"/>
              <w:jc w:val="right"/>
              <w:rPr>
                <w:vertAlign w:val="superscript"/>
              </w:rPr>
            </w:pPr>
            <w:r>
              <w:rPr>
                <w:vertAlign w:val="superscript"/>
              </w:rPr>
              <w:t>18</w:t>
            </w:r>
          </w:p>
        </w:tc>
        <w:tc>
          <w:tcPr>
            <w:tcW w:w="598" w:type="pct"/>
            <w:vAlign w:val="bottom"/>
          </w:tcPr>
          <w:p w14:paraId="1EE27DB6" w14:textId="08D07D5E" w:rsidR="00505BD5" w:rsidRDefault="00505BD5">
            <w:pPr>
              <w:pStyle w:val="TableText0"/>
              <w:jc w:val="right"/>
            </w:pPr>
            <w:r w:rsidRPr="00BF6730">
              <w:t>-$</w:t>
            </w:r>
            <w:r w:rsidR="00460689" w:rsidRPr="00460689">
              <w:rPr>
                <w:color w:val="000000"/>
                <w:spacing w:val="51"/>
                <w:shd w:val="solid" w:color="000000" w:fill="000000"/>
                <w:fitText w:val="324" w:id="-632553216"/>
                <w14:textFill>
                  <w14:solidFill>
                    <w14:srgbClr w14:val="000000">
                      <w14:alpha w14:val="100000"/>
                    </w14:srgbClr>
                  </w14:solidFill>
                </w14:textFill>
              </w:rPr>
              <w:t>|||</w:t>
            </w:r>
            <w:r w:rsidR="00460689" w:rsidRPr="00460689">
              <w:rPr>
                <w:color w:val="000000"/>
                <w:spacing w:val="1"/>
                <w:shd w:val="solid" w:color="000000" w:fill="000000"/>
                <w:fitText w:val="324" w:id="-632553216"/>
                <w14:textFill>
                  <w14:solidFill>
                    <w14:srgbClr w14:val="000000">
                      <w14:alpha w14:val="100000"/>
                    </w14:srgbClr>
                  </w14:solidFill>
                </w14:textFill>
              </w:rPr>
              <w:t>|</w:t>
            </w:r>
          </w:p>
          <w:p w14:paraId="7AA57DF2" w14:textId="41E027C2" w:rsidR="00D74D56" w:rsidRPr="00D74D56" w:rsidRDefault="00D74D56">
            <w:pPr>
              <w:pStyle w:val="TableText0"/>
              <w:jc w:val="right"/>
              <w:rPr>
                <w:vertAlign w:val="superscript"/>
              </w:rPr>
            </w:pPr>
            <w:r>
              <w:rPr>
                <w:vertAlign w:val="superscript"/>
              </w:rPr>
              <w:t>18</w:t>
            </w:r>
          </w:p>
        </w:tc>
        <w:tc>
          <w:tcPr>
            <w:tcW w:w="598" w:type="pct"/>
            <w:vAlign w:val="bottom"/>
          </w:tcPr>
          <w:p w14:paraId="06A210A4" w14:textId="253F6A3A" w:rsidR="00505BD5" w:rsidRDefault="00505BD5">
            <w:pPr>
              <w:pStyle w:val="TableText0"/>
              <w:jc w:val="right"/>
            </w:pPr>
            <w:r w:rsidRPr="00BF6730">
              <w:t>-$</w:t>
            </w:r>
            <w:r w:rsidR="00460689" w:rsidRPr="00460689">
              <w:rPr>
                <w:color w:val="000000"/>
                <w:spacing w:val="51"/>
                <w:shd w:val="solid" w:color="000000" w:fill="000000"/>
                <w:fitText w:val="324" w:id="-632553215"/>
                <w14:textFill>
                  <w14:solidFill>
                    <w14:srgbClr w14:val="000000">
                      <w14:alpha w14:val="100000"/>
                    </w14:srgbClr>
                  </w14:solidFill>
                </w14:textFill>
              </w:rPr>
              <w:t>|||</w:t>
            </w:r>
            <w:r w:rsidR="00460689" w:rsidRPr="00460689">
              <w:rPr>
                <w:color w:val="000000"/>
                <w:spacing w:val="1"/>
                <w:shd w:val="solid" w:color="000000" w:fill="000000"/>
                <w:fitText w:val="324" w:id="-632553215"/>
                <w14:textFill>
                  <w14:solidFill>
                    <w14:srgbClr w14:val="000000">
                      <w14:alpha w14:val="100000"/>
                    </w14:srgbClr>
                  </w14:solidFill>
                </w14:textFill>
              </w:rPr>
              <w:t>|</w:t>
            </w:r>
          </w:p>
          <w:p w14:paraId="39DDB150" w14:textId="4EA0E0E3" w:rsidR="005D315D" w:rsidRPr="005D315D" w:rsidRDefault="005D315D">
            <w:pPr>
              <w:pStyle w:val="TableText0"/>
              <w:jc w:val="right"/>
              <w:rPr>
                <w:vertAlign w:val="superscript"/>
              </w:rPr>
            </w:pPr>
            <w:r>
              <w:rPr>
                <w:vertAlign w:val="superscript"/>
              </w:rPr>
              <w:t>20</w:t>
            </w:r>
          </w:p>
        </w:tc>
        <w:tc>
          <w:tcPr>
            <w:tcW w:w="598" w:type="pct"/>
            <w:vAlign w:val="bottom"/>
          </w:tcPr>
          <w:p w14:paraId="4223E367" w14:textId="67434316" w:rsidR="00505BD5" w:rsidRDefault="00505BD5">
            <w:pPr>
              <w:pStyle w:val="TableText0"/>
              <w:jc w:val="right"/>
            </w:pPr>
            <w:r w:rsidRPr="00BF6730">
              <w:t>-$</w:t>
            </w:r>
            <w:r w:rsidR="00460689" w:rsidRPr="00460689">
              <w:rPr>
                <w:color w:val="000000"/>
                <w:spacing w:val="51"/>
                <w:shd w:val="solid" w:color="000000" w:fill="000000"/>
                <w:fitText w:val="324" w:id="-632553214"/>
                <w14:textFill>
                  <w14:solidFill>
                    <w14:srgbClr w14:val="000000">
                      <w14:alpha w14:val="100000"/>
                    </w14:srgbClr>
                  </w14:solidFill>
                </w14:textFill>
              </w:rPr>
              <w:t>|||</w:t>
            </w:r>
            <w:r w:rsidR="00460689" w:rsidRPr="00460689">
              <w:rPr>
                <w:color w:val="000000"/>
                <w:spacing w:val="1"/>
                <w:shd w:val="solid" w:color="000000" w:fill="000000"/>
                <w:fitText w:val="324" w:id="-632553214"/>
                <w14:textFill>
                  <w14:solidFill>
                    <w14:srgbClr w14:val="000000">
                      <w14:alpha w14:val="100000"/>
                    </w14:srgbClr>
                  </w14:solidFill>
                </w14:textFill>
              </w:rPr>
              <w:t>|</w:t>
            </w:r>
          </w:p>
          <w:p w14:paraId="08E82268" w14:textId="043F7FB9" w:rsidR="0085667C" w:rsidRPr="0085667C" w:rsidRDefault="0085667C">
            <w:pPr>
              <w:pStyle w:val="TableText0"/>
              <w:jc w:val="right"/>
              <w:rPr>
                <w:vertAlign w:val="superscript"/>
              </w:rPr>
            </w:pPr>
            <w:r>
              <w:rPr>
                <w:vertAlign w:val="superscript"/>
              </w:rPr>
              <w:t>2</w:t>
            </w:r>
            <w:r w:rsidR="00CB387F">
              <w:rPr>
                <w:vertAlign w:val="superscript"/>
              </w:rPr>
              <w:t>1</w:t>
            </w:r>
          </w:p>
        </w:tc>
      </w:tr>
      <w:tr w:rsidR="00505BD5" w:rsidRPr="00BF6730" w14:paraId="74C6D944" w14:textId="77777777" w:rsidTr="00755E3A">
        <w:tc>
          <w:tcPr>
            <w:tcW w:w="1412" w:type="pct"/>
          </w:tcPr>
          <w:p w14:paraId="435FA5BD" w14:textId="7D79629F" w:rsidR="00505BD5" w:rsidRPr="00BF6730" w:rsidRDefault="00505BD5">
            <w:pPr>
              <w:pStyle w:val="TableText0"/>
              <w:rPr>
                <w:vertAlign w:val="superscript"/>
              </w:rPr>
            </w:pPr>
            <w:r w:rsidRPr="00BF6730">
              <w:t>Cost savings due to avoided upadacitinib use</w:t>
            </w:r>
            <w:r w:rsidR="002A692B" w:rsidRPr="00BF6730">
              <w:rPr>
                <w:vertAlign w:val="superscript"/>
              </w:rPr>
              <w:t>g</w:t>
            </w:r>
          </w:p>
        </w:tc>
        <w:tc>
          <w:tcPr>
            <w:tcW w:w="598" w:type="pct"/>
            <w:vAlign w:val="bottom"/>
          </w:tcPr>
          <w:p w14:paraId="10C6619A" w14:textId="4C881D27" w:rsidR="00505BD5" w:rsidRDefault="00505BD5">
            <w:pPr>
              <w:pStyle w:val="TableText0"/>
              <w:jc w:val="right"/>
            </w:pPr>
            <w:r w:rsidRPr="00BF6730">
              <w:t>-$</w:t>
            </w:r>
            <w:r w:rsidR="00460689" w:rsidRPr="00460689">
              <w:rPr>
                <w:color w:val="000000"/>
                <w:spacing w:val="51"/>
                <w:shd w:val="solid" w:color="000000" w:fill="000000"/>
                <w:fitText w:val="324" w:id="-632553213"/>
                <w14:textFill>
                  <w14:solidFill>
                    <w14:srgbClr w14:val="000000">
                      <w14:alpha w14:val="100000"/>
                    </w14:srgbClr>
                  </w14:solidFill>
                </w14:textFill>
              </w:rPr>
              <w:t>|||</w:t>
            </w:r>
            <w:r w:rsidR="00460689" w:rsidRPr="00460689">
              <w:rPr>
                <w:color w:val="000000"/>
                <w:spacing w:val="1"/>
                <w:shd w:val="solid" w:color="000000" w:fill="000000"/>
                <w:fitText w:val="324" w:id="-632553213"/>
                <w14:textFill>
                  <w14:solidFill>
                    <w14:srgbClr w14:val="000000">
                      <w14:alpha w14:val="100000"/>
                    </w14:srgbClr>
                  </w14:solidFill>
                </w14:textFill>
              </w:rPr>
              <w:t>|</w:t>
            </w:r>
          </w:p>
          <w:p w14:paraId="476615A2" w14:textId="073FD2FC" w:rsidR="00545DAB" w:rsidRPr="00545DAB" w:rsidRDefault="00545DAB">
            <w:pPr>
              <w:pStyle w:val="TableText0"/>
              <w:jc w:val="right"/>
              <w:rPr>
                <w:vertAlign w:val="superscript"/>
              </w:rPr>
            </w:pPr>
            <w:r>
              <w:rPr>
                <w:vertAlign w:val="superscript"/>
              </w:rPr>
              <w:t>22</w:t>
            </w:r>
          </w:p>
        </w:tc>
        <w:tc>
          <w:tcPr>
            <w:tcW w:w="598" w:type="pct"/>
            <w:vAlign w:val="bottom"/>
          </w:tcPr>
          <w:p w14:paraId="089FCEAC" w14:textId="0AE41F8C" w:rsidR="00E604FE" w:rsidRDefault="00505BD5">
            <w:pPr>
              <w:pStyle w:val="TableText0"/>
              <w:jc w:val="right"/>
            </w:pPr>
            <w:r w:rsidRPr="00BF6730">
              <w:t>-$</w:t>
            </w:r>
            <w:r w:rsidR="00460689" w:rsidRPr="00460689">
              <w:rPr>
                <w:color w:val="000000"/>
                <w:spacing w:val="51"/>
                <w:shd w:val="solid" w:color="000000" w:fill="000000"/>
                <w:fitText w:val="324" w:id="-632553212"/>
                <w14:textFill>
                  <w14:solidFill>
                    <w14:srgbClr w14:val="000000">
                      <w14:alpha w14:val="100000"/>
                    </w14:srgbClr>
                  </w14:solidFill>
                </w14:textFill>
              </w:rPr>
              <w:t>|||</w:t>
            </w:r>
            <w:r w:rsidR="00460689" w:rsidRPr="00460689">
              <w:rPr>
                <w:color w:val="000000"/>
                <w:spacing w:val="1"/>
                <w:shd w:val="solid" w:color="000000" w:fill="000000"/>
                <w:fitText w:val="324" w:id="-632553212"/>
                <w14:textFill>
                  <w14:solidFill>
                    <w14:srgbClr w14:val="000000">
                      <w14:alpha w14:val="100000"/>
                    </w14:srgbClr>
                  </w14:solidFill>
                </w14:textFill>
              </w:rPr>
              <w:t>|</w:t>
            </w:r>
          </w:p>
          <w:p w14:paraId="3258B6C1" w14:textId="26C5AD8D" w:rsidR="00505BD5" w:rsidRPr="00E604FE" w:rsidRDefault="00E604FE">
            <w:pPr>
              <w:pStyle w:val="TableText0"/>
              <w:jc w:val="right"/>
              <w:rPr>
                <w:vertAlign w:val="superscript"/>
              </w:rPr>
            </w:pPr>
            <w:r>
              <w:rPr>
                <w:vertAlign w:val="superscript"/>
              </w:rPr>
              <w:t>23</w:t>
            </w:r>
          </w:p>
        </w:tc>
        <w:tc>
          <w:tcPr>
            <w:tcW w:w="598" w:type="pct"/>
            <w:vAlign w:val="bottom"/>
          </w:tcPr>
          <w:p w14:paraId="05553897" w14:textId="0F94491A" w:rsidR="00E604FE" w:rsidRDefault="00505BD5">
            <w:pPr>
              <w:pStyle w:val="TableText0"/>
              <w:jc w:val="right"/>
            </w:pPr>
            <w:r w:rsidRPr="00BF6730">
              <w:t>-$</w:t>
            </w:r>
            <w:r w:rsidR="00460689" w:rsidRPr="00460689">
              <w:rPr>
                <w:color w:val="000000"/>
                <w:spacing w:val="51"/>
                <w:shd w:val="solid" w:color="000000" w:fill="000000"/>
                <w:fitText w:val="324" w:id="-632553211"/>
                <w14:textFill>
                  <w14:solidFill>
                    <w14:srgbClr w14:val="000000">
                      <w14:alpha w14:val="100000"/>
                    </w14:srgbClr>
                  </w14:solidFill>
                </w14:textFill>
              </w:rPr>
              <w:t>|||</w:t>
            </w:r>
            <w:r w:rsidR="00460689" w:rsidRPr="00460689">
              <w:rPr>
                <w:color w:val="000000"/>
                <w:spacing w:val="1"/>
                <w:shd w:val="solid" w:color="000000" w:fill="000000"/>
                <w:fitText w:val="324" w:id="-632553211"/>
                <w14:textFill>
                  <w14:solidFill>
                    <w14:srgbClr w14:val="000000">
                      <w14:alpha w14:val="100000"/>
                    </w14:srgbClr>
                  </w14:solidFill>
                </w14:textFill>
              </w:rPr>
              <w:t>|</w:t>
            </w:r>
          </w:p>
          <w:p w14:paraId="1067C7DC" w14:textId="70945386" w:rsidR="00505BD5" w:rsidRPr="00E604FE" w:rsidRDefault="00E604FE">
            <w:pPr>
              <w:pStyle w:val="TableText0"/>
              <w:jc w:val="right"/>
              <w:rPr>
                <w:vertAlign w:val="superscript"/>
              </w:rPr>
            </w:pPr>
            <w:r>
              <w:rPr>
                <w:vertAlign w:val="superscript"/>
              </w:rPr>
              <w:t>23</w:t>
            </w:r>
          </w:p>
        </w:tc>
        <w:tc>
          <w:tcPr>
            <w:tcW w:w="598" w:type="pct"/>
            <w:vAlign w:val="bottom"/>
          </w:tcPr>
          <w:p w14:paraId="06EBD25B" w14:textId="0F8911A4" w:rsidR="00E604FE" w:rsidRDefault="00505BD5">
            <w:pPr>
              <w:pStyle w:val="TableText0"/>
              <w:jc w:val="right"/>
            </w:pPr>
            <w:r w:rsidRPr="00BF6730">
              <w:t>-$</w:t>
            </w:r>
            <w:r w:rsidR="00460689" w:rsidRPr="00460689">
              <w:rPr>
                <w:color w:val="000000"/>
                <w:spacing w:val="51"/>
                <w:shd w:val="solid" w:color="000000" w:fill="000000"/>
                <w:fitText w:val="324" w:id="-632553210"/>
                <w14:textFill>
                  <w14:solidFill>
                    <w14:srgbClr w14:val="000000">
                      <w14:alpha w14:val="100000"/>
                    </w14:srgbClr>
                  </w14:solidFill>
                </w14:textFill>
              </w:rPr>
              <w:t>|||</w:t>
            </w:r>
            <w:r w:rsidR="00460689" w:rsidRPr="00460689">
              <w:rPr>
                <w:color w:val="000000"/>
                <w:spacing w:val="1"/>
                <w:shd w:val="solid" w:color="000000" w:fill="000000"/>
                <w:fitText w:val="324" w:id="-632553210"/>
                <w14:textFill>
                  <w14:solidFill>
                    <w14:srgbClr w14:val="000000">
                      <w14:alpha w14:val="100000"/>
                    </w14:srgbClr>
                  </w14:solidFill>
                </w14:textFill>
              </w:rPr>
              <w:t>|</w:t>
            </w:r>
          </w:p>
          <w:p w14:paraId="786AE9CE" w14:textId="5F3B745C" w:rsidR="00505BD5" w:rsidRPr="00E604FE" w:rsidRDefault="00E604FE">
            <w:pPr>
              <w:pStyle w:val="TableText0"/>
              <w:jc w:val="right"/>
              <w:rPr>
                <w:vertAlign w:val="superscript"/>
              </w:rPr>
            </w:pPr>
            <w:r>
              <w:rPr>
                <w:vertAlign w:val="superscript"/>
              </w:rPr>
              <w:t>23</w:t>
            </w:r>
          </w:p>
        </w:tc>
        <w:tc>
          <w:tcPr>
            <w:tcW w:w="598" w:type="pct"/>
            <w:vAlign w:val="bottom"/>
          </w:tcPr>
          <w:p w14:paraId="7EE68020" w14:textId="6A8F824F" w:rsidR="00B45A33" w:rsidRDefault="00505BD5">
            <w:pPr>
              <w:pStyle w:val="TableText0"/>
              <w:jc w:val="right"/>
            </w:pPr>
            <w:r w:rsidRPr="00BF6730">
              <w:t>-$</w:t>
            </w:r>
            <w:r w:rsidR="00460689" w:rsidRPr="00460689">
              <w:rPr>
                <w:color w:val="000000"/>
                <w:spacing w:val="51"/>
                <w:shd w:val="solid" w:color="000000" w:fill="000000"/>
                <w:fitText w:val="324" w:id="-632553209"/>
                <w14:textFill>
                  <w14:solidFill>
                    <w14:srgbClr w14:val="000000">
                      <w14:alpha w14:val="100000"/>
                    </w14:srgbClr>
                  </w14:solidFill>
                </w14:textFill>
              </w:rPr>
              <w:t>|||</w:t>
            </w:r>
            <w:r w:rsidR="00460689" w:rsidRPr="00460689">
              <w:rPr>
                <w:color w:val="000000"/>
                <w:spacing w:val="1"/>
                <w:shd w:val="solid" w:color="000000" w:fill="000000"/>
                <w:fitText w:val="324" w:id="-632553209"/>
                <w14:textFill>
                  <w14:solidFill>
                    <w14:srgbClr w14:val="000000">
                      <w14:alpha w14:val="100000"/>
                    </w14:srgbClr>
                  </w14:solidFill>
                </w14:textFill>
              </w:rPr>
              <w:t>|</w:t>
            </w:r>
          </w:p>
          <w:p w14:paraId="38988E74" w14:textId="7B261452" w:rsidR="00505BD5" w:rsidRPr="00E604FE" w:rsidRDefault="00E604FE">
            <w:pPr>
              <w:pStyle w:val="TableText0"/>
              <w:jc w:val="right"/>
              <w:rPr>
                <w:vertAlign w:val="superscript"/>
              </w:rPr>
            </w:pPr>
            <w:r>
              <w:rPr>
                <w:vertAlign w:val="superscript"/>
              </w:rPr>
              <w:t>23</w:t>
            </w:r>
          </w:p>
        </w:tc>
        <w:tc>
          <w:tcPr>
            <w:tcW w:w="598" w:type="pct"/>
            <w:vAlign w:val="bottom"/>
          </w:tcPr>
          <w:p w14:paraId="61137F0D" w14:textId="3BC39C77" w:rsidR="00B45A33" w:rsidRDefault="00505BD5">
            <w:pPr>
              <w:pStyle w:val="TableText0"/>
              <w:jc w:val="right"/>
            </w:pPr>
            <w:r w:rsidRPr="00BF6730">
              <w:t>-$</w:t>
            </w:r>
            <w:r w:rsidR="00460689" w:rsidRPr="00460689">
              <w:rPr>
                <w:color w:val="000000"/>
                <w:spacing w:val="51"/>
                <w:shd w:val="solid" w:color="000000" w:fill="000000"/>
                <w:fitText w:val="324" w:id="-632553208"/>
                <w14:textFill>
                  <w14:solidFill>
                    <w14:srgbClr w14:val="000000">
                      <w14:alpha w14:val="100000"/>
                    </w14:srgbClr>
                  </w14:solidFill>
                </w14:textFill>
              </w:rPr>
              <w:t>|||</w:t>
            </w:r>
            <w:r w:rsidR="00460689" w:rsidRPr="00460689">
              <w:rPr>
                <w:color w:val="000000"/>
                <w:spacing w:val="1"/>
                <w:shd w:val="solid" w:color="000000" w:fill="000000"/>
                <w:fitText w:val="324" w:id="-632553208"/>
                <w14:textFill>
                  <w14:solidFill>
                    <w14:srgbClr w14:val="000000">
                      <w14:alpha w14:val="100000"/>
                    </w14:srgbClr>
                  </w14:solidFill>
                </w14:textFill>
              </w:rPr>
              <w:t>|</w:t>
            </w:r>
          </w:p>
          <w:p w14:paraId="4F9DD37A" w14:textId="5F65D7C5" w:rsidR="00505BD5" w:rsidRPr="00E604FE" w:rsidRDefault="00E604FE">
            <w:pPr>
              <w:pStyle w:val="TableText0"/>
              <w:jc w:val="right"/>
              <w:rPr>
                <w:vertAlign w:val="superscript"/>
              </w:rPr>
            </w:pPr>
            <w:r>
              <w:rPr>
                <w:vertAlign w:val="superscript"/>
              </w:rPr>
              <w:t>23</w:t>
            </w:r>
          </w:p>
        </w:tc>
      </w:tr>
      <w:tr w:rsidR="00505BD5" w:rsidRPr="00BF6730" w14:paraId="73971631" w14:textId="77777777" w:rsidTr="00755E3A">
        <w:tc>
          <w:tcPr>
            <w:tcW w:w="1412" w:type="pct"/>
          </w:tcPr>
          <w:p w14:paraId="0B89FFC4" w14:textId="77777777" w:rsidR="00505BD5" w:rsidRPr="00BF6730" w:rsidRDefault="00505BD5">
            <w:pPr>
              <w:pStyle w:val="TableText0"/>
            </w:pPr>
            <w:r w:rsidRPr="00BF6730">
              <w:t>Total cost savings</w:t>
            </w:r>
          </w:p>
        </w:tc>
        <w:tc>
          <w:tcPr>
            <w:tcW w:w="598" w:type="pct"/>
          </w:tcPr>
          <w:p w14:paraId="08D92AAD" w14:textId="6D8FB690" w:rsidR="00BA197A" w:rsidRDefault="00505BD5">
            <w:pPr>
              <w:pStyle w:val="TableText0"/>
              <w:jc w:val="right"/>
            </w:pPr>
            <w:r w:rsidRPr="00BF6730">
              <w:t>-$</w:t>
            </w:r>
            <w:r w:rsidR="00460689" w:rsidRPr="00460689">
              <w:rPr>
                <w:color w:val="000000"/>
                <w:spacing w:val="51"/>
                <w:shd w:val="solid" w:color="000000" w:fill="000000"/>
                <w:fitText w:val="324" w:id="-632553207"/>
                <w14:textFill>
                  <w14:solidFill>
                    <w14:srgbClr w14:val="000000">
                      <w14:alpha w14:val="100000"/>
                    </w14:srgbClr>
                  </w14:solidFill>
                </w14:textFill>
              </w:rPr>
              <w:t>|||</w:t>
            </w:r>
            <w:r w:rsidR="00460689" w:rsidRPr="00460689">
              <w:rPr>
                <w:color w:val="000000"/>
                <w:spacing w:val="1"/>
                <w:shd w:val="solid" w:color="000000" w:fill="000000"/>
                <w:fitText w:val="324" w:id="-632553207"/>
                <w14:textFill>
                  <w14:solidFill>
                    <w14:srgbClr w14:val="000000">
                      <w14:alpha w14:val="100000"/>
                    </w14:srgbClr>
                  </w14:solidFill>
                </w14:textFill>
              </w:rPr>
              <w:t>|</w:t>
            </w:r>
          </w:p>
          <w:p w14:paraId="4825B1A2" w14:textId="6085D214" w:rsidR="00505BD5" w:rsidRPr="00BA197A" w:rsidRDefault="00BA197A">
            <w:pPr>
              <w:pStyle w:val="TableText0"/>
              <w:jc w:val="right"/>
              <w:rPr>
                <w:vertAlign w:val="superscript"/>
              </w:rPr>
            </w:pPr>
            <w:r>
              <w:rPr>
                <w:vertAlign w:val="superscript"/>
              </w:rPr>
              <w:t>26</w:t>
            </w:r>
          </w:p>
        </w:tc>
        <w:tc>
          <w:tcPr>
            <w:tcW w:w="598" w:type="pct"/>
          </w:tcPr>
          <w:p w14:paraId="161E3E38" w14:textId="43A55896" w:rsidR="001B4A22" w:rsidRDefault="00505BD5">
            <w:pPr>
              <w:pStyle w:val="TableText0"/>
              <w:jc w:val="right"/>
            </w:pPr>
            <w:r w:rsidRPr="00BF6730">
              <w:t>-$</w:t>
            </w:r>
            <w:r w:rsidR="00460689" w:rsidRPr="00460689">
              <w:rPr>
                <w:color w:val="000000"/>
                <w:spacing w:val="51"/>
                <w:shd w:val="solid" w:color="000000" w:fill="000000"/>
                <w:fitText w:val="324" w:id="-632553206"/>
                <w14:textFill>
                  <w14:solidFill>
                    <w14:srgbClr w14:val="000000">
                      <w14:alpha w14:val="100000"/>
                    </w14:srgbClr>
                  </w14:solidFill>
                </w14:textFill>
              </w:rPr>
              <w:t>|||</w:t>
            </w:r>
            <w:r w:rsidR="00460689" w:rsidRPr="00460689">
              <w:rPr>
                <w:color w:val="000000"/>
                <w:spacing w:val="1"/>
                <w:shd w:val="solid" w:color="000000" w:fill="000000"/>
                <w:fitText w:val="324" w:id="-632553206"/>
                <w14:textFill>
                  <w14:solidFill>
                    <w14:srgbClr w14:val="000000">
                      <w14:alpha w14:val="100000"/>
                    </w14:srgbClr>
                  </w14:solidFill>
                </w14:textFill>
              </w:rPr>
              <w:t>|</w:t>
            </w:r>
          </w:p>
          <w:p w14:paraId="691C6CDD" w14:textId="49F5A00C" w:rsidR="00505BD5" w:rsidRPr="001B4A22" w:rsidRDefault="001B4A22">
            <w:pPr>
              <w:pStyle w:val="TableText0"/>
              <w:jc w:val="right"/>
              <w:rPr>
                <w:vertAlign w:val="superscript"/>
              </w:rPr>
            </w:pPr>
            <w:r>
              <w:rPr>
                <w:vertAlign w:val="superscript"/>
              </w:rPr>
              <w:t>2</w:t>
            </w:r>
            <w:r w:rsidR="005F4E23">
              <w:rPr>
                <w:vertAlign w:val="superscript"/>
              </w:rPr>
              <w:t>4</w:t>
            </w:r>
          </w:p>
        </w:tc>
        <w:tc>
          <w:tcPr>
            <w:tcW w:w="598" w:type="pct"/>
          </w:tcPr>
          <w:p w14:paraId="03B5EB8E" w14:textId="7732B73B" w:rsidR="00505BD5" w:rsidRDefault="00505BD5">
            <w:pPr>
              <w:pStyle w:val="TableText0"/>
              <w:jc w:val="right"/>
            </w:pPr>
            <w:r w:rsidRPr="00BF6730">
              <w:t>-$</w:t>
            </w:r>
            <w:r w:rsidR="00460689" w:rsidRPr="00460689">
              <w:rPr>
                <w:color w:val="000000"/>
                <w:spacing w:val="51"/>
                <w:shd w:val="solid" w:color="000000" w:fill="000000"/>
                <w:fitText w:val="324" w:id="-632553205"/>
                <w14:textFill>
                  <w14:solidFill>
                    <w14:srgbClr w14:val="000000">
                      <w14:alpha w14:val="100000"/>
                    </w14:srgbClr>
                  </w14:solidFill>
                </w14:textFill>
              </w:rPr>
              <w:t>|||</w:t>
            </w:r>
            <w:r w:rsidR="00460689" w:rsidRPr="00460689">
              <w:rPr>
                <w:color w:val="000000"/>
                <w:spacing w:val="1"/>
                <w:shd w:val="solid" w:color="000000" w:fill="000000"/>
                <w:fitText w:val="324" w:id="-632553205"/>
                <w14:textFill>
                  <w14:solidFill>
                    <w14:srgbClr w14:val="000000">
                      <w14:alpha w14:val="100000"/>
                    </w14:srgbClr>
                  </w14:solidFill>
                </w14:textFill>
              </w:rPr>
              <w:t>|</w:t>
            </w:r>
          </w:p>
          <w:p w14:paraId="02895266" w14:textId="78F22E13" w:rsidR="005F4E23" w:rsidRPr="005F4E23" w:rsidRDefault="005F4E23">
            <w:pPr>
              <w:pStyle w:val="TableText0"/>
              <w:jc w:val="right"/>
              <w:rPr>
                <w:vertAlign w:val="superscript"/>
              </w:rPr>
            </w:pPr>
            <w:r>
              <w:rPr>
                <w:vertAlign w:val="superscript"/>
              </w:rPr>
              <w:t>25</w:t>
            </w:r>
          </w:p>
        </w:tc>
        <w:tc>
          <w:tcPr>
            <w:tcW w:w="598" w:type="pct"/>
          </w:tcPr>
          <w:p w14:paraId="38900E18" w14:textId="42B245DA" w:rsidR="00505BD5" w:rsidRDefault="00505BD5">
            <w:pPr>
              <w:pStyle w:val="TableText0"/>
              <w:jc w:val="right"/>
            </w:pPr>
            <w:r w:rsidRPr="00BF6730">
              <w:t>-$</w:t>
            </w:r>
            <w:r w:rsidR="00460689" w:rsidRPr="00460689">
              <w:rPr>
                <w:color w:val="000000"/>
                <w:spacing w:val="51"/>
                <w:shd w:val="solid" w:color="000000" w:fill="000000"/>
                <w:fitText w:val="324" w:id="-632553204"/>
                <w14:textFill>
                  <w14:solidFill>
                    <w14:srgbClr w14:val="000000">
                      <w14:alpha w14:val="100000"/>
                    </w14:srgbClr>
                  </w14:solidFill>
                </w14:textFill>
              </w:rPr>
              <w:t>|||</w:t>
            </w:r>
            <w:r w:rsidR="00460689" w:rsidRPr="00460689">
              <w:rPr>
                <w:color w:val="000000"/>
                <w:spacing w:val="1"/>
                <w:shd w:val="solid" w:color="000000" w:fill="000000"/>
                <w:fitText w:val="324" w:id="-632553204"/>
                <w14:textFill>
                  <w14:solidFill>
                    <w14:srgbClr w14:val="000000">
                      <w14:alpha w14:val="100000"/>
                    </w14:srgbClr>
                  </w14:solidFill>
                </w14:textFill>
              </w:rPr>
              <w:t>|</w:t>
            </w:r>
          </w:p>
          <w:p w14:paraId="692ACD0C" w14:textId="00ECACBA" w:rsidR="00D950F1" w:rsidRPr="00D950F1" w:rsidRDefault="00D950F1">
            <w:pPr>
              <w:pStyle w:val="TableText0"/>
              <w:jc w:val="right"/>
              <w:rPr>
                <w:vertAlign w:val="superscript"/>
              </w:rPr>
            </w:pPr>
            <w:r>
              <w:rPr>
                <w:vertAlign w:val="superscript"/>
              </w:rPr>
              <w:t>18</w:t>
            </w:r>
          </w:p>
        </w:tc>
        <w:tc>
          <w:tcPr>
            <w:tcW w:w="598" w:type="pct"/>
          </w:tcPr>
          <w:p w14:paraId="1C53BC29" w14:textId="67498E1F" w:rsidR="00DF5C31" w:rsidRDefault="00505BD5">
            <w:pPr>
              <w:pStyle w:val="TableText0"/>
              <w:jc w:val="right"/>
            </w:pPr>
            <w:r w:rsidRPr="00BF6730">
              <w:t>-$</w:t>
            </w:r>
            <w:r w:rsidR="00460689" w:rsidRPr="00460689">
              <w:rPr>
                <w:color w:val="000000"/>
                <w:spacing w:val="51"/>
                <w:shd w:val="solid" w:color="000000" w:fill="000000"/>
                <w:fitText w:val="324" w:id="-632553203"/>
                <w14:textFill>
                  <w14:solidFill>
                    <w14:srgbClr w14:val="000000">
                      <w14:alpha w14:val="100000"/>
                    </w14:srgbClr>
                  </w14:solidFill>
                </w14:textFill>
              </w:rPr>
              <w:t>|||</w:t>
            </w:r>
            <w:r w:rsidR="00460689" w:rsidRPr="00460689">
              <w:rPr>
                <w:color w:val="000000"/>
                <w:spacing w:val="1"/>
                <w:shd w:val="solid" w:color="000000" w:fill="000000"/>
                <w:fitText w:val="324" w:id="-632553203"/>
                <w14:textFill>
                  <w14:solidFill>
                    <w14:srgbClr w14:val="000000">
                      <w14:alpha w14:val="100000"/>
                    </w14:srgbClr>
                  </w14:solidFill>
                </w14:textFill>
              </w:rPr>
              <w:t>|</w:t>
            </w:r>
          </w:p>
          <w:p w14:paraId="2A0935D5" w14:textId="67AABE4F" w:rsidR="00505BD5" w:rsidRPr="00DF5C31" w:rsidRDefault="00DF5C31">
            <w:pPr>
              <w:pStyle w:val="TableText0"/>
              <w:jc w:val="right"/>
              <w:rPr>
                <w:vertAlign w:val="superscript"/>
              </w:rPr>
            </w:pPr>
            <w:r>
              <w:rPr>
                <w:vertAlign w:val="superscript"/>
              </w:rPr>
              <w:t>19</w:t>
            </w:r>
          </w:p>
        </w:tc>
        <w:tc>
          <w:tcPr>
            <w:tcW w:w="598" w:type="pct"/>
          </w:tcPr>
          <w:p w14:paraId="51EA0077" w14:textId="464795D7" w:rsidR="00505BD5" w:rsidRDefault="00505BD5">
            <w:pPr>
              <w:pStyle w:val="TableText0"/>
              <w:jc w:val="right"/>
            </w:pPr>
            <w:r w:rsidRPr="00BF6730">
              <w:t>-$</w:t>
            </w:r>
            <w:r w:rsidR="00460689" w:rsidRPr="00460689">
              <w:rPr>
                <w:color w:val="000000"/>
                <w:spacing w:val="51"/>
                <w:shd w:val="solid" w:color="000000" w:fill="000000"/>
                <w:fitText w:val="324" w:id="-632553202"/>
                <w14:textFill>
                  <w14:solidFill>
                    <w14:srgbClr w14:val="000000">
                      <w14:alpha w14:val="100000"/>
                    </w14:srgbClr>
                  </w14:solidFill>
                </w14:textFill>
              </w:rPr>
              <w:t>|||</w:t>
            </w:r>
            <w:r w:rsidR="00460689" w:rsidRPr="00460689">
              <w:rPr>
                <w:color w:val="000000"/>
                <w:spacing w:val="1"/>
                <w:shd w:val="solid" w:color="000000" w:fill="000000"/>
                <w:fitText w:val="324" w:id="-632553202"/>
                <w14:textFill>
                  <w14:solidFill>
                    <w14:srgbClr w14:val="000000">
                      <w14:alpha w14:val="100000"/>
                    </w14:srgbClr>
                  </w14:solidFill>
                </w14:textFill>
              </w:rPr>
              <w:t>|</w:t>
            </w:r>
          </w:p>
          <w:p w14:paraId="3E62E925" w14:textId="01FA014F" w:rsidR="008D778F" w:rsidRPr="008D778F" w:rsidRDefault="008D778F">
            <w:pPr>
              <w:pStyle w:val="TableText0"/>
              <w:jc w:val="right"/>
              <w:rPr>
                <w:vertAlign w:val="superscript"/>
              </w:rPr>
            </w:pPr>
            <w:r>
              <w:rPr>
                <w:vertAlign w:val="superscript"/>
              </w:rPr>
              <w:t>2</w:t>
            </w:r>
            <w:r w:rsidR="00545DAB">
              <w:rPr>
                <w:vertAlign w:val="superscript"/>
              </w:rPr>
              <w:t>1</w:t>
            </w:r>
          </w:p>
        </w:tc>
      </w:tr>
      <w:tr w:rsidR="00505BD5" w:rsidRPr="00BF6730" w14:paraId="0DEC7BC0" w14:textId="77777777" w:rsidTr="00755E3A">
        <w:tc>
          <w:tcPr>
            <w:tcW w:w="1412" w:type="pct"/>
          </w:tcPr>
          <w:p w14:paraId="1691EDFF" w14:textId="34C96A25" w:rsidR="00505BD5" w:rsidRPr="00BF6730" w:rsidRDefault="00505BD5">
            <w:pPr>
              <w:pStyle w:val="TableText0"/>
              <w:rPr>
                <w:b/>
                <w:bCs w:val="0"/>
                <w:vertAlign w:val="superscript"/>
              </w:rPr>
            </w:pPr>
            <w:r w:rsidRPr="00BF6730">
              <w:rPr>
                <w:b/>
                <w:bCs w:val="0"/>
              </w:rPr>
              <w:t>Net financial impact, revised</w:t>
            </w:r>
            <w:r w:rsidR="002A692B" w:rsidRPr="00BF6730">
              <w:rPr>
                <w:b/>
                <w:bCs w:val="0"/>
                <w:vertAlign w:val="superscript"/>
              </w:rPr>
              <w:t>c</w:t>
            </w:r>
          </w:p>
        </w:tc>
        <w:tc>
          <w:tcPr>
            <w:tcW w:w="598" w:type="pct"/>
          </w:tcPr>
          <w:p w14:paraId="44FFEBC1" w14:textId="45112207" w:rsidR="005D315D" w:rsidRDefault="00505BD5">
            <w:pPr>
              <w:pStyle w:val="TableText0"/>
              <w:jc w:val="right"/>
            </w:pPr>
            <w:r w:rsidRPr="00BF6730">
              <w:t>-$</w:t>
            </w:r>
            <w:r w:rsidR="00460689" w:rsidRPr="00460689">
              <w:rPr>
                <w:color w:val="000000"/>
                <w:spacing w:val="51"/>
                <w:shd w:val="solid" w:color="000000" w:fill="000000"/>
                <w:fitText w:val="324" w:id="-632553201"/>
                <w14:textFill>
                  <w14:solidFill>
                    <w14:srgbClr w14:val="000000">
                      <w14:alpha w14:val="100000"/>
                    </w14:srgbClr>
                  </w14:solidFill>
                </w14:textFill>
              </w:rPr>
              <w:t>|||</w:t>
            </w:r>
            <w:r w:rsidR="00460689" w:rsidRPr="00460689">
              <w:rPr>
                <w:color w:val="000000"/>
                <w:spacing w:val="1"/>
                <w:shd w:val="solid" w:color="000000" w:fill="000000"/>
                <w:fitText w:val="324" w:id="-632553201"/>
                <w14:textFill>
                  <w14:solidFill>
                    <w14:srgbClr w14:val="000000">
                      <w14:alpha w14:val="100000"/>
                    </w14:srgbClr>
                  </w14:solidFill>
                </w14:textFill>
              </w:rPr>
              <w:t>|</w:t>
            </w:r>
          </w:p>
          <w:p w14:paraId="77640249" w14:textId="5DD16441" w:rsidR="00505BD5" w:rsidRPr="005D315D" w:rsidRDefault="005D315D">
            <w:pPr>
              <w:pStyle w:val="TableText0"/>
              <w:jc w:val="right"/>
              <w:rPr>
                <w:vertAlign w:val="superscript"/>
              </w:rPr>
            </w:pPr>
            <w:r>
              <w:rPr>
                <w:vertAlign w:val="superscript"/>
              </w:rPr>
              <w:t>20</w:t>
            </w:r>
          </w:p>
        </w:tc>
        <w:tc>
          <w:tcPr>
            <w:tcW w:w="598" w:type="pct"/>
          </w:tcPr>
          <w:p w14:paraId="30BE2469" w14:textId="3344AA60" w:rsidR="00282A35" w:rsidRDefault="00505BD5">
            <w:pPr>
              <w:pStyle w:val="TableText0"/>
              <w:jc w:val="right"/>
            </w:pPr>
            <w:r w:rsidRPr="00BF6730">
              <w:t>-$</w:t>
            </w:r>
            <w:r w:rsidR="00460689" w:rsidRPr="00460689">
              <w:rPr>
                <w:color w:val="000000"/>
                <w:spacing w:val="51"/>
                <w:shd w:val="solid" w:color="000000" w:fill="000000"/>
                <w:fitText w:val="324" w:id="-632553200"/>
                <w14:textFill>
                  <w14:solidFill>
                    <w14:srgbClr w14:val="000000">
                      <w14:alpha w14:val="100000"/>
                    </w14:srgbClr>
                  </w14:solidFill>
                </w14:textFill>
              </w:rPr>
              <w:t>|||</w:t>
            </w:r>
            <w:r w:rsidR="00460689" w:rsidRPr="00460689">
              <w:rPr>
                <w:color w:val="000000"/>
                <w:spacing w:val="1"/>
                <w:shd w:val="solid" w:color="000000" w:fill="000000"/>
                <w:fitText w:val="324" w:id="-632553200"/>
                <w14:textFill>
                  <w14:solidFill>
                    <w14:srgbClr w14:val="000000">
                      <w14:alpha w14:val="100000"/>
                    </w14:srgbClr>
                  </w14:solidFill>
                </w14:textFill>
              </w:rPr>
              <w:t>|</w:t>
            </w:r>
          </w:p>
          <w:p w14:paraId="52B8A2A1" w14:textId="549A02FB" w:rsidR="00505BD5" w:rsidRPr="00282A35" w:rsidRDefault="00282A35">
            <w:pPr>
              <w:pStyle w:val="TableText0"/>
              <w:jc w:val="right"/>
              <w:rPr>
                <w:vertAlign w:val="superscript"/>
              </w:rPr>
            </w:pPr>
            <w:r>
              <w:rPr>
                <w:vertAlign w:val="superscript"/>
              </w:rPr>
              <w:t>2</w:t>
            </w:r>
            <w:r w:rsidR="00CB387F">
              <w:rPr>
                <w:vertAlign w:val="superscript"/>
              </w:rPr>
              <w:t>1</w:t>
            </w:r>
          </w:p>
        </w:tc>
        <w:tc>
          <w:tcPr>
            <w:tcW w:w="598" w:type="pct"/>
          </w:tcPr>
          <w:p w14:paraId="28D7B731" w14:textId="6CF5223E" w:rsidR="00505BD5" w:rsidRDefault="00505BD5">
            <w:pPr>
              <w:pStyle w:val="TableText0"/>
              <w:jc w:val="right"/>
            </w:pPr>
            <w:r w:rsidRPr="00BF6730">
              <w:t>-$</w:t>
            </w:r>
            <w:r w:rsidR="00460689" w:rsidRPr="00460689">
              <w:rPr>
                <w:color w:val="000000"/>
                <w:spacing w:val="51"/>
                <w:shd w:val="solid" w:color="000000" w:fill="000000"/>
                <w:fitText w:val="324" w:id="-632553216"/>
                <w14:textFill>
                  <w14:solidFill>
                    <w14:srgbClr w14:val="000000">
                      <w14:alpha w14:val="100000"/>
                    </w14:srgbClr>
                  </w14:solidFill>
                </w14:textFill>
              </w:rPr>
              <w:t>|||</w:t>
            </w:r>
            <w:r w:rsidR="00460689" w:rsidRPr="00460689">
              <w:rPr>
                <w:color w:val="000000"/>
                <w:spacing w:val="1"/>
                <w:shd w:val="solid" w:color="000000" w:fill="000000"/>
                <w:fitText w:val="324" w:id="-632553216"/>
                <w14:textFill>
                  <w14:solidFill>
                    <w14:srgbClr w14:val="000000">
                      <w14:alpha w14:val="100000"/>
                    </w14:srgbClr>
                  </w14:solidFill>
                </w14:textFill>
              </w:rPr>
              <w:t>|</w:t>
            </w:r>
          </w:p>
          <w:p w14:paraId="1043DAED" w14:textId="4873C984" w:rsidR="00282A35" w:rsidRPr="00282A35" w:rsidRDefault="00282A35">
            <w:pPr>
              <w:pStyle w:val="TableText0"/>
              <w:jc w:val="right"/>
              <w:rPr>
                <w:vertAlign w:val="superscript"/>
              </w:rPr>
            </w:pPr>
            <w:r>
              <w:rPr>
                <w:vertAlign w:val="superscript"/>
              </w:rPr>
              <w:t>2</w:t>
            </w:r>
            <w:r w:rsidR="00CB387F">
              <w:rPr>
                <w:vertAlign w:val="superscript"/>
              </w:rPr>
              <w:t>1</w:t>
            </w:r>
          </w:p>
        </w:tc>
        <w:tc>
          <w:tcPr>
            <w:tcW w:w="598" w:type="pct"/>
          </w:tcPr>
          <w:p w14:paraId="423A06BD" w14:textId="02D333BF" w:rsidR="00282A35" w:rsidRDefault="00505BD5">
            <w:pPr>
              <w:pStyle w:val="TableText0"/>
              <w:jc w:val="right"/>
            </w:pPr>
            <w:r w:rsidRPr="00BF6730">
              <w:t>-$</w:t>
            </w:r>
            <w:r w:rsidR="00460689" w:rsidRPr="00460689">
              <w:rPr>
                <w:color w:val="000000"/>
                <w:spacing w:val="51"/>
                <w:shd w:val="solid" w:color="000000" w:fill="000000"/>
                <w:fitText w:val="324" w:id="-632553215"/>
                <w14:textFill>
                  <w14:solidFill>
                    <w14:srgbClr w14:val="000000">
                      <w14:alpha w14:val="100000"/>
                    </w14:srgbClr>
                  </w14:solidFill>
                </w14:textFill>
              </w:rPr>
              <w:t>|||</w:t>
            </w:r>
            <w:r w:rsidR="00460689" w:rsidRPr="00460689">
              <w:rPr>
                <w:color w:val="000000"/>
                <w:spacing w:val="1"/>
                <w:shd w:val="solid" w:color="000000" w:fill="000000"/>
                <w:fitText w:val="324" w:id="-632553215"/>
                <w14:textFill>
                  <w14:solidFill>
                    <w14:srgbClr w14:val="000000">
                      <w14:alpha w14:val="100000"/>
                    </w14:srgbClr>
                  </w14:solidFill>
                </w14:textFill>
              </w:rPr>
              <w:t>|</w:t>
            </w:r>
          </w:p>
          <w:p w14:paraId="163260CF" w14:textId="4B0C758E" w:rsidR="00505BD5" w:rsidRPr="00282A35" w:rsidRDefault="00282A35">
            <w:pPr>
              <w:pStyle w:val="TableText0"/>
              <w:jc w:val="right"/>
              <w:rPr>
                <w:vertAlign w:val="superscript"/>
              </w:rPr>
            </w:pPr>
            <w:r>
              <w:rPr>
                <w:vertAlign w:val="superscript"/>
              </w:rPr>
              <w:t>2</w:t>
            </w:r>
            <w:r w:rsidR="00CB387F">
              <w:rPr>
                <w:vertAlign w:val="superscript"/>
              </w:rPr>
              <w:t>1</w:t>
            </w:r>
          </w:p>
        </w:tc>
        <w:tc>
          <w:tcPr>
            <w:tcW w:w="598" w:type="pct"/>
          </w:tcPr>
          <w:p w14:paraId="38066170" w14:textId="5299578A" w:rsidR="00AA0CD2" w:rsidRDefault="00505BD5">
            <w:pPr>
              <w:pStyle w:val="TableText0"/>
              <w:jc w:val="right"/>
            </w:pPr>
            <w:r w:rsidRPr="00BF6730">
              <w:t>-$</w:t>
            </w:r>
            <w:r w:rsidR="00460689" w:rsidRPr="00460689">
              <w:rPr>
                <w:color w:val="000000"/>
                <w:spacing w:val="51"/>
                <w:shd w:val="solid" w:color="000000" w:fill="000000"/>
                <w:fitText w:val="324" w:id="-632553214"/>
                <w14:textFill>
                  <w14:solidFill>
                    <w14:srgbClr w14:val="000000">
                      <w14:alpha w14:val="100000"/>
                    </w14:srgbClr>
                  </w14:solidFill>
                </w14:textFill>
              </w:rPr>
              <w:t>|||</w:t>
            </w:r>
            <w:r w:rsidR="00460689" w:rsidRPr="00460689">
              <w:rPr>
                <w:color w:val="000000"/>
                <w:spacing w:val="1"/>
                <w:shd w:val="solid" w:color="000000" w:fill="000000"/>
                <w:fitText w:val="324" w:id="-632553214"/>
                <w14:textFill>
                  <w14:solidFill>
                    <w14:srgbClr w14:val="000000">
                      <w14:alpha w14:val="100000"/>
                    </w14:srgbClr>
                  </w14:solidFill>
                </w14:textFill>
              </w:rPr>
              <w:t>|</w:t>
            </w:r>
          </w:p>
          <w:p w14:paraId="25B8AD35" w14:textId="7CE3537A" w:rsidR="00505BD5" w:rsidRPr="00AA0CD2" w:rsidRDefault="00AA0CD2">
            <w:pPr>
              <w:pStyle w:val="TableText0"/>
              <w:jc w:val="right"/>
              <w:rPr>
                <w:vertAlign w:val="superscript"/>
              </w:rPr>
            </w:pPr>
            <w:r>
              <w:rPr>
                <w:vertAlign w:val="superscript"/>
              </w:rPr>
              <w:t>27</w:t>
            </w:r>
          </w:p>
        </w:tc>
        <w:tc>
          <w:tcPr>
            <w:tcW w:w="598" w:type="pct"/>
          </w:tcPr>
          <w:p w14:paraId="63B1F565" w14:textId="4EBD9AF3" w:rsidR="00505BD5" w:rsidRDefault="00505BD5">
            <w:pPr>
              <w:pStyle w:val="TableText0"/>
              <w:jc w:val="right"/>
            </w:pPr>
            <w:r w:rsidRPr="00BF6730">
              <w:t>-$</w:t>
            </w:r>
            <w:r w:rsidR="00460689" w:rsidRPr="00460689">
              <w:rPr>
                <w:color w:val="000000"/>
                <w:spacing w:val="51"/>
                <w:shd w:val="solid" w:color="000000" w:fill="000000"/>
                <w:fitText w:val="324" w:id="-632553213"/>
                <w14:textFill>
                  <w14:solidFill>
                    <w14:srgbClr w14:val="000000">
                      <w14:alpha w14:val="100000"/>
                    </w14:srgbClr>
                  </w14:solidFill>
                </w14:textFill>
              </w:rPr>
              <w:t>|||</w:t>
            </w:r>
            <w:r w:rsidR="00460689" w:rsidRPr="00460689">
              <w:rPr>
                <w:color w:val="000000"/>
                <w:spacing w:val="1"/>
                <w:shd w:val="solid" w:color="000000" w:fill="000000"/>
                <w:fitText w:val="324" w:id="-632553213"/>
                <w14:textFill>
                  <w14:solidFill>
                    <w14:srgbClr w14:val="000000">
                      <w14:alpha w14:val="100000"/>
                    </w14:srgbClr>
                  </w14:solidFill>
                </w14:textFill>
              </w:rPr>
              <w:t>|</w:t>
            </w:r>
          </w:p>
          <w:p w14:paraId="38D99316" w14:textId="0EA94024" w:rsidR="00AA0CD2" w:rsidRPr="00AA0CD2" w:rsidRDefault="00AA0CD2">
            <w:pPr>
              <w:pStyle w:val="TableText0"/>
              <w:jc w:val="right"/>
              <w:rPr>
                <w:vertAlign w:val="superscript"/>
              </w:rPr>
            </w:pPr>
            <w:r>
              <w:rPr>
                <w:vertAlign w:val="superscript"/>
              </w:rPr>
              <w:t>27</w:t>
            </w:r>
          </w:p>
        </w:tc>
      </w:tr>
    </w:tbl>
    <w:p w14:paraId="44543689" w14:textId="77777777" w:rsidR="00505BD5" w:rsidRPr="00D15BDA" w:rsidRDefault="00505BD5" w:rsidP="00505BD5">
      <w:pPr>
        <w:pStyle w:val="TableFigureFooter"/>
      </w:pPr>
      <w:r w:rsidRPr="00D86D87">
        <w:t>Source:</w:t>
      </w:r>
      <w:r>
        <w:t xml:space="preserve"> </w:t>
      </w:r>
      <w:r w:rsidRPr="00F65AE6">
        <w:t>Constructed during the evaluation from the “Attachment</w:t>
      </w:r>
      <w:r w:rsidRPr="00D15BDA">
        <w:t xml:space="preserve"> 3 - Azematop BIM” excel spreadsheet provided with the submission.</w:t>
      </w:r>
    </w:p>
    <w:p w14:paraId="6DBD120A" w14:textId="77777777" w:rsidR="00505BD5" w:rsidRPr="00CC1382" w:rsidRDefault="00505BD5" w:rsidP="00505BD5">
      <w:pPr>
        <w:pStyle w:val="TableFigureFooter"/>
      </w:pPr>
      <w:r>
        <w:t>AD = atopic dermatitis; CMA = cost-minimisation approach; DPMQ = dispensed price for maximum quantity; PBS = Pharmaceutical Benefits Scheme; PI = Product Information; RPBS = Repatriation Pharmaceutical Benefits Scheme.</w:t>
      </w:r>
    </w:p>
    <w:p w14:paraId="0969F589" w14:textId="3E70AD1A" w:rsidR="00505BD5" w:rsidRDefault="00505BD5" w:rsidP="00505BD5">
      <w:pPr>
        <w:pStyle w:val="TableFigureFooter"/>
        <w:keepNext/>
        <w:rPr>
          <w:i/>
          <w:iCs/>
        </w:rPr>
      </w:pPr>
      <w:r>
        <w:rPr>
          <w:vertAlign w:val="superscript"/>
        </w:rPr>
        <w:t xml:space="preserve">a </w:t>
      </w:r>
      <w:r w:rsidR="002A692B">
        <w:t xml:space="preserve">Patients who uptake </w:t>
      </w:r>
      <w:r w:rsidR="00804E48">
        <w:t>0.1% TAC</w:t>
      </w:r>
      <w:r w:rsidR="002A692B">
        <w:t xml:space="preserve"> in current year minus those who uptake in previous years.</w:t>
      </w:r>
      <w:r>
        <w:rPr>
          <w:i/>
          <w:iCs/>
        </w:rPr>
        <w:t xml:space="preserve"> </w:t>
      </w:r>
    </w:p>
    <w:p w14:paraId="40FD2B76" w14:textId="39E3EDE3" w:rsidR="00505BD5" w:rsidRDefault="00505BD5" w:rsidP="00505BD5">
      <w:pPr>
        <w:pStyle w:val="TableFigureFooter"/>
        <w:keepNext/>
        <w:rPr>
          <w:i/>
          <w:iCs/>
        </w:rPr>
      </w:pPr>
      <w:r>
        <w:rPr>
          <w:vertAlign w:val="superscript"/>
        </w:rPr>
        <w:t xml:space="preserve">b </w:t>
      </w:r>
      <w:r w:rsidR="002A692B">
        <w:t>65% applied to patients who have up taken treatment in previous years.</w:t>
      </w:r>
    </w:p>
    <w:p w14:paraId="4B792B87" w14:textId="06C701CA" w:rsidR="00505BD5" w:rsidRPr="00F65AE6" w:rsidRDefault="00505BD5" w:rsidP="00505BD5">
      <w:pPr>
        <w:pStyle w:val="TableFigureFooter"/>
        <w:keepNext/>
        <w:rPr>
          <w:vertAlign w:val="superscript"/>
        </w:rPr>
      </w:pPr>
      <w:r w:rsidRPr="00F65AE6">
        <w:rPr>
          <w:vertAlign w:val="superscript"/>
        </w:rPr>
        <w:t xml:space="preserve">c </w:t>
      </w:r>
      <w:r w:rsidR="002A692B" w:rsidRPr="00F65AE6">
        <w:t>The submission had erroneously double counted the number of market share scripts. This was corrected during the evaluation.</w:t>
      </w:r>
    </w:p>
    <w:p w14:paraId="0287B5D6" w14:textId="0E7B99FB" w:rsidR="00505BD5" w:rsidRDefault="00505BD5" w:rsidP="00505BD5">
      <w:pPr>
        <w:pStyle w:val="TableFigureFooter"/>
        <w:keepNext/>
      </w:pPr>
      <w:r>
        <w:rPr>
          <w:vertAlign w:val="superscript"/>
        </w:rPr>
        <w:t xml:space="preserve">d </w:t>
      </w:r>
      <w:r w:rsidR="002A692B">
        <w:t xml:space="preserve">Assuming each script of </w:t>
      </w:r>
      <w:r w:rsidR="00804E48">
        <w:t>0.1 TAC</w:t>
      </w:r>
      <w:r w:rsidR="002A692B">
        <w:t xml:space="preserve"> costs $</w:t>
      </w:r>
      <w:r w:rsidR="00460689" w:rsidRPr="00C10373">
        <w:rPr>
          <w:color w:val="000000"/>
          <w:spacing w:val="38"/>
          <w:shd w:val="solid" w:color="000000" w:fill="000000"/>
          <w:fitText w:val="274" w:id="-632553212"/>
          <w14:textFill>
            <w14:solidFill>
              <w14:srgbClr w14:val="000000">
                <w14:alpha w14:val="100000"/>
              </w14:srgbClr>
            </w14:solidFill>
          </w14:textFill>
        </w:rPr>
        <w:t xml:space="preserve">|  </w:t>
      </w:r>
      <w:r w:rsidR="00460689" w:rsidRPr="00C10373">
        <w:rPr>
          <w:color w:val="000000"/>
          <w:spacing w:val="2"/>
          <w:shd w:val="solid" w:color="000000" w:fill="000000"/>
          <w:fitText w:val="274" w:id="-632553212"/>
          <w14:textFill>
            <w14:solidFill>
              <w14:srgbClr w14:val="000000">
                <w14:alpha w14:val="100000"/>
              </w14:srgbClr>
            </w14:solidFill>
          </w14:textFill>
        </w:rPr>
        <w:t>|</w:t>
      </w:r>
      <w:r w:rsidR="002A692B">
        <w:t xml:space="preserve"> minus a weighted patient copayment of $26.09 per script (based on 2024 pimecrolimus PBS utilisation data by beneficiary type).</w:t>
      </w:r>
    </w:p>
    <w:p w14:paraId="2B57736A" w14:textId="19B05134" w:rsidR="00505BD5" w:rsidRPr="002F1DD4" w:rsidRDefault="00505BD5" w:rsidP="00505BD5">
      <w:pPr>
        <w:pStyle w:val="TableFigureFooter"/>
        <w:keepNext/>
      </w:pPr>
      <w:r>
        <w:rPr>
          <w:vertAlign w:val="superscript"/>
        </w:rPr>
        <w:t xml:space="preserve">e </w:t>
      </w:r>
      <w:r w:rsidR="002A692B">
        <w:t xml:space="preserve">Each </w:t>
      </w:r>
      <w:r w:rsidR="00804E48">
        <w:t>1% PIM</w:t>
      </w:r>
      <w:r w:rsidR="002A692B">
        <w:t xml:space="preserve"> script replaced by </w:t>
      </w:r>
      <w:r w:rsidR="00804E48">
        <w:t>0.1% TAC</w:t>
      </w:r>
      <w:r w:rsidR="002A692B">
        <w:t xml:space="preserve"> was assumed to cost $34.03 minus the patient copayment of $26.09 per script.</w:t>
      </w:r>
    </w:p>
    <w:p w14:paraId="54F3647A" w14:textId="1C27E7EC" w:rsidR="00505BD5" w:rsidRDefault="00505BD5" w:rsidP="00505BD5">
      <w:pPr>
        <w:pStyle w:val="TableFigureFooter"/>
        <w:rPr>
          <w:i/>
          <w:iCs/>
        </w:rPr>
      </w:pPr>
      <w:r>
        <w:rPr>
          <w:vertAlign w:val="superscript"/>
        </w:rPr>
        <w:t xml:space="preserve">f </w:t>
      </w:r>
      <w:r w:rsidR="002A692B">
        <w:t xml:space="preserve">The submission assumed that 6% (65% × 9%) of </w:t>
      </w:r>
      <w:r w:rsidR="00804E48">
        <w:t>0.1% TAC</w:t>
      </w:r>
      <w:r w:rsidR="002A692B">
        <w:t xml:space="preserve"> patients on treatment from the epidemiological approach population would not need to progress to dupilumab treatment). Each dupilumab script was based on the published DPMQ of $1,755.66 (PBS items 12291X and 12292Y) minus the patient copayment ($26.09 per script). Each patient was assumed to have 13.50 scripts per year, based on the fortnightly dosing frequency outlined in the PI.</w:t>
      </w:r>
    </w:p>
    <w:p w14:paraId="60F5F708" w14:textId="0A6BB8B6" w:rsidR="002A692B" w:rsidRDefault="00505BD5" w:rsidP="002A692B">
      <w:pPr>
        <w:pStyle w:val="TableFigureFooter"/>
        <w:rPr>
          <w:rStyle w:val="TableFigureFooterChar"/>
        </w:rPr>
      </w:pPr>
      <w:r>
        <w:rPr>
          <w:vertAlign w:val="superscript"/>
        </w:rPr>
        <w:t xml:space="preserve">g </w:t>
      </w:r>
      <w:r w:rsidR="002A692B" w:rsidRPr="00E5133D">
        <w:rPr>
          <w:rStyle w:val="TableFigureFooterChar"/>
        </w:rPr>
        <w:t xml:space="preserve">The submission assumed that 1% (65% × 2%) of </w:t>
      </w:r>
      <w:r w:rsidR="00804E48">
        <w:rPr>
          <w:rStyle w:val="TableFigureFooterChar"/>
        </w:rPr>
        <w:t>0.1% TAC</w:t>
      </w:r>
      <w:r w:rsidR="002A692B" w:rsidRPr="00E5133D">
        <w:rPr>
          <w:rStyle w:val="TableFigureFooterChar"/>
        </w:rPr>
        <w:t xml:space="preserve"> patients on treatment from the epidemiological approach population would not need to progress to upadacitinib treatment. Each upadacitinib script was based on the published DPMQ of $1,149.97 (PBS items 12828E and 12831H) minus the patient copayment ($26.09 per script). Each patient was assumed to have 13.04 scripts per year, based daily administration of one tablet (as pe the PI) and each script contains 28 tablets.</w:t>
      </w:r>
    </w:p>
    <w:p w14:paraId="00DA4CA7" w14:textId="77777777" w:rsidR="0059535C" w:rsidRPr="0059535C" w:rsidRDefault="0059535C" w:rsidP="0059535C">
      <w:pPr>
        <w:pStyle w:val="TableFigureFooter"/>
        <w:rPr>
          <w:i/>
        </w:rPr>
      </w:pPr>
      <w:r w:rsidRPr="0059535C">
        <w:rPr>
          <w:i/>
        </w:rPr>
        <w:t xml:space="preserve">The redacted values correspond to the following ranges: </w:t>
      </w:r>
    </w:p>
    <w:p w14:paraId="51BB4F8D" w14:textId="49680BDD" w:rsidR="0059535C" w:rsidRPr="0059535C" w:rsidRDefault="0059535C" w:rsidP="0059535C">
      <w:pPr>
        <w:pStyle w:val="TableFigureFooter"/>
        <w:rPr>
          <w:i/>
        </w:rPr>
      </w:pPr>
      <w:r w:rsidRPr="0059535C">
        <w:rPr>
          <w:i/>
          <w:vertAlign w:val="superscript"/>
        </w:rPr>
        <w:t>1</w:t>
      </w:r>
      <w:r w:rsidRPr="0059535C">
        <w:rPr>
          <w:i/>
        </w:rPr>
        <w:t xml:space="preserve"> </w:t>
      </w:r>
      <w:r w:rsidR="00FB1022" w:rsidRPr="00FB1022">
        <w:rPr>
          <w:i/>
        </w:rPr>
        <w:t>90,000 to &lt; 100,000</w:t>
      </w:r>
    </w:p>
    <w:p w14:paraId="19E7A67F" w14:textId="2784FA01" w:rsidR="0059535C" w:rsidRPr="0059535C" w:rsidRDefault="0059535C" w:rsidP="0059535C">
      <w:pPr>
        <w:pStyle w:val="TableFigureFooter"/>
        <w:rPr>
          <w:i/>
        </w:rPr>
      </w:pPr>
      <w:r w:rsidRPr="0059535C">
        <w:rPr>
          <w:i/>
          <w:vertAlign w:val="superscript"/>
        </w:rPr>
        <w:t>2</w:t>
      </w:r>
      <w:r w:rsidRPr="0059535C">
        <w:rPr>
          <w:i/>
        </w:rPr>
        <w:t xml:space="preserve"> </w:t>
      </w:r>
      <w:r w:rsidR="00A125F7" w:rsidRPr="00A125F7">
        <w:rPr>
          <w:i/>
        </w:rPr>
        <w:t>100,000 to &lt; 200,000</w:t>
      </w:r>
    </w:p>
    <w:p w14:paraId="66EB2602" w14:textId="49B65F1E" w:rsidR="0059535C" w:rsidRPr="0059535C" w:rsidRDefault="0059535C" w:rsidP="0059535C">
      <w:pPr>
        <w:pStyle w:val="TableFigureFooter"/>
        <w:rPr>
          <w:i/>
        </w:rPr>
      </w:pPr>
      <w:r w:rsidRPr="0059535C">
        <w:rPr>
          <w:i/>
          <w:vertAlign w:val="superscript"/>
        </w:rPr>
        <w:t>3</w:t>
      </w:r>
      <w:r w:rsidRPr="0059535C">
        <w:rPr>
          <w:i/>
        </w:rPr>
        <w:t xml:space="preserve"> </w:t>
      </w:r>
      <w:r w:rsidR="006526E1" w:rsidRPr="006526E1">
        <w:rPr>
          <w:i/>
        </w:rPr>
        <w:t>50,000 to &lt; 60,000</w:t>
      </w:r>
    </w:p>
    <w:p w14:paraId="661E0CB1" w14:textId="3E1DBFE1" w:rsidR="0059535C" w:rsidRPr="0059535C" w:rsidRDefault="0059535C" w:rsidP="0059535C">
      <w:pPr>
        <w:pStyle w:val="TableFigureFooter"/>
        <w:rPr>
          <w:i/>
        </w:rPr>
      </w:pPr>
      <w:r w:rsidRPr="0059535C">
        <w:rPr>
          <w:i/>
          <w:vertAlign w:val="superscript"/>
        </w:rPr>
        <w:t>4</w:t>
      </w:r>
      <w:r w:rsidRPr="0059535C">
        <w:rPr>
          <w:i/>
        </w:rPr>
        <w:t xml:space="preserve"> </w:t>
      </w:r>
      <w:r w:rsidR="00B01428" w:rsidRPr="00B01428">
        <w:rPr>
          <w:i/>
        </w:rPr>
        <w:t>60,000 to &lt; 70,000</w:t>
      </w:r>
    </w:p>
    <w:p w14:paraId="29D9C6B5" w14:textId="70F0613D" w:rsidR="0059535C" w:rsidRPr="0059535C" w:rsidRDefault="0059535C" w:rsidP="0059535C">
      <w:pPr>
        <w:pStyle w:val="TableFigureFooter"/>
        <w:rPr>
          <w:i/>
        </w:rPr>
      </w:pPr>
      <w:r w:rsidRPr="0059535C">
        <w:rPr>
          <w:i/>
          <w:vertAlign w:val="superscript"/>
        </w:rPr>
        <w:t>5</w:t>
      </w:r>
      <w:r w:rsidRPr="0059535C">
        <w:rPr>
          <w:i/>
        </w:rPr>
        <w:t xml:space="preserve"> </w:t>
      </w:r>
      <w:r w:rsidR="00C50648" w:rsidRPr="00C50648">
        <w:rPr>
          <w:i/>
        </w:rPr>
        <w:t>70,000 to &lt; 80,000</w:t>
      </w:r>
    </w:p>
    <w:p w14:paraId="005A067E" w14:textId="77777777" w:rsidR="00AB6403" w:rsidRPr="00AB6403" w:rsidRDefault="0059535C" w:rsidP="00AB6403">
      <w:pPr>
        <w:pStyle w:val="TableFigureFooter"/>
        <w:rPr>
          <w:i/>
        </w:rPr>
      </w:pPr>
      <w:r w:rsidRPr="0059535C">
        <w:rPr>
          <w:i/>
          <w:vertAlign w:val="superscript"/>
        </w:rPr>
        <w:t>6</w:t>
      </w:r>
      <w:r w:rsidRPr="0059535C">
        <w:rPr>
          <w:i/>
        </w:rPr>
        <w:t xml:space="preserve"> </w:t>
      </w:r>
      <w:r w:rsidR="00AB6403" w:rsidRPr="00AB6403">
        <w:rPr>
          <w:i/>
        </w:rPr>
        <w:t>80,000 to &lt; 90,000</w:t>
      </w:r>
    </w:p>
    <w:p w14:paraId="00E15E38" w14:textId="77777777" w:rsidR="0087245A" w:rsidRDefault="00AB6403" w:rsidP="0087245A">
      <w:pPr>
        <w:pStyle w:val="TableFigureFooter"/>
        <w:rPr>
          <w:i/>
        </w:rPr>
      </w:pPr>
      <w:r>
        <w:rPr>
          <w:i/>
          <w:vertAlign w:val="superscript"/>
        </w:rPr>
        <w:t>7</w:t>
      </w:r>
      <w:r>
        <w:rPr>
          <w:i/>
        </w:rPr>
        <w:t xml:space="preserve"> </w:t>
      </w:r>
      <w:r w:rsidR="0087245A" w:rsidRPr="0087245A">
        <w:rPr>
          <w:i/>
        </w:rPr>
        <w:t>10,000 to &lt; 20,000</w:t>
      </w:r>
    </w:p>
    <w:p w14:paraId="43D391EC" w14:textId="77777777" w:rsidR="00AB364A" w:rsidRPr="00AB364A" w:rsidRDefault="00F1397C" w:rsidP="00AB364A">
      <w:pPr>
        <w:pStyle w:val="TableFigureFooter"/>
        <w:rPr>
          <w:i/>
        </w:rPr>
      </w:pPr>
      <w:r>
        <w:rPr>
          <w:i/>
          <w:vertAlign w:val="superscript"/>
        </w:rPr>
        <w:t xml:space="preserve">8 </w:t>
      </w:r>
      <w:r w:rsidR="00AB364A" w:rsidRPr="00AB364A">
        <w:rPr>
          <w:i/>
        </w:rPr>
        <w:t>500 to &lt; 5,000</w:t>
      </w:r>
    </w:p>
    <w:p w14:paraId="167306FF" w14:textId="6BEAB6C2" w:rsidR="00F1397C" w:rsidRPr="00A03B2F" w:rsidRDefault="00AB364A" w:rsidP="0087245A">
      <w:pPr>
        <w:pStyle w:val="TableFigureFooter"/>
        <w:rPr>
          <w:i/>
        </w:rPr>
      </w:pPr>
      <w:r>
        <w:rPr>
          <w:i/>
          <w:vertAlign w:val="superscript"/>
        </w:rPr>
        <w:t>9</w:t>
      </w:r>
      <w:r w:rsidR="00D97CB6">
        <w:rPr>
          <w:i/>
          <w:vertAlign w:val="superscript"/>
        </w:rPr>
        <w:t xml:space="preserve"> </w:t>
      </w:r>
      <w:r w:rsidR="00A03B2F" w:rsidRPr="00A03B2F">
        <w:rPr>
          <w:i/>
        </w:rPr>
        <w:t>30,000 to &lt; 40,000</w:t>
      </w:r>
    </w:p>
    <w:p w14:paraId="549712EB" w14:textId="20C83A3E" w:rsidR="00AB364A" w:rsidRPr="00E14A96" w:rsidRDefault="00D97CB6" w:rsidP="0087245A">
      <w:pPr>
        <w:pStyle w:val="TableFigureFooter"/>
        <w:rPr>
          <w:i/>
        </w:rPr>
      </w:pPr>
      <w:r>
        <w:rPr>
          <w:i/>
          <w:vertAlign w:val="superscript"/>
        </w:rPr>
        <w:t>10</w:t>
      </w:r>
      <w:r w:rsidR="00E14A96">
        <w:rPr>
          <w:i/>
          <w:vertAlign w:val="superscript"/>
        </w:rPr>
        <w:t xml:space="preserve"> </w:t>
      </w:r>
      <w:r w:rsidR="00E14A96" w:rsidRPr="00E14A96">
        <w:rPr>
          <w:i/>
        </w:rPr>
        <w:t>20,000 to &lt; 30,000</w:t>
      </w:r>
    </w:p>
    <w:p w14:paraId="73B9DE66" w14:textId="637BDEFD" w:rsidR="00D97CB6" w:rsidRPr="00895CBA" w:rsidRDefault="00D97CB6" w:rsidP="0087245A">
      <w:pPr>
        <w:pStyle w:val="TableFigureFooter"/>
        <w:rPr>
          <w:i/>
        </w:rPr>
      </w:pPr>
      <w:r>
        <w:rPr>
          <w:i/>
          <w:vertAlign w:val="superscript"/>
        </w:rPr>
        <w:t>11</w:t>
      </w:r>
      <w:r w:rsidR="00895CBA">
        <w:rPr>
          <w:i/>
        </w:rPr>
        <w:t xml:space="preserve"> </w:t>
      </w:r>
      <w:r w:rsidR="00895CBA" w:rsidRPr="00895CBA">
        <w:rPr>
          <w:i/>
        </w:rPr>
        <w:t>40,000 to &lt; 50,000</w:t>
      </w:r>
    </w:p>
    <w:p w14:paraId="5D3AE77A" w14:textId="7012689F" w:rsidR="00E14A96" w:rsidRPr="00745B48" w:rsidRDefault="00E14A96" w:rsidP="0087245A">
      <w:pPr>
        <w:pStyle w:val="TableFigureFooter"/>
        <w:rPr>
          <w:i/>
        </w:rPr>
      </w:pPr>
      <w:r>
        <w:rPr>
          <w:i/>
          <w:vertAlign w:val="superscript"/>
        </w:rPr>
        <w:t>12</w:t>
      </w:r>
      <w:r w:rsidR="00745B48">
        <w:rPr>
          <w:i/>
        </w:rPr>
        <w:t xml:space="preserve"> </w:t>
      </w:r>
      <w:r w:rsidR="00745B48" w:rsidRPr="00745B48">
        <w:rPr>
          <w:i/>
        </w:rPr>
        <w:t>1,000,000 to &lt; 2,000,000</w:t>
      </w:r>
    </w:p>
    <w:p w14:paraId="1D2C0007" w14:textId="69FE62D8" w:rsidR="00B339AB" w:rsidRDefault="00E14A96" w:rsidP="00B339AB">
      <w:pPr>
        <w:pStyle w:val="TableFigureFooter"/>
        <w:rPr>
          <w:i/>
        </w:rPr>
      </w:pPr>
      <w:r>
        <w:rPr>
          <w:i/>
          <w:vertAlign w:val="superscript"/>
        </w:rPr>
        <w:t>13</w:t>
      </w:r>
      <w:r w:rsidR="00B339AB">
        <w:rPr>
          <w:i/>
          <w:vertAlign w:val="superscript"/>
        </w:rPr>
        <w:t xml:space="preserve"> </w:t>
      </w:r>
      <w:r w:rsidR="00B339AB" w:rsidRPr="00B339AB">
        <w:rPr>
          <w:i/>
        </w:rPr>
        <w:t>900,000 to &lt; 1,000,000</w:t>
      </w:r>
    </w:p>
    <w:p w14:paraId="2BFF4948" w14:textId="66E31C73" w:rsidR="00B339AB" w:rsidRPr="00DA674E" w:rsidRDefault="00B339AB" w:rsidP="00B339AB">
      <w:pPr>
        <w:pStyle w:val="TableFigureFooter"/>
        <w:rPr>
          <w:i/>
        </w:rPr>
      </w:pPr>
      <w:r>
        <w:rPr>
          <w:i/>
          <w:vertAlign w:val="superscript"/>
        </w:rPr>
        <w:t>14</w:t>
      </w:r>
      <w:r w:rsidR="00DA674E">
        <w:rPr>
          <w:i/>
        </w:rPr>
        <w:t xml:space="preserve"> </w:t>
      </w:r>
      <w:r w:rsidR="00DA674E" w:rsidRPr="00DA674E">
        <w:rPr>
          <w:i/>
        </w:rPr>
        <w:t>800,000 to &lt; 900,000</w:t>
      </w:r>
    </w:p>
    <w:p w14:paraId="6F442C45" w14:textId="531EF09B" w:rsidR="00B339AB" w:rsidRPr="0012711B" w:rsidRDefault="00B339AB" w:rsidP="00B339AB">
      <w:pPr>
        <w:pStyle w:val="TableFigureFooter"/>
        <w:rPr>
          <w:i/>
        </w:rPr>
      </w:pPr>
      <w:r>
        <w:rPr>
          <w:i/>
          <w:vertAlign w:val="superscript"/>
        </w:rPr>
        <w:t>15</w:t>
      </w:r>
      <w:r w:rsidR="0012711B">
        <w:rPr>
          <w:i/>
        </w:rPr>
        <w:t xml:space="preserve"> </w:t>
      </w:r>
      <w:r w:rsidR="0012711B" w:rsidRPr="0012711B">
        <w:rPr>
          <w:i/>
        </w:rPr>
        <w:t>700,000 to &lt; 800,000</w:t>
      </w:r>
    </w:p>
    <w:p w14:paraId="5DC7C88A" w14:textId="77777777" w:rsidR="00837054" w:rsidRPr="00837054" w:rsidRDefault="00B339AB" w:rsidP="00837054">
      <w:pPr>
        <w:pStyle w:val="TableFigureFooter"/>
        <w:rPr>
          <w:i/>
        </w:rPr>
      </w:pPr>
      <w:r>
        <w:rPr>
          <w:i/>
          <w:vertAlign w:val="superscript"/>
        </w:rPr>
        <w:t>16</w:t>
      </w:r>
      <w:r w:rsidR="00837054">
        <w:rPr>
          <w:i/>
        </w:rPr>
        <w:t xml:space="preserve"> </w:t>
      </w:r>
      <w:r w:rsidR="00837054" w:rsidRPr="00837054">
        <w:rPr>
          <w:i/>
        </w:rPr>
        <w:t>500,000 to &lt; 600,000</w:t>
      </w:r>
    </w:p>
    <w:p w14:paraId="50E64215" w14:textId="13BCA1FF" w:rsidR="00B339AB" w:rsidRPr="00F37F0C" w:rsidRDefault="00837054" w:rsidP="00B339AB">
      <w:pPr>
        <w:pStyle w:val="TableFigureFooter"/>
        <w:rPr>
          <w:i/>
        </w:rPr>
      </w:pPr>
      <w:r>
        <w:rPr>
          <w:i/>
          <w:vertAlign w:val="superscript"/>
        </w:rPr>
        <w:t>17</w:t>
      </w:r>
      <w:r w:rsidR="00F37F0C">
        <w:rPr>
          <w:i/>
        </w:rPr>
        <w:t xml:space="preserve"> </w:t>
      </w:r>
      <w:r w:rsidR="00F37F0C" w:rsidRPr="00F37F0C">
        <w:rPr>
          <w:i/>
        </w:rPr>
        <w:t>300,000 to &lt; 400,000</w:t>
      </w:r>
    </w:p>
    <w:p w14:paraId="57E36A47" w14:textId="77777777" w:rsidR="00F87D21" w:rsidRPr="00F87D21" w:rsidRDefault="00837054" w:rsidP="00F87D21">
      <w:pPr>
        <w:pStyle w:val="TableFigureFooter"/>
        <w:rPr>
          <w:i/>
        </w:rPr>
      </w:pPr>
      <w:r>
        <w:rPr>
          <w:i/>
          <w:vertAlign w:val="superscript"/>
        </w:rPr>
        <w:t>18</w:t>
      </w:r>
      <w:r w:rsidR="00F87D21">
        <w:rPr>
          <w:i/>
        </w:rPr>
        <w:t xml:space="preserve"> </w:t>
      </w:r>
      <w:r w:rsidR="00F87D21" w:rsidRPr="00F87D21">
        <w:rPr>
          <w:i/>
        </w:rPr>
        <w:t>$50 million to &lt; $60 million</w:t>
      </w:r>
    </w:p>
    <w:p w14:paraId="7F0EE3A3" w14:textId="385F8C1D" w:rsidR="00837054" w:rsidRPr="00F42A10" w:rsidRDefault="00F87D21" w:rsidP="00B339AB">
      <w:pPr>
        <w:pStyle w:val="TableFigureFooter"/>
        <w:rPr>
          <w:i/>
        </w:rPr>
      </w:pPr>
      <w:r>
        <w:rPr>
          <w:i/>
          <w:vertAlign w:val="superscript"/>
        </w:rPr>
        <w:t>19</w:t>
      </w:r>
      <w:r w:rsidR="00DF5C31">
        <w:rPr>
          <w:i/>
          <w:vertAlign w:val="superscript"/>
        </w:rPr>
        <w:t xml:space="preserve"> </w:t>
      </w:r>
      <w:r w:rsidR="00F42A10" w:rsidRPr="00F42A10">
        <w:rPr>
          <w:i/>
        </w:rPr>
        <w:t>$40 million to &lt; $50 million</w:t>
      </w:r>
    </w:p>
    <w:p w14:paraId="2F651BEF" w14:textId="75B4B8E0" w:rsidR="00F87D21" w:rsidRDefault="00F87D21" w:rsidP="00B339AB">
      <w:pPr>
        <w:pStyle w:val="TableFigureFooter"/>
        <w:rPr>
          <w:i/>
        </w:rPr>
      </w:pPr>
      <w:r>
        <w:rPr>
          <w:i/>
          <w:vertAlign w:val="superscript"/>
        </w:rPr>
        <w:t>20</w:t>
      </w:r>
      <w:r w:rsidR="00C240B0">
        <w:rPr>
          <w:i/>
        </w:rPr>
        <w:t xml:space="preserve"> </w:t>
      </w:r>
      <w:r w:rsidR="00C240B0" w:rsidRPr="00C240B0">
        <w:rPr>
          <w:i/>
        </w:rPr>
        <w:t>$30 million to &lt; $40 million</w:t>
      </w:r>
    </w:p>
    <w:p w14:paraId="69B40072" w14:textId="698F56A8" w:rsidR="00C240B0" w:rsidRPr="0085667C" w:rsidRDefault="00C240B0" w:rsidP="00B339AB">
      <w:pPr>
        <w:pStyle w:val="TableFigureFooter"/>
        <w:rPr>
          <w:i/>
        </w:rPr>
      </w:pPr>
      <w:r>
        <w:rPr>
          <w:i/>
          <w:vertAlign w:val="superscript"/>
        </w:rPr>
        <w:t>21</w:t>
      </w:r>
      <w:r w:rsidR="0085667C">
        <w:rPr>
          <w:i/>
        </w:rPr>
        <w:t xml:space="preserve"> </w:t>
      </w:r>
      <w:r w:rsidR="0085667C" w:rsidRPr="0085667C">
        <w:rPr>
          <w:i/>
        </w:rPr>
        <w:t>$20 million to &lt; $30 million</w:t>
      </w:r>
    </w:p>
    <w:p w14:paraId="1541360E" w14:textId="1CDA0F70" w:rsidR="00C240B0" w:rsidRPr="00CB387F" w:rsidRDefault="00C240B0" w:rsidP="00B339AB">
      <w:pPr>
        <w:pStyle w:val="TableFigureFooter"/>
        <w:rPr>
          <w:i/>
        </w:rPr>
      </w:pPr>
      <w:r>
        <w:rPr>
          <w:i/>
          <w:vertAlign w:val="superscript"/>
        </w:rPr>
        <w:t>22</w:t>
      </w:r>
      <w:r w:rsidR="00CB387F">
        <w:rPr>
          <w:i/>
          <w:vertAlign w:val="superscript"/>
        </w:rPr>
        <w:t xml:space="preserve"> </w:t>
      </w:r>
      <w:r w:rsidR="00CB387F" w:rsidRPr="00CB387F">
        <w:rPr>
          <w:i/>
        </w:rPr>
        <w:t>$10 million to &lt; $20 million</w:t>
      </w:r>
    </w:p>
    <w:p w14:paraId="7DD9E9C4" w14:textId="3A0264C1" w:rsidR="00C240B0" w:rsidRPr="00900BAA" w:rsidRDefault="00C240B0" w:rsidP="00B339AB">
      <w:pPr>
        <w:pStyle w:val="TableFigureFooter"/>
        <w:rPr>
          <w:i/>
        </w:rPr>
      </w:pPr>
      <w:r>
        <w:rPr>
          <w:i/>
          <w:vertAlign w:val="superscript"/>
        </w:rPr>
        <w:t>23</w:t>
      </w:r>
      <w:r w:rsidR="00900BAA">
        <w:rPr>
          <w:i/>
        </w:rPr>
        <w:t xml:space="preserve"> </w:t>
      </w:r>
      <w:r w:rsidR="00900BAA" w:rsidRPr="00900BAA">
        <w:rPr>
          <w:i/>
        </w:rPr>
        <w:t>$0 to &lt; $10 million</w:t>
      </w:r>
    </w:p>
    <w:p w14:paraId="41F4669D" w14:textId="77777777" w:rsidR="00471B18" w:rsidRDefault="00C240B0" w:rsidP="00471B18">
      <w:pPr>
        <w:pStyle w:val="TableFigureFooter"/>
        <w:rPr>
          <w:i/>
        </w:rPr>
      </w:pPr>
      <w:r>
        <w:rPr>
          <w:i/>
          <w:vertAlign w:val="superscript"/>
        </w:rPr>
        <w:t>24</w:t>
      </w:r>
      <w:r w:rsidR="00471B18">
        <w:rPr>
          <w:i/>
        </w:rPr>
        <w:t xml:space="preserve"> </w:t>
      </w:r>
      <w:r w:rsidR="00471B18" w:rsidRPr="00471B18">
        <w:rPr>
          <w:i/>
        </w:rPr>
        <w:t>$70 million to &lt; $80 million</w:t>
      </w:r>
    </w:p>
    <w:p w14:paraId="252BD179" w14:textId="77777777" w:rsidR="0001027C" w:rsidRDefault="0001027C" w:rsidP="0001027C">
      <w:pPr>
        <w:pStyle w:val="TableFigureFooter"/>
        <w:rPr>
          <w:i/>
        </w:rPr>
      </w:pPr>
      <w:r>
        <w:rPr>
          <w:i/>
          <w:vertAlign w:val="superscript"/>
        </w:rPr>
        <w:t>25</w:t>
      </w:r>
      <w:r>
        <w:rPr>
          <w:i/>
        </w:rPr>
        <w:t xml:space="preserve"> </w:t>
      </w:r>
      <w:r w:rsidRPr="0001027C">
        <w:rPr>
          <w:i/>
        </w:rPr>
        <w:t>$60 million to &lt; $70 million</w:t>
      </w:r>
    </w:p>
    <w:p w14:paraId="3DDFDA55" w14:textId="79B65223" w:rsidR="00B45A33" w:rsidRPr="001B4A22" w:rsidRDefault="00B45A33" w:rsidP="0001027C">
      <w:pPr>
        <w:pStyle w:val="TableFigureFooter"/>
        <w:rPr>
          <w:i/>
        </w:rPr>
      </w:pPr>
      <w:r>
        <w:rPr>
          <w:i/>
          <w:vertAlign w:val="superscript"/>
        </w:rPr>
        <w:t>26</w:t>
      </w:r>
      <w:r w:rsidR="001B4A22">
        <w:rPr>
          <w:i/>
        </w:rPr>
        <w:t xml:space="preserve"> </w:t>
      </w:r>
      <w:r w:rsidR="001B4A22" w:rsidRPr="001B4A22">
        <w:rPr>
          <w:i/>
        </w:rPr>
        <w:t>$80 million to &lt; $90 million</w:t>
      </w:r>
    </w:p>
    <w:p w14:paraId="1BA07FD6" w14:textId="7AA7DBE0" w:rsidR="0059535C" w:rsidRPr="000F1629" w:rsidRDefault="00B45A33" w:rsidP="002A692B">
      <w:pPr>
        <w:pStyle w:val="TableFigureFooter"/>
        <w:rPr>
          <w:i/>
        </w:rPr>
      </w:pPr>
      <w:r>
        <w:rPr>
          <w:i/>
          <w:vertAlign w:val="superscript"/>
        </w:rPr>
        <w:t>27</w:t>
      </w:r>
      <w:r w:rsidR="001B4A22">
        <w:rPr>
          <w:i/>
        </w:rPr>
        <w:t xml:space="preserve"> </w:t>
      </w:r>
      <w:r w:rsidR="00AA0CD2" w:rsidRPr="00AA0CD2">
        <w:rPr>
          <w:i/>
        </w:rPr>
        <w:t>$10 million to &lt; $20 million</w:t>
      </w:r>
    </w:p>
    <w:p w14:paraId="319A8DCF" w14:textId="099DD4CF" w:rsidR="00505BD5" w:rsidRPr="00BF6730" w:rsidRDefault="00E5133D" w:rsidP="00505BD5">
      <w:pPr>
        <w:pStyle w:val="3-BodyText"/>
      </w:pPr>
      <w:bookmarkStart w:id="122" w:name="_Hlk197505440"/>
      <w:r w:rsidRPr="00BF6730">
        <w:t>The</w:t>
      </w:r>
      <w:r w:rsidR="00505BD5" w:rsidRPr="00BF6730">
        <w:t xml:space="preserve"> total cost to the PBS/RPBS of listing </w:t>
      </w:r>
      <w:r w:rsidR="009623E3">
        <w:t xml:space="preserve">0.1% </w:t>
      </w:r>
      <w:r w:rsidR="005D2C87" w:rsidRPr="00BF6730">
        <w:t>TAC</w:t>
      </w:r>
      <w:r w:rsidR="00505BD5" w:rsidRPr="00BF6730">
        <w:t xml:space="preserve"> was estimated to be </w:t>
      </w:r>
      <w:r w:rsidR="00FA27AA" w:rsidRPr="00FA27AA">
        <w:t>$10 million to &lt; $20</w:t>
      </w:r>
      <w:r w:rsidR="004F04A2">
        <w:t xml:space="preserve"> million</w:t>
      </w:r>
      <w:r w:rsidR="00505BD5" w:rsidRPr="00BF6730">
        <w:t xml:space="preserve"> in Year 6, and total of </w:t>
      </w:r>
      <w:r w:rsidR="0023423A" w:rsidRPr="0023423A">
        <w:t>$200 million to &lt; $300</w:t>
      </w:r>
      <w:r w:rsidR="004F04A2">
        <w:t xml:space="preserve"> million </w:t>
      </w:r>
      <w:r w:rsidR="00F86916" w:rsidRPr="00BF6730">
        <w:t xml:space="preserve">over </w:t>
      </w:r>
      <w:r w:rsidR="00505BD5" w:rsidRPr="00BF6730">
        <w:t xml:space="preserve">the first six years of listing. </w:t>
      </w:r>
      <w:r w:rsidR="00FE0509">
        <w:t xml:space="preserve">The net cost was estimated to </w:t>
      </w:r>
      <w:r w:rsidR="00913F9F">
        <w:t xml:space="preserve">be a saving of </w:t>
      </w:r>
      <w:r w:rsidR="00804E48">
        <w:t>$</w:t>
      </w:r>
      <w:r w:rsidR="00F41A1F" w:rsidRPr="00F41A1F">
        <w:t>100 million to &lt; $200</w:t>
      </w:r>
      <w:r w:rsidR="00804E48">
        <w:t xml:space="preserve"> million over the first six years of listing.</w:t>
      </w:r>
    </w:p>
    <w:bookmarkEnd w:id="122"/>
    <w:p w14:paraId="113F0216" w14:textId="0C84CD11" w:rsidR="00505BD5" w:rsidRPr="00BF6730" w:rsidRDefault="00505BD5" w:rsidP="00505BD5">
      <w:pPr>
        <w:pStyle w:val="3-BodyText"/>
        <w:rPr>
          <w:color w:val="0066FF"/>
        </w:rPr>
      </w:pPr>
      <w:r w:rsidRPr="00BF6730">
        <w:t xml:space="preserve">In the epidemiological approach, the submission has assumed all patients would complete a full year of </w:t>
      </w:r>
      <w:r w:rsidR="00804E48">
        <w:t xml:space="preserve">0.1% </w:t>
      </w:r>
      <w:r w:rsidR="005D2C87" w:rsidRPr="00BF6730">
        <w:t>TAC</w:t>
      </w:r>
      <w:r w:rsidRPr="00BF6730">
        <w:t xml:space="preserve"> treatment, followed by a 65% annual continuation rate for patients in Year 2+ of based on the </w:t>
      </w:r>
      <w:r w:rsidRPr="0008659F">
        <w:rPr>
          <w:i/>
          <w:iCs/>
        </w:rPr>
        <w:t>post-hoc</w:t>
      </w:r>
      <w:r w:rsidRPr="00BF6730">
        <w:t xml:space="preserve"> analysis which reported that 35% of patients had </w:t>
      </w:r>
      <w:r w:rsidR="004F04A2">
        <w:t>discontinued</w:t>
      </w:r>
      <w:r w:rsidR="004F04A2" w:rsidRPr="00BF6730">
        <w:t xml:space="preserve"> </w:t>
      </w:r>
      <w:r w:rsidRPr="00BF6730">
        <w:t>after 12 months.</w:t>
      </w:r>
      <w:r w:rsidRPr="00BF6730">
        <w:fldChar w:fldCharType="begin"/>
      </w:r>
      <w:r w:rsidRPr="00BF6730">
        <w:instrText xml:space="preserve"> NOTEREF _Ref197964586 \f \h </w:instrText>
      </w:r>
      <w:r w:rsidR="00BF6730" w:rsidRPr="00BF6730">
        <w:instrText xml:space="preserve"> \* MERGEFORMAT </w:instrText>
      </w:r>
      <w:r w:rsidRPr="00BF6730">
        <w:fldChar w:fldCharType="separate"/>
      </w:r>
      <w:r w:rsidR="00124226" w:rsidRPr="00124226">
        <w:rPr>
          <w:rStyle w:val="FootnoteReference"/>
        </w:rPr>
        <w:t>26</w:t>
      </w:r>
      <w:r w:rsidRPr="00BF6730">
        <w:fldChar w:fldCharType="end"/>
      </w:r>
      <w:r w:rsidRPr="00BF6730">
        <w:t xml:space="preserve"> The assumption of treatment beyond one year was not supported by the key trial evidence, nor by the economic analysis, </w:t>
      </w:r>
      <w:r w:rsidR="004F04A2">
        <w:t>as</w:t>
      </w:r>
      <w:r w:rsidR="004F04A2" w:rsidRPr="00BF6730">
        <w:t xml:space="preserve"> </w:t>
      </w:r>
      <w:r w:rsidRPr="00BF6730">
        <w:t xml:space="preserve">both were limited to 12 months of maintenance therapy. Patients who initiate treatment in the first year of listing are assumed to remain on treatment for an average of 2.64 years. Given that </w:t>
      </w:r>
      <w:r w:rsidR="00804E48">
        <w:t>0.1%</w:t>
      </w:r>
      <w:r w:rsidRPr="00BF6730">
        <w:t xml:space="preserve"> </w:t>
      </w:r>
      <w:r w:rsidR="005D2C87" w:rsidRPr="00BF6730">
        <w:t>TAC</w:t>
      </w:r>
      <w:r w:rsidRPr="00BF6730">
        <w:t xml:space="preserve"> is indicated for intermittent use for the shortest duration necessary, th</w:t>
      </w:r>
      <w:r w:rsidR="00804E48">
        <w:t>e submission</w:t>
      </w:r>
      <w:r w:rsidRPr="00BF6730">
        <w:t xml:space="preserve"> likely overestimated the use and cost. </w:t>
      </w:r>
    </w:p>
    <w:p w14:paraId="393FCF33" w14:textId="57F7C78A" w:rsidR="00505BD5" w:rsidRPr="00BF6730" w:rsidRDefault="00505BD5" w:rsidP="00505BD5">
      <w:pPr>
        <w:pStyle w:val="3-BodyText"/>
        <w:rPr>
          <w:color w:val="0066FF"/>
        </w:rPr>
      </w:pPr>
      <w:r w:rsidRPr="00BF6730">
        <w:t xml:space="preserve">In the market share approach, the submission assumed a script replacement rate of </w:t>
      </w:r>
      <w:r w:rsidR="00804E48">
        <w:t xml:space="preserve">1% </w:t>
      </w:r>
      <w:r w:rsidR="002C49AC">
        <w:t>PIM</w:t>
      </w:r>
      <w:r w:rsidR="002C49AC" w:rsidRPr="00BF6730">
        <w:t xml:space="preserve"> </w:t>
      </w:r>
      <w:r w:rsidRPr="00BF6730">
        <w:t xml:space="preserve">to </w:t>
      </w:r>
      <w:r w:rsidR="00804E48">
        <w:t>0.1%</w:t>
      </w:r>
      <w:r w:rsidRPr="00BF6730">
        <w:t xml:space="preserve"> </w:t>
      </w:r>
      <w:r w:rsidR="005D2C87" w:rsidRPr="00BF6730">
        <w:t>TAC</w:t>
      </w:r>
      <w:r w:rsidRPr="00BF6730">
        <w:t xml:space="preserve"> of 2:1. This was consistent with the equi-effective dose applied in the CMA</w:t>
      </w:r>
      <w:r w:rsidR="008C739C" w:rsidRPr="00BF6730">
        <w:t xml:space="preserve">. </w:t>
      </w:r>
      <w:r w:rsidRPr="00BF6730">
        <w:t xml:space="preserve">  </w:t>
      </w:r>
    </w:p>
    <w:p w14:paraId="5FFC9CC2" w14:textId="03BF0654" w:rsidR="00505BD5" w:rsidRPr="00BF6730" w:rsidRDefault="00505BD5" w:rsidP="00505BD5">
      <w:pPr>
        <w:pStyle w:val="3-BodyText"/>
      </w:pPr>
      <w:bookmarkStart w:id="123" w:name="_Ref204606496"/>
      <w:r w:rsidRPr="007403D6">
        <w:t xml:space="preserve">The </w:t>
      </w:r>
      <w:r w:rsidR="0029609E" w:rsidRPr="007403D6">
        <w:t>ESC noted that the</w:t>
      </w:r>
      <w:r w:rsidR="0029609E">
        <w:t xml:space="preserve"> </w:t>
      </w:r>
      <w:r w:rsidRPr="00BF6730">
        <w:t xml:space="preserve">cost savings to the PBS/RPBS were driven by the assumption that, of patients derived from the epidemiological approach who were satisfied with </w:t>
      </w:r>
      <w:r w:rsidR="00804E48">
        <w:t xml:space="preserve">0.1% </w:t>
      </w:r>
      <w:r w:rsidR="005D2C87" w:rsidRPr="00BF6730">
        <w:t>TAC</w:t>
      </w:r>
      <w:r w:rsidRPr="00BF6730">
        <w:t xml:space="preserve"> treatment (65%),</w:t>
      </w:r>
      <w:r w:rsidRPr="00BF6730">
        <w:fldChar w:fldCharType="begin"/>
      </w:r>
      <w:r w:rsidRPr="00BF6730">
        <w:instrText xml:space="preserve"> NOTEREF _Ref197952693 \f \h </w:instrText>
      </w:r>
      <w:r w:rsidR="00BF6730" w:rsidRPr="00BF6730">
        <w:instrText xml:space="preserve"> \* MERGEFORMAT </w:instrText>
      </w:r>
      <w:r w:rsidRPr="00BF6730">
        <w:fldChar w:fldCharType="separate"/>
      </w:r>
      <w:r w:rsidR="00124226" w:rsidRPr="00124226">
        <w:rPr>
          <w:rStyle w:val="FootnoteReference"/>
        </w:rPr>
        <w:t>36</w:t>
      </w:r>
      <w:r w:rsidRPr="00BF6730">
        <w:fldChar w:fldCharType="end"/>
      </w:r>
      <w:r w:rsidRPr="00BF6730">
        <w:t xml:space="preserve"> 9% and 2%% of patients would avoid dupilumab or upadacitinib, respectively.  </w:t>
      </w:r>
      <w:r w:rsidR="0080254D" w:rsidRPr="00BF6730">
        <w:t>The following</w:t>
      </w:r>
      <w:r w:rsidRPr="00BF6730">
        <w:t xml:space="preserve"> uncertainties were noted during the evaluation:</w:t>
      </w:r>
      <w:bookmarkEnd w:id="123"/>
    </w:p>
    <w:p w14:paraId="7916B862" w14:textId="38F3C8EE" w:rsidR="00505BD5" w:rsidRPr="007403D6" w:rsidRDefault="00505BD5" w:rsidP="00C0701D">
      <w:pPr>
        <w:pStyle w:val="ListParagraph"/>
        <w:numPr>
          <w:ilvl w:val="1"/>
          <w:numId w:val="15"/>
        </w:numPr>
        <w:ind w:left="1080"/>
        <w:jc w:val="both"/>
      </w:pPr>
      <w:r w:rsidRPr="007403D6">
        <w:t xml:space="preserve">The </w:t>
      </w:r>
      <w:r w:rsidR="0080254D" w:rsidRPr="007403D6">
        <w:t xml:space="preserve">number </w:t>
      </w:r>
      <w:r w:rsidRPr="007403D6">
        <w:t xml:space="preserve">of patients </w:t>
      </w:r>
      <w:r w:rsidR="0080254D" w:rsidRPr="007403D6">
        <w:t xml:space="preserve">assumed to </w:t>
      </w:r>
      <w:r w:rsidRPr="007403D6">
        <w:t xml:space="preserve">have avoided dupilumab or upadacitinib treatment </w:t>
      </w:r>
      <w:r w:rsidR="0080254D" w:rsidRPr="007403D6">
        <w:t xml:space="preserve">was </w:t>
      </w:r>
      <w:r w:rsidRPr="007403D6">
        <w:t xml:space="preserve">uncertain as no data </w:t>
      </w:r>
      <w:r w:rsidR="0080254D" w:rsidRPr="007403D6">
        <w:t>were</w:t>
      </w:r>
      <w:r w:rsidRPr="007403D6">
        <w:t xml:space="preserve"> presented to support this reduction</w:t>
      </w:r>
      <w:r w:rsidR="005E2A65" w:rsidRPr="007403D6">
        <w:t>. Additionally,</w:t>
      </w:r>
      <w:r w:rsidRPr="007403D6">
        <w:t xml:space="preserve"> </w:t>
      </w:r>
      <w:r w:rsidR="00804E48">
        <w:t>0.1%</w:t>
      </w:r>
      <w:r w:rsidRPr="007403D6">
        <w:t xml:space="preserve"> </w:t>
      </w:r>
      <w:r w:rsidR="005D2C87" w:rsidRPr="007403D6">
        <w:t>TAC</w:t>
      </w:r>
      <w:r w:rsidRPr="007403D6">
        <w:t xml:space="preserve"> treatment may delay</w:t>
      </w:r>
      <w:r w:rsidR="005E2A65" w:rsidRPr="007403D6">
        <w:t>,</w:t>
      </w:r>
      <w:r w:rsidRPr="007403D6">
        <w:t xml:space="preserve"> rather than </w:t>
      </w:r>
      <w:r w:rsidR="005E2A65" w:rsidRPr="007403D6">
        <w:t>replace</w:t>
      </w:r>
      <w:r w:rsidR="001B0C52" w:rsidRPr="007403D6">
        <w:t>, subsequent treatment</w:t>
      </w:r>
      <w:r w:rsidRPr="007403D6">
        <w:t xml:space="preserve">. </w:t>
      </w:r>
      <w:r w:rsidR="001B056B" w:rsidRPr="007403D6">
        <w:t xml:space="preserve">The PSCR stated that </w:t>
      </w:r>
      <w:r w:rsidR="00BF4A98" w:rsidRPr="007403D6">
        <w:t xml:space="preserve">even if 0.1% TAC delays, rather than replaces, </w:t>
      </w:r>
      <w:r w:rsidR="00782B07" w:rsidRPr="007403D6">
        <w:t xml:space="preserve">subsequent </w:t>
      </w:r>
      <w:r w:rsidR="00BF4A98" w:rsidRPr="007403D6">
        <w:t xml:space="preserve">systemic therapy, it would still deliver substantial PBS savings </w:t>
      </w:r>
      <w:r w:rsidR="00782B07" w:rsidRPr="007403D6">
        <w:t>due to the significantly lower annual cost of 0.1% TAC.</w:t>
      </w:r>
      <w:r w:rsidR="008C2FED" w:rsidRPr="008C2FED">
        <w:t xml:space="preserve"> </w:t>
      </w:r>
      <w:r w:rsidR="008C2FED">
        <w:t>The PBAC considered that satisfaction with 0.1% TAC does not directly translate to avoiding the use of systemic therapies.</w:t>
      </w:r>
    </w:p>
    <w:p w14:paraId="77AC75BE" w14:textId="28120C65" w:rsidR="00505BD5" w:rsidRPr="007403D6" w:rsidRDefault="00505BD5" w:rsidP="00C0701D">
      <w:pPr>
        <w:pStyle w:val="ListParagraph"/>
        <w:numPr>
          <w:ilvl w:val="1"/>
          <w:numId w:val="15"/>
        </w:numPr>
        <w:ind w:left="1080"/>
        <w:jc w:val="both"/>
      </w:pPr>
      <w:r w:rsidRPr="007403D6">
        <w:t>Use of dupilumab and upadacitinib was based on a survey of eczema patients with unspecified disease severity.</w:t>
      </w:r>
      <w:r w:rsidR="00B01DAF" w:rsidRPr="007403D6">
        <w:fldChar w:fldCharType="begin"/>
      </w:r>
      <w:r w:rsidR="00B01DAF" w:rsidRPr="007403D6">
        <w:instrText xml:space="preserve"> NOTEREF _Ref197951953 \f \h </w:instrText>
      </w:r>
      <w:r w:rsidR="00F86916" w:rsidRPr="007403D6">
        <w:instrText xml:space="preserve"> \* MERGEFORMAT </w:instrText>
      </w:r>
      <w:r w:rsidR="00B01DAF" w:rsidRPr="007403D6">
        <w:fldChar w:fldCharType="separate"/>
      </w:r>
      <w:r w:rsidR="00124226" w:rsidRPr="00124226">
        <w:rPr>
          <w:rStyle w:val="FootnoteReference"/>
        </w:rPr>
        <w:t>37</w:t>
      </w:r>
      <w:r w:rsidR="00B01DAF" w:rsidRPr="007403D6">
        <w:fldChar w:fldCharType="end"/>
      </w:r>
      <w:r w:rsidRPr="007403D6">
        <w:t xml:space="preserve"> This source has uncertain applicability to patients in the proposed setting who are eligible for dupilumab or upadacitinib (i.e. chronic severe AD). </w:t>
      </w:r>
    </w:p>
    <w:p w14:paraId="2E2DFAD4" w14:textId="4802A02D" w:rsidR="00505BD5" w:rsidRPr="007403D6" w:rsidRDefault="00505BD5" w:rsidP="00C0701D">
      <w:pPr>
        <w:pStyle w:val="ListParagraph"/>
        <w:numPr>
          <w:ilvl w:val="1"/>
          <w:numId w:val="15"/>
        </w:numPr>
        <w:ind w:left="1080"/>
        <w:jc w:val="both"/>
      </w:pPr>
      <w:r w:rsidRPr="00BF6730">
        <w:t>The cost savings also assume patients receive continuous dupilumab or upadacitinib treatment. This may not be reasonable given that patients must meet treatment response continuing criteria to continue using dupilumab or upadacitinib. PSDs suggest that 40% and 30% of patients did not respond to initial treatment for dupilumab and upadacitinib, respectively (Table 19, dupilumab PSD, March 2020 PBAC Meeting and Table 16, upadacitinib PSD, July 2021 PBAC Meeting).</w:t>
      </w:r>
      <w:r w:rsidR="00A2221A">
        <w:t xml:space="preserve"> </w:t>
      </w:r>
      <w:r w:rsidR="00A2221A" w:rsidRPr="007403D6">
        <w:t xml:space="preserve">The PSCR stated that </w:t>
      </w:r>
      <w:r w:rsidR="005C7225" w:rsidRPr="007403D6">
        <w:t>PBS data for dupilumab show high persistence, supporting a full-year cost assumption.</w:t>
      </w:r>
    </w:p>
    <w:p w14:paraId="0ABC1D0E" w14:textId="2F8E5494" w:rsidR="00D15E95" w:rsidRDefault="00D15E95" w:rsidP="00A0261A">
      <w:pPr>
        <w:pStyle w:val="3-BodyText"/>
        <w:numPr>
          <w:ilvl w:val="0"/>
          <w:numId w:val="0"/>
        </w:numPr>
        <w:ind w:left="720"/>
      </w:pPr>
      <w:r w:rsidRPr="00D15E95">
        <w:rPr>
          <w:i/>
          <w:iCs/>
        </w:rPr>
        <w:t>For more detail on PBAC’s view, see section 7 PBAC outcome.</w:t>
      </w:r>
    </w:p>
    <w:p w14:paraId="4EF5DC59" w14:textId="77777777" w:rsidR="00B77173" w:rsidRPr="0090150D" w:rsidRDefault="00B77173" w:rsidP="00B77173">
      <w:pPr>
        <w:pStyle w:val="2-SectionHeading"/>
        <w:numPr>
          <w:ilvl w:val="0"/>
          <w:numId w:val="1"/>
        </w:numPr>
      </w:pPr>
      <w:bookmarkStart w:id="124" w:name="_Hlk76381249"/>
      <w:r w:rsidRPr="0090150D">
        <w:t>PBAC Outcome</w:t>
      </w:r>
    </w:p>
    <w:p w14:paraId="0275364B" w14:textId="7EBE6B3F" w:rsidR="00912C60" w:rsidRDefault="00766330" w:rsidP="00B77173">
      <w:pPr>
        <w:widowControl w:val="0"/>
        <w:numPr>
          <w:ilvl w:val="1"/>
          <w:numId w:val="1"/>
        </w:numPr>
        <w:spacing w:after="120"/>
        <w:rPr>
          <w:rFonts w:asciiTheme="minorHAnsi" w:hAnsiTheme="minorHAnsi"/>
          <w:snapToGrid w:val="0"/>
          <w:lang w:val="en-GB"/>
        </w:rPr>
      </w:pPr>
      <w:bookmarkStart w:id="125" w:name="_Hlk111543188"/>
      <w:r>
        <w:rPr>
          <w:rFonts w:asciiTheme="minorHAnsi" w:hAnsiTheme="minorHAnsi"/>
          <w:snapToGrid w:val="0"/>
          <w:lang w:val="en-GB"/>
        </w:rPr>
        <w:t xml:space="preserve">The PBAC recommended </w:t>
      </w:r>
      <w:r w:rsidR="00F13C31">
        <w:rPr>
          <w:rFonts w:asciiTheme="minorHAnsi" w:hAnsiTheme="minorHAnsi"/>
          <w:snapToGrid w:val="0"/>
          <w:lang w:val="en-GB"/>
        </w:rPr>
        <w:t xml:space="preserve">0.1% </w:t>
      </w:r>
      <w:r w:rsidR="003245C3">
        <w:rPr>
          <w:rFonts w:asciiTheme="minorHAnsi" w:hAnsiTheme="minorHAnsi"/>
          <w:snapToGrid w:val="0"/>
          <w:lang w:val="en-GB"/>
        </w:rPr>
        <w:t>tacrolimus</w:t>
      </w:r>
      <w:r w:rsidR="0095405C">
        <w:rPr>
          <w:rFonts w:asciiTheme="minorHAnsi" w:hAnsiTheme="minorHAnsi"/>
          <w:snapToGrid w:val="0"/>
          <w:lang w:val="en-GB"/>
        </w:rPr>
        <w:t xml:space="preserve"> (TAC)</w:t>
      </w:r>
      <w:r w:rsidR="00B84654">
        <w:rPr>
          <w:rFonts w:asciiTheme="minorHAnsi" w:hAnsiTheme="minorHAnsi"/>
          <w:snapToGrid w:val="0"/>
          <w:lang w:val="en-GB"/>
        </w:rPr>
        <w:t xml:space="preserve"> ointment </w:t>
      </w:r>
      <w:r w:rsidR="00CE4D04">
        <w:rPr>
          <w:rFonts w:asciiTheme="minorHAnsi" w:hAnsiTheme="minorHAnsi"/>
          <w:snapToGrid w:val="0"/>
          <w:lang w:val="en-GB"/>
        </w:rPr>
        <w:t xml:space="preserve">be listed on the PBS as a General Schedule Authority Required (Streamlined) listing </w:t>
      </w:r>
      <w:r w:rsidR="00B84654">
        <w:rPr>
          <w:rFonts w:asciiTheme="minorHAnsi" w:hAnsiTheme="minorHAnsi"/>
          <w:snapToGrid w:val="0"/>
          <w:lang w:val="en-GB"/>
        </w:rPr>
        <w:t xml:space="preserve">for the treatment of moderate to </w:t>
      </w:r>
      <w:r w:rsidR="00B84654" w:rsidRPr="0016551B">
        <w:rPr>
          <w:rFonts w:asciiTheme="minorHAnsi" w:hAnsiTheme="minorHAnsi"/>
          <w:snapToGrid w:val="0"/>
          <w:lang w:val="en-GB"/>
        </w:rPr>
        <w:t>severe atopic dermatitis (AD)</w:t>
      </w:r>
      <w:r w:rsidR="00B5759B" w:rsidRPr="0016551B">
        <w:rPr>
          <w:rFonts w:asciiTheme="minorHAnsi" w:hAnsiTheme="minorHAnsi"/>
          <w:snapToGrid w:val="0"/>
          <w:lang w:val="en-GB"/>
        </w:rPr>
        <w:t xml:space="preserve"> </w:t>
      </w:r>
      <w:r w:rsidR="00A9608D" w:rsidRPr="0016551B">
        <w:rPr>
          <w:rFonts w:asciiTheme="minorHAnsi" w:hAnsiTheme="minorHAnsi"/>
          <w:snapToGrid w:val="0"/>
          <w:lang w:val="en-GB"/>
        </w:rPr>
        <w:t>affecting the body, face and eyelids</w:t>
      </w:r>
      <w:r w:rsidR="00890953" w:rsidRPr="0016551B">
        <w:rPr>
          <w:rFonts w:asciiTheme="minorHAnsi" w:hAnsiTheme="minorHAnsi"/>
          <w:snapToGrid w:val="0"/>
          <w:lang w:val="en-GB"/>
        </w:rPr>
        <w:t xml:space="preserve">. </w:t>
      </w:r>
      <w:r w:rsidR="00823070" w:rsidRPr="0016551B">
        <w:rPr>
          <w:rFonts w:asciiTheme="minorHAnsi" w:hAnsiTheme="minorHAnsi"/>
          <w:snapToGrid w:val="0"/>
          <w:lang w:val="en-GB"/>
        </w:rPr>
        <w:t xml:space="preserve">The PBAC noted that the submission </w:t>
      </w:r>
      <w:r w:rsidR="00EC67A0" w:rsidRPr="0016551B">
        <w:rPr>
          <w:rFonts w:asciiTheme="minorHAnsi" w:hAnsiTheme="minorHAnsi"/>
          <w:snapToGrid w:val="0"/>
          <w:lang w:val="en-GB"/>
        </w:rPr>
        <w:t>nominated</w:t>
      </w:r>
      <w:r w:rsidR="00823070" w:rsidRPr="0016551B">
        <w:rPr>
          <w:rFonts w:asciiTheme="minorHAnsi" w:hAnsiTheme="minorHAnsi"/>
          <w:snapToGrid w:val="0"/>
          <w:lang w:val="en-GB"/>
        </w:rPr>
        <w:t xml:space="preserve"> two comparators, </w:t>
      </w:r>
      <w:r w:rsidR="003B23F6" w:rsidRPr="0016551B">
        <w:rPr>
          <w:rFonts w:asciiTheme="minorHAnsi" w:hAnsiTheme="minorHAnsi"/>
          <w:snapToGrid w:val="0"/>
          <w:lang w:val="en-GB"/>
        </w:rPr>
        <w:t xml:space="preserve">1% pimecrolimus </w:t>
      </w:r>
      <w:r w:rsidR="004B2E80" w:rsidRPr="0016551B">
        <w:rPr>
          <w:rFonts w:asciiTheme="minorHAnsi" w:hAnsiTheme="minorHAnsi"/>
          <w:snapToGrid w:val="0"/>
          <w:lang w:val="en-GB"/>
        </w:rPr>
        <w:t>(PIM)</w:t>
      </w:r>
      <w:r w:rsidR="003B23F6" w:rsidRPr="0016551B">
        <w:rPr>
          <w:rFonts w:asciiTheme="minorHAnsi" w:hAnsiTheme="minorHAnsi"/>
          <w:snapToGrid w:val="0"/>
          <w:lang w:val="en-GB"/>
        </w:rPr>
        <w:t xml:space="preserve"> cream for the treatment of moderately severe flares on the face and eyelids and vehicle ointment</w:t>
      </w:r>
      <w:r w:rsidR="00823070" w:rsidRPr="0016551B">
        <w:rPr>
          <w:rFonts w:asciiTheme="minorHAnsi" w:hAnsiTheme="minorHAnsi"/>
          <w:snapToGrid w:val="0"/>
          <w:lang w:val="en-GB"/>
        </w:rPr>
        <w:t xml:space="preserve"> </w:t>
      </w:r>
      <w:r w:rsidR="00D26CE9" w:rsidRPr="0016551B">
        <w:rPr>
          <w:rFonts w:asciiTheme="minorHAnsi" w:hAnsiTheme="minorHAnsi"/>
          <w:snapToGrid w:val="0"/>
          <w:lang w:val="en-GB"/>
        </w:rPr>
        <w:t>(VO)</w:t>
      </w:r>
      <w:r w:rsidR="003B23F6" w:rsidRPr="0016551B">
        <w:rPr>
          <w:rFonts w:asciiTheme="minorHAnsi" w:hAnsiTheme="minorHAnsi"/>
          <w:snapToGrid w:val="0"/>
          <w:lang w:val="en-GB"/>
        </w:rPr>
        <w:t xml:space="preserve"> </w:t>
      </w:r>
      <w:r w:rsidR="00D92D1C" w:rsidRPr="0016551B">
        <w:rPr>
          <w:rFonts w:asciiTheme="minorHAnsi" w:hAnsiTheme="minorHAnsi"/>
          <w:snapToGrid w:val="0"/>
          <w:lang w:val="en-GB"/>
        </w:rPr>
        <w:t xml:space="preserve">for flare and maintenance treatment of moderate to severe AD on the </w:t>
      </w:r>
      <w:r w:rsidR="000B6918" w:rsidRPr="0016551B">
        <w:rPr>
          <w:rFonts w:asciiTheme="minorHAnsi" w:hAnsiTheme="minorHAnsi"/>
          <w:snapToGrid w:val="0"/>
          <w:lang w:val="en-GB"/>
        </w:rPr>
        <w:t>body and sever</w:t>
      </w:r>
      <w:r w:rsidR="004B2E80" w:rsidRPr="0016551B">
        <w:rPr>
          <w:rFonts w:asciiTheme="minorHAnsi" w:hAnsiTheme="minorHAnsi"/>
          <w:snapToGrid w:val="0"/>
          <w:lang w:val="en-GB"/>
        </w:rPr>
        <w:t>e</w:t>
      </w:r>
      <w:r w:rsidR="000B6918" w:rsidRPr="0016551B">
        <w:rPr>
          <w:rFonts w:asciiTheme="minorHAnsi" w:hAnsiTheme="minorHAnsi"/>
          <w:snapToGrid w:val="0"/>
          <w:lang w:val="en-GB"/>
        </w:rPr>
        <w:t xml:space="preserve"> AD on the </w:t>
      </w:r>
      <w:r w:rsidR="00D26CE9" w:rsidRPr="0016551B">
        <w:rPr>
          <w:rFonts w:asciiTheme="minorHAnsi" w:hAnsiTheme="minorHAnsi"/>
          <w:snapToGrid w:val="0"/>
          <w:lang w:val="en-GB"/>
        </w:rPr>
        <w:t xml:space="preserve">face and eyelids. </w:t>
      </w:r>
      <w:r w:rsidR="00276793" w:rsidRPr="0016551B">
        <w:rPr>
          <w:rFonts w:asciiTheme="minorHAnsi" w:hAnsiTheme="minorHAnsi"/>
          <w:snapToGrid w:val="0"/>
          <w:lang w:val="en-GB"/>
        </w:rPr>
        <w:t xml:space="preserve">The </w:t>
      </w:r>
      <w:r w:rsidR="00CE7C7E" w:rsidRPr="0016551B">
        <w:rPr>
          <w:rFonts w:asciiTheme="minorHAnsi" w:hAnsiTheme="minorHAnsi"/>
          <w:snapToGrid w:val="0"/>
          <w:lang w:val="en-GB"/>
        </w:rPr>
        <w:t xml:space="preserve">PBAC </w:t>
      </w:r>
      <w:r w:rsidR="00C71065" w:rsidRPr="0016551B">
        <w:rPr>
          <w:rFonts w:asciiTheme="minorHAnsi" w:hAnsiTheme="minorHAnsi"/>
          <w:snapToGrid w:val="0"/>
          <w:lang w:val="en-GB"/>
        </w:rPr>
        <w:t xml:space="preserve">considered that 0.1% TAC was likely non-inferior in terms of efficacy and safety compared to 1% PIM </w:t>
      </w:r>
      <w:r w:rsidR="00C06979" w:rsidRPr="0016551B">
        <w:rPr>
          <w:rFonts w:asciiTheme="minorHAnsi" w:hAnsiTheme="minorHAnsi"/>
          <w:snapToGrid w:val="0"/>
          <w:lang w:val="en-GB"/>
        </w:rPr>
        <w:t xml:space="preserve">and accepted the cost minimisation approach presented for this comparison. </w:t>
      </w:r>
      <w:r w:rsidR="00E93D47" w:rsidRPr="0016551B">
        <w:rPr>
          <w:rFonts w:asciiTheme="minorHAnsi" w:hAnsiTheme="minorHAnsi"/>
          <w:snapToGrid w:val="0"/>
          <w:lang w:val="en-GB"/>
        </w:rPr>
        <w:t xml:space="preserve">The PBAC did not </w:t>
      </w:r>
      <w:r w:rsidR="003D77F9" w:rsidRPr="0016551B">
        <w:rPr>
          <w:rFonts w:asciiTheme="minorHAnsi" w:hAnsiTheme="minorHAnsi"/>
          <w:snapToGrid w:val="0"/>
          <w:lang w:val="en-GB"/>
        </w:rPr>
        <w:t>consider</w:t>
      </w:r>
      <w:r w:rsidR="00E93D47" w:rsidRPr="0016551B">
        <w:rPr>
          <w:rFonts w:asciiTheme="minorHAnsi" w:hAnsiTheme="minorHAnsi"/>
          <w:snapToGrid w:val="0"/>
          <w:lang w:val="en-GB"/>
        </w:rPr>
        <w:t xml:space="preserve"> VO</w:t>
      </w:r>
      <w:r w:rsidR="003D77F9" w:rsidRPr="0016551B">
        <w:rPr>
          <w:rFonts w:asciiTheme="minorHAnsi" w:hAnsiTheme="minorHAnsi"/>
          <w:snapToGrid w:val="0"/>
          <w:lang w:val="en-GB"/>
        </w:rPr>
        <w:t xml:space="preserve"> to be an app</w:t>
      </w:r>
      <w:r w:rsidR="00266056" w:rsidRPr="0016551B">
        <w:rPr>
          <w:rFonts w:asciiTheme="minorHAnsi" w:hAnsiTheme="minorHAnsi"/>
          <w:snapToGrid w:val="0"/>
          <w:lang w:val="en-GB"/>
        </w:rPr>
        <w:t>ropriate com</w:t>
      </w:r>
      <w:r w:rsidR="009A086C" w:rsidRPr="0016551B">
        <w:rPr>
          <w:rFonts w:asciiTheme="minorHAnsi" w:hAnsiTheme="minorHAnsi"/>
          <w:snapToGrid w:val="0"/>
          <w:lang w:val="en-GB"/>
        </w:rPr>
        <w:t>parator</w:t>
      </w:r>
      <w:r w:rsidR="00E93D47" w:rsidRPr="0016551B">
        <w:rPr>
          <w:rFonts w:asciiTheme="minorHAnsi" w:hAnsiTheme="minorHAnsi"/>
          <w:snapToGrid w:val="0"/>
          <w:lang w:val="en-GB"/>
        </w:rPr>
        <w:t xml:space="preserve">. </w:t>
      </w:r>
      <w:r w:rsidR="00E70037" w:rsidRPr="0016551B">
        <w:rPr>
          <w:rFonts w:asciiTheme="minorHAnsi" w:hAnsiTheme="minorHAnsi"/>
          <w:snapToGrid w:val="0"/>
          <w:lang w:val="en-GB"/>
        </w:rPr>
        <w:t>T</w:t>
      </w:r>
      <w:r w:rsidR="00C95988" w:rsidRPr="0016551B">
        <w:rPr>
          <w:rFonts w:asciiTheme="minorHAnsi" w:hAnsiTheme="minorHAnsi"/>
          <w:snapToGrid w:val="0"/>
          <w:lang w:val="en-GB"/>
        </w:rPr>
        <w:t xml:space="preserve">he PBAC considered standard </w:t>
      </w:r>
      <w:r w:rsidR="00827B5C" w:rsidRPr="0016551B">
        <w:rPr>
          <w:rFonts w:asciiTheme="minorHAnsi" w:hAnsiTheme="minorHAnsi"/>
          <w:snapToGrid w:val="0"/>
          <w:lang w:val="en-GB"/>
        </w:rPr>
        <w:t xml:space="preserve">medical </w:t>
      </w:r>
      <w:r w:rsidR="00C95988" w:rsidRPr="0016551B">
        <w:rPr>
          <w:rFonts w:asciiTheme="minorHAnsi" w:hAnsiTheme="minorHAnsi"/>
          <w:snapToGrid w:val="0"/>
          <w:lang w:val="en-GB"/>
        </w:rPr>
        <w:t xml:space="preserve">management, which would include </w:t>
      </w:r>
      <w:r w:rsidR="00827B5C" w:rsidRPr="0016551B">
        <w:rPr>
          <w:rFonts w:asciiTheme="minorHAnsi" w:hAnsiTheme="minorHAnsi"/>
          <w:snapToGrid w:val="0"/>
          <w:lang w:val="en-GB"/>
        </w:rPr>
        <w:t>topical corticosteroid (</w:t>
      </w:r>
      <w:r w:rsidR="00C95988" w:rsidRPr="0016551B">
        <w:rPr>
          <w:rFonts w:asciiTheme="minorHAnsi" w:hAnsiTheme="minorHAnsi"/>
          <w:snapToGrid w:val="0"/>
          <w:lang w:val="en-GB"/>
        </w:rPr>
        <w:t>TCS</w:t>
      </w:r>
      <w:r w:rsidR="00827B5C" w:rsidRPr="0016551B">
        <w:rPr>
          <w:rFonts w:asciiTheme="minorHAnsi" w:hAnsiTheme="minorHAnsi"/>
          <w:snapToGrid w:val="0"/>
          <w:lang w:val="en-GB"/>
        </w:rPr>
        <w:t>) treatments</w:t>
      </w:r>
      <w:r w:rsidR="00C95988" w:rsidRPr="0016551B">
        <w:rPr>
          <w:rFonts w:asciiTheme="minorHAnsi" w:hAnsiTheme="minorHAnsi"/>
          <w:snapToGrid w:val="0"/>
          <w:lang w:val="en-GB"/>
        </w:rPr>
        <w:t xml:space="preserve">, to be </w:t>
      </w:r>
      <w:r w:rsidR="008D3241" w:rsidRPr="0016551B">
        <w:rPr>
          <w:rFonts w:asciiTheme="minorHAnsi" w:hAnsiTheme="minorHAnsi"/>
          <w:snapToGrid w:val="0"/>
          <w:lang w:val="en-GB"/>
        </w:rPr>
        <w:t>a more</w:t>
      </w:r>
      <w:r w:rsidR="00C95988" w:rsidRPr="0016551B">
        <w:rPr>
          <w:rFonts w:asciiTheme="minorHAnsi" w:hAnsiTheme="minorHAnsi"/>
          <w:snapToGrid w:val="0"/>
          <w:lang w:val="en-GB"/>
        </w:rPr>
        <w:t xml:space="preserve"> appropriate comparator, noting that broad use of 0.1% TAC is expected and, in a substantial proportion of patients, it is likely that 0.1% TAC would be used as an alternative to moderate to high potency TCS</w:t>
      </w:r>
      <w:r w:rsidR="00EC67A0" w:rsidRPr="0016551B">
        <w:rPr>
          <w:rFonts w:asciiTheme="minorHAnsi" w:hAnsiTheme="minorHAnsi"/>
          <w:snapToGrid w:val="0"/>
          <w:lang w:val="en-GB"/>
        </w:rPr>
        <w:t>.</w:t>
      </w:r>
      <w:r w:rsidR="00C95988" w:rsidRPr="0016551B">
        <w:rPr>
          <w:rFonts w:asciiTheme="minorHAnsi" w:hAnsiTheme="minorHAnsi"/>
          <w:snapToGrid w:val="0"/>
          <w:lang w:val="en-GB"/>
        </w:rPr>
        <w:t xml:space="preserve"> </w:t>
      </w:r>
      <w:r w:rsidR="00090B87" w:rsidRPr="0016551B">
        <w:rPr>
          <w:rFonts w:asciiTheme="minorHAnsi" w:hAnsiTheme="minorHAnsi"/>
          <w:snapToGrid w:val="0"/>
          <w:lang w:val="en-GB"/>
        </w:rPr>
        <w:t>Noting the issues with the comparative data presented in the submission</w:t>
      </w:r>
      <w:r w:rsidR="00AB7BA6" w:rsidRPr="0016551B">
        <w:rPr>
          <w:rFonts w:asciiTheme="minorHAnsi" w:hAnsiTheme="minorHAnsi"/>
          <w:snapToGrid w:val="0"/>
          <w:lang w:val="en-GB"/>
        </w:rPr>
        <w:t xml:space="preserve"> </w:t>
      </w:r>
      <w:r w:rsidR="00753CD6" w:rsidRPr="0016551B">
        <w:rPr>
          <w:rFonts w:asciiTheme="minorHAnsi" w:hAnsiTheme="minorHAnsi"/>
          <w:snapToGrid w:val="0"/>
          <w:lang w:val="en-GB"/>
        </w:rPr>
        <w:t xml:space="preserve">the PBAC </w:t>
      </w:r>
      <w:r w:rsidR="00AD181A" w:rsidRPr="0016551B">
        <w:rPr>
          <w:rFonts w:asciiTheme="minorHAnsi" w:hAnsiTheme="minorHAnsi"/>
          <w:snapToGrid w:val="0"/>
          <w:lang w:val="en-GB"/>
        </w:rPr>
        <w:t>accepted, based on the results of</w:t>
      </w:r>
      <w:r w:rsidR="00753CD6" w:rsidRPr="0016551B">
        <w:rPr>
          <w:rFonts w:asciiTheme="minorHAnsi" w:hAnsiTheme="minorHAnsi"/>
          <w:snapToGrid w:val="0"/>
          <w:lang w:val="en-GB"/>
        </w:rPr>
        <w:t xml:space="preserve"> </w:t>
      </w:r>
      <w:r w:rsidR="00C414CC" w:rsidRPr="0016551B">
        <w:rPr>
          <w:rFonts w:asciiTheme="minorHAnsi" w:hAnsiTheme="minorHAnsi"/>
          <w:snapToGrid w:val="0"/>
          <w:lang w:val="en-GB"/>
        </w:rPr>
        <w:t>meta-analyses</w:t>
      </w:r>
      <w:r w:rsidR="00827B5C" w:rsidRPr="0016551B">
        <w:rPr>
          <w:rFonts w:asciiTheme="minorHAnsi" w:hAnsiTheme="minorHAnsi"/>
          <w:snapToGrid w:val="0"/>
          <w:lang w:val="en-GB"/>
        </w:rPr>
        <w:t>,</w:t>
      </w:r>
      <w:r w:rsidR="00C414CC" w:rsidRPr="0016551B">
        <w:rPr>
          <w:rFonts w:asciiTheme="minorHAnsi" w:hAnsiTheme="minorHAnsi"/>
          <w:snapToGrid w:val="0"/>
          <w:lang w:val="en-GB"/>
        </w:rPr>
        <w:t xml:space="preserve"> that </w:t>
      </w:r>
      <w:r w:rsidR="007C5096" w:rsidRPr="0016551B">
        <w:rPr>
          <w:rFonts w:asciiTheme="minorHAnsi" w:hAnsiTheme="minorHAnsi"/>
          <w:snapToGrid w:val="0"/>
          <w:lang w:val="en-GB"/>
        </w:rPr>
        <w:t xml:space="preserve">0.1% TAC was likely non-inferior to standard </w:t>
      </w:r>
      <w:r w:rsidR="00546C8D" w:rsidRPr="0016551B">
        <w:rPr>
          <w:rFonts w:asciiTheme="minorHAnsi" w:hAnsiTheme="minorHAnsi"/>
          <w:snapToGrid w:val="0"/>
          <w:lang w:val="en-GB"/>
        </w:rPr>
        <w:t xml:space="preserve">medical management, including TCS. </w:t>
      </w:r>
      <w:r w:rsidR="00F32BB9" w:rsidRPr="0016551B">
        <w:rPr>
          <w:rFonts w:asciiTheme="minorHAnsi" w:hAnsiTheme="minorHAnsi"/>
          <w:snapToGrid w:val="0"/>
          <w:lang w:val="en-GB"/>
        </w:rPr>
        <w:t>The PBAC therefore</w:t>
      </w:r>
      <w:r w:rsidR="00090B87" w:rsidRPr="0016551B">
        <w:rPr>
          <w:rFonts w:asciiTheme="minorHAnsi" w:hAnsiTheme="minorHAnsi"/>
          <w:snapToGrid w:val="0"/>
          <w:lang w:val="en-GB"/>
        </w:rPr>
        <w:t xml:space="preserve"> considered </w:t>
      </w:r>
      <w:r w:rsidR="007B5338" w:rsidRPr="0016551B">
        <w:rPr>
          <w:rFonts w:asciiTheme="minorHAnsi" w:hAnsiTheme="minorHAnsi"/>
          <w:snapToGrid w:val="0"/>
          <w:lang w:val="en-GB"/>
        </w:rPr>
        <w:t>that for this comparison, a cost minimisation approach versus TCS would be appropriate</w:t>
      </w:r>
      <w:r w:rsidR="00F365B3" w:rsidRPr="0016551B">
        <w:rPr>
          <w:rFonts w:asciiTheme="minorHAnsi" w:hAnsiTheme="minorHAnsi"/>
          <w:snapToGrid w:val="0"/>
          <w:lang w:val="en-GB"/>
        </w:rPr>
        <w:t>.</w:t>
      </w:r>
      <w:r w:rsidR="008C28FE">
        <w:rPr>
          <w:rFonts w:asciiTheme="minorHAnsi" w:hAnsiTheme="minorHAnsi"/>
          <w:snapToGrid w:val="0"/>
          <w:lang w:val="en-GB"/>
        </w:rPr>
        <w:t xml:space="preserve"> </w:t>
      </w:r>
    </w:p>
    <w:bookmarkEnd w:id="125"/>
    <w:p w14:paraId="3530CC2F" w14:textId="76B818DD" w:rsidR="00B77173" w:rsidRDefault="00AC4D3F"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consumer inputs</w:t>
      </w:r>
      <w:r w:rsidR="001246FB">
        <w:rPr>
          <w:rFonts w:asciiTheme="minorHAnsi" w:hAnsiTheme="minorHAnsi"/>
          <w:snapToGrid w:val="0"/>
          <w:lang w:val="en-GB"/>
        </w:rPr>
        <w:t xml:space="preserve"> which highlighted the issues with the currently available </w:t>
      </w:r>
      <w:r w:rsidR="0011742B">
        <w:rPr>
          <w:rFonts w:asciiTheme="minorHAnsi" w:hAnsiTheme="minorHAnsi"/>
          <w:snapToGrid w:val="0"/>
          <w:lang w:val="en-GB"/>
        </w:rPr>
        <w:t xml:space="preserve">TAC </w:t>
      </w:r>
      <w:r w:rsidR="001246FB">
        <w:rPr>
          <w:rFonts w:asciiTheme="minorHAnsi" w:hAnsiTheme="minorHAnsi"/>
          <w:snapToGrid w:val="0"/>
          <w:lang w:val="en-GB"/>
        </w:rPr>
        <w:t>compounded products</w:t>
      </w:r>
      <w:r w:rsidR="00E3288D">
        <w:rPr>
          <w:rFonts w:asciiTheme="minorHAnsi" w:hAnsiTheme="minorHAnsi"/>
          <w:snapToGrid w:val="0"/>
          <w:lang w:val="en-GB"/>
        </w:rPr>
        <w:t>,</w:t>
      </w:r>
      <w:r w:rsidR="001246FB">
        <w:rPr>
          <w:rFonts w:asciiTheme="minorHAnsi" w:hAnsiTheme="minorHAnsi"/>
          <w:snapToGrid w:val="0"/>
          <w:lang w:val="en-GB"/>
        </w:rPr>
        <w:t xml:space="preserve"> includ</w:t>
      </w:r>
      <w:r w:rsidR="00536168">
        <w:rPr>
          <w:rFonts w:asciiTheme="minorHAnsi" w:hAnsiTheme="minorHAnsi"/>
          <w:snapToGrid w:val="0"/>
          <w:lang w:val="en-GB"/>
        </w:rPr>
        <w:t>ing</w:t>
      </w:r>
      <w:r w:rsidR="001246FB">
        <w:rPr>
          <w:rFonts w:asciiTheme="minorHAnsi" w:hAnsiTheme="minorHAnsi"/>
          <w:snapToGrid w:val="0"/>
          <w:lang w:val="en-GB"/>
        </w:rPr>
        <w:t xml:space="preserve"> </w:t>
      </w:r>
      <w:r w:rsidR="0035731F">
        <w:rPr>
          <w:rFonts w:asciiTheme="minorHAnsi" w:hAnsiTheme="minorHAnsi"/>
          <w:snapToGrid w:val="0"/>
          <w:lang w:val="en-GB"/>
        </w:rPr>
        <w:t>drug stability issues, secondary bacterial infections</w:t>
      </w:r>
      <w:r w:rsidR="008D3742">
        <w:rPr>
          <w:rFonts w:asciiTheme="minorHAnsi" w:hAnsiTheme="minorHAnsi"/>
          <w:snapToGrid w:val="0"/>
          <w:lang w:val="en-GB"/>
        </w:rPr>
        <w:t>,</w:t>
      </w:r>
      <w:r w:rsidR="0035731F">
        <w:rPr>
          <w:rFonts w:asciiTheme="minorHAnsi" w:hAnsiTheme="minorHAnsi"/>
          <w:snapToGrid w:val="0"/>
          <w:lang w:val="en-GB"/>
        </w:rPr>
        <w:t xml:space="preserve"> the significant cost </w:t>
      </w:r>
      <w:r w:rsidR="00EB6B8E">
        <w:rPr>
          <w:rFonts w:asciiTheme="minorHAnsi" w:hAnsiTheme="minorHAnsi"/>
          <w:snapToGrid w:val="0"/>
          <w:lang w:val="en-GB"/>
        </w:rPr>
        <w:t xml:space="preserve">and accessibility issues. The PBAC noted that </w:t>
      </w:r>
      <w:r w:rsidR="00AA2E19">
        <w:rPr>
          <w:rFonts w:asciiTheme="minorHAnsi" w:hAnsiTheme="minorHAnsi"/>
          <w:snapToGrid w:val="0"/>
          <w:lang w:val="en-GB"/>
        </w:rPr>
        <w:t xml:space="preserve">comments </w:t>
      </w:r>
      <w:r w:rsidR="002543DB">
        <w:rPr>
          <w:rFonts w:asciiTheme="minorHAnsi" w:hAnsiTheme="minorHAnsi"/>
          <w:snapToGrid w:val="0"/>
          <w:lang w:val="en-GB"/>
        </w:rPr>
        <w:t xml:space="preserve">highlighted the need for treatment options for patients who are unable to use TCS therapies. </w:t>
      </w:r>
      <w:r w:rsidR="005868FB">
        <w:rPr>
          <w:rFonts w:asciiTheme="minorHAnsi" w:hAnsiTheme="minorHAnsi"/>
          <w:snapToGrid w:val="0"/>
          <w:lang w:val="en-GB"/>
        </w:rPr>
        <w:t xml:space="preserve">The PBAC </w:t>
      </w:r>
      <w:r w:rsidR="0036685C">
        <w:rPr>
          <w:rFonts w:asciiTheme="minorHAnsi" w:hAnsiTheme="minorHAnsi"/>
          <w:snapToGrid w:val="0"/>
          <w:lang w:val="en-GB"/>
        </w:rPr>
        <w:t xml:space="preserve">also </w:t>
      </w:r>
      <w:r w:rsidR="005868FB">
        <w:rPr>
          <w:rFonts w:asciiTheme="minorHAnsi" w:hAnsiTheme="minorHAnsi"/>
          <w:snapToGrid w:val="0"/>
          <w:lang w:val="en-GB"/>
        </w:rPr>
        <w:t>considered that there was a clinical place for 0.1% TAC as an alternative to pimecrolimus for treatment of sensitive and thin skin areas such as the face and eyelids.</w:t>
      </w:r>
    </w:p>
    <w:p w14:paraId="046117C5" w14:textId="545A1D84" w:rsidR="00D64F82" w:rsidRDefault="210F1E5D" w:rsidP="10A0A639">
      <w:pPr>
        <w:widowControl w:val="0"/>
        <w:numPr>
          <w:ilvl w:val="1"/>
          <w:numId w:val="1"/>
        </w:numPr>
        <w:spacing w:after="120"/>
        <w:rPr>
          <w:rFonts w:asciiTheme="minorHAnsi" w:hAnsiTheme="minorHAnsi"/>
          <w:snapToGrid w:val="0"/>
          <w:lang w:val="en-GB"/>
        </w:rPr>
      </w:pPr>
      <w:bookmarkStart w:id="126" w:name="_Ref204600438"/>
      <w:r w:rsidRPr="10A0A639">
        <w:rPr>
          <w:rFonts w:asciiTheme="minorHAnsi" w:hAnsiTheme="minorHAnsi"/>
          <w:snapToGrid w:val="0"/>
          <w:lang w:val="en-GB"/>
        </w:rPr>
        <w:t xml:space="preserve">The PBAC noted that the </w:t>
      </w:r>
      <w:r w:rsidR="5AAD7DED" w:rsidRPr="10A0A639">
        <w:rPr>
          <w:rFonts w:asciiTheme="minorHAnsi" w:hAnsiTheme="minorHAnsi"/>
          <w:snapToGrid w:val="0"/>
          <w:lang w:val="en-GB"/>
        </w:rPr>
        <w:t xml:space="preserve">requested </w:t>
      </w:r>
      <w:r w:rsidR="1A884083" w:rsidRPr="10A0A639">
        <w:rPr>
          <w:rFonts w:asciiTheme="minorHAnsi" w:hAnsiTheme="minorHAnsi"/>
          <w:snapToGrid w:val="0"/>
          <w:lang w:val="en-GB"/>
        </w:rPr>
        <w:t>listing</w:t>
      </w:r>
      <w:r w:rsidR="00A0D2B1" w:rsidRPr="10A0A639">
        <w:rPr>
          <w:rFonts w:asciiTheme="minorHAnsi" w:hAnsiTheme="minorHAnsi"/>
          <w:snapToGrid w:val="0"/>
          <w:lang w:val="en-GB"/>
        </w:rPr>
        <w:t xml:space="preserve"> was </w:t>
      </w:r>
      <w:r w:rsidR="1F618A0D" w:rsidRPr="10A0A639">
        <w:rPr>
          <w:rFonts w:asciiTheme="minorHAnsi" w:hAnsiTheme="minorHAnsi"/>
          <w:snapToGrid w:val="0"/>
          <w:lang w:val="en-GB"/>
        </w:rPr>
        <w:t xml:space="preserve">as </w:t>
      </w:r>
      <w:r w:rsidR="74F4A5C0" w:rsidRPr="10A0A639">
        <w:rPr>
          <w:rFonts w:asciiTheme="minorHAnsi" w:hAnsiTheme="minorHAnsi"/>
          <w:snapToGrid w:val="0"/>
          <w:lang w:val="en-GB"/>
        </w:rPr>
        <w:t xml:space="preserve">a second line treatment </w:t>
      </w:r>
      <w:r w:rsidR="7F099131" w:rsidRPr="10A0A639">
        <w:rPr>
          <w:rFonts w:asciiTheme="minorHAnsi" w:hAnsiTheme="minorHAnsi"/>
          <w:snapToGrid w:val="0"/>
          <w:lang w:val="en-GB"/>
        </w:rPr>
        <w:t xml:space="preserve">of flares and as </w:t>
      </w:r>
      <w:r w:rsidR="0C4486AA" w:rsidRPr="10A0A639">
        <w:rPr>
          <w:rFonts w:asciiTheme="minorHAnsi" w:hAnsiTheme="minorHAnsi"/>
          <w:snapToGrid w:val="0"/>
          <w:lang w:val="en-GB"/>
        </w:rPr>
        <w:t xml:space="preserve">a </w:t>
      </w:r>
      <w:r w:rsidR="7F099131" w:rsidRPr="10A0A639">
        <w:rPr>
          <w:rFonts w:asciiTheme="minorHAnsi" w:hAnsiTheme="minorHAnsi"/>
          <w:snapToGrid w:val="0"/>
          <w:lang w:val="en-GB"/>
        </w:rPr>
        <w:t>maintena</w:t>
      </w:r>
      <w:r w:rsidR="0C4486AA" w:rsidRPr="10A0A639">
        <w:rPr>
          <w:rFonts w:asciiTheme="minorHAnsi" w:hAnsiTheme="minorHAnsi"/>
          <w:snapToGrid w:val="0"/>
          <w:lang w:val="en-GB"/>
        </w:rPr>
        <w:t xml:space="preserve">nce treatment </w:t>
      </w:r>
      <w:r w:rsidR="74F4A5C0" w:rsidRPr="10A0A639">
        <w:rPr>
          <w:rFonts w:asciiTheme="minorHAnsi" w:hAnsiTheme="minorHAnsi"/>
          <w:snapToGrid w:val="0"/>
          <w:lang w:val="en-GB"/>
        </w:rPr>
        <w:t xml:space="preserve">in patients who </w:t>
      </w:r>
      <w:r w:rsidR="657A2560" w:rsidRPr="10A0A639">
        <w:rPr>
          <w:rFonts w:asciiTheme="minorHAnsi" w:hAnsiTheme="minorHAnsi"/>
          <w:snapToGrid w:val="0"/>
          <w:lang w:val="en-GB"/>
        </w:rPr>
        <w:t xml:space="preserve">have </w:t>
      </w:r>
      <w:r w:rsidR="514F25AE" w:rsidRPr="10A0A639">
        <w:rPr>
          <w:rFonts w:asciiTheme="minorHAnsi" w:hAnsiTheme="minorHAnsi"/>
          <w:snapToGrid w:val="0"/>
          <w:lang w:val="en-GB"/>
        </w:rPr>
        <w:t>‘</w:t>
      </w:r>
      <w:r w:rsidR="657A2560" w:rsidRPr="10A0A639">
        <w:rPr>
          <w:rFonts w:asciiTheme="minorHAnsi" w:hAnsiTheme="minorHAnsi"/>
          <w:snapToGrid w:val="0"/>
          <w:lang w:val="en-GB"/>
        </w:rPr>
        <w:t>failed to achieve satisfactory disease control with</w:t>
      </w:r>
      <w:r w:rsidR="4FB432BF" w:rsidRPr="10A0A639">
        <w:rPr>
          <w:rFonts w:asciiTheme="minorHAnsi" w:hAnsiTheme="minorHAnsi"/>
          <w:snapToGrid w:val="0"/>
          <w:lang w:val="en-GB"/>
        </w:rPr>
        <w:t xml:space="preserve"> intermittent</w:t>
      </w:r>
      <w:r w:rsidR="657A2560" w:rsidRPr="10A0A639">
        <w:rPr>
          <w:rFonts w:asciiTheme="minorHAnsi" w:hAnsiTheme="minorHAnsi"/>
          <w:snapToGrid w:val="0"/>
          <w:lang w:val="en-GB"/>
        </w:rPr>
        <w:t xml:space="preserve"> </w:t>
      </w:r>
      <w:r w:rsidR="2F777326" w:rsidRPr="10A0A639">
        <w:rPr>
          <w:rFonts w:asciiTheme="minorHAnsi" w:hAnsiTheme="minorHAnsi"/>
          <w:snapToGrid w:val="0"/>
          <w:lang w:val="en-GB"/>
        </w:rPr>
        <w:t xml:space="preserve">(moderate or potent) </w:t>
      </w:r>
      <w:r w:rsidR="657A2560" w:rsidRPr="10A0A639">
        <w:rPr>
          <w:rFonts w:asciiTheme="minorHAnsi" w:hAnsiTheme="minorHAnsi"/>
          <w:snapToGrid w:val="0"/>
          <w:lang w:val="en-GB"/>
        </w:rPr>
        <w:t>TCS</w:t>
      </w:r>
      <w:r w:rsidR="2F777326" w:rsidRPr="10A0A639">
        <w:rPr>
          <w:rFonts w:asciiTheme="minorHAnsi" w:hAnsiTheme="minorHAnsi"/>
          <w:snapToGrid w:val="0"/>
          <w:lang w:val="en-GB"/>
        </w:rPr>
        <w:t xml:space="preserve"> therapy</w:t>
      </w:r>
      <w:r w:rsidR="376D7153" w:rsidRPr="10A0A639">
        <w:rPr>
          <w:rFonts w:asciiTheme="minorHAnsi" w:hAnsiTheme="minorHAnsi"/>
          <w:snapToGrid w:val="0"/>
          <w:lang w:val="en-GB"/>
        </w:rPr>
        <w:t>’</w:t>
      </w:r>
      <w:r w:rsidR="657A2560" w:rsidRPr="10A0A639">
        <w:rPr>
          <w:rFonts w:asciiTheme="minorHAnsi" w:hAnsiTheme="minorHAnsi"/>
          <w:snapToGrid w:val="0"/>
          <w:lang w:val="en-GB"/>
        </w:rPr>
        <w:t xml:space="preserve"> or</w:t>
      </w:r>
      <w:r w:rsidR="64CF3558" w:rsidRPr="10A0A639" w:rsidDel="00E952FF">
        <w:rPr>
          <w:rFonts w:asciiTheme="minorHAnsi" w:hAnsiTheme="minorHAnsi"/>
          <w:snapToGrid w:val="0"/>
          <w:lang w:val="en-GB"/>
        </w:rPr>
        <w:t xml:space="preserve"> </w:t>
      </w:r>
      <w:r w:rsidR="354C8CE2" w:rsidRPr="10A0A639">
        <w:rPr>
          <w:rFonts w:asciiTheme="minorHAnsi" w:hAnsiTheme="minorHAnsi"/>
          <w:snapToGrid w:val="0"/>
          <w:lang w:val="en-GB"/>
        </w:rPr>
        <w:t xml:space="preserve">as a first line treatment for patients </w:t>
      </w:r>
      <w:r w:rsidR="64CF3558" w:rsidRPr="10A0A639">
        <w:rPr>
          <w:rFonts w:asciiTheme="minorHAnsi" w:hAnsiTheme="minorHAnsi"/>
          <w:snapToGrid w:val="0"/>
          <w:lang w:val="en-GB"/>
        </w:rPr>
        <w:t>who were</w:t>
      </w:r>
      <w:r w:rsidR="657A2560" w:rsidRPr="10A0A639">
        <w:rPr>
          <w:rFonts w:asciiTheme="minorHAnsi" w:hAnsiTheme="minorHAnsi"/>
          <w:snapToGrid w:val="0"/>
          <w:lang w:val="en-GB"/>
        </w:rPr>
        <w:t xml:space="preserve"> </w:t>
      </w:r>
      <w:r w:rsidR="376D7153" w:rsidRPr="10A0A639">
        <w:rPr>
          <w:rFonts w:asciiTheme="minorHAnsi" w:hAnsiTheme="minorHAnsi"/>
          <w:snapToGrid w:val="0"/>
          <w:lang w:val="en-GB"/>
        </w:rPr>
        <w:t>‘</w:t>
      </w:r>
      <w:r w:rsidR="30A17AF0" w:rsidRPr="10A0A639">
        <w:rPr>
          <w:rFonts w:asciiTheme="minorHAnsi" w:hAnsiTheme="minorHAnsi"/>
          <w:snapToGrid w:val="0"/>
          <w:lang w:val="en-GB"/>
        </w:rPr>
        <w:t xml:space="preserve">considered </w:t>
      </w:r>
      <w:r w:rsidR="6059C0BC" w:rsidRPr="10A0A639">
        <w:rPr>
          <w:rFonts w:asciiTheme="minorHAnsi" w:hAnsiTheme="minorHAnsi"/>
          <w:snapToGrid w:val="0"/>
          <w:lang w:val="en-GB"/>
        </w:rPr>
        <w:t>uns</w:t>
      </w:r>
      <w:r w:rsidR="0A4D028D" w:rsidRPr="10A0A639">
        <w:rPr>
          <w:rFonts w:asciiTheme="minorHAnsi" w:hAnsiTheme="minorHAnsi"/>
          <w:snapToGrid w:val="0"/>
          <w:lang w:val="en-GB"/>
        </w:rPr>
        <w:t>uitable/</w:t>
      </w:r>
      <w:r w:rsidR="07CF7E66" w:rsidRPr="10A0A639">
        <w:rPr>
          <w:rFonts w:asciiTheme="minorHAnsi" w:hAnsiTheme="minorHAnsi"/>
          <w:snapToGrid w:val="0"/>
          <w:lang w:val="en-GB"/>
        </w:rPr>
        <w:t xml:space="preserve">contraindicated to </w:t>
      </w:r>
      <w:r w:rsidR="657A2560" w:rsidRPr="10A0A639">
        <w:rPr>
          <w:rFonts w:asciiTheme="minorHAnsi" w:hAnsiTheme="minorHAnsi"/>
          <w:snapToGrid w:val="0"/>
          <w:lang w:val="en-GB"/>
        </w:rPr>
        <w:t>TCS</w:t>
      </w:r>
      <w:r w:rsidR="5E9797B6" w:rsidRPr="10A0A639">
        <w:rPr>
          <w:rFonts w:asciiTheme="minorHAnsi" w:hAnsiTheme="minorHAnsi"/>
          <w:snapToGrid w:val="0"/>
          <w:lang w:val="en-GB"/>
        </w:rPr>
        <w:t xml:space="preserve"> therapy</w:t>
      </w:r>
      <w:r w:rsidR="376D7153" w:rsidRPr="10A0A639">
        <w:rPr>
          <w:rFonts w:asciiTheme="minorHAnsi" w:hAnsiTheme="minorHAnsi"/>
          <w:snapToGrid w:val="0"/>
          <w:lang w:val="en-GB"/>
        </w:rPr>
        <w:t>’</w:t>
      </w:r>
      <w:r w:rsidR="182A4D54" w:rsidRPr="10A0A639">
        <w:rPr>
          <w:rFonts w:asciiTheme="minorHAnsi" w:hAnsiTheme="minorHAnsi"/>
          <w:snapToGrid w:val="0"/>
          <w:lang w:val="en-GB"/>
        </w:rPr>
        <w:t xml:space="preserve">. </w:t>
      </w:r>
      <w:r w:rsidR="5E9797B6" w:rsidRPr="10A0A639">
        <w:rPr>
          <w:rFonts w:asciiTheme="minorHAnsi" w:hAnsiTheme="minorHAnsi"/>
          <w:snapToGrid w:val="0"/>
          <w:lang w:val="en-GB"/>
        </w:rPr>
        <w:t>Noting that</w:t>
      </w:r>
      <w:r w:rsidR="182A4D54" w:rsidRPr="10A0A639">
        <w:rPr>
          <w:rFonts w:asciiTheme="minorHAnsi" w:hAnsiTheme="minorHAnsi"/>
          <w:snapToGrid w:val="0"/>
          <w:lang w:val="en-GB"/>
        </w:rPr>
        <w:t xml:space="preserve"> </w:t>
      </w:r>
      <w:r w:rsidR="684D21CE" w:rsidRPr="10A0A639">
        <w:rPr>
          <w:rFonts w:asciiTheme="minorHAnsi" w:hAnsiTheme="minorHAnsi"/>
          <w:snapToGrid w:val="0"/>
          <w:lang w:val="en-GB"/>
        </w:rPr>
        <w:t>contraindications and adverse events to TCS are rare</w:t>
      </w:r>
      <w:r w:rsidR="4C16F353" w:rsidRPr="10A0A639">
        <w:rPr>
          <w:rFonts w:asciiTheme="minorHAnsi" w:hAnsiTheme="minorHAnsi"/>
          <w:snapToGrid w:val="0"/>
          <w:lang w:val="en-GB"/>
        </w:rPr>
        <w:t xml:space="preserve"> and, in a population suitable for topical treatments, TCS are effective when appropriate dosage and durations are used</w:t>
      </w:r>
      <w:r w:rsidR="684D21CE" w:rsidRPr="10A0A639">
        <w:rPr>
          <w:rFonts w:asciiTheme="minorHAnsi" w:hAnsiTheme="minorHAnsi"/>
          <w:snapToGrid w:val="0"/>
          <w:lang w:val="en-GB"/>
        </w:rPr>
        <w:t>, t</w:t>
      </w:r>
      <w:r w:rsidR="666882FF" w:rsidRPr="10A0A639">
        <w:rPr>
          <w:rFonts w:asciiTheme="minorHAnsi" w:hAnsiTheme="minorHAnsi"/>
          <w:snapToGrid w:val="0"/>
          <w:lang w:val="en-GB"/>
        </w:rPr>
        <w:t xml:space="preserve">he PBAC considered </w:t>
      </w:r>
      <w:r w:rsidR="4C16F353" w:rsidRPr="10A0A639">
        <w:rPr>
          <w:rFonts w:asciiTheme="minorHAnsi" w:hAnsiTheme="minorHAnsi"/>
          <w:snapToGrid w:val="0"/>
          <w:lang w:val="en-GB"/>
        </w:rPr>
        <w:t xml:space="preserve">that </w:t>
      </w:r>
      <w:r w:rsidR="666882FF" w:rsidRPr="10A0A639">
        <w:rPr>
          <w:rFonts w:asciiTheme="minorHAnsi" w:hAnsiTheme="minorHAnsi"/>
          <w:snapToGrid w:val="0"/>
          <w:lang w:val="en-GB"/>
        </w:rPr>
        <w:t>th</w:t>
      </w:r>
      <w:r w:rsidR="4C16F353" w:rsidRPr="10A0A639">
        <w:rPr>
          <w:rFonts w:asciiTheme="minorHAnsi" w:hAnsiTheme="minorHAnsi"/>
          <w:snapToGrid w:val="0"/>
          <w:lang w:val="en-GB"/>
        </w:rPr>
        <w:t>e proposed restriction</w:t>
      </w:r>
      <w:r w:rsidR="666882FF" w:rsidRPr="10A0A639">
        <w:rPr>
          <w:rFonts w:asciiTheme="minorHAnsi" w:hAnsiTheme="minorHAnsi"/>
          <w:snapToGrid w:val="0"/>
          <w:lang w:val="en-GB"/>
        </w:rPr>
        <w:t xml:space="preserve"> </w:t>
      </w:r>
      <w:r w:rsidR="48657F2C" w:rsidRPr="10A0A639">
        <w:rPr>
          <w:rFonts w:asciiTheme="minorHAnsi" w:hAnsiTheme="minorHAnsi"/>
          <w:snapToGrid w:val="0"/>
          <w:lang w:val="en-GB"/>
        </w:rPr>
        <w:t>defined</w:t>
      </w:r>
      <w:r w:rsidR="666882FF" w:rsidRPr="10A0A639">
        <w:rPr>
          <w:rFonts w:asciiTheme="minorHAnsi" w:hAnsiTheme="minorHAnsi"/>
          <w:snapToGrid w:val="0"/>
          <w:lang w:val="en-GB"/>
        </w:rPr>
        <w:t xml:space="preserve"> a relatively small proportion of patients</w:t>
      </w:r>
      <w:r w:rsidR="20500EA8" w:rsidRPr="10A0A639">
        <w:rPr>
          <w:rFonts w:asciiTheme="minorHAnsi" w:hAnsiTheme="minorHAnsi"/>
          <w:snapToGrid w:val="0"/>
          <w:lang w:val="en-GB"/>
        </w:rPr>
        <w:t xml:space="preserve"> (see paragraph </w:t>
      </w:r>
      <w:r w:rsidR="00D22BD2" w:rsidRPr="10A0A639">
        <w:rPr>
          <w:rFonts w:asciiTheme="minorHAnsi" w:hAnsiTheme="minorHAnsi"/>
          <w:snapToGrid w:val="0"/>
          <w:lang w:val="en-GB"/>
        </w:rPr>
        <w:fldChar w:fldCharType="begin"/>
      </w:r>
      <w:r w:rsidR="00D22BD2" w:rsidRPr="10A0A639">
        <w:rPr>
          <w:rFonts w:asciiTheme="minorHAnsi" w:hAnsiTheme="minorHAnsi"/>
          <w:snapToGrid w:val="0"/>
          <w:lang w:val="en-GB"/>
        </w:rPr>
        <w:instrText xml:space="preserve"> REF _Ref204602710 \r \h </w:instrText>
      </w:r>
      <w:r w:rsidR="00D22BD2" w:rsidRPr="10A0A639">
        <w:rPr>
          <w:rFonts w:asciiTheme="minorHAnsi" w:hAnsiTheme="minorHAnsi"/>
          <w:snapToGrid w:val="0"/>
          <w:lang w:val="en-GB"/>
        </w:rPr>
      </w:r>
      <w:r w:rsidR="00D22BD2" w:rsidRPr="10A0A639">
        <w:rPr>
          <w:rFonts w:asciiTheme="minorHAnsi" w:hAnsiTheme="minorHAnsi"/>
          <w:snapToGrid w:val="0"/>
          <w:lang w:val="en-GB"/>
        </w:rPr>
        <w:fldChar w:fldCharType="separate"/>
      </w:r>
      <w:r w:rsidR="00124226">
        <w:rPr>
          <w:rFonts w:asciiTheme="minorHAnsi" w:hAnsiTheme="minorHAnsi"/>
          <w:snapToGrid w:val="0"/>
          <w:lang w:val="en-GB"/>
        </w:rPr>
        <w:t>4.7</w:t>
      </w:r>
      <w:r w:rsidR="00D22BD2" w:rsidRPr="10A0A639">
        <w:rPr>
          <w:rFonts w:asciiTheme="minorHAnsi" w:hAnsiTheme="minorHAnsi"/>
          <w:snapToGrid w:val="0"/>
          <w:lang w:val="en-GB"/>
        </w:rPr>
        <w:fldChar w:fldCharType="end"/>
      </w:r>
      <w:r w:rsidR="303FE9B5" w:rsidRPr="10A0A639">
        <w:rPr>
          <w:rFonts w:asciiTheme="minorHAnsi" w:hAnsiTheme="minorHAnsi"/>
          <w:snapToGrid w:val="0"/>
          <w:lang w:val="en-GB"/>
        </w:rPr>
        <w:t>)</w:t>
      </w:r>
      <w:r w:rsidR="4C16F353" w:rsidRPr="10A0A639">
        <w:rPr>
          <w:rFonts w:asciiTheme="minorHAnsi" w:hAnsiTheme="minorHAnsi"/>
          <w:snapToGrid w:val="0"/>
          <w:lang w:val="en-GB"/>
        </w:rPr>
        <w:t>.</w:t>
      </w:r>
      <w:r w:rsidR="190B64E4" w:rsidRPr="10A0A639">
        <w:rPr>
          <w:rFonts w:asciiTheme="minorHAnsi" w:hAnsiTheme="minorHAnsi"/>
          <w:snapToGrid w:val="0"/>
          <w:lang w:val="en-GB"/>
        </w:rPr>
        <w:t xml:space="preserve"> However, </w:t>
      </w:r>
      <w:r w:rsidR="5C82C3ED" w:rsidRPr="10A0A639">
        <w:rPr>
          <w:rFonts w:asciiTheme="minorHAnsi" w:hAnsiTheme="minorHAnsi"/>
          <w:snapToGrid w:val="0"/>
          <w:lang w:val="en-GB"/>
        </w:rPr>
        <w:t>t</w:t>
      </w:r>
      <w:r w:rsidR="1F618A0D" w:rsidRPr="10A0A639">
        <w:rPr>
          <w:rFonts w:asciiTheme="minorHAnsi" w:hAnsiTheme="minorHAnsi"/>
          <w:snapToGrid w:val="0"/>
          <w:lang w:val="en-GB"/>
        </w:rPr>
        <w:t>he P</w:t>
      </w:r>
      <w:r w:rsidR="248647A4" w:rsidRPr="10A0A639">
        <w:rPr>
          <w:rFonts w:asciiTheme="minorHAnsi" w:hAnsiTheme="minorHAnsi"/>
          <w:snapToGrid w:val="0"/>
          <w:lang w:val="en-GB"/>
        </w:rPr>
        <w:t xml:space="preserve">BAC </w:t>
      </w:r>
      <w:r w:rsidR="276B89ED" w:rsidRPr="10A0A639">
        <w:rPr>
          <w:rFonts w:asciiTheme="minorHAnsi" w:hAnsiTheme="minorHAnsi"/>
          <w:snapToGrid w:val="0"/>
          <w:lang w:val="en-GB"/>
        </w:rPr>
        <w:t>considered</w:t>
      </w:r>
      <w:r w:rsidR="248647A4" w:rsidRPr="10A0A639">
        <w:rPr>
          <w:rFonts w:asciiTheme="minorHAnsi" w:hAnsiTheme="minorHAnsi"/>
          <w:snapToGrid w:val="0"/>
          <w:lang w:val="en-GB"/>
        </w:rPr>
        <w:t xml:space="preserve"> that AD patients frequently do not receive an adequate level of standard car</w:t>
      </w:r>
      <w:r w:rsidR="1BEC5918" w:rsidRPr="10A0A639">
        <w:rPr>
          <w:rFonts w:asciiTheme="minorHAnsi" w:hAnsiTheme="minorHAnsi"/>
          <w:snapToGrid w:val="0"/>
          <w:lang w:val="en-GB"/>
        </w:rPr>
        <w:t>e</w:t>
      </w:r>
      <w:r w:rsidR="248647A4" w:rsidRPr="10A0A639">
        <w:rPr>
          <w:rFonts w:asciiTheme="minorHAnsi" w:hAnsiTheme="minorHAnsi"/>
          <w:snapToGrid w:val="0"/>
          <w:lang w:val="en-GB"/>
        </w:rPr>
        <w:t xml:space="preserve">, including adequate use of TCS, </w:t>
      </w:r>
      <w:r w:rsidR="0EB040AA" w:rsidRPr="10A0A639">
        <w:rPr>
          <w:rFonts w:asciiTheme="minorHAnsi" w:hAnsiTheme="minorHAnsi"/>
          <w:snapToGrid w:val="0"/>
          <w:lang w:val="en-GB"/>
        </w:rPr>
        <w:t>and hence</w:t>
      </w:r>
      <w:r w:rsidR="4C16F353" w:rsidRPr="10A0A639">
        <w:rPr>
          <w:rFonts w:asciiTheme="minorHAnsi" w:hAnsiTheme="minorHAnsi"/>
          <w:snapToGrid w:val="0"/>
          <w:lang w:val="en-GB"/>
        </w:rPr>
        <w:t>,</w:t>
      </w:r>
      <w:r w:rsidR="0EB040AA" w:rsidRPr="10A0A639">
        <w:rPr>
          <w:rFonts w:asciiTheme="minorHAnsi" w:hAnsiTheme="minorHAnsi"/>
          <w:snapToGrid w:val="0"/>
          <w:lang w:val="en-GB"/>
        </w:rPr>
        <w:t xml:space="preserve"> there is a substantial risk of </w:t>
      </w:r>
      <w:r w:rsidR="68BA5D4B" w:rsidRPr="10A0A639">
        <w:rPr>
          <w:rFonts w:asciiTheme="minorHAnsi" w:hAnsiTheme="minorHAnsi"/>
          <w:snapToGrid w:val="0"/>
          <w:lang w:val="en-GB"/>
        </w:rPr>
        <w:t xml:space="preserve">use of </w:t>
      </w:r>
      <w:r w:rsidR="1C412110" w:rsidRPr="10A0A639">
        <w:rPr>
          <w:rFonts w:asciiTheme="minorHAnsi" w:hAnsiTheme="minorHAnsi"/>
          <w:snapToGrid w:val="0"/>
          <w:lang w:val="en-GB"/>
        </w:rPr>
        <w:t xml:space="preserve">0.1% </w:t>
      </w:r>
      <w:r w:rsidR="68BA5D4B" w:rsidRPr="10A0A639">
        <w:rPr>
          <w:rFonts w:asciiTheme="minorHAnsi" w:hAnsiTheme="minorHAnsi"/>
          <w:snapToGrid w:val="0"/>
          <w:lang w:val="en-GB"/>
        </w:rPr>
        <w:t xml:space="preserve">TAC in a broad </w:t>
      </w:r>
      <w:r w:rsidR="63FAFA67" w:rsidRPr="10A0A639">
        <w:rPr>
          <w:rFonts w:asciiTheme="minorHAnsi" w:hAnsiTheme="minorHAnsi"/>
          <w:snapToGrid w:val="0"/>
          <w:lang w:val="en-GB"/>
        </w:rPr>
        <w:t xml:space="preserve">patient population. </w:t>
      </w:r>
      <w:r w:rsidR="3E834DFD" w:rsidRPr="10A0A639">
        <w:rPr>
          <w:rFonts w:asciiTheme="minorHAnsi" w:hAnsiTheme="minorHAnsi"/>
          <w:snapToGrid w:val="0"/>
          <w:lang w:val="en-GB"/>
        </w:rPr>
        <w:t>Th</w:t>
      </w:r>
      <w:r w:rsidR="2EFD639F" w:rsidRPr="10A0A639">
        <w:rPr>
          <w:rFonts w:asciiTheme="minorHAnsi" w:hAnsiTheme="minorHAnsi"/>
          <w:snapToGrid w:val="0"/>
          <w:lang w:val="en-GB"/>
        </w:rPr>
        <w:t>e PBAC considered the</w:t>
      </w:r>
      <w:r w:rsidR="3E834DFD" w:rsidRPr="10A0A639">
        <w:rPr>
          <w:rFonts w:asciiTheme="minorHAnsi" w:hAnsiTheme="minorHAnsi"/>
          <w:snapToGrid w:val="0"/>
          <w:lang w:val="en-GB"/>
        </w:rPr>
        <w:t xml:space="preserve"> risk </w:t>
      </w:r>
      <w:r w:rsidR="31D01D40" w:rsidRPr="10A0A639">
        <w:rPr>
          <w:rFonts w:asciiTheme="minorHAnsi" w:hAnsiTheme="minorHAnsi"/>
          <w:snapToGrid w:val="0"/>
          <w:lang w:val="en-GB"/>
        </w:rPr>
        <w:t xml:space="preserve">of broad use </w:t>
      </w:r>
      <w:r w:rsidR="2EFD639F" w:rsidRPr="10A0A639">
        <w:rPr>
          <w:rFonts w:asciiTheme="minorHAnsi" w:hAnsiTheme="minorHAnsi"/>
          <w:snapToGrid w:val="0"/>
          <w:lang w:val="en-GB"/>
        </w:rPr>
        <w:t>to be</w:t>
      </w:r>
      <w:r w:rsidR="3E834DFD" w:rsidRPr="10A0A639">
        <w:rPr>
          <w:rFonts w:asciiTheme="minorHAnsi" w:hAnsiTheme="minorHAnsi"/>
          <w:snapToGrid w:val="0"/>
          <w:lang w:val="en-GB"/>
        </w:rPr>
        <w:t xml:space="preserve"> </w:t>
      </w:r>
      <w:r w:rsidR="7E75261C" w:rsidRPr="10A0A639">
        <w:rPr>
          <w:rFonts w:asciiTheme="minorHAnsi" w:hAnsiTheme="minorHAnsi"/>
          <w:snapToGrid w:val="0"/>
          <w:lang w:val="en-GB"/>
        </w:rPr>
        <w:t>further increased</w:t>
      </w:r>
      <w:r w:rsidR="11D2B503" w:rsidRPr="10A0A639">
        <w:rPr>
          <w:rFonts w:asciiTheme="minorHAnsi" w:hAnsiTheme="minorHAnsi"/>
          <w:snapToGrid w:val="0"/>
          <w:lang w:val="en-GB"/>
        </w:rPr>
        <w:t xml:space="preserve"> </w:t>
      </w:r>
      <w:r w:rsidR="70DA51E8" w:rsidRPr="10A0A639">
        <w:rPr>
          <w:rFonts w:asciiTheme="minorHAnsi" w:hAnsiTheme="minorHAnsi"/>
          <w:snapToGrid w:val="0"/>
          <w:lang w:val="en-GB"/>
        </w:rPr>
        <w:t>because</w:t>
      </w:r>
      <w:r w:rsidR="5BB2BE5C" w:rsidRPr="10A0A639">
        <w:rPr>
          <w:rFonts w:asciiTheme="minorHAnsi" w:hAnsiTheme="minorHAnsi"/>
          <w:snapToGrid w:val="0"/>
          <w:lang w:val="en-GB"/>
        </w:rPr>
        <w:t xml:space="preserve"> </w:t>
      </w:r>
      <w:r w:rsidR="0C036EF8" w:rsidRPr="10A0A639">
        <w:rPr>
          <w:rFonts w:asciiTheme="minorHAnsi" w:hAnsiTheme="minorHAnsi"/>
          <w:snapToGrid w:val="0"/>
          <w:lang w:val="en-GB"/>
        </w:rPr>
        <w:t>the proposed restrictions</w:t>
      </w:r>
      <w:r w:rsidR="5D412D6D" w:rsidRPr="10A0A639">
        <w:rPr>
          <w:rFonts w:asciiTheme="minorHAnsi" w:hAnsiTheme="minorHAnsi"/>
          <w:snapToGrid w:val="0"/>
          <w:lang w:val="en-GB"/>
        </w:rPr>
        <w:t xml:space="preserve"> did not include definitions of satisfactory disease control or </w:t>
      </w:r>
      <w:r w:rsidR="5168D7FF" w:rsidRPr="10A0A639">
        <w:rPr>
          <w:rFonts w:asciiTheme="minorHAnsi" w:hAnsiTheme="minorHAnsi"/>
          <w:snapToGrid w:val="0"/>
          <w:lang w:val="en-GB"/>
        </w:rPr>
        <w:t>unsuitab</w:t>
      </w:r>
      <w:r w:rsidR="15231C72" w:rsidRPr="10A0A639">
        <w:rPr>
          <w:rFonts w:asciiTheme="minorHAnsi" w:hAnsiTheme="minorHAnsi"/>
          <w:snapToGrid w:val="0"/>
          <w:lang w:val="en-GB"/>
        </w:rPr>
        <w:t>ility</w:t>
      </w:r>
      <w:r w:rsidR="65E509C3" w:rsidRPr="10A0A639">
        <w:rPr>
          <w:rFonts w:asciiTheme="minorHAnsi" w:hAnsiTheme="minorHAnsi"/>
          <w:snapToGrid w:val="0"/>
          <w:lang w:val="en-GB"/>
        </w:rPr>
        <w:t>/contraindicat</w:t>
      </w:r>
      <w:r w:rsidR="15231C72" w:rsidRPr="10A0A639">
        <w:rPr>
          <w:rFonts w:asciiTheme="minorHAnsi" w:hAnsiTheme="minorHAnsi"/>
          <w:snapToGrid w:val="0"/>
          <w:lang w:val="en-GB"/>
        </w:rPr>
        <w:t>ion</w:t>
      </w:r>
      <w:r w:rsidR="64C26DB5" w:rsidRPr="10A0A639">
        <w:rPr>
          <w:rFonts w:asciiTheme="minorHAnsi" w:hAnsiTheme="minorHAnsi"/>
          <w:snapToGrid w:val="0"/>
          <w:lang w:val="en-GB"/>
        </w:rPr>
        <w:t>s</w:t>
      </w:r>
      <w:r w:rsidR="0B9FFD6D" w:rsidRPr="10A0A639">
        <w:rPr>
          <w:rFonts w:asciiTheme="minorHAnsi" w:hAnsiTheme="minorHAnsi"/>
          <w:snapToGrid w:val="0"/>
          <w:lang w:val="en-GB"/>
        </w:rPr>
        <w:t xml:space="preserve"> to</w:t>
      </w:r>
      <w:r w:rsidR="41635117" w:rsidRPr="10A0A639">
        <w:rPr>
          <w:rFonts w:asciiTheme="minorHAnsi" w:hAnsiTheme="minorHAnsi"/>
          <w:snapToGrid w:val="0"/>
          <w:lang w:val="en-GB"/>
        </w:rPr>
        <w:t xml:space="preserve"> TCS</w:t>
      </w:r>
      <w:r w:rsidR="38F3F295" w:rsidRPr="10A0A639">
        <w:rPr>
          <w:rFonts w:asciiTheme="minorHAnsi" w:hAnsiTheme="minorHAnsi"/>
          <w:snapToGrid w:val="0"/>
          <w:lang w:val="en-GB"/>
        </w:rPr>
        <w:t xml:space="preserve">. </w:t>
      </w:r>
      <w:r w:rsidR="482AFB5B" w:rsidRPr="10A0A639">
        <w:rPr>
          <w:rFonts w:asciiTheme="minorHAnsi" w:hAnsiTheme="minorHAnsi"/>
          <w:snapToGrid w:val="0"/>
          <w:lang w:val="en-GB"/>
        </w:rPr>
        <w:t xml:space="preserve">However, </w:t>
      </w:r>
      <w:r w:rsidR="7E18DE56" w:rsidRPr="10A0A639">
        <w:rPr>
          <w:rFonts w:asciiTheme="minorHAnsi" w:hAnsiTheme="minorHAnsi"/>
          <w:snapToGrid w:val="0"/>
          <w:lang w:val="en-GB"/>
        </w:rPr>
        <w:t>t</w:t>
      </w:r>
      <w:r w:rsidR="332D191D" w:rsidRPr="10A0A639">
        <w:rPr>
          <w:rFonts w:asciiTheme="minorHAnsi" w:hAnsiTheme="minorHAnsi"/>
          <w:snapToGrid w:val="0"/>
          <w:lang w:val="en-GB"/>
        </w:rPr>
        <w:t xml:space="preserve">he PBAC considered that even </w:t>
      </w:r>
      <w:r w:rsidR="3114F8D8" w:rsidRPr="10A0A639">
        <w:rPr>
          <w:rFonts w:asciiTheme="minorHAnsi" w:hAnsiTheme="minorHAnsi"/>
          <w:snapToGrid w:val="0"/>
          <w:lang w:val="en-GB"/>
        </w:rPr>
        <w:t xml:space="preserve">if </w:t>
      </w:r>
      <w:r w:rsidR="146A11D4" w:rsidRPr="10A0A639">
        <w:rPr>
          <w:rFonts w:asciiTheme="minorHAnsi" w:hAnsiTheme="minorHAnsi"/>
          <w:snapToGrid w:val="0"/>
          <w:lang w:val="en-GB"/>
        </w:rPr>
        <w:t xml:space="preserve">these definitions </w:t>
      </w:r>
      <w:r w:rsidR="3114F8D8" w:rsidRPr="10A0A639">
        <w:rPr>
          <w:rFonts w:asciiTheme="minorHAnsi" w:hAnsiTheme="minorHAnsi"/>
          <w:snapToGrid w:val="0"/>
          <w:lang w:val="en-GB"/>
        </w:rPr>
        <w:t xml:space="preserve">were included </w:t>
      </w:r>
      <w:r w:rsidR="146A11D4" w:rsidRPr="10A0A639">
        <w:rPr>
          <w:rFonts w:asciiTheme="minorHAnsi" w:hAnsiTheme="minorHAnsi"/>
          <w:snapToGrid w:val="0"/>
          <w:lang w:val="en-GB"/>
        </w:rPr>
        <w:t>in the restrictions</w:t>
      </w:r>
      <w:r w:rsidR="27BB11A5" w:rsidRPr="10A0A639">
        <w:rPr>
          <w:rFonts w:asciiTheme="minorHAnsi" w:hAnsiTheme="minorHAnsi"/>
          <w:snapToGrid w:val="0"/>
          <w:lang w:val="en-GB"/>
        </w:rPr>
        <w:t>,</w:t>
      </w:r>
      <w:r w:rsidR="332D191D" w:rsidRPr="10A0A639">
        <w:rPr>
          <w:rFonts w:asciiTheme="minorHAnsi" w:hAnsiTheme="minorHAnsi"/>
          <w:snapToGrid w:val="0"/>
          <w:lang w:val="en-GB"/>
        </w:rPr>
        <w:t xml:space="preserve"> there would </w:t>
      </w:r>
      <w:r w:rsidR="3B93FE57" w:rsidRPr="10A0A639">
        <w:rPr>
          <w:rFonts w:asciiTheme="minorHAnsi" w:hAnsiTheme="minorHAnsi"/>
          <w:snapToGrid w:val="0"/>
          <w:lang w:val="en-GB"/>
        </w:rPr>
        <w:t>be a significant risk of initiation outside of the intended use due to inappropriate TCS trial</w:t>
      </w:r>
      <w:r w:rsidR="31263CC6" w:rsidRPr="10A0A639">
        <w:rPr>
          <w:rFonts w:asciiTheme="minorHAnsi" w:hAnsiTheme="minorHAnsi"/>
          <w:snapToGrid w:val="0"/>
          <w:lang w:val="en-GB"/>
        </w:rPr>
        <w:t>(s)</w:t>
      </w:r>
      <w:r w:rsidR="3B93FE57" w:rsidRPr="10A0A639">
        <w:rPr>
          <w:rFonts w:asciiTheme="minorHAnsi" w:hAnsiTheme="minorHAnsi"/>
          <w:snapToGrid w:val="0"/>
          <w:lang w:val="en-GB"/>
        </w:rPr>
        <w:t xml:space="preserve"> </w:t>
      </w:r>
      <w:r w:rsidR="4ED22A91" w:rsidRPr="10A0A639">
        <w:rPr>
          <w:rFonts w:asciiTheme="minorHAnsi" w:hAnsiTheme="minorHAnsi"/>
          <w:snapToGrid w:val="0"/>
          <w:lang w:val="en-GB"/>
        </w:rPr>
        <w:t>and/</w:t>
      </w:r>
      <w:r w:rsidR="3B93FE57" w:rsidRPr="10A0A639">
        <w:rPr>
          <w:rFonts w:asciiTheme="minorHAnsi" w:hAnsiTheme="minorHAnsi"/>
          <w:snapToGrid w:val="0"/>
          <w:lang w:val="en-GB"/>
        </w:rPr>
        <w:t>or inappropriat</w:t>
      </w:r>
      <w:r w:rsidR="16F58C0D" w:rsidRPr="10A0A639">
        <w:rPr>
          <w:rFonts w:asciiTheme="minorHAnsi" w:hAnsiTheme="minorHAnsi"/>
          <w:snapToGrid w:val="0"/>
          <w:lang w:val="en-GB"/>
        </w:rPr>
        <w:t>e</w:t>
      </w:r>
      <w:r w:rsidR="3B93FE57" w:rsidRPr="10A0A639">
        <w:rPr>
          <w:rFonts w:asciiTheme="minorHAnsi" w:hAnsiTheme="minorHAnsi"/>
          <w:snapToGrid w:val="0"/>
          <w:lang w:val="en-GB"/>
        </w:rPr>
        <w:t xml:space="preserve"> patient or clinician perception </w:t>
      </w:r>
      <w:r w:rsidR="23FF3770" w:rsidRPr="10A0A639">
        <w:rPr>
          <w:rFonts w:asciiTheme="minorHAnsi" w:hAnsiTheme="minorHAnsi"/>
          <w:snapToGrid w:val="0"/>
          <w:lang w:val="en-GB"/>
        </w:rPr>
        <w:t xml:space="preserve">of </w:t>
      </w:r>
      <w:r w:rsidR="7CAD8985" w:rsidRPr="10A0A639">
        <w:rPr>
          <w:rFonts w:asciiTheme="minorHAnsi" w:hAnsiTheme="minorHAnsi"/>
          <w:snapToGrid w:val="0"/>
          <w:lang w:val="en-GB"/>
        </w:rPr>
        <w:t>unsuitability/contraindications</w:t>
      </w:r>
      <w:r w:rsidR="31263CC6" w:rsidRPr="10A0A639">
        <w:rPr>
          <w:rFonts w:asciiTheme="minorHAnsi" w:hAnsiTheme="minorHAnsi"/>
          <w:snapToGrid w:val="0"/>
          <w:lang w:val="en-GB"/>
        </w:rPr>
        <w:t xml:space="preserve"> </w:t>
      </w:r>
      <w:r w:rsidR="23FF3770" w:rsidRPr="10A0A639">
        <w:rPr>
          <w:rFonts w:asciiTheme="minorHAnsi" w:hAnsiTheme="minorHAnsi"/>
          <w:snapToGrid w:val="0"/>
          <w:lang w:val="en-GB"/>
        </w:rPr>
        <w:t xml:space="preserve">associated with TCS. </w:t>
      </w:r>
      <w:r w:rsidR="788FC952" w:rsidRPr="10A0A639">
        <w:rPr>
          <w:rFonts w:asciiTheme="minorHAnsi" w:hAnsiTheme="minorHAnsi"/>
          <w:snapToGrid w:val="0"/>
          <w:lang w:val="en-GB"/>
        </w:rPr>
        <w:t xml:space="preserve">In this context, the PBAC </w:t>
      </w:r>
      <w:r w:rsidR="7F46FC63" w:rsidRPr="10A0A639">
        <w:rPr>
          <w:rFonts w:asciiTheme="minorHAnsi" w:hAnsiTheme="minorHAnsi"/>
          <w:snapToGrid w:val="0"/>
          <w:lang w:val="en-GB"/>
        </w:rPr>
        <w:t>considered</w:t>
      </w:r>
      <w:r w:rsidR="134A7879" w:rsidRPr="10A0A639">
        <w:rPr>
          <w:rFonts w:asciiTheme="minorHAnsi" w:hAnsiTheme="minorHAnsi"/>
          <w:snapToGrid w:val="0"/>
          <w:lang w:val="en-GB"/>
        </w:rPr>
        <w:t xml:space="preserve"> </w:t>
      </w:r>
      <w:r w:rsidR="21B05CFA" w:rsidRPr="10A0A639">
        <w:rPr>
          <w:rFonts w:asciiTheme="minorHAnsi" w:hAnsiTheme="minorHAnsi"/>
          <w:snapToGrid w:val="0"/>
          <w:lang w:val="en-GB"/>
        </w:rPr>
        <w:t xml:space="preserve">including </w:t>
      </w:r>
      <w:r w:rsidR="0B6BA60E" w:rsidRPr="10A0A639">
        <w:rPr>
          <w:rFonts w:asciiTheme="minorHAnsi" w:hAnsiTheme="minorHAnsi"/>
          <w:snapToGrid w:val="0"/>
          <w:lang w:val="en-GB"/>
        </w:rPr>
        <w:t xml:space="preserve">definitions of </w:t>
      </w:r>
      <w:r w:rsidR="58ED3F2A" w:rsidRPr="10A0A639">
        <w:rPr>
          <w:rFonts w:asciiTheme="minorHAnsi" w:hAnsiTheme="minorHAnsi"/>
          <w:snapToGrid w:val="0"/>
          <w:lang w:val="en-GB"/>
        </w:rPr>
        <w:t>satisfactory</w:t>
      </w:r>
      <w:r w:rsidR="5FDB1E0D" w:rsidRPr="10A0A639">
        <w:rPr>
          <w:rFonts w:asciiTheme="minorHAnsi" w:hAnsiTheme="minorHAnsi"/>
          <w:snapToGrid w:val="0"/>
          <w:lang w:val="en-GB"/>
        </w:rPr>
        <w:t xml:space="preserve"> </w:t>
      </w:r>
      <w:r w:rsidR="7CD56875" w:rsidRPr="10A0A639">
        <w:rPr>
          <w:rFonts w:asciiTheme="minorHAnsi" w:hAnsiTheme="minorHAnsi"/>
          <w:snapToGrid w:val="0"/>
          <w:lang w:val="en-GB"/>
        </w:rPr>
        <w:t xml:space="preserve">disease </w:t>
      </w:r>
      <w:r w:rsidR="5FDB1E0D" w:rsidRPr="10A0A639">
        <w:rPr>
          <w:rFonts w:asciiTheme="minorHAnsi" w:hAnsiTheme="minorHAnsi"/>
          <w:snapToGrid w:val="0"/>
          <w:lang w:val="en-GB"/>
        </w:rPr>
        <w:t xml:space="preserve">control, </w:t>
      </w:r>
      <w:r w:rsidR="4327352A" w:rsidRPr="10A0A639">
        <w:rPr>
          <w:rFonts w:asciiTheme="minorHAnsi" w:hAnsiTheme="minorHAnsi"/>
          <w:snapToGrid w:val="0"/>
          <w:lang w:val="en-GB"/>
        </w:rPr>
        <w:t xml:space="preserve">unsuitability </w:t>
      </w:r>
      <w:r w:rsidR="35CCB661" w:rsidRPr="10A0A639">
        <w:rPr>
          <w:rFonts w:asciiTheme="minorHAnsi" w:hAnsiTheme="minorHAnsi"/>
          <w:snapToGrid w:val="0"/>
          <w:lang w:val="en-GB"/>
        </w:rPr>
        <w:t xml:space="preserve">or </w:t>
      </w:r>
      <w:r w:rsidR="58ED3F2A" w:rsidRPr="10A0A639">
        <w:rPr>
          <w:rFonts w:asciiTheme="minorHAnsi" w:hAnsiTheme="minorHAnsi"/>
          <w:snapToGrid w:val="0"/>
          <w:lang w:val="en-GB"/>
        </w:rPr>
        <w:t>contraindicat</w:t>
      </w:r>
      <w:r w:rsidR="4327352A" w:rsidRPr="10A0A639">
        <w:rPr>
          <w:rFonts w:asciiTheme="minorHAnsi" w:hAnsiTheme="minorHAnsi"/>
          <w:snapToGrid w:val="0"/>
          <w:lang w:val="en-GB"/>
        </w:rPr>
        <w:t>ion</w:t>
      </w:r>
      <w:r w:rsidR="64C26DB5" w:rsidRPr="10A0A639">
        <w:rPr>
          <w:rFonts w:asciiTheme="minorHAnsi" w:hAnsiTheme="minorHAnsi"/>
          <w:snapToGrid w:val="0"/>
          <w:lang w:val="en-GB"/>
        </w:rPr>
        <w:t>s</w:t>
      </w:r>
      <w:r w:rsidR="4327352A" w:rsidRPr="10A0A639">
        <w:rPr>
          <w:rFonts w:asciiTheme="minorHAnsi" w:hAnsiTheme="minorHAnsi"/>
          <w:snapToGrid w:val="0"/>
          <w:lang w:val="en-GB"/>
        </w:rPr>
        <w:t xml:space="preserve"> </w:t>
      </w:r>
      <w:r w:rsidR="7CD56875" w:rsidRPr="10A0A639">
        <w:rPr>
          <w:rFonts w:asciiTheme="minorHAnsi" w:hAnsiTheme="minorHAnsi"/>
          <w:snapToGrid w:val="0"/>
          <w:lang w:val="en-GB"/>
        </w:rPr>
        <w:t>to TCS</w:t>
      </w:r>
      <w:r w:rsidR="31263CC6" w:rsidRPr="10A0A639">
        <w:rPr>
          <w:rFonts w:asciiTheme="minorHAnsi" w:hAnsiTheme="minorHAnsi"/>
          <w:snapToGrid w:val="0"/>
          <w:lang w:val="en-GB"/>
        </w:rPr>
        <w:t xml:space="preserve"> in the </w:t>
      </w:r>
      <w:r w:rsidR="31EDA4A3" w:rsidRPr="10A0A639">
        <w:rPr>
          <w:rFonts w:asciiTheme="minorHAnsi" w:hAnsiTheme="minorHAnsi"/>
          <w:snapToGrid w:val="0"/>
          <w:lang w:val="en-GB"/>
        </w:rPr>
        <w:t>restrictions</w:t>
      </w:r>
      <w:r w:rsidR="020FBCAA" w:rsidRPr="10A0A639">
        <w:rPr>
          <w:rFonts w:asciiTheme="minorHAnsi" w:hAnsiTheme="minorHAnsi"/>
          <w:snapToGrid w:val="0"/>
          <w:lang w:val="en-GB"/>
        </w:rPr>
        <w:t xml:space="preserve"> </w:t>
      </w:r>
      <w:r w:rsidR="27A761EC" w:rsidRPr="10A0A639">
        <w:rPr>
          <w:rFonts w:asciiTheme="minorHAnsi" w:hAnsiTheme="minorHAnsi"/>
          <w:snapToGrid w:val="0"/>
          <w:lang w:val="en-GB"/>
        </w:rPr>
        <w:t>would</w:t>
      </w:r>
      <w:r w:rsidR="58ED3F2A" w:rsidRPr="10A0A639">
        <w:rPr>
          <w:rFonts w:asciiTheme="minorHAnsi" w:hAnsiTheme="minorHAnsi"/>
          <w:snapToGrid w:val="0"/>
          <w:lang w:val="en-GB"/>
        </w:rPr>
        <w:t xml:space="preserve"> not be </w:t>
      </w:r>
      <w:r w:rsidR="6ECF355A" w:rsidRPr="10A0A639">
        <w:rPr>
          <w:rFonts w:asciiTheme="minorHAnsi" w:hAnsiTheme="minorHAnsi"/>
          <w:snapToGrid w:val="0"/>
          <w:lang w:val="en-GB"/>
        </w:rPr>
        <w:t>of value</w:t>
      </w:r>
      <w:r w:rsidR="2C38196D" w:rsidRPr="10A0A639">
        <w:rPr>
          <w:rFonts w:asciiTheme="minorHAnsi" w:hAnsiTheme="minorHAnsi"/>
          <w:snapToGrid w:val="0"/>
          <w:lang w:val="en-GB"/>
        </w:rPr>
        <w:t>.</w:t>
      </w:r>
      <w:bookmarkEnd w:id="126"/>
    </w:p>
    <w:p w14:paraId="3EE947B1" w14:textId="3269072E" w:rsidR="00563058" w:rsidRPr="00FF22EE" w:rsidRDefault="008E6006">
      <w:pPr>
        <w:widowControl w:val="0"/>
        <w:numPr>
          <w:ilvl w:val="1"/>
          <w:numId w:val="1"/>
        </w:numPr>
        <w:spacing w:after="120"/>
        <w:rPr>
          <w:rFonts w:asciiTheme="minorHAnsi" w:hAnsiTheme="minorHAnsi"/>
          <w:snapToGrid w:val="0"/>
          <w:lang w:val="en-GB"/>
        </w:rPr>
      </w:pPr>
      <w:r w:rsidRPr="00FF22EE">
        <w:rPr>
          <w:rFonts w:asciiTheme="minorHAnsi" w:hAnsiTheme="minorHAnsi"/>
          <w:snapToGrid w:val="0"/>
          <w:lang w:val="en-GB"/>
        </w:rPr>
        <w:t xml:space="preserve">The PBAC noted that the submission </w:t>
      </w:r>
      <w:r w:rsidR="00254159" w:rsidRPr="00FF22EE">
        <w:rPr>
          <w:rFonts w:asciiTheme="minorHAnsi" w:hAnsiTheme="minorHAnsi"/>
          <w:snapToGrid w:val="0"/>
          <w:lang w:val="en-GB"/>
        </w:rPr>
        <w:t>nominated two comparators</w:t>
      </w:r>
      <w:r w:rsidR="005E2029" w:rsidRPr="00FF22EE">
        <w:rPr>
          <w:rFonts w:asciiTheme="minorHAnsi" w:hAnsiTheme="minorHAnsi"/>
          <w:snapToGrid w:val="0"/>
          <w:lang w:val="en-GB"/>
        </w:rPr>
        <w:t xml:space="preserve"> </w:t>
      </w:r>
      <w:r w:rsidR="00225723">
        <w:rPr>
          <w:rFonts w:asciiTheme="minorHAnsi" w:hAnsiTheme="minorHAnsi"/>
          <w:snapToGrid w:val="0"/>
          <w:lang w:val="en-GB"/>
        </w:rPr>
        <w:t xml:space="preserve">1% </w:t>
      </w:r>
      <w:r w:rsidR="00017C00" w:rsidRPr="00FF22EE">
        <w:rPr>
          <w:rFonts w:asciiTheme="minorHAnsi" w:hAnsiTheme="minorHAnsi"/>
          <w:snapToGrid w:val="0"/>
          <w:lang w:val="en-GB"/>
        </w:rPr>
        <w:t>PIM ointment</w:t>
      </w:r>
      <w:r w:rsidR="00697C7E" w:rsidRPr="00FF22EE">
        <w:rPr>
          <w:rFonts w:asciiTheme="minorHAnsi" w:hAnsiTheme="minorHAnsi"/>
          <w:snapToGrid w:val="0"/>
          <w:lang w:val="en-GB"/>
        </w:rPr>
        <w:t xml:space="preserve"> for use </w:t>
      </w:r>
      <w:r w:rsidR="006B4AC8" w:rsidRPr="00FF22EE">
        <w:rPr>
          <w:rFonts w:asciiTheme="minorHAnsi" w:hAnsiTheme="minorHAnsi"/>
          <w:snapToGrid w:val="0"/>
          <w:lang w:val="en-GB"/>
        </w:rPr>
        <w:t xml:space="preserve">in moderate AD </w:t>
      </w:r>
      <w:r w:rsidR="00697C7E" w:rsidRPr="00FF22EE">
        <w:rPr>
          <w:rFonts w:asciiTheme="minorHAnsi" w:hAnsiTheme="minorHAnsi"/>
          <w:snapToGrid w:val="0"/>
          <w:lang w:val="en-GB"/>
        </w:rPr>
        <w:t>on the face and eyelids only</w:t>
      </w:r>
      <w:r w:rsidR="006B4AC8" w:rsidRPr="00FF22EE">
        <w:rPr>
          <w:rFonts w:asciiTheme="minorHAnsi" w:hAnsiTheme="minorHAnsi"/>
          <w:snapToGrid w:val="0"/>
          <w:lang w:val="en-GB"/>
        </w:rPr>
        <w:t xml:space="preserve">, and </w:t>
      </w:r>
      <w:r w:rsidR="00563058" w:rsidRPr="00FF22EE">
        <w:rPr>
          <w:rFonts w:asciiTheme="minorHAnsi" w:hAnsiTheme="minorHAnsi"/>
          <w:snapToGrid w:val="0"/>
          <w:lang w:val="en-GB"/>
        </w:rPr>
        <w:t>VO</w:t>
      </w:r>
      <w:r w:rsidR="006B4AC8" w:rsidRPr="00FF22EE">
        <w:rPr>
          <w:rFonts w:asciiTheme="minorHAnsi" w:hAnsiTheme="minorHAnsi"/>
          <w:snapToGrid w:val="0"/>
          <w:lang w:val="en-GB"/>
        </w:rPr>
        <w:t xml:space="preserve"> for the remaining </w:t>
      </w:r>
      <w:r w:rsidR="002E3963" w:rsidRPr="00FF22EE">
        <w:rPr>
          <w:rFonts w:asciiTheme="minorHAnsi" w:hAnsiTheme="minorHAnsi"/>
          <w:snapToGrid w:val="0"/>
          <w:lang w:val="en-GB"/>
        </w:rPr>
        <w:t xml:space="preserve">population (moderate-severe AD on </w:t>
      </w:r>
      <w:r w:rsidR="00A46173" w:rsidRPr="00FF22EE">
        <w:rPr>
          <w:rFonts w:asciiTheme="minorHAnsi" w:hAnsiTheme="minorHAnsi"/>
          <w:snapToGrid w:val="0"/>
          <w:lang w:val="en-GB"/>
        </w:rPr>
        <w:t>the body and severe AD on the face and eyelids)</w:t>
      </w:r>
      <w:r w:rsidR="00697C7E" w:rsidRPr="00FF22EE">
        <w:rPr>
          <w:rFonts w:asciiTheme="minorHAnsi" w:hAnsiTheme="minorHAnsi"/>
          <w:snapToGrid w:val="0"/>
          <w:lang w:val="en-GB"/>
        </w:rPr>
        <w:t xml:space="preserve">. </w:t>
      </w:r>
      <w:r w:rsidR="00D34193" w:rsidRPr="00A1430D">
        <w:rPr>
          <w:rFonts w:asciiTheme="minorHAnsi" w:hAnsiTheme="minorHAnsi"/>
          <w:snapToGrid w:val="0"/>
          <w:u w:val="single" w:color="FF0000"/>
          <w:lang w:val="en-GB"/>
        </w:rPr>
        <w:t xml:space="preserve">The PBAC </w:t>
      </w:r>
      <w:r w:rsidR="00DB0C97" w:rsidRPr="00A1430D">
        <w:rPr>
          <w:rFonts w:asciiTheme="minorHAnsi" w:hAnsiTheme="minorHAnsi"/>
          <w:snapToGrid w:val="0"/>
          <w:u w:val="single" w:color="FF0000"/>
          <w:lang w:val="en-GB"/>
        </w:rPr>
        <w:t>accepted</w:t>
      </w:r>
      <w:r w:rsidR="00D34193" w:rsidRPr="00A1430D">
        <w:rPr>
          <w:rFonts w:asciiTheme="minorHAnsi" w:hAnsiTheme="minorHAnsi"/>
          <w:snapToGrid w:val="0"/>
          <w:u w:val="single" w:color="FF0000"/>
          <w:lang w:val="en-GB"/>
        </w:rPr>
        <w:t xml:space="preserve"> that 1% PIM was a reasonable comparator for use on the face and eyelids. </w:t>
      </w:r>
      <w:r w:rsidR="00802BCA" w:rsidRPr="00A1430D">
        <w:rPr>
          <w:rFonts w:asciiTheme="minorHAnsi" w:hAnsiTheme="minorHAnsi"/>
          <w:snapToGrid w:val="0"/>
          <w:u w:val="single" w:color="FF0000"/>
          <w:lang w:val="en-GB"/>
        </w:rPr>
        <w:t>However, t</w:t>
      </w:r>
      <w:r w:rsidR="00061DA0" w:rsidRPr="00A1430D">
        <w:rPr>
          <w:rFonts w:asciiTheme="minorHAnsi" w:hAnsiTheme="minorHAnsi"/>
          <w:snapToGrid w:val="0"/>
          <w:u w:val="single" w:color="FF0000"/>
          <w:lang w:val="en-GB"/>
        </w:rPr>
        <w:t>he PBAC considered</w:t>
      </w:r>
      <w:r w:rsidR="00275DAE" w:rsidRPr="00A1430D">
        <w:rPr>
          <w:rFonts w:asciiTheme="minorHAnsi" w:hAnsiTheme="minorHAnsi"/>
          <w:snapToGrid w:val="0"/>
          <w:u w:val="single" w:color="FF0000"/>
          <w:lang w:val="en-GB"/>
        </w:rPr>
        <w:t xml:space="preserve"> </w:t>
      </w:r>
      <w:r w:rsidR="00C94C35" w:rsidRPr="00A1430D">
        <w:rPr>
          <w:rFonts w:asciiTheme="minorHAnsi" w:hAnsiTheme="minorHAnsi"/>
          <w:snapToGrid w:val="0"/>
          <w:u w:val="single" w:color="FF0000"/>
          <w:lang w:val="en-GB"/>
        </w:rPr>
        <w:t xml:space="preserve">standard </w:t>
      </w:r>
      <w:r w:rsidR="00EF319E" w:rsidRPr="00A1430D">
        <w:rPr>
          <w:rFonts w:asciiTheme="minorHAnsi" w:hAnsiTheme="minorHAnsi"/>
          <w:snapToGrid w:val="0"/>
          <w:u w:val="single" w:color="FF0000"/>
          <w:lang w:val="en-GB"/>
        </w:rPr>
        <w:t>management</w:t>
      </w:r>
      <w:r w:rsidR="00941BA2" w:rsidRPr="00A1430D">
        <w:rPr>
          <w:rFonts w:asciiTheme="minorHAnsi" w:hAnsiTheme="minorHAnsi"/>
          <w:snapToGrid w:val="0"/>
          <w:u w:val="single" w:color="FF0000"/>
          <w:lang w:val="en-GB"/>
        </w:rPr>
        <w:t xml:space="preserve">, which would include </w:t>
      </w:r>
      <w:r w:rsidR="00275DAE" w:rsidRPr="00A1430D">
        <w:rPr>
          <w:rFonts w:asciiTheme="minorHAnsi" w:hAnsiTheme="minorHAnsi"/>
          <w:snapToGrid w:val="0"/>
          <w:u w:val="single" w:color="FF0000"/>
          <w:lang w:val="en-GB"/>
        </w:rPr>
        <w:t>TCS</w:t>
      </w:r>
      <w:r w:rsidR="00941BA2" w:rsidRPr="00A1430D">
        <w:rPr>
          <w:rFonts w:asciiTheme="minorHAnsi" w:hAnsiTheme="minorHAnsi"/>
          <w:snapToGrid w:val="0"/>
          <w:u w:val="single" w:color="FF0000"/>
          <w:lang w:val="en-GB"/>
        </w:rPr>
        <w:t>,</w:t>
      </w:r>
      <w:r w:rsidR="00275DAE" w:rsidRPr="00A1430D">
        <w:rPr>
          <w:rFonts w:asciiTheme="minorHAnsi" w:hAnsiTheme="minorHAnsi"/>
          <w:snapToGrid w:val="0"/>
          <w:u w:val="single" w:color="FF0000"/>
          <w:lang w:val="en-GB"/>
        </w:rPr>
        <w:t xml:space="preserve"> to be </w:t>
      </w:r>
      <w:r w:rsidR="00802BCA" w:rsidRPr="00A1430D">
        <w:rPr>
          <w:rFonts w:asciiTheme="minorHAnsi" w:hAnsiTheme="minorHAnsi"/>
          <w:snapToGrid w:val="0"/>
          <w:u w:val="single" w:color="FF0000"/>
          <w:lang w:val="en-GB"/>
        </w:rPr>
        <w:t xml:space="preserve">the appropriate main comparator for the </w:t>
      </w:r>
      <w:r w:rsidR="00EC1AE0" w:rsidRPr="00A1430D">
        <w:rPr>
          <w:rFonts w:asciiTheme="minorHAnsi" w:hAnsiTheme="minorHAnsi"/>
          <w:snapToGrid w:val="0"/>
          <w:u w:val="single" w:color="FF0000"/>
          <w:lang w:val="en-GB"/>
        </w:rPr>
        <w:t>remaining population</w:t>
      </w:r>
      <w:r w:rsidR="00EC1AE0" w:rsidRPr="00FF22EE">
        <w:rPr>
          <w:rFonts w:asciiTheme="minorHAnsi" w:hAnsiTheme="minorHAnsi"/>
          <w:snapToGrid w:val="0"/>
          <w:lang w:val="en-GB"/>
        </w:rPr>
        <w:t>, noting</w:t>
      </w:r>
      <w:r w:rsidR="00AA6D1F" w:rsidRPr="00FF22EE">
        <w:rPr>
          <w:rFonts w:asciiTheme="minorHAnsi" w:hAnsiTheme="minorHAnsi"/>
          <w:snapToGrid w:val="0"/>
          <w:lang w:val="en-GB"/>
        </w:rPr>
        <w:t xml:space="preserve"> that</w:t>
      </w:r>
      <w:r w:rsidR="00EC1AE0" w:rsidRPr="00FF22EE">
        <w:rPr>
          <w:rFonts w:asciiTheme="minorHAnsi" w:hAnsiTheme="minorHAnsi"/>
          <w:snapToGrid w:val="0"/>
          <w:lang w:val="en-GB"/>
        </w:rPr>
        <w:t xml:space="preserve"> broad use</w:t>
      </w:r>
      <w:r w:rsidR="00AA6D1F" w:rsidRPr="00FF22EE">
        <w:rPr>
          <w:rFonts w:asciiTheme="minorHAnsi" w:hAnsiTheme="minorHAnsi"/>
          <w:snapToGrid w:val="0"/>
          <w:lang w:val="en-GB"/>
        </w:rPr>
        <w:t xml:space="preserve"> of </w:t>
      </w:r>
      <w:r w:rsidR="002B2716">
        <w:rPr>
          <w:rFonts w:asciiTheme="minorHAnsi" w:hAnsiTheme="minorHAnsi"/>
          <w:snapToGrid w:val="0"/>
          <w:lang w:val="en-GB"/>
        </w:rPr>
        <w:t xml:space="preserve">0.1% </w:t>
      </w:r>
      <w:r w:rsidR="00AA6D1F" w:rsidRPr="00FF22EE">
        <w:rPr>
          <w:rFonts w:asciiTheme="minorHAnsi" w:hAnsiTheme="minorHAnsi"/>
          <w:snapToGrid w:val="0"/>
          <w:lang w:val="en-GB"/>
        </w:rPr>
        <w:t>TAC</w:t>
      </w:r>
      <w:r w:rsidR="00EC1AE0" w:rsidRPr="00FF22EE">
        <w:rPr>
          <w:rFonts w:asciiTheme="minorHAnsi" w:hAnsiTheme="minorHAnsi"/>
          <w:snapToGrid w:val="0"/>
          <w:lang w:val="en-GB"/>
        </w:rPr>
        <w:t xml:space="preserve"> is expected</w:t>
      </w:r>
      <w:r w:rsidR="00A350E1" w:rsidRPr="00FF22EE">
        <w:rPr>
          <w:rFonts w:asciiTheme="minorHAnsi" w:hAnsiTheme="minorHAnsi"/>
          <w:snapToGrid w:val="0"/>
          <w:lang w:val="en-GB"/>
        </w:rPr>
        <w:t xml:space="preserve"> and</w:t>
      </w:r>
      <w:r w:rsidR="002B2716">
        <w:rPr>
          <w:rFonts w:asciiTheme="minorHAnsi" w:hAnsiTheme="minorHAnsi"/>
          <w:snapToGrid w:val="0"/>
          <w:lang w:val="en-GB"/>
        </w:rPr>
        <w:t>,</w:t>
      </w:r>
      <w:r w:rsidR="00A350E1" w:rsidRPr="00FF22EE">
        <w:rPr>
          <w:rFonts w:asciiTheme="minorHAnsi" w:hAnsiTheme="minorHAnsi"/>
          <w:snapToGrid w:val="0"/>
          <w:lang w:val="en-GB"/>
        </w:rPr>
        <w:t xml:space="preserve"> in a substantial proportion of patients</w:t>
      </w:r>
      <w:r w:rsidR="002B2716">
        <w:rPr>
          <w:rFonts w:asciiTheme="minorHAnsi" w:hAnsiTheme="minorHAnsi"/>
          <w:snapToGrid w:val="0"/>
          <w:lang w:val="en-GB"/>
        </w:rPr>
        <w:t>,</w:t>
      </w:r>
      <w:r w:rsidR="00A350E1" w:rsidRPr="00FF22EE">
        <w:rPr>
          <w:rFonts w:asciiTheme="minorHAnsi" w:hAnsiTheme="minorHAnsi"/>
          <w:snapToGrid w:val="0"/>
          <w:lang w:val="en-GB"/>
        </w:rPr>
        <w:t xml:space="preserve"> </w:t>
      </w:r>
      <w:r w:rsidR="001138EF">
        <w:rPr>
          <w:rFonts w:asciiTheme="minorHAnsi" w:hAnsiTheme="minorHAnsi"/>
          <w:snapToGrid w:val="0"/>
          <w:lang w:val="en-GB"/>
        </w:rPr>
        <w:t xml:space="preserve">it is likely that </w:t>
      </w:r>
      <w:r w:rsidR="00225723">
        <w:rPr>
          <w:rFonts w:asciiTheme="minorHAnsi" w:hAnsiTheme="minorHAnsi"/>
          <w:snapToGrid w:val="0"/>
          <w:lang w:val="en-GB"/>
        </w:rPr>
        <w:t xml:space="preserve">0.1% </w:t>
      </w:r>
      <w:r w:rsidR="00A350E1" w:rsidRPr="00FF22EE">
        <w:rPr>
          <w:rFonts w:asciiTheme="minorHAnsi" w:hAnsiTheme="minorHAnsi"/>
          <w:snapToGrid w:val="0"/>
          <w:lang w:val="en-GB"/>
        </w:rPr>
        <w:t>TAC would be used as a</w:t>
      </w:r>
      <w:r w:rsidR="005B066B" w:rsidRPr="00FF22EE">
        <w:rPr>
          <w:rFonts w:asciiTheme="minorHAnsi" w:hAnsiTheme="minorHAnsi"/>
          <w:snapToGrid w:val="0"/>
          <w:lang w:val="en-GB"/>
        </w:rPr>
        <w:t>n</w:t>
      </w:r>
      <w:r w:rsidR="006D1640" w:rsidRPr="00FF22EE">
        <w:rPr>
          <w:rFonts w:asciiTheme="minorHAnsi" w:hAnsiTheme="minorHAnsi"/>
          <w:snapToGrid w:val="0"/>
          <w:lang w:val="en-GB"/>
        </w:rPr>
        <w:t xml:space="preserve"> </w:t>
      </w:r>
      <w:r w:rsidR="00A350E1" w:rsidRPr="00FF22EE">
        <w:rPr>
          <w:rFonts w:asciiTheme="minorHAnsi" w:hAnsiTheme="minorHAnsi"/>
          <w:snapToGrid w:val="0"/>
          <w:lang w:val="en-GB"/>
        </w:rPr>
        <w:t>alternative</w:t>
      </w:r>
      <w:r w:rsidR="006D1640" w:rsidRPr="00FF22EE">
        <w:rPr>
          <w:rFonts w:asciiTheme="minorHAnsi" w:hAnsiTheme="minorHAnsi"/>
          <w:snapToGrid w:val="0"/>
          <w:lang w:val="en-GB"/>
        </w:rPr>
        <w:t xml:space="preserve"> to</w:t>
      </w:r>
      <w:r w:rsidR="004537BF">
        <w:rPr>
          <w:rFonts w:asciiTheme="minorHAnsi" w:hAnsiTheme="minorHAnsi"/>
          <w:snapToGrid w:val="0"/>
          <w:lang w:val="en-GB"/>
        </w:rPr>
        <w:t xml:space="preserve"> moderate to high </w:t>
      </w:r>
      <w:r w:rsidR="00A07345">
        <w:rPr>
          <w:rFonts w:asciiTheme="minorHAnsi" w:hAnsiTheme="minorHAnsi"/>
          <w:snapToGrid w:val="0"/>
          <w:lang w:val="en-GB"/>
        </w:rPr>
        <w:t>potency</w:t>
      </w:r>
      <w:r w:rsidR="006D1640" w:rsidRPr="00FF22EE">
        <w:rPr>
          <w:rFonts w:asciiTheme="minorHAnsi" w:hAnsiTheme="minorHAnsi"/>
          <w:snapToGrid w:val="0"/>
          <w:lang w:val="en-GB"/>
        </w:rPr>
        <w:t xml:space="preserve"> TCS</w:t>
      </w:r>
      <w:r w:rsidR="002B2716">
        <w:rPr>
          <w:rFonts w:asciiTheme="minorHAnsi" w:hAnsiTheme="minorHAnsi"/>
          <w:snapToGrid w:val="0"/>
          <w:lang w:val="en-GB"/>
        </w:rPr>
        <w:t xml:space="preserve"> (see paragraph </w:t>
      </w:r>
      <w:r w:rsidR="00C91F87">
        <w:rPr>
          <w:rFonts w:asciiTheme="minorHAnsi" w:hAnsiTheme="minorHAnsi"/>
          <w:snapToGrid w:val="0"/>
          <w:lang w:val="en-GB"/>
        </w:rPr>
        <w:fldChar w:fldCharType="begin"/>
      </w:r>
      <w:r w:rsidR="00C91F87">
        <w:rPr>
          <w:rFonts w:asciiTheme="minorHAnsi" w:hAnsiTheme="minorHAnsi"/>
          <w:snapToGrid w:val="0"/>
          <w:lang w:val="en-GB"/>
        </w:rPr>
        <w:instrText xml:space="preserve"> REF _Ref204600438 \r \h </w:instrText>
      </w:r>
      <w:r w:rsidR="00C91F87">
        <w:rPr>
          <w:rFonts w:asciiTheme="minorHAnsi" w:hAnsiTheme="minorHAnsi"/>
          <w:snapToGrid w:val="0"/>
          <w:lang w:val="en-GB"/>
        </w:rPr>
      </w:r>
      <w:r w:rsidR="00C91F87">
        <w:rPr>
          <w:rFonts w:asciiTheme="minorHAnsi" w:hAnsiTheme="minorHAnsi"/>
          <w:snapToGrid w:val="0"/>
          <w:lang w:val="en-GB"/>
        </w:rPr>
        <w:fldChar w:fldCharType="separate"/>
      </w:r>
      <w:r w:rsidR="00124226">
        <w:rPr>
          <w:rFonts w:asciiTheme="minorHAnsi" w:hAnsiTheme="minorHAnsi"/>
          <w:snapToGrid w:val="0"/>
          <w:lang w:val="en-GB"/>
        </w:rPr>
        <w:t>7.3</w:t>
      </w:r>
      <w:r w:rsidR="00C91F87">
        <w:rPr>
          <w:rFonts w:asciiTheme="minorHAnsi" w:hAnsiTheme="minorHAnsi"/>
          <w:snapToGrid w:val="0"/>
          <w:lang w:val="en-GB"/>
        </w:rPr>
        <w:fldChar w:fldCharType="end"/>
      </w:r>
      <w:r w:rsidR="00C91F87">
        <w:rPr>
          <w:rFonts w:asciiTheme="minorHAnsi" w:hAnsiTheme="minorHAnsi"/>
          <w:snapToGrid w:val="0"/>
          <w:lang w:val="en-GB"/>
        </w:rPr>
        <w:t>)</w:t>
      </w:r>
      <w:r w:rsidR="00A350E1" w:rsidRPr="00FF22EE">
        <w:rPr>
          <w:rFonts w:asciiTheme="minorHAnsi" w:hAnsiTheme="minorHAnsi"/>
          <w:snapToGrid w:val="0"/>
          <w:lang w:val="en-GB"/>
        </w:rPr>
        <w:t>.</w:t>
      </w:r>
    </w:p>
    <w:p w14:paraId="6E33EC7F" w14:textId="33E1DD66" w:rsidR="00F51BF3" w:rsidRDefault="004635FF"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clinical evidence provided in the submission was </w:t>
      </w:r>
      <w:r w:rsidR="00B22CAA">
        <w:rPr>
          <w:rFonts w:asciiTheme="minorHAnsi" w:hAnsiTheme="minorHAnsi"/>
          <w:snapToGrid w:val="0"/>
          <w:lang w:val="en-GB"/>
        </w:rPr>
        <w:t xml:space="preserve">based on published data of old clinical trials </w:t>
      </w:r>
      <w:r w:rsidR="00EA3979">
        <w:rPr>
          <w:rFonts w:asciiTheme="minorHAnsi" w:hAnsiTheme="minorHAnsi"/>
          <w:snapToGrid w:val="0"/>
          <w:lang w:val="en-GB"/>
        </w:rPr>
        <w:t xml:space="preserve">(i.e. published more than 10 years ago) </w:t>
      </w:r>
      <w:r w:rsidR="00B22CAA">
        <w:rPr>
          <w:rFonts w:asciiTheme="minorHAnsi" w:hAnsiTheme="minorHAnsi"/>
          <w:snapToGrid w:val="0"/>
          <w:lang w:val="en-GB"/>
        </w:rPr>
        <w:t xml:space="preserve">and relied on </w:t>
      </w:r>
      <w:r w:rsidR="00B22CAA" w:rsidRPr="00764C7C">
        <w:rPr>
          <w:rFonts w:asciiTheme="minorHAnsi" w:hAnsiTheme="minorHAnsi"/>
          <w:i/>
          <w:iCs/>
          <w:snapToGrid w:val="0"/>
          <w:lang w:val="en-GB"/>
        </w:rPr>
        <w:t>post hoc</w:t>
      </w:r>
      <w:r w:rsidR="00404268">
        <w:rPr>
          <w:rFonts w:asciiTheme="minorHAnsi" w:hAnsiTheme="minorHAnsi"/>
          <w:i/>
          <w:iCs/>
          <w:snapToGrid w:val="0"/>
          <w:lang w:val="en-GB"/>
        </w:rPr>
        <w:t xml:space="preserve"> </w:t>
      </w:r>
      <w:r w:rsidR="00404268" w:rsidRPr="00404268">
        <w:rPr>
          <w:rFonts w:asciiTheme="minorHAnsi" w:hAnsiTheme="minorHAnsi"/>
          <w:snapToGrid w:val="0"/>
          <w:lang w:val="en-GB"/>
        </w:rPr>
        <w:t>subgroup</w:t>
      </w:r>
      <w:r w:rsidR="00B22CAA" w:rsidRPr="00404268">
        <w:rPr>
          <w:rFonts w:asciiTheme="minorHAnsi" w:hAnsiTheme="minorHAnsi"/>
          <w:snapToGrid w:val="0"/>
          <w:lang w:val="en-GB"/>
        </w:rPr>
        <w:t xml:space="preserve"> </w:t>
      </w:r>
      <w:r w:rsidR="00B22CAA">
        <w:rPr>
          <w:rFonts w:asciiTheme="minorHAnsi" w:hAnsiTheme="minorHAnsi"/>
          <w:snapToGrid w:val="0"/>
          <w:lang w:val="en-GB"/>
        </w:rPr>
        <w:t>analyses</w:t>
      </w:r>
      <w:r w:rsidR="004F47BD">
        <w:rPr>
          <w:rFonts w:asciiTheme="minorHAnsi" w:hAnsiTheme="minorHAnsi"/>
          <w:snapToGrid w:val="0"/>
          <w:lang w:val="en-GB"/>
        </w:rPr>
        <w:t xml:space="preserve">. </w:t>
      </w:r>
      <w:r w:rsidR="00404268">
        <w:rPr>
          <w:rFonts w:asciiTheme="minorHAnsi" w:hAnsiTheme="minorHAnsi"/>
          <w:snapToGrid w:val="0"/>
          <w:lang w:val="en-GB"/>
        </w:rPr>
        <w:t>T</w:t>
      </w:r>
      <w:r w:rsidR="00764C7C">
        <w:rPr>
          <w:rFonts w:asciiTheme="minorHAnsi" w:hAnsiTheme="minorHAnsi"/>
          <w:snapToGrid w:val="0"/>
          <w:lang w:val="en-GB"/>
        </w:rPr>
        <w:t xml:space="preserve">here were </w:t>
      </w:r>
      <w:r w:rsidR="00F81AAC">
        <w:rPr>
          <w:rFonts w:asciiTheme="minorHAnsi" w:hAnsiTheme="minorHAnsi"/>
          <w:snapToGrid w:val="0"/>
          <w:lang w:val="en-GB"/>
        </w:rPr>
        <w:t xml:space="preserve">also </w:t>
      </w:r>
      <w:r w:rsidR="00764C7C">
        <w:rPr>
          <w:rFonts w:asciiTheme="minorHAnsi" w:hAnsiTheme="minorHAnsi"/>
          <w:snapToGrid w:val="0"/>
          <w:lang w:val="en-GB"/>
        </w:rPr>
        <w:t xml:space="preserve">concerns regarding heterogeneity </w:t>
      </w:r>
      <w:r w:rsidR="00861325">
        <w:rPr>
          <w:rFonts w:asciiTheme="minorHAnsi" w:hAnsiTheme="minorHAnsi"/>
          <w:snapToGrid w:val="0"/>
          <w:lang w:val="en-GB"/>
        </w:rPr>
        <w:t xml:space="preserve">and bias </w:t>
      </w:r>
      <w:r w:rsidR="00C73C53">
        <w:rPr>
          <w:rFonts w:asciiTheme="minorHAnsi" w:hAnsiTheme="minorHAnsi"/>
          <w:snapToGrid w:val="0"/>
          <w:lang w:val="en-GB"/>
        </w:rPr>
        <w:t xml:space="preserve">between and </w:t>
      </w:r>
      <w:r w:rsidR="00764C7C">
        <w:rPr>
          <w:rFonts w:asciiTheme="minorHAnsi" w:hAnsiTheme="minorHAnsi"/>
          <w:snapToGrid w:val="0"/>
          <w:lang w:val="en-GB"/>
        </w:rPr>
        <w:t xml:space="preserve">across the </w:t>
      </w:r>
      <w:r w:rsidR="006268EF">
        <w:rPr>
          <w:rFonts w:asciiTheme="minorHAnsi" w:hAnsiTheme="minorHAnsi"/>
          <w:snapToGrid w:val="0"/>
          <w:lang w:val="en-GB"/>
        </w:rPr>
        <w:t xml:space="preserve">trials and </w:t>
      </w:r>
      <w:r w:rsidR="00764C7C">
        <w:rPr>
          <w:rFonts w:asciiTheme="minorHAnsi" w:hAnsiTheme="minorHAnsi"/>
          <w:snapToGrid w:val="0"/>
          <w:lang w:val="en-GB"/>
        </w:rPr>
        <w:t>studies</w:t>
      </w:r>
      <w:r w:rsidR="00F81AAC">
        <w:rPr>
          <w:rFonts w:asciiTheme="minorHAnsi" w:hAnsiTheme="minorHAnsi"/>
          <w:snapToGrid w:val="0"/>
          <w:lang w:val="en-GB"/>
        </w:rPr>
        <w:t xml:space="preserve"> (see paragraph </w:t>
      </w:r>
      <w:r w:rsidR="00C73C53">
        <w:rPr>
          <w:rFonts w:asciiTheme="minorHAnsi" w:hAnsiTheme="minorHAnsi"/>
          <w:snapToGrid w:val="0"/>
          <w:lang w:val="en-GB"/>
        </w:rPr>
        <w:fldChar w:fldCharType="begin"/>
      </w:r>
      <w:r w:rsidR="00C73C53">
        <w:rPr>
          <w:rFonts w:asciiTheme="minorHAnsi" w:hAnsiTheme="minorHAnsi"/>
          <w:snapToGrid w:val="0"/>
          <w:lang w:val="en-GB"/>
        </w:rPr>
        <w:instrText xml:space="preserve"> REF _Ref203995510 \r \h </w:instrText>
      </w:r>
      <w:r w:rsidR="00C73C53">
        <w:rPr>
          <w:rFonts w:asciiTheme="minorHAnsi" w:hAnsiTheme="minorHAnsi"/>
          <w:snapToGrid w:val="0"/>
          <w:lang w:val="en-GB"/>
        </w:rPr>
      </w:r>
      <w:r w:rsidR="00C73C53">
        <w:rPr>
          <w:rFonts w:asciiTheme="minorHAnsi" w:hAnsiTheme="minorHAnsi"/>
          <w:snapToGrid w:val="0"/>
          <w:lang w:val="en-GB"/>
        </w:rPr>
        <w:fldChar w:fldCharType="separate"/>
      </w:r>
      <w:r w:rsidR="00124226">
        <w:rPr>
          <w:rFonts w:asciiTheme="minorHAnsi" w:hAnsiTheme="minorHAnsi"/>
          <w:snapToGrid w:val="0"/>
          <w:lang w:val="en-GB"/>
        </w:rPr>
        <w:t>7.8</w:t>
      </w:r>
      <w:r w:rsidR="00C73C53">
        <w:rPr>
          <w:rFonts w:asciiTheme="minorHAnsi" w:hAnsiTheme="minorHAnsi"/>
          <w:snapToGrid w:val="0"/>
          <w:lang w:val="en-GB"/>
        </w:rPr>
        <w:fldChar w:fldCharType="end"/>
      </w:r>
      <w:r w:rsidR="00C73C53">
        <w:rPr>
          <w:rFonts w:asciiTheme="minorHAnsi" w:hAnsiTheme="minorHAnsi"/>
          <w:snapToGrid w:val="0"/>
          <w:lang w:val="en-GB"/>
        </w:rPr>
        <w:t>)</w:t>
      </w:r>
      <w:r w:rsidR="00F81AAC">
        <w:rPr>
          <w:rFonts w:asciiTheme="minorHAnsi" w:hAnsiTheme="minorHAnsi"/>
          <w:snapToGrid w:val="0"/>
          <w:lang w:val="en-GB"/>
        </w:rPr>
        <w:t>.</w:t>
      </w:r>
      <w:r w:rsidR="00533625">
        <w:rPr>
          <w:rFonts w:asciiTheme="minorHAnsi" w:hAnsiTheme="minorHAnsi"/>
          <w:snapToGrid w:val="0"/>
          <w:lang w:val="en-GB"/>
        </w:rPr>
        <w:t xml:space="preserve"> Further, the PBAC noted that </w:t>
      </w:r>
      <w:r w:rsidR="004C5BB2">
        <w:rPr>
          <w:rFonts w:asciiTheme="minorHAnsi" w:hAnsiTheme="minorHAnsi"/>
          <w:snapToGrid w:val="0"/>
          <w:lang w:val="en-GB"/>
        </w:rPr>
        <w:t xml:space="preserve">the trials and studies presented a variety of </w:t>
      </w:r>
      <w:r w:rsidR="001B462D">
        <w:rPr>
          <w:rFonts w:asciiTheme="minorHAnsi" w:hAnsiTheme="minorHAnsi"/>
          <w:snapToGrid w:val="0"/>
          <w:lang w:val="en-GB"/>
        </w:rPr>
        <w:t xml:space="preserve">subjective </w:t>
      </w:r>
      <w:r w:rsidR="004C5BB2">
        <w:rPr>
          <w:rFonts w:asciiTheme="minorHAnsi" w:hAnsiTheme="minorHAnsi"/>
          <w:snapToGrid w:val="0"/>
          <w:lang w:val="en-GB"/>
        </w:rPr>
        <w:t>outcomes</w:t>
      </w:r>
      <w:r w:rsidR="009F070C">
        <w:rPr>
          <w:rFonts w:asciiTheme="minorHAnsi" w:hAnsiTheme="minorHAnsi"/>
          <w:snapToGrid w:val="0"/>
          <w:lang w:val="en-GB"/>
        </w:rPr>
        <w:t xml:space="preserve">, rather than the more </w:t>
      </w:r>
      <w:r w:rsidR="00206875">
        <w:rPr>
          <w:rFonts w:asciiTheme="minorHAnsi" w:hAnsiTheme="minorHAnsi"/>
          <w:snapToGrid w:val="0"/>
          <w:lang w:val="en-GB"/>
        </w:rPr>
        <w:t>commonly used</w:t>
      </w:r>
      <w:r w:rsidR="009F070C">
        <w:rPr>
          <w:rFonts w:asciiTheme="minorHAnsi" w:hAnsiTheme="minorHAnsi"/>
          <w:snapToGrid w:val="0"/>
          <w:lang w:val="en-GB"/>
        </w:rPr>
        <w:t xml:space="preserve"> Eczema Area and Severity Index</w:t>
      </w:r>
      <w:r w:rsidR="00060131">
        <w:rPr>
          <w:rFonts w:asciiTheme="minorHAnsi" w:hAnsiTheme="minorHAnsi"/>
          <w:snapToGrid w:val="0"/>
          <w:lang w:val="en-GB"/>
        </w:rPr>
        <w:t xml:space="preserve"> (EASI).</w:t>
      </w:r>
    </w:p>
    <w:p w14:paraId="7A251A88" w14:textId="75348CAF" w:rsidR="007454A8" w:rsidRDefault="007454A8"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For the treatment of AD flares on the face and eyelids, the PBAC noted that the submission presented </w:t>
      </w:r>
      <w:r w:rsidR="00E8343C">
        <w:rPr>
          <w:rFonts w:asciiTheme="minorHAnsi" w:hAnsiTheme="minorHAnsi"/>
          <w:snapToGrid w:val="0"/>
          <w:lang w:val="en-GB"/>
        </w:rPr>
        <w:t xml:space="preserve">a </w:t>
      </w:r>
      <w:r w:rsidR="00E8343C" w:rsidRPr="00DF681C">
        <w:rPr>
          <w:rFonts w:asciiTheme="minorHAnsi" w:hAnsiTheme="minorHAnsi"/>
          <w:i/>
          <w:iCs/>
          <w:snapToGrid w:val="0"/>
          <w:lang w:val="en-GB"/>
        </w:rPr>
        <w:t>post hoc</w:t>
      </w:r>
      <w:r w:rsidR="00E8343C">
        <w:rPr>
          <w:rFonts w:asciiTheme="minorHAnsi" w:hAnsiTheme="minorHAnsi"/>
          <w:snapToGrid w:val="0"/>
          <w:lang w:val="en-GB"/>
        </w:rPr>
        <w:t xml:space="preserve"> subgroup analysis </w:t>
      </w:r>
      <w:r w:rsidR="00BA6F76">
        <w:rPr>
          <w:rFonts w:asciiTheme="minorHAnsi" w:hAnsiTheme="minorHAnsi"/>
          <w:snapToGrid w:val="0"/>
          <w:lang w:val="en-GB"/>
        </w:rPr>
        <w:t xml:space="preserve">of the </w:t>
      </w:r>
      <w:r w:rsidR="00734468">
        <w:rPr>
          <w:rFonts w:asciiTheme="minorHAnsi" w:hAnsiTheme="minorHAnsi"/>
          <w:snapToGrid w:val="0"/>
          <w:lang w:val="en-GB"/>
        </w:rPr>
        <w:t xml:space="preserve">Paller 2005 randomised trial that </w:t>
      </w:r>
      <w:r w:rsidR="00DF681C">
        <w:rPr>
          <w:rFonts w:asciiTheme="minorHAnsi" w:hAnsiTheme="minorHAnsi"/>
          <w:snapToGrid w:val="0"/>
          <w:lang w:val="en-GB"/>
        </w:rPr>
        <w:t>compar</w:t>
      </w:r>
      <w:r w:rsidR="00734468">
        <w:rPr>
          <w:rFonts w:asciiTheme="minorHAnsi" w:hAnsiTheme="minorHAnsi"/>
          <w:snapToGrid w:val="0"/>
          <w:lang w:val="en-GB"/>
        </w:rPr>
        <w:t>ed</w:t>
      </w:r>
      <w:r w:rsidR="00DF681C">
        <w:rPr>
          <w:rFonts w:asciiTheme="minorHAnsi" w:hAnsiTheme="minorHAnsi"/>
          <w:snapToGrid w:val="0"/>
          <w:lang w:val="en-GB"/>
        </w:rPr>
        <w:t xml:space="preserve"> 0.1% TAC with 1% PIM</w:t>
      </w:r>
      <w:r w:rsidR="00C12C2B">
        <w:rPr>
          <w:rFonts w:asciiTheme="minorHAnsi" w:hAnsiTheme="minorHAnsi"/>
          <w:snapToGrid w:val="0"/>
          <w:lang w:val="en-GB"/>
        </w:rPr>
        <w:t xml:space="preserve">. </w:t>
      </w:r>
      <w:r w:rsidR="00B15F29">
        <w:rPr>
          <w:rFonts w:asciiTheme="minorHAnsi" w:hAnsiTheme="minorHAnsi"/>
          <w:snapToGrid w:val="0"/>
          <w:lang w:val="en-GB"/>
        </w:rPr>
        <w:t xml:space="preserve">The PBAC noted that the </w:t>
      </w:r>
      <w:r w:rsidR="00734468">
        <w:rPr>
          <w:rFonts w:asciiTheme="minorHAnsi" w:hAnsiTheme="minorHAnsi"/>
          <w:snapToGrid w:val="0"/>
          <w:lang w:val="en-GB"/>
        </w:rPr>
        <w:t>trial</w:t>
      </w:r>
      <w:r w:rsidR="00B15F29">
        <w:rPr>
          <w:rFonts w:asciiTheme="minorHAnsi" w:hAnsiTheme="minorHAnsi"/>
          <w:snapToGrid w:val="0"/>
          <w:lang w:val="en-GB"/>
        </w:rPr>
        <w:t xml:space="preserve"> population did not align with the proposed PBS population</w:t>
      </w:r>
      <w:r w:rsidR="006140F0">
        <w:rPr>
          <w:rFonts w:asciiTheme="minorHAnsi" w:hAnsiTheme="minorHAnsi"/>
          <w:snapToGrid w:val="0"/>
          <w:lang w:val="en-GB"/>
        </w:rPr>
        <w:t xml:space="preserve">, as patients had moderate </w:t>
      </w:r>
      <w:r w:rsidR="001D2F3F">
        <w:rPr>
          <w:rFonts w:asciiTheme="minorHAnsi" w:hAnsiTheme="minorHAnsi"/>
          <w:snapToGrid w:val="0"/>
          <w:lang w:val="en-GB"/>
        </w:rPr>
        <w:t>(</w:t>
      </w:r>
      <w:r w:rsidR="006140F0">
        <w:rPr>
          <w:rFonts w:asciiTheme="minorHAnsi" w:hAnsiTheme="minorHAnsi"/>
          <w:snapToGrid w:val="0"/>
          <w:lang w:val="en-GB"/>
        </w:rPr>
        <w:t>as opposed to moderate to severe</w:t>
      </w:r>
      <w:r w:rsidR="006B26D1">
        <w:rPr>
          <w:rFonts w:asciiTheme="minorHAnsi" w:hAnsiTheme="minorHAnsi"/>
          <w:snapToGrid w:val="0"/>
          <w:lang w:val="en-GB"/>
        </w:rPr>
        <w:t>)</w:t>
      </w:r>
      <w:r w:rsidR="00734468">
        <w:rPr>
          <w:rFonts w:asciiTheme="minorHAnsi" w:hAnsiTheme="minorHAnsi"/>
          <w:snapToGrid w:val="0"/>
          <w:lang w:val="en-GB"/>
        </w:rPr>
        <w:t xml:space="preserve"> AD</w:t>
      </w:r>
      <w:r w:rsidR="006140F0" w:rsidDel="006B26D1">
        <w:rPr>
          <w:rFonts w:asciiTheme="minorHAnsi" w:hAnsiTheme="minorHAnsi"/>
          <w:snapToGrid w:val="0"/>
          <w:lang w:val="en-GB"/>
        </w:rPr>
        <w:t>,</w:t>
      </w:r>
      <w:r w:rsidR="006140F0">
        <w:rPr>
          <w:rFonts w:asciiTheme="minorHAnsi" w:hAnsiTheme="minorHAnsi"/>
          <w:snapToGrid w:val="0"/>
          <w:lang w:val="en-GB"/>
        </w:rPr>
        <w:t xml:space="preserve"> </w:t>
      </w:r>
      <w:r w:rsidR="00E306B2">
        <w:rPr>
          <w:rFonts w:asciiTheme="minorHAnsi" w:hAnsiTheme="minorHAnsi"/>
          <w:snapToGrid w:val="0"/>
          <w:lang w:val="en-GB"/>
        </w:rPr>
        <w:t>anywhere on the body, in</w:t>
      </w:r>
      <w:r w:rsidR="0057409E">
        <w:rPr>
          <w:rFonts w:asciiTheme="minorHAnsi" w:hAnsiTheme="minorHAnsi"/>
          <w:snapToGrid w:val="0"/>
          <w:lang w:val="en-GB"/>
        </w:rPr>
        <w:t>c</w:t>
      </w:r>
      <w:r w:rsidR="00E306B2">
        <w:rPr>
          <w:rFonts w:asciiTheme="minorHAnsi" w:hAnsiTheme="minorHAnsi"/>
          <w:snapToGrid w:val="0"/>
          <w:lang w:val="en-GB"/>
        </w:rPr>
        <w:t>luding the head and neck region</w:t>
      </w:r>
      <w:r w:rsidR="009B1594">
        <w:rPr>
          <w:rFonts w:asciiTheme="minorHAnsi" w:hAnsiTheme="minorHAnsi"/>
          <w:snapToGrid w:val="0"/>
          <w:lang w:val="en-GB"/>
        </w:rPr>
        <w:t>, rather than specific use on the face and eyelids</w:t>
      </w:r>
      <w:r w:rsidR="0057409E">
        <w:rPr>
          <w:rFonts w:asciiTheme="minorHAnsi" w:hAnsiTheme="minorHAnsi"/>
          <w:snapToGrid w:val="0"/>
          <w:lang w:val="en-GB"/>
        </w:rPr>
        <w:t xml:space="preserve">. Further, the PBAC noted that the population in the </w:t>
      </w:r>
      <w:r w:rsidR="00734468">
        <w:rPr>
          <w:rFonts w:asciiTheme="minorHAnsi" w:hAnsiTheme="minorHAnsi"/>
          <w:snapToGrid w:val="0"/>
          <w:lang w:val="en-GB"/>
        </w:rPr>
        <w:t>trial</w:t>
      </w:r>
      <w:r w:rsidR="0057409E">
        <w:rPr>
          <w:rFonts w:asciiTheme="minorHAnsi" w:hAnsiTheme="minorHAnsi"/>
          <w:snapToGrid w:val="0"/>
          <w:lang w:val="en-GB"/>
        </w:rPr>
        <w:t xml:space="preserve"> did </w:t>
      </w:r>
      <w:r w:rsidR="00EC10BC">
        <w:rPr>
          <w:rFonts w:asciiTheme="minorHAnsi" w:hAnsiTheme="minorHAnsi"/>
          <w:snapToGrid w:val="0"/>
          <w:lang w:val="en-GB"/>
        </w:rPr>
        <w:t>not have unsatisfactory response, intolerance o</w:t>
      </w:r>
      <w:r w:rsidR="00666FC2">
        <w:rPr>
          <w:rFonts w:asciiTheme="minorHAnsi" w:hAnsiTheme="minorHAnsi"/>
          <w:snapToGrid w:val="0"/>
          <w:lang w:val="en-GB"/>
        </w:rPr>
        <w:t>r</w:t>
      </w:r>
      <w:r w:rsidR="00EC10BC">
        <w:rPr>
          <w:rFonts w:asciiTheme="minorHAnsi" w:hAnsiTheme="minorHAnsi"/>
          <w:snapToGrid w:val="0"/>
          <w:lang w:val="en-GB"/>
        </w:rPr>
        <w:t xml:space="preserve"> contraindication to TCS use.</w:t>
      </w:r>
      <w:r w:rsidR="00E47C55">
        <w:rPr>
          <w:rFonts w:asciiTheme="minorHAnsi" w:hAnsiTheme="minorHAnsi"/>
          <w:snapToGrid w:val="0"/>
          <w:lang w:val="en-GB"/>
        </w:rPr>
        <w:t xml:space="preserve"> The PBAC noted that for treatment of the head and neck region, </w:t>
      </w:r>
      <w:r w:rsidR="00C77C59">
        <w:rPr>
          <w:rFonts w:asciiTheme="minorHAnsi" w:hAnsiTheme="minorHAnsi"/>
          <w:snapToGrid w:val="0"/>
          <w:lang w:val="en-GB"/>
        </w:rPr>
        <w:t xml:space="preserve">patients treated with 0.1% TAC </w:t>
      </w:r>
      <w:r w:rsidR="00B41F58">
        <w:rPr>
          <w:rFonts w:asciiTheme="minorHAnsi" w:hAnsiTheme="minorHAnsi"/>
          <w:snapToGrid w:val="0"/>
          <w:lang w:val="en-GB"/>
        </w:rPr>
        <w:t xml:space="preserve">has a greater </w:t>
      </w:r>
      <w:r w:rsidR="009F5BA0">
        <w:rPr>
          <w:rFonts w:asciiTheme="minorHAnsi" w:hAnsiTheme="minorHAnsi"/>
          <w:snapToGrid w:val="0"/>
          <w:lang w:val="en-GB"/>
        </w:rPr>
        <w:t xml:space="preserve">percentage </w:t>
      </w:r>
      <w:r w:rsidR="00B41F58">
        <w:rPr>
          <w:rFonts w:asciiTheme="minorHAnsi" w:hAnsiTheme="minorHAnsi"/>
          <w:snapToGrid w:val="0"/>
          <w:lang w:val="en-GB"/>
        </w:rPr>
        <w:t>improvement in the signs and symptoms of AD compared to the 1% PIM population</w:t>
      </w:r>
      <w:r w:rsidR="009F5BA0">
        <w:rPr>
          <w:rFonts w:asciiTheme="minorHAnsi" w:hAnsiTheme="minorHAnsi"/>
          <w:snapToGrid w:val="0"/>
          <w:lang w:val="en-GB"/>
        </w:rPr>
        <w:t xml:space="preserve"> after 6 weeks</w:t>
      </w:r>
      <w:r w:rsidR="0082223F">
        <w:rPr>
          <w:rFonts w:asciiTheme="minorHAnsi" w:hAnsiTheme="minorHAnsi"/>
          <w:snapToGrid w:val="0"/>
          <w:lang w:val="en-GB"/>
        </w:rPr>
        <w:t xml:space="preserve"> (75.2% versus 54.1%, p value = </w:t>
      </w:r>
      <w:r w:rsidR="009B1594">
        <w:rPr>
          <w:rFonts w:asciiTheme="minorHAnsi" w:hAnsiTheme="minorHAnsi"/>
          <w:snapToGrid w:val="0"/>
          <w:lang w:val="en-GB"/>
        </w:rPr>
        <w:t>0.04)</w:t>
      </w:r>
      <w:r w:rsidR="00B41F58">
        <w:rPr>
          <w:rFonts w:asciiTheme="minorHAnsi" w:hAnsiTheme="minorHAnsi"/>
          <w:snapToGrid w:val="0"/>
          <w:lang w:val="en-GB"/>
        </w:rPr>
        <w:t>.</w:t>
      </w:r>
      <w:r w:rsidR="00CF7B88">
        <w:rPr>
          <w:rFonts w:asciiTheme="minorHAnsi" w:hAnsiTheme="minorHAnsi"/>
          <w:snapToGrid w:val="0"/>
          <w:lang w:val="en-GB"/>
        </w:rPr>
        <w:t xml:space="preserve"> The PBAC noted that there were no significant differences in safety </w:t>
      </w:r>
      <w:r w:rsidR="00B51FD8">
        <w:rPr>
          <w:rFonts w:asciiTheme="minorHAnsi" w:hAnsiTheme="minorHAnsi"/>
          <w:snapToGrid w:val="0"/>
          <w:lang w:val="en-GB"/>
        </w:rPr>
        <w:t>between 0.1% TAC and 1% PIM.</w:t>
      </w:r>
    </w:p>
    <w:p w14:paraId="38939781" w14:textId="5051F219" w:rsidR="00B51FD8" w:rsidRDefault="00B51FD8"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Noting the</w:t>
      </w:r>
      <w:r w:rsidR="008F1DB1" w:rsidDel="00BD2FD3">
        <w:rPr>
          <w:rFonts w:asciiTheme="minorHAnsi" w:hAnsiTheme="minorHAnsi"/>
          <w:snapToGrid w:val="0"/>
          <w:lang w:val="en-GB"/>
        </w:rPr>
        <w:t xml:space="preserve"> </w:t>
      </w:r>
      <w:r>
        <w:rPr>
          <w:rFonts w:asciiTheme="minorHAnsi" w:hAnsiTheme="minorHAnsi"/>
          <w:snapToGrid w:val="0"/>
          <w:lang w:val="en-GB"/>
        </w:rPr>
        <w:t>applicability issues associated with the comparison between 0.1% TAC and 1% PI</w:t>
      </w:r>
      <w:r w:rsidR="00A64575">
        <w:rPr>
          <w:rFonts w:asciiTheme="minorHAnsi" w:hAnsiTheme="minorHAnsi"/>
          <w:snapToGrid w:val="0"/>
          <w:lang w:val="en-GB"/>
        </w:rPr>
        <w:t>M</w:t>
      </w:r>
      <w:r w:rsidR="008F1DB1">
        <w:rPr>
          <w:rFonts w:asciiTheme="minorHAnsi" w:hAnsiTheme="minorHAnsi"/>
          <w:snapToGrid w:val="0"/>
          <w:lang w:val="en-GB"/>
        </w:rPr>
        <w:t xml:space="preserve"> and the proposed PBS population</w:t>
      </w:r>
      <w:r w:rsidR="00A64575">
        <w:rPr>
          <w:rFonts w:asciiTheme="minorHAnsi" w:hAnsiTheme="minorHAnsi"/>
          <w:snapToGrid w:val="0"/>
          <w:lang w:val="en-GB"/>
        </w:rPr>
        <w:t xml:space="preserve">, the PBAC considered that </w:t>
      </w:r>
      <w:r w:rsidR="00BE7774">
        <w:rPr>
          <w:rFonts w:asciiTheme="minorHAnsi" w:hAnsiTheme="minorHAnsi"/>
          <w:snapToGrid w:val="0"/>
          <w:lang w:val="en-GB"/>
        </w:rPr>
        <w:t xml:space="preserve">on balance, </w:t>
      </w:r>
      <w:r w:rsidR="00A64575">
        <w:rPr>
          <w:rFonts w:asciiTheme="minorHAnsi" w:hAnsiTheme="minorHAnsi"/>
          <w:snapToGrid w:val="0"/>
          <w:lang w:val="en-GB"/>
        </w:rPr>
        <w:t>the treatments were likely non-inferior in terms of efficacy and safety</w:t>
      </w:r>
      <w:r w:rsidR="00BE7774">
        <w:rPr>
          <w:rFonts w:asciiTheme="minorHAnsi" w:hAnsiTheme="minorHAnsi"/>
          <w:snapToGrid w:val="0"/>
          <w:lang w:val="en-GB"/>
        </w:rPr>
        <w:t xml:space="preserve"> for the treatment of AD on the face and eyelids</w:t>
      </w:r>
      <w:r w:rsidR="00A64575">
        <w:rPr>
          <w:rFonts w:asciiTheme="minorHAnsi" w:hAnsiTheme="minorHAnsi"/>
          <w:snapToGrid w:val="0"/>
          <w:lang w:val="en-GB"/>
        </w:rPr>
        <w:t>.</w:t>
      </w:r>
    </w:p>
    <w:p w14:paraId="4CE09B20" w14:textId="49DC1572" w:rsidR="00F172A9" w:rsidRDefault="004F00E4" w:rsidP="00B77173">
      <w:pPr>
        <w:widowControl w:val="0"/>
        <w:numPr>
          <w:ilvl w:val="1"/>
          <w:numId w:val="1"/>
        </w:numPr>
        <w:spacing w:after="120"/>
        <w:rPr>
          <w:rFonts w:asciiTheme="minorHAnsi" w:hAnsiTheme="minorHAnsi"/>
          <w:snapToGrid w:val="0"/>
          <w:lang w:val="en-GB"/>
        </w:rPr>
      </w:pPr>
      <w:bookmarkStart w:id="127" w:name="_Ref203995510"/>
      <w:r>
        <w:rPr>
          <w:rFonts w:asciiTheme="minorHAnsi" w:hAnsiTheme="minorHAnsi"/>
          <w:snapToGrid w:val="0"/>
          <w:lang w:val="en-GB"/>
        </w:rPr>
        <w:t xml:space="preserve">For the </w:t>
      </w:r>
      <w:r w:rsidR="00A33B53">
        <w:rPr>
          <w:rFonts w:asciiTheme="minorHAnsi" w:hAnsiTheme="minorHAnsi"/>
          <w:snapToGrid w:val="0"/>
          <w:lang w:val="en-GB"/>
        </w:rPr>
        <w:t xml:space="preserve">comparisons with VO, the PBAC noted that data were presented for the treatment of flares and as maintenance therapy. </w:t>
      </w:r>
      <w:r w:rsidR="00911F0E">
        <w:rPr>
          <w:rFonts w:asciiTheme="minorHAnsi" w:hAnsiTheme="minorHAnsi"/>
          <w:snapToGrid w:val="0"/>
          <w:lang w:val="en-GB"/>
        </w:rPr>
        <w:t>The PBAC noted that the clinical evidence presented in the submission included a broad AD population</w:t>
      </w:r>
      <w:r w:rsidR="00806C1D">
        <w:rPr>
          <w:rFonts w:asciiTheme="minorHAnsi" w:hAnsiTheme="minorHAnsi"/>
          <w:snapToGrid w:val="0"/>
          <w:lang w:val="en-GB"/>
        </w:rPr>
        <w:t xml:space="preserve"> </w:t>
      </w:r>
      <w:r w:rsidR="009B1FD3">
        <w:rPr>
          <w:rFonts w:asciiTheme="minorHAnsi" w:hAnsiTheme="minorHAnsi"/>
          <w:snapToGrid w:val="0"/>
          <w:lang w:val="en-GB"/>
        </w:rPr>
        <w:t>which was not restricted to</w:t>
      </w:r>
      <w:r w:rsidR="00060131">
        <w:rPr>
          <w:rFonts w:asciiTheme="minorHAnsi" w:hAnsiTheme="minorHAnsi"/>
          <w:snapToGrid w:val="0"/>
          <w:lang w:val="en-GB"/>
        </w:rPr>
        <w:t xml:space="preserve"> patients who had failed to achieve satisfactory disease control with TCS or who were intolerant or contraindicated to TCS</w:t>
      </w:r>
      <w:r w:rsidR="00DE7167">
        <w:rPr>
          <w:rFonts w:asciiTheme="minorHAnsi" w:hAnsiTheme="minorHAnsi"/>
          <w:snapToGrid w:val="0"/>
          <w:lang w:val="en-GB"/>
        </w:rPr>
        <w:t>. The PBAC further noted</w:t>
      </w:r>
      <w:r w:rsidR="0047722B">
        <w:rPr>
          <w:rFonts w:asciiTheme="minorHAnsi" w:hAnsiTheme="minorHAnsi"/>
          <w:snapToGrid w:val="0"/>
          <w:lang w:val="en-GB"/>
        </w:rPr>
        <w:t xml:space="preserve"> that</w:t>
      </w:r>
      <w:r w:rsidR="001F5145">
        <w:rPr>
          <w:rFonts w:asciiTheme="minorHAnsi" w:hAnsiTheme="minorHAnsi"/>
          <w:snapToGrid w:val="0"/>
          <w:lang w:val="en-GB"/>
        </w:rPr>
        <w:t xml:space="preserve"> the</w:t>
      </w:r>
      <w:r w:rsidR="0047722B">
        <w:rPr>
          <w:rFonts w:asciiTheme="minorHAnsi" w:hAnsiTheme="minorHAnsi"/>
          <w:snapToGrid w:val="0"/>
          <w:lang w:val="en-GB"/>
        </w:rPr>
        <w:t xml:space="preserve"> VO</w:t>
      </w:r>
      <w:r w:rsidR="001F5145">
        <w:rPr>
          <w:rFonts w:asciiTheme="minorHAnsi" w:hAnsiTheme="minorHAnsi"/>
          <w:snapToGrid w:val="0"/>
          <w:lang w:val="en-GB"/>
        </w:rPr>
        <w:t xml:space="preserve"> comparator arms</w:t>
      </w:r>
      <w:r w:rsidR="0047722B">
        <w:rPr>
          <w:rFonts w:asciiTheme="minorHAnsi" w:hAnsiTheme="minorHAnsi"/>
          <w:snapToGrid w:val="0"/>
          <w:lang w:val="en-GB"/>
        </w:rPr>
        <w:t xml:space="preserve"> did not represent</w:t>
      </w:r>
      <w:r w:rsidR="00D23DB1">
        <w:rPr>
          <w:rFonts w:asciiTheme="minorHAnsi" w:hAnsiTheme="minorHAnsi"/>
          <w:snapToGrid w:val="0"/>
          <w:lang w:val="en-GB"/>
        </w:rPr>
        <w:t xml:space="preserve"> standard of care</w:t>
      </w:r>
      <w:r w:rsidR="0047722B">
        <w:rPr>
          <w:rFonts w:asciiTheme="minorHAnsi" w:hAnsiTheme="minorHAnsi"/>
          <w:snapToGrid w:val="0"/>
          <w:lang w:val="en-GB"/>
        </w:rPr>
        <w:t>, as many treatments</w:t>
      </w:r>
      <w:r w:rsidR="00BD08B8">
        <w:rPr>
          <w:rFonts w:asciiTheme="minorHAnsi" w:hAnsiTheme="minorHAnsi"/>
          <w:snapToGrid w:val="0"/>
          <w:lang w:val="en-GB"/>
        </w:rPr>
        <w:t>,</w:t>
      </w:r>
      <w:r w:rsidR="00766D2A">
        <w:rPr>
          <w:rFonts w:asciiTheme="minorHAnsi" w:hAnsiTheme="minorHAnsi"/>
          <w:snapToGrid w:val="0"/>
          <w:lang w:val="en-GB"/>
        </w:rPr>
        <w:t xml:space="preserve"> </w:t>
      </w:r>
      <w:r w:rsidR="006F51CB">
        <w:rPr>
          <w:rFonts w:asciiTheme="minorHAnsi" w:hAnsiTheme="minorHAnsi"/>
          <w:snapToGrid w:val="0"/>
          <w:lang w:val="en-GB"/>
        </w:rPr>
        <w:t>including TCS</w:t>
      </w:r>
      <w:r w:rsidR="00BD08B8">
        <w:rPr>
          <w:rFonts w:asciiTheme="minorHAnsi" w:hAnsiTheme="minorHAnsi"/>
          <w:snapToGrid w:val="0"/>
          <w:lang w:val="en-GB"/>
        </w:rPr>
        <w:t>, were prohibited during the trials</w:t>
      </w:r>
      <w:r w:rsidR="008203B6">
        <w:rPr>
          <w:rFonts w:asciiTheme="minorHAnsi" w:hAnsiTheme="minorHAnsi"/>
          <w:snapToGrid w:val="0"/>
          <w:lang w:val="en-GB"/>
        </w:rPr>
        <w:t xml:space="preserve">. </w:t>
      </w:r>
      <w:r w:rsidR="00615AE4">
        <w:rPr>
          <w:rFonts w:asciiTheme="minorHAnsi" w:hAnsiTheme="minorHAnsi"/>
          <w:snapToGrid w:val="0"/>
          <w:lang w:val="en-GB"/>
        </w:rPr>
        <w:t xml:space="preserve">The PBAC noted that the data </w:t>
      </w:r>
      <w:r w:rsidR="0051561C">
        <w:rPr>
          <w:rFonts w:asciiTheme="minorHAnsi" w:hAnsiTheme="minorHAnsi"/>
          <w:snapToGrid w:val="0"/>
          <w:lang w:val="en-GB"/>
        </w:rPr>
        <w:t xml:space="preserve">were </w:t>
      </w:r>
      <w:r w:rsidR="00F64709">
        <w:rPr>
          <w:rFonts w:asciiTheme="minorHAnsi" w:hAnsiTheme="minorHAnsi"/>
          <w:snapToGrid w:val="0"/>
          <w:lang w:val="en-GB"/>
        </w:rPr>
        <w:t xml:space="preserve">potentially </w:t>
      </w:r>
      <w:r w:rsidR="0051561C">
        <w:rPr>
          <w:rFonts w:asciiTheme="minorHAnsi" w:hAnsiTheme="minorHAnsi"/>
          <w:snapToGrid w:val="0"/>
          <w:lang w:val="en-GB"/>
        </w:rPr>
        <w:t xml:space="preserve">confounded by </w:t>
      </w:r>
      <w:r w:rsidR="00256333">
        <w:rPr>
          <w:rFonts w:asciiTheme="minorHAnsi" w:hAnsiTheme="minorHAnsi"/>
          <w:snapToGrid w:val="0"/>
          <w:lang w:val="en-GB"/>
        </w:rPr>
        <w:t xml:space="preserve">heterogeneity across the studies </w:t>
      </w:r>
      <w:r w:rsidR="00F204A9">
        <w:rPr>
          <w:rFonts w:asciiTheme="minorHAnsi" w:hAnsiTheme="minorHAnsi"/>
          <w:snapToGrid w:val="0"/>
          <w:lang w:val="en-GB"/>
        </w:rPr>
        <w:t xml:space="preserve">as there were differences in study population demographics, </w:t>
      </w:r>
      <w:r w:rsidR="005C6C34">
        <w:rPr>
          <w:rFonts w:asciiTheme="minorHAnsi" w:hAnsiTheme="minorHAnsi"/>
          <w:snapToGrid w:val="0"/>
          <w:lang w:val="en-GB"/>
        </w:rPr>
        <w:t xml:space="preserve">disease characteristics, measures used to assess treatment response, clinical outcomes presented </w:t>
      </w:r>
      <w:r w:rsidR="00121B3B">
        <w:rPr>
          <w:rFonts w:asciiTheme="minorHAnsi" w:hAnsiTheme="minorHAnsi"/>
          <w:snapToGrid w:val="0"/>
          <w:lang w:val="en-GB"/>
        </w:rPr>
        <w:t>and the period of follow-up.</w:t>
      </w:r>
      <w:bookmarkEnd w:id="127"/>
    </w:p>
    <w:p w14:paraId="751B21C6" w14:textId="3E1B09F8" w:rsidR="004D47F8" w:rsidRDefault="002820BC">
      <w:pPr>
        <w:widowControl w:val="0"/>
        <w:numPr>
          <w:ilvl w:val="1"/>
          <w:numId w:val="1"/>
        </w:numPr>
        <w:spacing w:after="120"/>
        <w:rPr>
          <w:rFonts w:asciiTheme="minorHAnsi" w:hAnsiTheme="minorHAnsi"/>
          <w:snapToGrid w:val="0"/>
          <w:lang w:val="en-GB"/>
        </w:rPr>
      </w:pPr>
      <w:r w:rsidRPr="004D47F8">
        <w:rPr>
          <w:rFonts w:asciiTheme="minorHAnsi" w:hAnsiTheme="minorHAnsi"/>
          <w:snapToGrid w:val="0"/>
          <w:lang w:val="en-GB"/>
        </w:rPr>
        <w:t>Therefore, a</w:t>
      </w:r>
      <w:r w:rsidR="00E61FC5" w:rsidRPr="004D47F8">
        <w:rPr>
          <w:rFonts w:asciiTheme="minorHAnsi" w:hAnsiTheme="minorHAnsi"/>
          <w:snapToGrid w:val="0"/>
          <w:lang w:val="en-GB"/>
        </w:rPr>
        <w:t xml:space="preserve">lthough 0.1% TAC appeared to be superior in the treatment of AD flares and as maintenance therapy compared to VO, the PBAC </w:t>
      </w:r>
      <w:r w:rsidR="001808F0" w:rsidRPr="004D47F8">
        <w:rPr>
          <w:rFonts w:asciiTheme="minorHAnsi" w:hAnsiTheme="minorHAnsi"/>
          <w:snapToGrid w:val="0"/>
          <w:lang w:val="en-GB"/>
        </w:rPr>
        <w:t xml:space="preserve">considered that </w:t>
      </w:r>
      <w:r w:rsidR="00944B9E" w:rsidRPr="004D47F8" w:rsidDel="00472616">
        <w:rPr>
          <w:rFonts w:asciiTheme="minorHAnsi" w:hAnsiTheme="minorHAnsi"/>
          <w:snapToGrid w:val="0"/>
          <w:lang w:val="en-GB"/>
        </w:rPr>
        <w:t xml:space="preserve">the </w:t>
      </w:r>
      <w:r w:rsidR="00052EB6" w:rsidRPr="004D47F8" w:rsidDel="00472616">
        <w:rPr>
          <w:rFonts w:asciiTheme="minorHAnsi" w:hAnsiTheme="minorHAnsi"/>
          <w:snapToGrid w:val="0"/>
          <w:lang w:val="en-GB"/>
        </w:rPr>
        <w:t>effectiveness of 0.1% TAC over stan</w:t>
      </w:r>
      <w:r w:rsidR="00A13F12" w:rsidRPr="004D47F8" w:rsidDel="00472616">
        <w:rPr>
          <w:rFonts w:asciiTheme="minorHAnsi" w:hAnsiTheme="minorHAnsi"/>
          <w:snapToGrid w:val="0"/>
          <w:lang w:val="en-GB"/>
        </w:rPr>
        <w:t xml:space="preserve">dard management was uncertain based on </w:t>
      </w:r>
      <w:r w:rsidR="007F1861">
        <w:rPr>
          <w:rFonts w:asciiTheme="minorHAnsi" w:hAnsiTheme="minorHAnsi"/>
          <w:snapToGrid w:val="0"/>
          <w:lang w:val="en-GB"/>
        </w:rPr>
        <w:t xml:space="preserve">the </w:t>
      </w:r>
      <w:r w:rsidR="00A13F12" w:rsidRPr="004D47F8" w:rsidDel="00472616">
        <w:rPr>
          <w:rFonts w:asciiTheme="minorHAnsi" w:hAnsiTheme="minorHAnsi"/>
          <w:snapToGrid w:val="0"/>
          <w:lang w:val="en-GB"/>
        </w:rPr>
        <w:t>comparative evidence provided in the submission.</w:t>
      </w:r>
      <w:r w:rsidR="00A13F12" w:rsidRPr="004D47F8">
        <w:rPr>
          <w:rFonts w:asciiTheme="minorHAnsi" w:hAnsiTheme="minorHAnsi"/>
          <w:snapToGrid w:val="0"/>
          <w:lang w:val="en-GB"/>
        </w:rPr>
        <w:t xml:space="preserve"> </w:t>
      </w:r>
    </w:p>
    <w:p w14:paraId="1026B079" w14:textId="5EF6A9FA" w:rsidR="004D47F8" w:rsidRDefault="004D47F8" w:rsidP="004D47F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results of</w:t>
      </w:r>
      <w:r w:rsidDel="00350AA3">
        <w:rPr>
          <w:rFonts w:asciiTheme="minorHAnsi" w:hAnsiTheme="minorHAnsi"/>
          <w:snapToGrid w:val="0"/>
          <w:lang w:val="en-GB"/>
        </w:rPr>
        <w:t xml:space="preserve"> </w:t>
      </w:r>
      <w:r>
        <w:rPr>
          <w:rFonts w:asciiTheme="minorHAnsi" w:hAnsiTheme="minorHAnsi"/>
          <w:snapToGrid w:val="0"/>
          <w:lang w:val="en-GB"/>
        </w:rPr>
        <w:t xml:space="preserve">recent, large meta-analyses presented by the submission as supporting evidence. The PBAC noted that a Cochrane meta-analysis of topical anti-inflammatory treatments for eczema, Lax et al (2024), reported that 0.1% TAC exhibited similar efficacy to potent TCS and concluded that potent TCS, JAK inhibitors and 0.1% TAC were consistently ranked the most effective topical agents (see paragraphs </w:t>
      </w:r>
      <w:r w:rsidR="00B67F94">
        <w:rPr>
          <w:rFonts w:asciiTheme="minorHAnsi" w:hAnsiTheme="minorHAnsi"/>
          <w:snapToGrid w:val="0"/>
          <w:lang w:val="en-GB"/>
        </w:rPr>
        <w:fldChar w:fldCharType="begin"/>
      </w:r>
      <w:r w:rsidR="00B67F94">
        <w:rPr>
          <w:rFonts w:asciiTheme="minorHAnsi" w:hAnsiTheme="minorHAnsi"/>
          <w:snapToGrid w:val="0"/>
          <w:lang w:val="en-GB"/>
        </w:rPr>
        <w:instrText xml:space="preserve"> REF _Ref203644575 \r \h </w:instrText>
      </w:r>
      <w:r w:rsidR="00B67F94">
        <w:rPr>
          <w:rFonts w:asciiTheme="minorHAnsi" w:hAnsiTheme="minorHAnsi"/>
          <w:snapToGrid w:val="0"/>
          <w:lang w:val="en-GB"/>
        </w:rPr>
      </w:r>
      <w:r w:rsidR="00B67F94">
        <w:rPr>
          <w:rFonts w:asciiTheme="minorHAnsi" w:hAnsiTheme="minorHAnsi"/>
          <w:snapToGrid w:val="0"/>
          <w:lang w:val="en-GB"/>
        </w:rPr>
        <w:fldChar w:fldCharType="separate"/>
      </w:r>
      <w:r w:rsidR="00124226">
        <w:rPr>
          <w:rFonts w:asciiTheme="minorHAnsi" w:hAnsiTheme="minorHAnsi"/>
          <w:snapToGrid w:val="0"/>
          <w:lang w:val="en-GB"/>
        </w:rPr>
        <w:t>6.38</w:t>
      </w:r>
      <w:r w:rsidR="00B67F94">
        <w:rPr>
          <w:rFonts w:asciiTheme="minorHAnsi" w:hAnsiTheme="minorHAnsi"/>
          <w:snapToGrid w:val="0"/>
          <w:lang w:val="en-GB"/>
        </w:rPr>
        <w:fldChar w:fldCharType="end"/>
      </w:r>
      <w:r w:rsidR="00B67F94">
        <w:rPr>
          <w:rFonts w:asciiTheme="minorHAnsi" w:hAnsiTheme="minorHAnsi"/>
          <w:snapToGrid w:val="0"/>
          <w:lang w:val="en-GB"/>
        </w:rPr>
        <w:t xml:space="preserve"> and </w:t>
      </w:r>
      <w:r w:rsidR="00B67F94">
        <w:rPr>
          <w:rFonts w:asciiTheme="minorHAnsi" w:hAnsiTheme="minorHAnsi"/>
          <w:snapToGrid w:val="0"/>
          <w:lang w:val="en-GB"/>
        </w:rPr>
        <w:fldChar w:fldCharType="begin"/>
      </w:r>
      <w:r w:rsidR="00B67F94">
        <w:rPr>
          <w:rFonts w:asciiTheme="minorHAnsi" w:hAnsiTheme="minorHAnsi"/>
          <w:snapToGrid w:val="0"/>
          <w:lang w:val="en-GB"/>
        </w:rPr>
        <w:instrText xml:space="preserve"> REF _Ref203644585 \r \h </w:instrText>
      </w:r>
      <w:r w:rsidR="00B67F94">
        <w:rPr>
          <w:rFonts w:asciiTheme="minorHAnsi" w:hAnsiTheme="minorHAnsi"/>
          <w:snapToGrid w:val="0"/>
          <w:lang w:val="en-GB"/>
        </w:rPr>
      </w:r>
      <w:r w:rsidR="00B67F94">
        <w:rPr>
          <w:rFonts w:asciiTheme="minorHAnsi" w:hAnsiTheme="minorHAnsi"/>
          <w:snapToGrid w:val="0"/>
          <w:lang w:val="en-GB"/>
        </w:rPr>
        <w:fldChar w:fldCharType="separate"/>
      </w:r>
      <w:r w:rsidR="00124226">
        <w:rPr>
          <w:rFonts w:asciiTheme="minorHAnsi" w:hAnsiTheme="minorHAnsi"/>
          <w:snapToGrid w:val="0"/>
          <w:lang w:val="en-GB"/>
        </w:rPr>
        <w:t>6.39</w:t>
      </w:r>
      <w:r w:rsidR="00B67F94">
        <w:rPr>
          <w:rFonts w:asciiTheme="minorHAnsi" w:hAnsiTheme="minorHAnsi"/>
          <w:snapToGrid w:val="0"/>
          <w:lang w:val="en-GB"/>
        </w:rPr>
        <w:fldChar w:fldCharType="end"/>
      </w:r>
      <w:r>
        <w:rPr>
          <w:rFonts w:asciiTheme="minorHAnsi" w:hAnsiTheme="minorHAnsi"/>
          <w:snapToGrid w:val="0"/>
          <w:lang w:val="en-GB"/>
        </w:rPr>
        <w:t>). The PBAC noted that the results from Chu, 2023</w:t>
      </w:r>
      <w:r>
        <w:rPr>
          <w:rStyle w:val="FootnoteReference"/>
          <w:rFonts w:asciiTheme="minorHAnsi" w:hAnsiTheme="minorHAnsi"/>
          <w:snapToGrid w:val="0"/>
          <w:lang w:val="en-GB"/>
        </w:rPr>
        <w:footnoteReference w:id="39"/>
      </w:r>
      <w:r>
        <w:rPr>
          <w:rFonts w:asciiTheme="minorHAnsi" w:hAnsiTheme="minorHAnsi"/>
          <w:snapToGrid w:val="0"/>
          <w:lang w:val="en-GB"/>
        </w:rPr>
        <w:t xml:space="preserve">, which also reviewed topical treatments for </w:t>
      </w:r>
      <w:r w:rsidR="0009146A">
        <w:rPr>
          <w:rFonts w:asciiTheme="minorHAnsi" w:hAnsiTheme="minorHAnsi"/>
          <w:snapToGrid w:val="0"/>
          <w:lang w:val="en-GB"/>
        </w:rPr>
        <w:t>AD</w:t>
      </w:r>
      <w:r>
        <w:rPr>
          <w:rFonts w:asciiTheme="minorHAnsi" w:hAnsiTheme="minorHAnsi"/>
          <w:snapToGrid w:val="0"/>
          <w:lang w:val="en-GB"/>
        </w:rPr>
        <w:t xml:space="preserve">, concluded that </w:t>
      </w:r>
      <w:r w:rsidR="00C10D3E">
        <w:rPr>
          <w:rFonts w:asciiTheme="minorHAnsi" w:hAnsiTheme="minorHAnsi"/>
          <w:snapToGrid w:val="0"/>
          <w:lang w:val="en-GB"/>
        </w:rPr>
        <w:t>PIM</w:t>
      </w:r>
      <w:r>
        <w:rPr>
          <w:rFonts w:asciiTheme="minorHAnsi" w:hAnsiTheme="minorHAnsi"/>
          <w:snapToGrid w:val="0"/>
          <w:lang w:val="en-GB"/>
        </w:rPr>
        <w:t xml:space="preserve">, </w:t>
      </w:r>
      <w:r w:rsidR="00835C8D">
        <w:rPr>
          <w:rFonts w:asciiTheme="minorHAnsi" w:hAnsiTheme="minorHAnsi"/>
          <w:snapToGrid w:val="0"/>
          <w:lang w:val="en-GB"/>
        </w:rPr>
        <w:t>TAC</w:t>
      </w:r>
      <w:r>
        <w:rPr>
          <w:rFonts w:asciiTheme="minorHAnsi" w:hAnsiTheme="minorHAnsi"/>
          <w:snapToGrid w:val="0"/>
          <w:lang w:val="en-GB"/>
        </w:rPr>
        <w:t xml:space="preserve"> and moderate-potency TCS are among the most effective in improving and maintaining multiple AD outcomes.</w:t>
      </w:r>
    </w:p>
    <w:p w14:paraId="330A7B22" w14:textId="056EE828" w:rsidR="00690B0D" w:rsidRPr="00395E56" w:rsidRDefault="002A30D4" w:rsidP="00395E5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00240017" w:rsidRPr="004D47F8">
        <w:rPr>
          <w:rFonts w:asciiTheme="minorHAnsi" w:hAnsiTheme="minorHAnsi"/>
          <w:snapToGrid w:val="0"/>
          <w:lang w:val="en-GB"/>
        </w:rPr>
        <w:t xml:space="preserve">he PBAC </w:t>
      </w:r>
      <w:r w:rsidR="00B773D7">
        <w:rPr>
          <w:rFonts w:asciiTheme="minorHAnsi" w:hAnsiTheme="minorHAnsi"/>
          <w:snapToGrid w:val="0"/>
          <w:lang w:val="en-GB"/>
        </w:rPr>
        <w:t xml:space="preserve">considered that </w:t>
      </w:r>
      <w:r w:rsidR="008E2C87" w:rsidRPr="004D47F8">
        <w:rPr>
          <w:rFonts w:asciiTheme="minorHAnsi" w:hAnsiTheme="minorHAnsi"/>
          <w:snapToGrid w:val="0"/>
          <w:lang w:val="en-GB"/>
        </w:rPr>
        <w:t>the</w:t>
      </w:r>
      <w:r w:rsidR="00715FF0">
        <w:rPr>
          <w:rFonts w:asciiTheme="minorHAnsi" w:hAnsiTheme="minorHAnsi"/>
          <w:snapToGrid w:val="0"/>
          <w:lang w:val="en-GB"/>
        </w:rPr>
        <w:t xml:space="preserve"> meta-</w:t>
      </w:r>
      <w:r w:rsidR="00EF5CC7" w:rsidRPr="004D47F8">
        <w:rPr>
          <w:rFonts w:asciiTheme="minorHAnsi" w:hAnsiTheme="minorHAnsi"/>
          <w:snapToGrid w:val="0"/>
          <w:lang w:val="en-GB"/>
        </w:rPr>
        <w:t>analyses</w:t>
      </w:r>
      <w:r w:rsidR="00D76646" w:rsidRPr="004D47F8">
        <w:rPr>
          <w:rFonts w:asciiTheme="minorHAnsi" w:hAnsiTheme="minorHAnsi"/>
          <w:snapToGrid w:val="0"/>
          <w:lang w:val="en-GB"/>
        </w:rPr>
        <w:t xml:space="preserve"> provided some reassurance</w:t>
      </w:r>
      <w:r w:rsidR="00F16E41" w:rsidRPr="00395E56">
        <w:rPr>
          <w:rFonts w:asciiTheme="minorHAnsi" w:hAnsiTheme="minorHAnsi"/>
          <w:snapToGrid w:val="0"/>
          <w:lang w:val="en-GB"/>
        </w:rPr>
        <w:t xml:space="preserve"> </w:t>
      </w:r>
      <w:r w:rsidR="00026EAB" w:rsidRPr="00395E56">
        <w:rPr>
          <w:rFonts w:asciiTheme="minorHAnsi" w:hAnsiTheme="minorHAnsi"/>
          <w:snapToGrid w:val="0"/>
          <w:lang w:val="en-GB"/>
        </w:rPr>
        <w:t xml:space="preserve">that </w:t>
      </w:r>
      <w:r w:rsidR="00643DAB" w:rsidRPr="00395E56">
        <w:rPr>
          <w:rFonts w:asciiTheme="minorHAnsi" w:hAnsiTheme="minorHAnsi"/>
          <w:snapToGrid w:val="0"/>
          <w:lang w:val="en-GB"/>
        </w:rPr>
        <w:t>0.1% TAC was likely non-inferior</w:t>
      </w:r>
      <w:r w:rsidR="00715FF0">
        <w:rPr>
          <w:rFonts w:asciiTheme="minorHAnsi" w:hAnsiTheme="minorHAnsi"/>
          <w:snapToGrid w:val="0"/>
          <w:lang w:val="en-GB"/>
        </w:rPr>
        <w:t xml:space="preserve"> </w:t>
      </w:r>
      <w:r w:rsidR="00ED777F" w:rsidRPr="004D47F8">
        <w:rPr>
          <w:rFonts w:asciiTheme="minorHAnsi" w:hAnsiTheme="minorHAnsi"/>
          <w:snapToGrid w:val="0"/>
          <w:lang w:val="en-GB"/>
        </w:rPr>
        <w:t xml:space="preserve">in terms of efficacy compared </w:t>
      </w:r>
      <w:r w:rsidR="00EF5CC7" w:rsidRPr="004D47F8">
        <w:rPr>
          <w:rFonts w:asciiTheme="minorHAnsi" w:hAnsiTheme="minorHAnsi"/>
          <w:snapToGrid w:val="0"/>
          <w:lang w:val="en-GB"/>
        </w:rPr>
        <w:t>to</w:t>
      </w:r>
      <w:r w:rsidR="00480057">
        <w:rPr>
          <w:rFonts w:asciiTheme="minorHAnsi" w:hAnsiTheme="minorHAnsi"/>
          <w:snapToGrid w:val="0"/>
          <w:lang w:val="en-GB"/>
        </w:rPr>
        <w:t xml:space="preserve"> </w:t>
      </w:r>
      <w:r w:rsidR="0010357D">
        <w:rPr>
          <w:rFonts w:asciiTheme="minorHAnsi" w:hAnsiTheme="minorHAnsi"/>
          <w:snapToGrid w:val="0"/>
          <w:lang w:val="en-GB"/>
        </w:rPr>
        <w:t>standard</w:t>
      </w:r>
      <w:r w:rsidR="00480057">
        <w:rPr>
          <w:rFonts w:asciiTheme="minorHAnsi" w:hAnsiTheme="minorHAnsi"/>
          <w:snapToGrid w:val="0"/>
          <w:lang w:val="en-GB"/>
        </w:rPr>
        <w:t xml:space="preserve"> medical management</w:t>
      </w:r>
      <w:r w:rsidR="0010357D">
        <w:rPr>
          <w:rFonts w:asciiTheme="minorHAnsi" w:hAnsiTheme="minorHAnsi"/>
          <w:snapToGrid w:val="0"/>
          <w:lang w:val="en-GB"/>
        </w:rPr>
        <w:t>, which included</w:t>
      </w:r>
      <w:r w:rsidR="00EF5CC7" w:rsidRPr="004D47F8">
        <w:rPr>
          <w:rFonts w:asciiTheme="minorHAnsi" w:hAnsiTheme="minorHAnsi"/>
          <w:snapToGrid w:val="0"/>
          <w:lang w:val="en-GB"/>
        </w:rPr>
        <w:t xml:space="preserve"> </w:t>
      </w:r>
      <w:r w:rsidR="00715FF0">
        <w:rPr>
          <w:rFonts w:asciiTheme="minorHAnsi" w:hAnsiTheme="minorHAnsi"/>
          <w:snapToGrid w:val="0"/>
          <w:lang w:val="en-GB"/>
        </w:rPr>
        <w:t>TCS</w:t>
      </w:r>
      <w:r w:rsidR="00B20E84" w:rsidRPr="00395E56">
        <w:rPr>
          <w:rFonts w:asciiTheme="minorHAnsi" w:hAnsiTheme="minorHAnsi"/>
          <w:snapToGrid w:val="0"/>
          <w:lang w:val="en-GB"/>
        </w:rPr>
        <w:t>.</w:t>
      </w:r>
      <w:r w:rsidR="00F01B6D" w:rsidRPr="00395E56">
        <w:rPr>
          <w:rFonts w:asciiTheme="minorHAnsi" w:hAnsiTheme="minorHAnsi"/>
          <w:snapToGrid w:val="0"/>
          <w:lang w:val="en-GB"/>
        </w:rPr>
        <w:t xml:space="preserve"> </w:t>
      </w:r>
    </w:p>
    <w:p w14:paraId="31A912EA" w14:textId="575CFD8E" w:rsidR="00B536FF" w:rsidRDefault="00873A1E"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32244B">
        <w:rPr>
          <w:rFonts w:asciiTheme="minorHAnsi" w:hAnsiTheme="minorHAnsi"/>
          <w:snapToGrid w:val="0"/>
          <w:lang w:val="en-GB"/>
        </w:rPr>
        <w:t>accepted</w:t>
      </w:r>
      <w:r>
        <w:rPr>
          <w:rFonts w:asciiTheme="minorHAnsi" w:hAnsiTheme="minorHAnsi"/>
          <w:snapToGrid w:val="0"/>
          <w:lang w:val="en-GB"/>
        </w:rPr>
        <w:t xml:space="preserve"> that </w:t>
      </w:r>
      <w:r w:rsidR="00E178B6">
        <w:rPr>
          <w:rFonts w:asciiTheme="minorHAnsi" w:hAnsiTheme="minorHAnsi"/>
          <w:snapToGrid w:val="0"/>
          <w:lang w:val="en-GB"/>
        </w:rPr>
        <w:t xml:space="preserve">0.1% </w:t>
      </w:r>
      <w:r w:rsidR="0050130C">
        <w:rPr>
          <w:rFonts w:asciiTheme="minorHAnsi" w:hAnsiTheme="minorHAnsi"/>
          <w:snapToGrid w:val="0"/>
          <w:lang w:val="en-GB"/>
        </w:rPr>
        <w:t xml:space="preserve">TAC </w:t>
      </w:r>
      <w:r w:rsidR="00E178B6">
        <w:rPr>
          <w:rFonts w:asciiTheme="minorHAnsi" w:hAnsiTheme="minorHAnsi"/>
          <w:snapToGrid w:val="0"/>
          <w:lang w:val="en-GB"/>
        </w:rPr>
        <w:t xml:space="preserve">was non-inferior in terms of safety compared to both </w:t>
      </w:r>
      <w:r w:rsidR="009F63FA">
        <w:rPr>
          <w:rFonts w:asciiTheme="minorHAnsi" w:hAnsiTheme="minorHAnsi"/>
          <w:snapToGrid w:val="0"/>
          <w:lang w:val="en-GB"/>
        </w:rPr>
        <w:t>TCS</w:t>
      </w:r>
      <w:r w:rsidR="00E178B6">
        <w:rPr>
          <w:rFonts w:asciiTheme="minorHAnsi" w:hAnsiTheme="minorHAnsi"/>
          <w:snapToGrid w:val="0"/>
          <w:lang w:val="en-GB"/>
        </w:rPr>
        <w:t xml:space="preserve"> and 1% PIM.</w:t>
      </w:r>
    </w:p>
    <w:p w14:paraId="5625564B" w14:textId="7322F0B0" w:rsidR="00FE04C2" w:rsidRDefault="001E766C"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presented</w:t>
      </w:r>
      <w:r w:rsidR="00D37D55">
        <w:rPr>
          <w:rFonts w:asciiTheme="minorHAnsi" w:hAnsiTheme="minorHAnsi"/>
          <w:snapToGrid w:val="0"/>
          <w:lang w:val="en-GB"/>
        </w:rPr>
        <w:t xml:space="preserve"> two economic analyses, a cost utility analysis </w:t>
      </w:r>
      <w:r w:rsidR="0027752C">
        <w:rPr>
          <w:rFonts w:asciiTheme="minorHAnsi" w:hAnsiTheme="minorHAnsi"/>
          <w:snapToGrid w:val="0"/>
          <w:lang w:val="en-GB"/>
        </w:rPr>
        <w:t>comparing 0.1% TAC with VO for the treatment of flares and as maintenance therapy</w:t>
      </w:r>
      <w:r w:rsidR="00625470">
        <w:rPr>
          <w:rFonts w:asciiTheme="minorHAnsi" w:hAnsiTheme="minorHAnsi"/>
          <w:snapToGrid w:val="0"/>
          <w:lang w:val="en-GB"/>
        </w:rPr>
        <w:t xml:space="preserve"> and </w:t>
      </w:r>
      <w:r w:rsidR="00D37D55">
        <w:rPr>
          <w:rFonts w:asciiTheme="minorHAnsi" w:hAnsiTheme="minorHAnsi"/>
          <w:snapToGrid w:val="0"/>
          <w:lang w:val="en-GB"/>
        </w:rPr>
        <w:t xml:space="preserve">a cost </w:t>
      </w:r>
      <w:r w:rsidR="00FE04C2">
        <w:rPr>
          <w:rFonts w:asciiTheme="minorHAnsi" w:hAnsiTheme="minorHAnsi"/>
          <w:snapToGrid w:val="0"/>
          <w:lang w:val="en-GB"/>
        </w:rPr>
        <w:t xml:space="preserve">minimisation approach versus 1% </w:t>
      </w:r>
      <w:r w:rsidR="00590AD3">
        <w:rPr>
          <w:rFonts w:asciiTheme="minorHAnsi" w:hAnsiTheme="minorHAnsi"/>
          <w:snapToGrid w:val="0"/>
          <w:lang w:val="en-GB"/>
        </w:rPr>
        <w:t>PIM</w:t>
      </w:r>
      <w:r w:rsidR="00FE04C2">
        <w:rPr>
          <w:rFonts w:asciiTheme="minorHAnsi" w:hAnsiTheme="minorHAnsi"/>
          <w:snapToGrid w:val="0"/>
          <w:lang w:val="en-GB"/>
        </w:rPr>
        <w:t xml:space="preserve"> for the treatment of flares on the face and eyelids</w:t>
      </w:r>
      <w:r w:rsidR="00734612">
        <w:rPr>
          <w:rFonts w:asciiTheme="minorHAnsi" w:hAnsiTheme="minorHAnsi"/>
          <w:snapToGrid w:val="0"/>
          <w:lang w:val="en-GB"/>
        </w:rPr>
        <w:t>.</w:t>
      </w:r>
    </w:p>
    <w:p w14:paraId="00383396" w14:textId="308A73D9" w:rsidR="0026281B" w:rsidRDefault="00671804"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E764DD">
        <w:rPr>
          <w:rFonts w:asciiTheme="minorHAnsi" w:hAnsiTheme="minorHAnsi"/>
          <w:snapToGrid w:val="0"/>
          <w:lang w:val="en-GB"/>
        </w:rPr>
        <w:t>considered</w:t>
      </w:r>
      <w:r w:rsidR="000C3E03">
        <w:rPr>
          <w:rFonts w:asciiTheme="minorHAnsi" w:hAnsiTheme="minorHAnsi"/>
          <w:snapToGrid w:val="0"/>
          <w:lang w:val="en-GB"/>
        </w:rPr>
        <w:t xml:space="preserve"> the cost utility analysis between 0.1% TAC and VO </w:t>
      </w:r>
      <w:r w:rsidR="0050130C">
        <w:rPr>
          <w:rFonts w:asciiTheme="minorHAnsi" w:hAnsiTheme="minorHAnsi"/>
          <w:snapToGrid w:val="0"/>
          <w:lang w:val="en-GB"/>
        </w:rPr>
        <w:t>was not</w:t>
      </w:r>
      <w:r w:rsidR="0026281B">
        <w:rPr>
          <w:rFonts w:asciiTheme="minorHAnsi" w:hAnsiTheme="minorHAnsi"/>
          <w:snapToGrid w:val="0"/>
          <w:lang w:val="en-GB"/>
        </w:rPr>
        <w:t xml:space="preserve"> informative because </w:t>
      </w:r>
      <w:r w:rsidR="00AA10EA">
        <w:rPr>
          <w:rFonts w:asciiTheme="minorHAnsi" w:hAnsiTheme="minorHAnsi"/>
          <w:snapToGrid w:val="0"/>
          <w:lang w:val="en-GB"/>
        </w:rPr>
        <w:t>VO</w:t>
      </w:r>
      <w:r w:rsidR="0050130C">
        <w:rPr>
          <w:rFonts w:asciiTheme="minorHAnsi" w:hAnsiTheme="minorHAnsi"/>
          <w:snapToGrid w:val="0"/>
          <w:lang w:val="en-GB"/>
        </w:rPr>
        <w:t>,</w:t>
      </w:r>
      <w:r w:rsidR="00AA10EA">
        <w:rPr>
          <w:rFonts w:asciiTheme="minorHAnsi" w:hAnsiTheme="minorHAnsi"/>
          <w:snapToGrid w:val="0"/>
          <w:lang w:val="en-GB"/>
        </w:rPr>
        <w:t xml:space="preserve"> </w:t>
      </w:r>
      <w:r w:rsidR="000203B8">
        <w:rPr>
          <w:rFonts w:asciiTheme="minorHAnsi" w:hAnsiTheme="minorHAnsi"/>
          <w:snapToGrid w:val="0"/>
          <w:lang w:val="en-GB"/>
        </w:rPr>
        <w:t>in the clinical trials informing the model</w:t>
      </w:r>
      <w:r w:rsidR="0050130C">
        <w:rPr>
          <w:rFonts w:asciiTheme="minorHAnsi" w:hAnsiTheme="minorHAnsi"/>
          <w:snapToGrid w:val="0"/>
          <w:lang w:val="en-GB"/>
        </w:rPr>
        <w:t>,</w:t>
      </w:r>
      <w:r w:rsidR="000203B8">
        <w:rPr>
          <w:rFonts w:asciiTheme="minorHAnsi" w:hAnsiTheme="minorHAnsi"/>
          <w:snapToGrid w:val="0"/>
          <w:lang w:val="en-GB"/>
        </w:rPr>
        <w:t xml:space="preserve"> did not reflect standard management and the outcome relied on </w:t>
      </w:r>
      <w:r w:rsidR="00CD2DC5">
        <w:rPr>
          <w:rFonts w:asciiTheme="minorHAnsi" w:hAnsiTheme="minorHAnsi"/>
          <w:snapToGrid w:val="0"/>
          <w:lang w:val="en-GB"/>
        </w:rPr>
        <w:t xml:space="preserve">avoidance of subsequent oral treatments and </w:t>
      </w:r>
      <w:r w:rsidR="00A96CEF">
        <w:rPr>
          <w:rFonts w:asciiTheme="minorHAnsi" w:hAnsiTheme="minorHAnsi"/>
          <w:snapToGrid w:val="0"/>
          <w:lang w:val="en-GB"/>
        </w:rPr>
        <w:t xml:space="preserve">phototherapy. The PBAC noted that there was no evidence presented in the submission to support that </w:t>
      </w:r>
      <w:r w:rsidR="00105752">
        <w:rPr>
          <w:rFonts w:asciiTheme="minorHAnsi" w:hAnsiTheme="minorHAnsi"/>
          <w:snapToGrid w:val="0"/>
          <w:lang w:val="en-GB"/>
        </w:rPr>
        <w:t>systemic</w:t>
      </w:r>
      <w:r w:rsidR="00A96CEF">
        <w:rPr>
          <w:rFonts w:asciiTheme="minorHAnsi" w:hAnsiTheme="minorHAnsi"/>
          <w:snapToGrid w:val="0"/>
          <w:lang w:val="en-GB"/>
        </w:rPr>
        <w:t xml:space="preserve"> treatments would be avoided </w:t>
      </w:r>
      <w:r w:rsidR="00E11274">
        <w:rPr>
          <w:rFonts w:asciiTheme="minorHAnsi" w:hAnsiTheme="minorHAnsi"/>
          <w:snapToGrid w:val="0"/>
          <w:lang w:val="en-GB"/>
        </w:rPr>
        <w:t>with the use of 0.1% TAC</w:t>
      </w:r>
      <w:r w:rsidR="00DB1DC1">
        <w:rPr>
          <w:rFonts w:asciiTheme="minorHAnsi" w:hAnsiTheme="minorHAnsi"/>
          <w:snapToGrid w:val="0"/>
          <w:lang w:val="en-GB"/>
        </w:rPr>
        <w:t>.</w:t>
      </w:r>
      <w:r w:rsidR="00E11274">
        <w:rPr>
          <w:rFonts w:asciiTheme="minorHAnsi" w:hAnsiTheme="minorHAnsi"/>
          <w:snapToGrid w:val="0"/>
          <w:lang w:val="en-GB"/>
        </w:rPr>
        <w:t xml:space="preserve"> </w:t>
      </w:r>
      <w:r w:rsidR="0050130C">
        <w:rPr>
          <w:rFonts w:asciiTheme="minorHAnsi" w:hAnsiTheme="minorHAnsi"/>
          <w:snapToGrid w:val="0"/>
          <w:lang w:val="en-GB"/>
        </w:rPr>
        <w:t>T</w:t>
      </w:r>
      <w:r w:rsidR="00DB1DC1">
        <w:rPr>
          <w:rFonts w:asciiTheme="minorHAnsi" w:hAnsiTheme="minorHAnsi"/>
          <w:snapToGrid w:val="0"/>
          <w:lang w:val="en-GB"/>
        </w:rPr>
        <w:t>he PBAC</w:t>
      </w:r>
      <w:r w:rsidR="00A96CEF">
        <w:rPr>
          <w:rFonts w:asciiTheme="minorHAnsi" w:hAnsiTheme="minorHAnsi"/>
          <w:snapToGrid w:val="0"/>
          <w:lang w:val="en-GB"/>
        </w:rPr>
        <w:t xml:space="preserve"> considered </w:t>
      </w:r>
      <w:r w:rsidR="00515568">
        <w:rPr>
          <w:rFonts w:asciiTheme="minorHAnsi" w:hAnsiTheme="minorHAnsi"/>
          <w:snapToGrid w:val="0"/>
          <w:lang w:val="en-GB"/>
        </w:rPr>
        <w:t xml:space="preserve">that </w:t>
      </w:r>
      <w:r w:rsidR="003E10F8">
        <w:rPr>
          <w:rFonts w:asciiTheme="minorHAnsi" w:hAnsiTheme="minorHAnsi"/>
          <w:snapToGrid w:val="0"/>
          <w:lang w:val="en-GB"/>
        </w:rPr>
        <w:t>topical</w:t>
      </w:r>
      <w:r w:rsidR="00515568">
        <w:rPr>
          <w:rFonts w:asciiTheme="minorHAnsi" w:hAnsiTheme="minorHAnsi"/>
          <w:snapToGrid w:val="0"/>
          <w:lang w:val="en-GB"/>
        </w:rPr>
        <w:t xml:space="preserve"> and systemic treatments are likely to be used in different patient subsets</w:t>
      </w:r>
      <w:r w:rsidR="003241DB">
        <w:rPr>
          <w:rFonts w:asciiTheme="minorHAnsi" w:hAnsiTheme="minorHAnsi"/>
          <w:snapToGrid w:val="0"/>
          <w:lang w:val="en-GB"/>
        </w:rPr>
        <w:t>,</w:t>
      </w:r>
      <w:r w:rsidR="006D7F69">
        <w:rPr>
          <w:rFonts w:asciiTheme="minorHAnsi" w:hAnsiTheme="minorHAnsi"/>
          <w:snapToGrid w:val="0"/>
          <w:lang w:val="en-GB"/>
        </w:rPr>
        <w:t xml:space="preserve"> defined by a range of factors including</w:t>
      </w:r>
      <w:r w:rsidR="00623891">
        <w:rPr>
          <w:rFonts w:asciiTheme="minorHAnsi" w:hAnsiTheme="minorHAnsi"/>
          <w:snapToGrid w:val="0"/>
          <w:lang w:val="en-GB"/>
        </w:rPr>
        <w:t xml:space="preserve"> extent of disease. The</w:t>
      </w:r>
      <w:r w:rsidR="0058360F">
        <w:rPr>
          <w:rFonts w:asciiTheme="minorHAnsi" w:hAnsiTheme="minorHAnsi"/>
          <w:snapToGrid w:val="0"/>
          <w:lang w:val="en-GB"/>
        </w:rPr>
        <w:t>refore, the</w:t>
      </w:r>
      <w:r w:rsidR="00623891">
        <w:rPr>
          <w:rFonts w:asciiTheme="minorHAnsi" w:hAnsiTheme="minorHAnsi"/>
          <w:snapToGrid w:val="0"/>
          <w:lang w:val="en-GB"/>
        </w:rPr>
        <w:t xml:space="preserve"> PBAC considered </w:t>
      </w:r>
      <w:r w:rsidR="00A96CEF">
        <w:rPr>
          <w:rFonts w:asciiTheme="minorHAnsi" w:hAnsiTheme="minorHAnsi"/>
          <w:snapToGrid w:val="0"/>
          <w:lang w:val="en-GB"/>
        </w:rPr>
        <w:t>the impact</w:t>
      </w:r>
      <w:r w:rsidR="00891275">
        <w:rPr>
          <w:rFonts w:asciiTheme="minorHAnsi" w:hAnsiTheme="minorHAnsi"/>
          <w:snapToGrid w:val="0"/>
          <w:lang w:val="en-GB"/>
        </w:rPr>
        <w:t>,</w:t>
      </w:r>
      <w:r w:rsidR="00891275" w:rsidRPr="00891275">
        <w:rPr>
          <w:rFonts w:asciiTheme="minorHAnsi" w:hAnsiTheme="minorHAnsi"/>
          <w:snapToGrid w:val="0"/>
          <w:lang w:val="en-GB"/>
        </w:rPr>
        <w:t xml:space="preserve"> </w:t>
      </w:r>
      <w:r w:rsidR="00891275">
        <w:rPr>
          <w:rFonts w:asciiTheme="minorHAnsi" w:hAnsiTheme="minorHAnsi"/>
          <w:snapToGrid w:val="0"/>
          <w:lang w:val="en-GB"/>
        </w:rPr>
        <w:t xml:space="preserve">if any, </w:t>
      </w:r>
      <w:r w:rsidR="00623891">
        <w:rPr>
          <w:rFonts w:asciiTheme="minorHAnsi" w:hAnsiTheme="minorHAnsi"/>
          <w:snapToGrid w:val="0"/>
          <w:lang w:val="en-GB"/>
        </w:rPr>
        <w:t xml:space="preserve">of 0.1% TAC </w:t>
      </w:r>
      <w:r w:rsidR="00891275">
        <w:rPr>
          <w:rFonts w:asciiTheme="minorHAnsi" w:hAnsiTheme="minorHAnsi"/>
          <w:snapToGrid w:val="0"/>
          <w:lang w:val="en-GB"/>
        </w:rPr>
        <w:t>on systemic therapies</w:t>
      </w:r>
      <w:r w:rsidR="00A96CEF">
        <w:rPr>
          <w:rFonts w:asciiTheme="minorHAnsi" w:hAnsiTheme="minorHAnsi"/>
          <w:snapToGrid w:val="0"/>
          <w:lang w:val="en-GB"/>
        </w:rPr>
        <w:t xml:space="preserve"> would be to </w:t>
      </w:r>
      <w:r w:rsidR="00FD519A">
        <w:rPr>
          <w:rFonts w:asciiTheme="minorHAnsi" w:hAnsiTheme="minorHAnsi"/>
          <w:snapToGrid w:val="0"/>
          <w:lang w:val="en-GB"/>
        </w:rPr>
        <w:t xml:space="preserve">primarily </w:t>
      </w:r>
      <w:r w:rsidR="00A96CEF">
        <w:rPr>
          <w:rFonts w:asciiTheme="minorHAnsi" w:hAnsiTheme="minorHAnsi"/>
          <w:snapToGrid w:val="0"/>
          <w:lang w:val="en-GB"/>
        </w:rPr>
        <w:t>delay</w:t>
      </w:r>
      <w:r w:rsidR="00B97CCD">
        <w:rPr>
          <w:rFonts w:asciiTheme="minorHAnsi" w:hAnsiTheme="minorHAnsi"/>
          <w:snapToGrid w:val="0"/>
          <w:lang w:val="en-GB"/>
        </w:rPr>
        <w:t>,</w:t>
      </w:r>
      <w:r w:rsidR="00B67A11">
        <w:rPr>
          <w:rFonts w:asciiTheme="minorHAnsi" w:hAnsiTheme="minorHAnsi"/>
          <w:snapToGrid w:val="0"/>
          <w:lang w:val="en-GB"/>
        </w:rPr>
        <w:t xml:space="preserve"> rather than avoid</w:t>
      </w:r>
      <w:r w:rsidR="00B97CCD">
        <w:rPr>
          <w:rFonts w:asciiTheme="minorHAnsi" w:hAnsiTheme="minorHAnsi"/>
          <w:snapToGrid w:val="0"/>
          <w:lang w:val="en-GB"/>
        </w:rPr>
        <w:t>,</w:t>
      </w:r>
      <w:r w:rsidR="0084699B">
        <w:rPr>
          <w:rFonts w:asciiTheme="minorHAnsi" w:hAnsiTheme="minorHAnsi"/>
          <w:snapToGrid w:val="0"/>
          <w:lang w:val="en-GB"/>
        </w:rPr>
        <w:t xml:space="preserve"> </w:t>
      </w:r>
      <w:r w:rsidR="0058360F">
        <w:rPr>
          <w:rFonts w:asciiTheme="minorHAnsi" w:hAnsiTheme="minorHAnsi"/>
          <w:snapToGrid w:val="0"/>
          <w:lang w:val="en-GB"/>
        </w:rPr>
        <w:t>systemic</w:t>
      </w:r>
      <w:r w:rsidR="0084699B">
        <w:rPr>
          <w:rFonts w:asciiTheme="minorHAnsi" w:hAnsiTheme="minorHAnsi"/>
          <w:snapToGrid w:val="0"/>
          <w:lang w:val="en-GB"/>
        </w:rPr>
        <w:t xml:space="preserve"> treatments.</w:t>
      </w:r>
    </w:p>
    <w:p w14:paraId="25E4EAF1" w14:textId="448F1F9E" w:rsidR="00CE546D" w:rsidRPr="008E3F0A" w:rsidRDefault="508C47DE" w:rsidP="10A0A639">
      <w:pPr>
        <w:widowControl w:val="0"/>
        <w:numPr>
          <w:ilvl w:val="1"/>
          <w:numId w:val="1"/>
        </w:numPr>
        <w:spacing w:after="120"/>
        <w:rPr>
          <w:rFonts w:asciiTheme="minorHAnsi" w:hAnsiTheme="minorHAnsi"/>
          <w:snapToGrid w:val="0"/>
          <w:lang w:val="en-GB"/>
        </w:rPr>
      </w:pPr>
      <w:bookmarkStart w:id="128" w:name="_Ref204606667"/>
      <w:r w:rsidRPr="008E3F0A">
        <w:rPr>
          <w:rFonts w:asciiTheme="minorHAnsi" w:hAnsiTheme="minorHAnsi"/>
          <w:snapToGrid w:val="0"/>
          <w:lang w:val="en-GB"/>
        </w:rPr>
        <w:t xml:space="preserve">In the context of the </w:t>
      </w:r>
      <w:r w:rsidR="0618A769" w:rsidRPr="008E3F0A">
        <w:rPr>
          <w:rFonts w:asciiTheme="minorHAnsi" w:hAnsiTheme="minorHAnsi"/>
          <w:snapToGrid w:val="0"/>
          <w:lang w:val="en-GB"/>
        </w:rPr>
        <w:t>expected use in a broad patient population</w:t>
      </w:r>
      <w:r w:rsidR="01DBBA89" w:rsidRPr="008E3F0A">
        <w:rPr>
          <w:rFonts w:asciiTheme="minorHAnsi" w:hAnsiTheme="minorHAnsi"/>
          <w:snapToGrid w:val="0"/>
          <w:lang w:val="en-GB"/>
        </w:rPr>
        <w:t>, the PBAC co</w:t>
      </w:r>
      <w:r w:rsidR="3ECDE408" w:rsidRPr="008E3F0A">
        <w:rPr>
          <w:rFonts w:asciiTheme="minorHAnsi" w:hAnsiTheme="minorHAnsi"/>
          <w:snapToGrid w:val="0"/>
          <w:lang w:val="en-GB"/>
        </w:rPr>
        <w:t xml:space="preserve">nsidered that 0.1% TAC would be cost-effective if it was </w:t>
      </w:r>
      <w:r w:rsidR="634D5BE5" w:rsidRPr="008E3F0A">
        <w:rPr>
          <w:rFonts w:asciiTheme="minorHAnsi" w:hAnsiTheme="minorHAnsi"/>
          <w:snapToGrid w:val="0"/>
          <w:lang w:val="en-GB"/>
        </w:rPr>
        <w:t>cost minimis</w:t>
      </w:r>
      <w:r w:rsidR="1FA184A3" w:rsidRPr="008E3F0A">
        <w:rPr>
          <w:rFonts w:asciiTheme="minorHAnsi" w:hAnsiTheme="minorHAnsi"/>
          <w:snapToGrid w:val="0"/>
          <w:lang w:val="en-GB"/>
        </w:rPr>
        <w:t xml:space="preserve">ed </w:t>
      </w:r>
      <w:r w:rsidR="634D5BE5" w:rsidRPr="008E3F0A">
        <w:rPr>
          <w:rFonts w:asciiTheme="minorHAnsi" w:hAnsiTheme="minorHAnsi"/>
          <w:snapToGrid w:val="0"/>
          <w:lang w:val="en-GB"/>
        </w:rPr>
        <w:t>versus</w:t>
      </w:r>
      <w:r w:rsidR="0618A769" w:rsidRPr="008E3F0A">
        <w:rPr>
          <w:rFonts w:asciiTheme="minorHAnsi" w:hAnsiTheme="minorHAnsi"/>
          <w:snapToGrid w:val="0"/>
          <w:lang w:val="en-GB"/>
        </w:rPr>
        <w:t xml:space="preserve"> the</w:t>
      </w:r>
      <w:r w:rsidR="634D5BE5" w:rsidRPr="008E3F0A">
        <w:rPr>
          <w:rFonts w:asciiTheme="minorHAnsi" w:hAnsiTheme="minorHAnsi"/>
          <w:snapToGrid w:val="0"/>
          <w:lang w:val="en-GB"/>
        </w:rPr>
        <w:t xml:space="preserve"> </w:t>
      </w:r>
      <w:r w:rsidR="1FA184A3" w:rsidRPr="008E3F0A">
        <w:rPr>
          <w:rFonts w:asciiTheme="minorHAnsi" w:hAnsiTheme="minorHAnsi"/>
          <w:snapToGrid w:val="0"/>
          <w:lang w:val="en-GB"/>
        </w:rPr>
        <w:t xml:space="preserve">least costly </w:t>
      </w:r>
      <w:r w:rsidR="355408E9" w:rsidRPr="008E3F0A">
        <w:rPr>
          <w:rFonts w:asciiTheme="minorHAnsi" w:hAnsiTheme="minorHAnsi"/>
          <w:snapToGrid w:val="0"/>
          <w:lang w:val="en-GB"/>
        </w:rPr>
        <w:t xml:space="preserve">PBS listed </w:t>
      </w:r>
      <w:r w:rsidR="634D5BE5" w:rsidRPr="008E3F0A">
        <w:rPr>
          <w:rFonts w:asciiTheme="minorHAnsi" w:hAnsiTheme="minorHAnsi"/>
          <w:snapToGrid w:val="0"/>
          <w:lang w:val="en-GB"/>
        </w:rPr>
        <w:t xml:space="preserve">high potency TCS. </w:t>
      </w:r>
      <w:r w:rsidR="2D5E59CB" w:rsidRPr="008E3F0A">
        <w:rPr>
          <w:rFonts w:asciiTheme="minorHAnsi" w:hAnsiTheme="minorHAnsi"/>
          <w:snapToGrid w:val="0"/>
          <w:lang w:val="en-GB"/>
        </w:rPr>
        <w:t xml:space="preserve">The PBAC considered that the equi-effective doses </w:t>
      </w:r>
      <w:r w:rsidR="021090D2" w:rsidRPr="008E3F0A">
        <w:rPr>
          <w:lang w:val="en-GB"/>
        </w:rPr>
        <w:t xml:space="preserve">could be determined by assuming </w:t>
      </w:r>
      <w:bookmarkEnd w:id="128"/>
      <w:r w:rsidR="3DB8158F" w:rsidRPr="008E3F0A">
        <w:rPr>
          <w:lang w:val="en-GB"/>
        </w:rPr>
        <w:t>a gram-for-gram equivalence</w:t>
      </w:r>
      <w:r w:rsidR="010DF8FF" w:rsidRPr="008E3F0A">
        <w:rPr>
          <w:lang w:val="en-GB"/>
        </w:rPr>
        <w:t xml:space="preserve">. </w:t>
      </w:r>
      <w:r w:rsidR="021090D2" w:rsidRPr="008E3F0A">
        <w:rPr>
          <w:lang w:val="en-GB"/>
        </w:rPr>
        <w:t xml:space="preserve"> </w:t>
      </w:r>
      <w:r w:rsidR="13B397B1" w:rsidRPr="008E3F0A">
        <w:rPr>
          <w:lang w:val="en-GB"/>
        </w:rPr>
        <w:t xml:space="preserve"> </w:t>
      </w:r>
    </w:p>
    <w:p w14:paraId="4BC7348A" w14:textId="38B0880B" w:rsidR="00AC385C" w:rsidRPr="008E3F0A" w:rsidRDefault="00AE0CB9">
      <w:pPr>
        <w:widowControl w:val="0"/>
        <w:numPr>
          <w:ilvl w:val="1"/>
          <w:numId w:val="1"/>
        </w:numPr>
        <w:spacing w:after="120"/>
        <w:rPr>
          <w:rFonts w:asciiTheme="minorHAnsi" w:hAnsiTheme="minorHAnsi"/>
          <w:snapToGrid w:val="0"/>
          <w:lang w:val="en-GB"/>
        </w:rPr>
      </w:pPr>
      <w:bookmarkStart w:id="129" w:name="_Ref204606673"/>
      <w:r w:rsidRPr="008E3F0A">
        <w:rPr>
          <w:lang w:val="en-GB"/>
        </w:rPr>
        <w:t xml:space="preserve">The PBAC considered </w:t>
      </w:r>
      <w:r w:rsidR="00DC497A" w:rsidRPr="008E3F0A">
        <w:rPr>
          <w:lang w:val="en-GB"/>
        </w:rPr>
        <w:t xml:space="preserve">that for the </w:t>
      </w:r>
      <w:r w:rsidR="003E055F" w:rsidRPr="008E3F0A">
        <w:rPr>
          <w:lang w:val="en-GB"/>
        </w:rPr>
        <w:t xml:space="preserve">proportion of use </w:t>
      </w:r>
      <w:r w:rsidR="00ED4F4C" w:rsidRPr="008E3F0A">
        <w:rPr>
          <w:lang w:val="en-GB"/>
        </w:rPr>
        <w:t xml:space="preserve">on the face and eyelids </w:t>
      </w:r>
      <w:r w:rsidR="005F408E" w:rsidRPr="008E3F0A">
        <w:rPr>
          <w:lang w:val="en-GB"/>
        </w:rPr>
        <w:t>where 0.1% TAC would replace PIM</w:t>
      </w:r>
      <w:r w:rsidR="00BC77BD" w:rsidRPr="008E3F0A">
        <w:rPr>
          <w:lang w:val="en-GB"/>
        </w:rPr>
        <w:t>,</w:t>
      </w:r>
      <w:r w:rsidR="000B0916" w:rsidRPr="008E3F0A">
        <w:rPr>
          <w:lang w:val="en-GB"/>
        </w:rPr>
        <w:t xml:space="preserve"> it would be appropriate for </w:t>
      </w:r>
      <w:r w:rsidR="00BC77BD" w:rsidRPr="008E3F0A">
        <w:rPr>
          <w:lang w:val="en-GB"/>
        </w:rPr>
        <w:t xml:space="preserve">0.1% TAC to be cost minimised versus </w:t>
      </w:r>
      <w:r w:rsidR="003303F0" w:rsidRPr="008E3F0A">
        <w:rPr>
          <w:lang w:val="en-GB"/>
        </w:rPr>
        <w:t xml:space="preserve">PIM. </w:t>
      </w:r>
      <w:r w:rsidR="00AC385C" w:rsidRPr="008E3F0A">
        <w:rPr>
          <w:rFonts w:asciiTheme="minorHAnsi" w:hAnsiTheme="minorHAnsi"/>
          <w:snapToGrid w:val="0"/>
          <w:lang w:val="en-GB"/>
        </w:rPr>
        <w:t xml:space="preserve">The PBAC noted the </w:t>
      </w:r>
      <w:r w:rsidR="000E61E4" w:rsidRPr="008E3F0A">
        <w:rPr>
          <w:rFonts w:asciiTheme="minorHAnsi" w:hAnsiTheme="minorHAnsi"/>
          <w:snapToGrid w:val="0"/>
          <w:lang w:val="en-GB"/>
        </w:rPr>
        <w:t>equi-effective doses for 0.1% TAC and PIM were uncertain</w:t>
      </w:r>
      <w:r w:rsidR="00495065" w:rsidRPr="008E3F0A">
        <w:rPr>
          <w:rFonts w:asciiTheme="minorHAnsi" w:hAnsiTheme="minorHAnsi"/>
          <w:snapToGrid w:val="0"/>
          <w:lang w:val="en-GB"/>
        </w:rPr>
        <w:t xml:space="preserve"> (see paragraph </w:t>
      </w:r>
      <w:r w:rsidR="00495065" w:rsidRPr="008E3F0A">
        <w:rPr>
          <w:rFonts w:asciiTheme="minorHAnsi" w:hAnsiTheme="minorHAnsi"/>
          <w:snapToGrid w:val="0"/>
          <w:lang w:val="en-GB"/>
        </w:rPr>
        <w:fldChar w:fldCharType="begin"/>
      </w:r>
      <w:r w:rsidR="00495065" w:rsidRPr="008E3F0A">
        <w:rPr>
          <w:rFonts w:asciiTheme="minorHAnsi" w:hAnsiTheme="minorHAnsi"/>
          <w:snapToGrid w:val="0"/>
          <w:lang w:val="en-GB"/>
        </w:rPr>
        <w:instrText xml:space="preserve"> REF _Ref204602520 \r \h </w:instrText>
      </w:r>
      <w:r w:rsidR="00495065" w:rsidRPr="008E3F0A">
        <w:rPr>
          <w:rFonts w:asciiTheme="minorHAnsi" w:hAnsiTheme="minorHAnsi"/>
          <w:snapToGrid w:val="0"/>
          <w:lang w:val="en-GB"/>
        </w:rPr>
      </w:r>
      <w:r w:rsidR="00495065" w:rsidRPr="008E3F0A">
        <w:rPr>
          <w:rFonts w:asciiTheme="minorHAnsi" w:hAnsiTheme="minorHAnsi"/>
          <w:snapToGrid w:val="0"/>
          <w:lang w:val="en-GB"/>
        </w:rPr>
        <w:fldChar w:fldCharType="separate"/>
      </w:r>
      <w:r w:rsidR="00124226">
        <w:rPr>
          <w:rFonts w:asciiTheme="minorHAnsi" w:hAnsiTheme="minorHAnsi"/>
          <w:snapToGrid w:val="0"/>
          <w:lang w:val="en-GB"/>
        </w:rPr>
        <w:t>6.77</w:t>
      </w:r>
      <w:r w:rsidR="00495065" w:rsidRPr="008E3F0A">
        <w:rPr>
          <w:rFonts w:asciiTheme="minorHAnsi" w:hAnsiTheme="minorHAnsi"/>
          <w:snapToGrid w:val="0"/>
          <w:lang w:val="en-GB"/>
        </w:rPr>
        <w:fldChar w:fldCharType="end"/>
      </w:r>
      <w:r w:rsidR="00495065" w:rsidRPr="008E3F0A">
        <w:rPr>
          <w:rFonts w:asciiTheme="minorHAnsi" w:hAnsiTheme="minorHAnsi"/>
          <w:snapToGrid w:val="0"/>
          <w:lang w:val="en-GB"/>
        </w:rPr>
        <w:t>)</w:t>
      </w:r>
      <w:r w:rsidR="00C57ED9" w:rsidRPr="008E3F0A">
        <w:rPr>
          <w:rFonts w:asciiTheme="minorHAnsi" w:hAnsiTheme="minorHAnsi"/>
          <w:snapToGrid w:val="0"/>
          <w:lang w:val="en-GB"/>
        </w:rPr>
        <w:t>;</w:t>
      </w:r>
      <w:r w:rsidR="000E61E4" w:rsidRPr="008E3F0A">
        <w:rPr>
          <w:rFonts w:asciiTheme="minorHAnsi" w:hAnsiTheme="minorHAnsi"/>
          <w:snapToGrid w:val="0"/>
          <w:lang w:val="en-GB"/>
        </w:rPr>
        <w:t xml:space="preserve"> however</w:t>
      </w:r>
      <w:r w:rsidR="00C57ED9" w:rsidRPr="008E3F0A">
        <w:rPr>
          <w:rFonts w:asciiTheme="minorHAnsi" w:hAnsiTheme="minorHAnsi"/>
          <w:snapToGrid w:val="0"/>
          <w:lang w:val="en-GB"/>
        </w:rPr>
        <w:t>,</w:t>
      </w:r>
      <w:r w:rsidR="000E61E4" w:rsidRPr="008E3F0A">
        <w:rPr>
          <w:rFonts w:asciiTheme="minorHAnsi" w:hAnsiTheme="minorHAnsi"/>
          <w:snapToGrid w:val="0"/>
          <w:lang w:val="en-GB"/>
        </w:rPr>
        <w:t xml:space="preserve"> in the context of </w:t>
      </w:r>
      <w:r w:rsidR="00C5744B" w:rsidRPr="008E3F0A">
        <w:rPr>
          <w:rFonts w:asciiTheme="minorHAnsi" w:hAnsiTheme="minorHAnsi"/>
          <w:snapToGrid w:val="0"/>
          <w:lang w:val="en-GB"/>
        </w:rPr>
        <w:t xml:space="preserve">this use being </w:t>
      </w:r>
      <w:r w:rsidR="00F07CB6" w:rsidRPr="008E3F0A">
        <w:rPr>
          <w:rFonts w:asciiTheme="minorHAnsi" w:hAnsiTheme="minorHAnsi"/>
          <w:snapToGrid w:val="0"/>
          <w:lang w:val="en-GB"/>
        </w:rPr>
        <w:t>relative</w:t>
      </w:r>
      <w:r w:rsidR="00C57ED9" w:rsidRPr="008E3F0A">
        <w:rPr>
          <w:rFonts w:asciiTheme="minorHAnsi" w:hAnsiTheme="minorHAnsi"/>
          <w:snapToGrid w:val="0"/>
          <w:lang w:val="en-GB"/>
        </w:rPr>
        <w:t>ly</w:t>
      </w:r>
      <w:r w:rsidR="00F07CB6" w:rsidRPr="008E3F0A">
        <w:rPr>
          <w:rFonts w:asciiTheme="minorHAnsi" w:hAnsiTheme="minorHAnsi"/>
          <w:snapToGrid w:val="0"/>
          <w:lang w:val="en-GB"/>
        </w:rPr>
        <w:t xml:space="preserve"> small, </w:t>
      </w:r>
      <w:r w:rsidR="00AC385C" w:rsidRPr="008E3F0A">
        <w:rPr>
          <w:rFonts w:asciiTheme="minorHAnsi" w:hAnsiTheme="minorHAnsi"/>
          <w:snapToGrid w:val="0"/>
          <w:lang w:val="en-GB"/>
        </w:rPr>
        <w:t>accepted that the equi-effective doses were:</w:t>
      </w:r>
      <w:bookmarkEnd w:id="129"/>
    </w:p>
    <w:p w14:paraId="343770EB" w14:textId="77777777" w:rsidR="00AC385C" w:rsidRPr="008E3F0A" w:rsidRDefault="00AC385C" w:rsidP="00AC385C">
      <w:pPr>
        <w:widowControl w:val="0"/>
        <w:spacing w:after="120"/>
        <w:ind w:left="1440"/>
        <w:rPr>
          <w:rFonts w:asciiTheme="minorHAnsi" w:hAnsiTheme="minorHAnsi"/>
          <w:snapToGrid w:val="0"/>
          <w:lang w:val="en-GB"/>
        </w:rPr>
      </w:pPr>
      <w:r w:rsidRPr="008E3F0A">
        <w:rPr>
          <w:lang w:val="en-GB"/>
        </w:rPr>
        <w:t>1 g of 0.1% TAC = 1 g of 1% PIM</w:t>
      </w:r>
    </w:p>
    <w:p w14:paraId="32845288" w14:textId="3DD9B166" w:rsidR="00AC385C" w:rsidRPr="00C470C8" w:rsidRDefault="005C4E80" w:rsidP="00B77173">
      <w:pPr>
        <w:widowControl w:val="0"/>
        <w:numPr>
          <w:ilvl w:val="1"/>
          <w:numId w:val="1"/>
        </w:numPr>
        <w:spacing w:after="120"/>
        <w:rPr>
          <w:rFonts w:asciiTheme="minorHAnsi" w:hAnsiTheme="minorHAnsi"/>
          <w:snapToGrid w:val="0"/>
          <w:lang w:val="en-GB"/>
        </w:rPr>
      </w:pPr>
      <w:bookmarkStart w:id="130" w:name="_Ref204606705"/>
      <w:r w:rsidRPr="008E3F0A">
        <w:rPr>
          <w:lang w:val="en-GB"/>
        </w:rPr>
        <w:t xml:space="preserve">The PBAC noted to calculate a weighted price for 0.1% TAC across the two cost minimisation approaches, that the estimated use for each </w:t>
      </w:r>
      <w:r w:rsidR="000E4680" w:rsidRPr="008E3F0A">
        <w:rPr>
          <w:lang w:val="en-GB"/>
        </w:rPr>
        <w:t xml:space="preserve">of </w:t>
      </w:r>
      <w:r w:rsidRPr="008E3F0A">
        <w:rPr>
          <w:lang w:val="en-GB"/>
        </w:rPr>
        <w:t>the populations</w:t>
      </w:r>
      <w:r w:rsidRPr="004D7499">
        <w:rPr>
          <w:u w:val="single" w:color="FF0000"/>
          <w:lang w:val="en-GB"/>
        </w:rPr>
        <w:t xml:space="preserve"> </w:t>
      </w:r>
      <w:r w:rsidRPr="00C470C8">
        <w:rPr>
          <w:lang w:val="en-GB"/>
        </w:rPr>
        <w:t>informing the financial estimates could be used.</w:t>
      </w:r>
      <w:bookmarkEnd w:id="130"/>
    </w:p>
    <w:p w14:paraId="237E4C0E" w14:textId="6379437E" w:rsidR="000452F6" w:rsidRPr="00C470C8" w:rsidRDefault="00104732">
      <w:pPr>
        <w:widowControl w:val="0"/>
        <w:numPr>
          <w:ilvl w:val="1"/>
          <w:numId w:val="1"/>
        </w:numPr>
        <w:spacing w:after="120"/>
        <w:rPr>
          <w:rFonts w:asciiTheme="minorHAnsi" w:hAnsiTheme="minorHAnsi"/>
          <w:snapToGrid w:val="0"/>
          <w:lang w:val="en-GB"/>
        </w:rPr>
      </w:pPr>
      <w:r w:rsidRPr="00C470C8">
        <w:rPr>
          <w:rFonts w:asciiTheme="minorHAnsi" w:hAnsiTheme="minorHAnsi"/>
          <w:snapToGrid w:val="0"/>
          <w:lang w:val="en-GB"/>
        </w:rPr>
        <w:t xml:space="preserve">The PBAC noted that </w:t>
      </w:r>
      <w:r w:rsidR="008231AC" w:rsidRPr="00C470C8">
        <w:rPr>
          <w:rFonts w:asciiTheme="minorHAnsi" w:hAnsiTheme="minorHAnsi"/>
          <w:snapToGrid w:val="0"/>
          <w:lang w:val="en-GB"/>
        </w:rPr>
        <w:t xml:space="preserve">although </w:t>
      </w:r>
      <w:r w:rsidRPr="00C470C8">
        <w:rPr>
          <w:rFonts w:asciiTheme="minorHAnsi" w:hAnsiTheme="minorHAnsi"/>
          <w:snapToGrid w:val="0"/>
          <w:lang w:val="en-GB"/>
        </w:rPr>
        <w:t xml:space="preserve">the </w:t>
      </w:r>
      <w:r w:rsidR="00B47CF3" w:rsidRPr="00C470C8">
        <w:rPr>
          <w:rFonts w:asciiTheme="minorHAnsi" w:hAnsiTheme="minorHAnsi"/>
          <w:snapToGrid w:val="0"/>
          <w:lang w:val="en-GB"/>
        </w:rPr>
        <w:t xml:space="preserve">estimated </w:t>
      </w:r>
      <w:r w:rsidRPr="00C470C8">
        <w:rPr>
          <w:rFonts w:asciiTheme="minorHAnsi" w:hAnsiTheme="minorHAnsi"/>
          <w:snapToGrid w:val="0"/>
          <w:lang w:val="en-GB"/>
        </w:rPr>
        <w:t xml:space="preserve">cost of </w:t>
      </w:r>
      <w:r w:rsidR="008231AC" w:rsidRPr="00C470C8">
        <w:rPr>
          <w:rFonts w:asciiTheme="minorHAnsi" w:hAnsiTheme="minorHAnsi"/>
          <w:snapToGrid w:val="0"/>
          <w:lang w:val="en-GB"/>
        </w:rPr>
        <w:t xml:space="preserve">listing </w:t>
      </w:r>
      <w:r w:rsidRPr="00C470C8">
        <w:rPr>
          <w:rFonts w:asciiTheme="minorHAnsi" w:hAnsiTheme="minorHAnsi"/>
          <w:snapToGrid w:val="0"/>
          <w:lang w:val="en-GB"/>
        </w:rPr>
        <w:t xml:space="preserve">0.1% </w:t>
      </w:r>
      <w:r w:rsidR="009F0DF5" w:rsidRPr="00C470C8">
        <w:rPr>
          <w:rFonts w:asciiTheme="minorHAnsi" w:hAnsiTheme="minorHAnsi"/>
          <w:snapToGrid w:val="0"/>
          <w:lang w:val="en-GB"/>
        </w:rPr>
        <w:t>TAC</w:t>
      </w:r>
      <w:r w:rsidR="008231AC" w:rsidRPr="00C470C8">
        <w:rPr>
          <w:rFonts w:asciiTheme="minorHAnsi" w:hAnsiTheme="minorHAnsi"/>
          <w:snapToGrid w:val="0"/>
          <w:lang w:val="en-GB"/>
        </w:rPr>
        <w:t xml:space="preserve"> on the PB</w:t>
      </w:r>
      <w:r w:rsidR="00B47CF3" w:rsidRPr="00C470C8">
        <w:rPr>
          <w:rFonts w:asciiTheme="minorHAnsi" w:hAnsiTheme="minorHAnsi"/>
          <w:snapToGrid w:val="0"/>
          <w:lang w:val="en-GB"/>
        </w:rPr>
        <w:t>S</w:t>
      </w:r>
      <w:r w:rsidR="009F0DF5" w:rsidRPr="00C470C8">
        <w:rPr>
          <w:rFonts w:asciiTheme="minorHAnsi" w:hAnsiTheme="minorHAnsi"/>
          <w:snapToGrid w:val="0"/>
          <w:lang w:val="en-GB"/>
        </w:rPr>
        <w:t xml:space="preserve"> </w:t>
      </w:r>
      <w:r w:rsidR="00DD0D13" w:rsidRPr="00C470C8">
        <w:rPr>
          <w:rFonts w:asciiTheme="minorHAnsi" w:hAnsiTheme="minorHAnsi"/>
          <w:snapToGrid w:val="0"/>
          <w:lang w:val="en-GB"/>
        </w:rPr>
        <w:t xml:space="preserve">at the proposed price </w:t>
      </w:r>
      <w:r w:rsidR="00D3574F" w:rsidRPr="00C470C8">
        <w:rPr>
          <w:rFonts w:asciiTheme="minorHAnsi" w:hAnsiTheme="minorHAnsi"/>
          <w:snapToGrid w:val="0"/>
          <w:lang w:val="en-GB"/>
        </w:rPr>
        <w:t>was h</w:t>
      </w:r>
      <w:r w:rsidR="009F0DF5" w:rsidRPr="00C470C8">
        <w:rPr>
          <w:rFonts w:asciiTheme="minorHAnsi" w:hAnsiTheme="minorHAnsi"/>
          <w:snapToGrid w:val="0"/>
          <w:lang w:val="en-GB"/>
        </w:rPr>
        <w:t>igh</w:t>
      </w:r>
      <w:r w:rsidR="00823AA9" w:rsidRPr="00C470C8">
        <w:rPr>
          <w:rFonts w:asciiTheme="minorHAnsi" w:hAnsiTheme="minorHAnsi"/>
          <w:snapToGrid w:val="0"/>
          <w:lang w:val="en-GB"/>
        </w:rPr>
        <w:t>,</w:t>
      </w:r>
      <w:r w:rsidR="009F0DF5" w:rsidRPr="00C470C8">
        <w:rPr>
          <w:rFonts w:asciiTheme="minorHAnsi" w:hAnsiTheme="minorHAnsi"/>
          <w:snapToGrid w:val="0"/>
          <w:lang w:val="en-GB"/>
        </w:rPr>
        <w:t xml:space="preserve"> at approximately </w:t>
      </w:r>
      <w:r w:rsidR="00461196" w:rsidRPr="00461196">
        <w:rPr>
          <w:rFonts w:asciiTheme="minorHAnsi" w:hAnsiTheme="minorHAnsi"/>
          <w:snapToGrid w:val="0"/>
          <w:lang w:val="en-GB"/>
        </w:rPr>
        <w:t>$200 million to &lt; $300 million</w:t>
      </w:r>
      <w:r w:rsidR="009F0DF5" w:rsidRPr="00C470C8">
        <w:rPr>
          <w:rFonts w:asciiTheme="minorHAnsi" w:hAnsiTheme="minorHAnsi"/>
          <w:snapToGrid w:val="0"/>
          <w:lang w:val="en-GB"/>
        </w:rPr>
        <w:t xml:space="preserve"> over the first 6 years</w:t>
      </w:r>
      <w:r w:rsidR="00B47CF3" w:rsidRPr="00C470C8">
        <w:rPr>
          <w:rFonts w:asciiTheme="minorHAnsi" w:hAnsiTheme="minorHAnsi"/>
          <w:snapToGrid w:val="0"/>
          <w:lang w:val="en-GB"/>
        </w:rPr>
        <w:t xml:space="preserve">, </w:t>
      </w:r>
      <w:r w:rsidR="00AF6EE1" w:rsidRPr="00C470C8">
        <w:rPr>
          <w:rFonts w:asciiTheme="minorHAnsi" w:hAnsiTheme="minorHAnsi"/>
          <w:snapToGrid w:val="0"/>
          <w:lang w:val="en-GB"/>
        </w:rPr>
        <w:t xml:space="preserve">a saving to the PBS </w:t>
      </w:r>
      <w:r w:rsidR="00B47CF3" w:rsidRPr="00C470C8">
        <w:rPr>
          <w:rFonts w:asciiTheme="minorHAnsi" w:hAnsiTheme="minorHAnsi"/>
          <w:snapToGrid w:val="0"/>
          <w:lang w:val="en-GB"/>
        </w:rPr>
        <w:t xml:space="preserve">was estimated </w:t>
      </w:r>
      <w:r w:rsidR="00964A51" w:rsidRPr="00C470C8">
        <w:rPr>
          <w:rFonts w:asciiTheme="minorHAnsi" w:hAnsiTheme="minorHAnsi"/>
          <w:snapToGrid w:val="0"/>
          <w:lang w:val="en-GB"/>
        </w:rPr>
        <w:t xml:space="preserve">overall </w:t>
      </w:r>
      <w:r w:rsidR="004477C8" w:rsidRPr="00C470C8">
        <w:rPr>
          <w:rFonts w:asciiTheme="minorHAnsi" w:hAnsiTheme="minorHAnsi"/>
          <w:snapToGrid w:val="0"/>
          <w:lang w:val="en-GB"/>
        </w:rPr>
        <w:t xml:space="preserve">due to </w:t>
      </w:r>
      <w:r w:rsidR="00B47CF3" w:rsidRPr="00C470C8">
        <w:rPr>
          <w:rFonts w:asciiTheme="minorHAnsi" w:hAnsiTheme="minorHAnsi"/>
          <w:snapToGrid w:val="0"/>
          <w:lang w:val="en-GB"/>
        </w:rPr>
        <w:t xml:space="preserve">the </w:t>
      </w:r>
      <w:r w:rsidR="004477C8" w:rsidRPr="00C470C8">
        <w:rPr>
          <w:rFonts w:asciiTheme="minorHAnsi" w:hAnsiTheme="minorHAnsi"/>
          <w:snapToGrid w:val="0"/>
          <w:lang w:val="en-GB"/>
        </w:rPr>
        <w:t xml:space="preserve">assumption that 0.1% TAC would </w:t>
      </w:r>
      <w:r w:rsidR="000909D7" w:rsidRPr="00C470C8">
        <w:rPr>
          <w:rFonts w:asciiTheme="minorHAnsi" w:hAnsiTheme="minorHAnsi"/>
          <w:snapToGrid w:val="0"/>
          <w:lang w:val="en-GB"/>
        </w:rPr>
        <w:t>avoid the need for subsequent</w:t>
      </w:r>
      <w:r w:rsidR="00B47CF3" w:rsidRPr="00C470C8">
        <w:rPr>
          <w:rFonts w:asciiTheme="minorHAnsi" w:hAnsiTheme="minorHAnsi"/>
          <w:snapToGrid w:val="0"/>
          <w:lang w:val="en-GB"/>
        </w:rPr>
        <w:t xml:space="preserve"> systemic therapies.</w:t>
      </w:r>
      <w:r w:rsidR="003C1E35" w:rsidRPr="00C470C8">
        <w:rPr>
          <w:rFonts w:asciiTheme="minorHAnsi" w:hAnsiTheme="minorHAnsi"/>
          <w:snapToGrid w:val="0"/>
          <w:lang w:val="en-GB"/>
        </w:rPr>
        <w:t xml:space="preserve"> </w:t>
      </w:r>
      <w:r w:rsidR="00324A7E" w:rsidRPr="00C470C8">
        <w:rPr>
          <w:rFonts w:asciiTheme="minorHAnsi" w:hAnsiTheme="minorHAnsi"/>
          <w:snapToGrid w:val="0"/>
          <w:lang w:val="en-GB"/>
        </w:rPr>
        <w:t xml:space="preserve">The PBAC noted </w:t>
      </w:r>
      <w:r w:rsidR="008A406D" w:rsidRPr="00C470C8">
        <w:rPr>
          <w:rFonts w:asciiTheme="minorHAnsi" w:hAnsiTheme="minorHAnsi"/>
          <w:snapToGrid w:val="0"/>
          <w:lang w:val="en-GB"/>
        </w:rPr>
        <w:t>the avoidance of subsequent systemic therapies</w:t>
      </w:r>
      <w:r w:rsidR="00324A7E" w:rsidRPr="00C470C8">
        <w:rPr>
          <w:rFonts w:asciiTheme="minorHAnsi" w:hAnsiTheme="minorHAnsi"/>
          <w:snapToGrid w:val="0"/>
          <w:lang w:val="en-GB"/>
        </w:rPr>
        <w:t xml:space="preserve"> was based on </w:t>
      </w:r>
      <w:r w:rsidR="0003140B" w:rsidRPr="00C470C8">
        <w:rPr>
          <w:rFonts w:asciiTheme="minorHAnsi" w:hAnsiTheme="minorHAnsi"/>
          <w:snapToGrid w:val="0"/>
          <w:lang w:val="en-GB"/>
        </w:rPr>
        <w:t>the</w:t>
      </w:r>
      <w:r w:rsidR="00324A7E" w:rsidRPr="00C470C8">
        <w:rPr>
          <w:rFonts w:asciiTheme="minorHAnsi" w:hAnsiTheme="minorHAnsi"/>
          <w:snapToGrid w:val="0"/>
          <w:lang w:val="en-GB"/>
        </w:rPr>
        <w:t xml:space="preserve"> assumption that </w:t>
      </w:r>
      <w:r w:rsidR="00324A7E" w:rsidRPr="00C470C8">
        <w:t>satisfaction with 0.1% TAC directly translate</w:t>
      </w:r>
      <w:r w:rsidR="0003140B" w:rsidRPr="00C470C8">
        <w:t>s</w:t>
      </w:r>
      <w:r w:rsidR="00324A7E" w:rsidRPr="00C470C8">
        <w:t xml:space="preserve"> to </w:t>
      </w:r>
      <w:r w:rsidR="0003140B" w:rsidRPr="00C470C8">
        <w:t>reduced use</w:t>
      </w:r>
      <w:r w:rsidR="00324A7E" w:rsidRPr="00C470C8">
        <w:t xml:space="preserve"> of </w:t>
      </w:r>
      <w:r w:rsidR="00550A89" w:rsidRPr="00C470C8">
        <w:t xml:space="preserve">subsequent </w:t>
      </w:r>
      <w:r w:rsidR="00324A7E" w:rsidRPr="00C470C8">
        <w:t>systemic therapies.</w:t>
      </w:r>
      <w:r w:rsidR="00A253C0" w:rsidRPr="00C470C8">
        <w:t xml:space="preserve"> </w:t>
      </w:r>
      <w:r w:rsidR="003B24BC" w:rsidRPr="00C470C8">
        <w:rPr>
          <w:rFonts w:asciiTheme="minorHAnsi" w:hAnsiTheme="minorHAnsi"/>
          <w:snapToGrid w:val="0"/>
          <w:lang w:val="en-GB"/>
        </w:rPr>
        <w:t xml:space="preserve">As noted in paragraph </w:t>
      </w:r>
      <w:r w:rsidR="00823AA9" w:rsidRPr="00C470C8">
        <w:rPr>
          <w:rFonts w:asciiTheme="minorHAnsi" w:hAnsiTheme="minorHAnsi"/>
          <w:snapToGrid w:val="0"/>
          <w:lang w:val="en-GB"/>
        </w:rPr>
        <w:fldChar w:fldCharType="begin"/>
      </w:r>
      <w:r w:rsidR="00823AA9" w:rsidRPr="00C470C8">
        <w:rPr>
          <w:rFonts w:asciiTheme="minorHAnsi" w:hAnsiTheme="minorHAnsi"/>
          <w:snapToGrid w:val="0"/>
          <w:lang w:val="en-GB"/>
        </w:rPr>
        <w:instrText xml:space="preserve"> REF _Ref204606496 \r \h </w:instrText>
      </w:r>
      <w:r w:rsidR="00823AA9" w:rsidRPr="00C470C8">
        <w:rPr>
          <w:rFonts w:asciiTheme="minorHAnsi" w:hAnsiTheme="minorHAnsi"/>
          <w:snapToGrid w:val="0"/>
          <w:lang w:val="en-GB"/>
        </w:rPr>
      </w:r>
      <w:r w:rsidR="00823AA9" w:rsidRPr="00C470C8">
        <w:rPr>
          <w:rFonts w:asciiTheme="minorHAnsi" w:hAnsiTheme="minorHAnsi"/>
          <w:snapToGrid w:val="0"/>
          <w:lang w:val="en-GB"/>
        </w:rPr>
        <w:fldChar w:fldCharType="separate"/>
      </w:r>
      <w:r w:rsidR="00124226">
        <w:rPr>
          <w:rFonts w:asciiTheme="minorHAnsi" w:hAnsiTheme="minorHAnsi"/>
          <w:snapToGrid w:val="0"/>
          <w:lang w:val="en-GB"/>
        </w:rPr>
        <w:t>6.90</w:t>
      </w:r>
      <w:r w:rsidR="00823AA9" w:rsidRPr="00C470C8">
        <w:rPr>
          <w:rFonts w:asciiTheme="minorHAnsi" w:hAnsiTheme="minorHAnsi"/>
          <w:snapToGrid w:val="0"/>
          <w:lang w:val="en-GB"/>
        </w:rPr>
        <w:fldChar w:fldCharType="end"/>
      </w:r>
      <w:r w:rsidR="003B24BC" w:rsidRPr="00C470C8">
        <w:rPr>
          <w:rFonts w:asciiTheme="minorHAnsi" w:hAnsiTheme="minorHAnsi"/>
          <w:snapToGrid w:val="0"/>
          <w:lang w:val="en-GB"/>
        </w:rPr>
        <w:t xml:space="preserve">, </w:t>
      </w:r>
      <w:r w:rsidR="00357FE8" w:rsidRPr="00C470C8">
        <w:rPr>
          <w:rFonts w:asciiTheme="minorHAnsi" w:hAnsiTheme="minorHAnsi"/>
          <w:snapToGrid w:val="0"/>
          <w:lang w:val="en-GB"/>
        </w:rPr>
        <w:t xml:space="preserve">the </w:t>
      </w:r>
      <w:r w:rsidR="00972397" w:rsidRPr="00C470C8">
        <w:rPr>
          <w:rFonts w:asciiTheme="minorHAnsi" w:hAnsiTheme="minorHAnsi"/>
          <w:snapToGrid w:val="0"/>
          <w:lang w:val="en-GB"/>
        </w:rPr>
        <w:t xml:space="preserve">PBAC considered the impact, if any, of 0.1% TAC on systemic therapies would be to primarily delay, rather than </w:t>
      </w:r>
      <w:r w:rsidR="00393273" w:rsidRPr="00C470C8">
        <w:rPr>
          <w:rFonts w:asciiTheme="minorHAnsi" w:hAnsiTheme="minorHAnsi"/>
          <w:snapToGrid w:val="0"/>
          <w:lang w:val="en-GB"/>
        </w:rPr>
        <w:t>reduce their use</w:t>
      </w:r>
      <w:r w:rsidR="004808AC" w:rsidRPr="00C470C8">
        <w:rPr>
          <w:rFonts w:asciiTheme="minorHAnsi" w:hAnsiTheme="minorHAnsi"/>
          <w:snapToGrid w:val="0"/>
          <w:lang w:val="en-GB"/>
        </w:rPr>
        <w:t>.</w:t>
      </w:r>
      <w:r w:rsidR="005E32D1" w:rsidRPr="00C470C8">
        <w:rPr>
          <w:rFonts w:asciiTheme="minorHAnsi" w:hAnsiTheme="minorHAnsi"/>
          <w:snapToGrid w:val="0"/>
          <w:lang w:val="en-GB"/>
        </w:rPr>
        <w:t xml:space="preserve"> The PBAC therefore considered offsets</w:t>
      </w:r>
      <w:r w:rsidR="004F41FD" w:rsidRPr="00C470C8">
        <w:rPr>
          <w:rFonts w:asciiTheme="minorHAnsi" w:hAnsiTheme="minorHAnsi"/>
          <w:snapToGrid w:val="0"/>
          <w:lang w:val="en-GB"/>
        </w:rPr>
        <w:t xml:space="preserve"> for systemic therapies</w:t>
      </w:r>
      <w:r w:rsidR="005E32D1" w:rsidRPr="00C470C8">
        <w:rPr>
          <w:rFonts w:asciiTheme="minorHAnsi" w:hAnsiTheme="minorHAnsi"/>
          <w:snapToGrid w:val="0"/>
          <w:lang w:val="en-GB"/>
        </w:rPr>
        <w:t xml:space="preserve"> should be removed from the financial estimates.</w:t>
      </w:r>
    </w:p>
    <w:p w14:paraId="79DE4D83" w14:textId="535E217E" w:rsidR="004C46CD" w:rsidRPr="00C470C8" w:rsidRDefault="004F0501">
      <w:pPr>
        <w:widowControl w:val="0"/>
        <w:numPr>
          <w:ilvl w:val="1"/>
          <w:numId w:val="1"/>
        </w:numPr>
        <w:spacing w:after="120"/>
        <w:rPr>
          <w:rFonts w:asciiTheme="minorHAnsi" w:hAnsiTheme="minorHAnsi"/>
          <w:snapToGrid w:val="0"/>
          <w:lang w:val="en-GB"/>
        </w:rPr>
      </w:pPr>
      <w:r w:rsidRPr="00C470C8">
        <w:rPr>
          <w:rFonts w:asciiTheme="minorHAnsi" w:hAnsiTheme="minorHAnsi"/>
          <w:snapToGrid w:val="0"/>
          <w:lang w:val="en-GB"/>
        </w:rPr>
        <w:t xml:space="preserve">The PBAC considered the estimated use of 0.1% TAC </w:t>
      </w:r>
      <w:r w:rsidR="00EE58A3" w:rsidRPr="00C470C8">
        <w:rPr>
          <w:rFonts w:asciiTheme="minorHAnsi" w:hAnsiTheme="minorHAnsi"/>
          <w:snapToGrid w:val="0"/>
          <w:lang w:val="en-GB"/>
        </w:rPr>
        <w:t>to be overestimated</w:t>
      </w:r>
      <w:r w:rsidR="00637EAD" w:rsidRPr="00C470C8">
        <w:rPr>
          <w:rFonts w:asciiTheme="minorHAnsi" w:hAnsiTheme="minorHAnsi"/>
          <w:snapToGrid w:val="0"/>
          <w:lang w:val="en-GB"/>
        </w:rPr>
        <w:t xml:space="preserve"> due to the </w:t>
      </w:r>
      <w:r w:rsidR="000D10DA" w:rsidRPr="00C470C8">
        <w:rPr>
          <w:rFonts w:asciiTheme="minorHAnsi" w:hAnsiTheme="minorHAnsi"/>
          <w:snapToGrid w:val="0"/>
          <w:lang w:val="en-GB"/>
        </w:rPr>
        <w:t xml:space="preserve">assumed high </w:t>
      </w:r>
      <w:r w:rsidR="007E32A4" w:rsidRPr="00C470C8">
        <w:rPr>
          <w:rFonts w:asciiTheme="minorHAnsi" w:hAnsiTheme="minorHAnsi"/>
          <w:snapToGrid w:val="0"/>
          <w:lang w:val="en-GB"/>
        </w:rPr>
        <w:t>continuation</w:t>
      </w:r>
      <w:r w:rsidR="000D10DA" w:rsidRPr="00C470C8">
        <w:rPr>
          <w:rFonts w:asciiTheme="minorHAnsi" w:hAnsiTheme="minorHAnsi"/>
          <w:snapToGrid w:val="0"/>
          <w:lang w:val="en-GB"/>
        </w:rPr>
        <w:t xml:space="preserve"> rates (100% in </w:t>
      </w:r>
      <w:r w:rsidR="00823AA9" w:rsidRPr="00C470C8">
        <w:rPr>
          <w:rFonts w:asciiTheme="minorHAnsi" w:hAnsiTheme="minorHAnsi"/>
          <w:snapToGrid w:val="0"/>
          <w:lang w:val="en-GB"/>
        </w:rPr>
        <w:t>Y</w:t>
      </w:r>
      <w:r w:rsidR="000D10DA" w:rsidRPr="00C470C8">
        <w:rPr>
          <w:rFonts w:asciiTheme="minorHAnsi" w:hAnsiTheme="minorHAnsi"/>
          <w:snapToGrid w:val="0"/>
          <w:lang w:val="en-GB"/>
        </w:rPr>
        <w:t>ear 1 and 65% subsequently)</w:t>
      </w:r>
      <w:r w:rsidR="002F761D" w:rsidRPr="00C470C8">
        <w:rPr>
          <w:rFonts w:asciiTheme="minorHAnsi" w:hAnsiTheme="minorHAnsi"/>
          <w:snapToGrid w:val="0"/>
          <w:lang w:val="en-GB"/>
        </w:rPr>
        <w:t>, noting</w:t>
      </w:r>
      <w:r w:rsidR="002F761D" w:rsidRPr="00C470C8">
        <w:t xml:space="preserve"> that </w:t>
      </w:r>
      <w:r w:rsidR="00823AA9" w:rsidRPr="00C470C8">
        <w:t xml:space="preserve">0.1% </w:t>
      </w:r>
      <w:r w:rsidR="002F761D" w:rsidRPr="00C470C8">
        <w:t>TAC is indicated for intermittent use for the shortest duration necessary.</w:t>
      </w:r>
      <w:r w:rsidR="00665243" w:rsidRPr="00C470C8">
        <w:t xml:space="preserve"> However, countering this </w:t>
      </w:r>
      <w:r w:rsidR="004F2564" w:rsidRPr="00C470C8">
        <w:t xml:space="preserve">is the potential for </w:t>
      </w:r>
      <w:r w:rsidR="00BC70AD" w:rsidRPr="00C470C8">
        <w:t xml:space="preserve">broad interpretation of </w:t>
      </w:r>
      <w:r w:rsidR="00B03C3D" w:rsidRPr="00C470C8">
        <w:t xml:space="preserve">the </w:t>
      </w:r>
      <w:r w:rsidR="00D538C1" w:rsidRPr="00C470C8">
        <w:t xml:space="preserve">restriction </w:t>
      </w:r>
      <w:r w:rsidR="0007268B" w:rsidRPr="00C470C8">
        <w:t>criteria</w:t>
      </w:r>
      <w:r w:rsidR="008D614E" w:rsidRPr="00C470C8">
        <w:t xml:space="preserve"> ‘</w:t>
      </w:r>
      <w:r w:rsidR="008D614E" w:rsidRPr="00C470C8">
        <w:rPr>
          <w:rFonts w:asciiTheme="minorHAnsi" w:hAnsiTheme="minorHAnsi"/>
          <w:snapToGrid w:val="0"/>
          <w:lang w:val="en-GB"/>
        </w:rPr>
        <w:t>satisfactory disease control’ and ‘unsuitable/contraindicated’</w:t>
      </w:r>
      <w:r w:rsidR="00662CAF" w:rsidRPr="00C470C8">
        <w:rPr>
          <w:rFonts w:asciiTheme="minorHAnsi" w:hAnsiTheme="minorHAnsi"/>
          <w:snapToGrid w:val="0"/>
          <w:lang w:val="en-GB"/>
        </w:rPr>
        <w:t xml:space="preserve"> </w:t>
      </w:r>
      <w:r w:rsidR="00CA046C" w:rsidRPr="00C470C8">
        <w:rPr>
          <w:rFonts w:asciiTheme="minorHAnsi" w:hAnsiTheme="minorHAnsi"/>
          <w:snapToGrid w:val="0"/>
          <w:lang w:val="en-GB"/>
        </w:rPr>
        <w:t>in relation to</w:t>
      </w:r>
      <w:r w:rsidR="00662CAF" w:rsidRPr="00C470C8">
        <w:rPr>
          <w:rFonts w:asciiTheme="minorHAnsi" w:hAnsiTheme="minorHAnsi"/>
          <w:snapToGrid w:val="0"/>
          <w:lang w:val="en-GB"/>
        </w:rPr>
        <w:t xml:space="preserve"> </w:t>
      </w:r>
      <w:r w:rsidR="000B7B8C" w:rsidRPr="00C470C8">
        <w:rPr>
          <w:rFonts w:asciiTheme="minorHAnsi" w:hAnsiTheme="minorHAnsi"/>
          <w:snapToGrid w:val="0"/>
          <w:lang w:val="en-GB"/>
        </w:rPr>
        <w:t xml:space="preserve">prior </w:t>
      </w:r>
      <w:r w:rsidR="00662CAF" w:rsidRPr="00C470C8">
        <w:rPr>
          <w:rFonts w:asciiTheme="minorHAnsi" w:hAnsiTheme="minorHAnsi"/>
          <w:snapToGrid w:val="0"/>
          <w:lang w:val="en-GB"/>
        </w:rPr>
        <w:t>TCS</w:t>
      </w:r>
      <w:r w:rsidR="000B7B8C" w:rsidRPr="00C470C8">
        <w:rPr>
          <w:rFonts w:asciiTheme="minorHAnsi" w:hAnsiTheme="minorHAnsi"/>
          <w:snapToGrid w:val="0"/>
          <w:lang w:val="en-GB"/>
        </w:rPr>
        <w:t xml:space="preserve"> use</w:t>
      </w:r>
      <w:r w:rsidR="00D538C1" w:rsidRPr="00C470C8">
        <w:rPr>
          <w:rFonts w:asciiTheme="minorHAnsi" w:hAnsiTheme="minorHAnsi"/>
          <w:snapToGrid w:val="0"/>
          <w:lang w:val="en-GB"/>
        </w:rPr>
        <w:t xml:space="preserve">, especially given </w:t>
      </w:r>
      <w:r w:rsidR="00662CAF" w:rsidRPr="00C470C8">
        <w:rPr>
          <w:rFonts w:asciiTheme="minorHAnsi" w:hAnsiTheme="minorHAnsi"/>
          <w:snapToGrid w:val="0"/>
          <w:lang w:val="en-GB"/>
        </w:rPr>
        <w:t xml:space="preserve">high patient </w:t>
      </w:r>
      <w:r w:rsidR="00D538C1" w:rsidRPr="00C470C8">
        <w:rPr>
          <w:rFonts w:asciiTheme="minorHAnsi" w:hAnsiTheme="minorHAnsi"/>
          <w:snapToGrid w:val="0"/>
          <w:lang w:val="en-GB"/>
        </w:rPr>
        <w:t>and</w:t>
      </w:r>
      <w:r w:rsidR="00662CAF" w:rsidRPr="00C470C8">
        <w:rPr>
          <w:rFonts w:asciiTheme="minorHAnsi" w:hAnsiTheme="minorHAnsi"/>
          <w:snapToGrid w:val="0"/>
          <w:lang w:val="en-GB"/>
        </w:rPr>
        <w:t xml:space="preserve"> clinician perception of risks associated with TCS.</w:t>
      </w:r>
      <w:r w:rsidR="00380A61" w:rsidRPr="00C470C8">
        <w:rPr>
          <w:rFonts w:asciiTheme="minorHAnsi" w:hAnsiTheme="minorHAnsi"/>
          <w:snapToGrid w:val="0"/>
          <w:lang w:val="en-GB"/>
        </w:rPr>
        <w:t xml:space="preserve"> The PBAC</w:t>
      </w:r>
      <w:r w:rsidR="006E2019" w:rsidRPr="00C470C8">
        <w:rPr>
          <w:rFonts w:asciiTheme="minorHAnsi" w:hAnsiTheme="minorHAnsi"/>
          <w:snapToGrid w:val="0"/>
          <w:lang w:val="en-GB"/>
        </w:rPr>
        <w:t xml:space="preserve"> </w:t>
      </w:r>
      <w:r w:rsidR="00380A61" w:rsidRPr="00C470C8">
        <w:rPr>
          <w:rFonts w:asciiTheme="minorHAnsi" w:hAnsiTheme="minorHAnsi"/>
          <w:snapToGrid w:val="0"/>
          <w:lang w:val="en-GB"/>
        </w:rPr>
        <w:t>noted the financial</w:t>
      </w:r>
      <w:r w:rsidR="00526446" w:rsidRPr="00C470C8">
        <w:rPr>
          <w:rFonts w:asciiTheme="minorHAnsi" w:hAnsiTheme="minorHAnsi"/>
          <w:snapToGrid w:val="0"/>
          <w:lang w:val="en-GB"/>
        </w:rPr>
        <w:t xml:space="preserve"> estimate</w:t>
      </w:r>
      <w:r w:rsidR="00BD6133" w:rsidRPr="00C470C8">
        <w:rPr>
          <w:rFonts w:asciiTheme="minorHAnsi" w:hAnsiTheme="minorHAnsi"/>
          <w:snapToGrid w:val="0"/>
          <w:lang w:val="en-GB"/>
        </w:rPr>
        <w:t>s</w:t>
      </w:r>
      <w:r w:rsidR="00526446" w:rsidRPr="00C470C8">
        <w:rPr>
          <w:rFonts w:asciiTheme="minorHAnsi" w:hAnsiTheme="minorHAnsi"/>
          <w:snapToGrid w:val="0"/>
          <w:lang w:val="en-GB"/>
        </w:rPr>
        <w:t xml:space="preserve"> would need to be revised to account for </w:t>
      </w:r>
      <w:r w:rsidR="00B70C74" w:rsidRPr="00C470C8">
        <w:rPr>
          <w:rFonts w:asciiTheme="minorHAnsi" w:hAnsiTheme="minorHAnsi"/>
          <w:snapToGrid w:val="0"/>
          <w:lang w:val="en-GB"/>
        </w:rPr>
        <w:t xml:space="preserve">the cost minimisation recommendations in paragraphs </w:t>
      </w:r>
      <w:r w:rsidR="00230C50" w:rsidRPr="00C470C8">
        <w:rPr>
          <w:rFonts w:asciiTheme="minorHAnsi" w:hAnsiTheme="minorHAnsi"/>
          <w:snapToGrid w:val="0"/>
          <w:lang w:val="en-GB"/>
        </w:rPr>
        <w:fldChar w:fldCharType="begin"/>
      </w:r>
      <w:r w:rsidR="00230C50" w:rsidRPr="00C470C8">
        <w:rPr>
          <w:rFonts w:asciiTheme="minorHAnsi" w:hAnsiTheme="minorHAnsi"/>
          <w:snapToGrid w:val="0"/>
          <w:lang w:val="en-GB"/>
        </w:rPr>
        <w:instrText xml:space="preserve"> REF _Ref204606667 \r \h </w:instrText>
      </w:r>
      <w:r w:rsidR="00230C50" w:rsidRPr="00C470C8">
        <w:rPr>
          <w:rFonts w:asciiTheme="minorHAnsi" w:hAnsiTheme="minorHAnsi"/>
          <w:snapToGrid w:val="0"/>
          <w:lang w:val="en-GB"/>
        </w:rPr>
      </w:r>
      <w:r w:rsidR="00230C50" w:rsidRPr="00C470C8">
        <w:rPr>
          <w:rFonts w:asciiTheme="minorHAnsi" w:hAnsiTheme="minorHAnsi"/>
          <w:snapToGrid w:val="0"/>
          <w:lang w:val="en-GB"/>
        </w:rPr>
        <w:fldChar w:fldCharType="separate"/>
      </w:r>
      <w:r w:rsidR="00124226">
        <w:rPr>
          <w:rFonts w:asciiTheme="minorHAnsi" w:hAnsiTheme="minorHAnsi"/>
          <w:snapToGrid w:val="0"/>
          <w:lang w:val="en-GB"/>
        </w:rPr>
        <w:t>7.15</w:t>
      </w:r>
      <w:r w:rsidR="00230C50" w:rsidRPr="00C470C8">
        <w:rPr>
          <w:rFonts w:asciiTheme="minorHAnsi" w:hAnsiTheme="minorHAnsi"/>
          <w:snapToGrid w:val="0"/>
          <w:lang w:val="en-GB"/>
        </w:rPr>
        <w:fldChar w:fldCharType="end"/>
      </w:r>
      <w:r w:rsidR="00F740A7" w:rsidRPr="00C470C8">
        <w:rPr>
          <w:rFonts w:asciiTheme="minorHAnsi" w:hAnsiTheme="minorHAnsi"/>
          <w:snapToGrid w:val="0"/>
          <w:lang w:val="en-GB"/>
        </w:rPr>
        <w:t xml:space="preserve"> </w:t>
      </w:r>
      <w:r w:rsidR="00B70C74" w:rsidRPr="00C470C8">
        <w:rPr>
          <w:rFonts w:asciiTheme="minorHAnsi" w:hAnsiTheme="minorHAnsi"/>
          <w:snapToGrid w:val="0"/>
          <w:lang w:val="en-GB"/>
        </w:rPr>
        <w:t xml:space="preserve">and </w:t>
      </w:r>
      <w:r w:rsidR="00230C50" w:rsidRPr="00C470C8">
        <w:rPr>
          <w:rFonts w:asciiTheme="minorHAnsi" w:hAnsiTheme="minorHAnsi"/>
          <w:snapToGrid w:val="0"/>
          <w:lang w:val="en-GB"/>
        </w:rPr>
        <w:fldChar w:fldCharType="begin"/>
      </w:r>
      <w:r w:rsidR="00230C50" w:rsidRPr="00C470C8">
        <w:rPr>
          <w:rFonts w:asciiTheme="minorHAnsi" w:hAnsiTheme="minorHAnsi"/>
          <w:snapToGrid w:val="0"/>
          <w:lang w:val="en-GB"/>
        </w:rPr>
        <w:instrText xml:space="preserve"> REF _Ref204606673 \r \h </w:instrText>
      </w:r>
      <w:r w:rsidR="00230C50" w:rsidRPr="00C470C8">
        <w:rPr>
          <w:rFonts w:asciiTheme="minorHAnsi" w:hAnsiTheme="minorHAnsi"/>
          <w:snapToGrid w:val="0"/>
          <w:lang w:val="en-GB"/>
        </w:rPr>
      </w:r>
      <w:r w:rsidR="00230C50" w:rsidRPr="00C470C8">
        <w:rPr>
          <w:rFonts w:asciiTheme="minorHAnsi" w:hAnsiTheme="minorHAnsi"/>
          <w:snapToGrid w:val="0"/>
          <w:lang w:val="en-GB"/>
        </w:rPr>
        <w:fldChar w:fldCharType="separate"/>
      </w:r>
      <w:r w:rsidR="00124226">
        <w:rPr>
          <w:rFonts w:asciiTheme="minorHAnsi" w:hAnsiTheme="minorHAnsi"/>
          <w:snapToGrid w:val="0"/>
          <w:lang w:val="en-GB"/>
        </w:rPr>
        <w:t>7.16</w:t>
      </w:r>
      <w:r w:rsidR="00230C50" w:rsidRPr="00C470C8">
        <w:rPr>
          <w:rFonts w:asciiTheme="minorHAnsi" w:hAnsiTheme="minorHAnsi"/>
          <w:snapToGrid w:val="0"/>
          <w:lang w:val="en-GB"/>
        </w:rPr>
        <w:fldChar w:fldCharType="end"/>
      </w:r>
      <w:r w:rsidR="00230C50" w:rsidRPr="00C470C8">
        <w:rPr>
          <w:rFonts w:asciiTheme="minorHAnsi" w:hAnsiTheme="minorHAnsi"/>
          <w:snapToGrid w:val="0"/>
          <w:lang w:val="en-GB"/>
        </w:rPr>
        <w:t xml:space="preserve"> and the weighted price</w:t>
      </w:r>
      <w:r w:rsidR="00B20653" w:rsidRPr="00C470C8">
        <w:rPr>
          <w:rFonts w:asciiTheme="minorHAnsi" w:hAnsiTheme="minorHAnsi"/>
          <w:snapToGrid w:val="0"/>
          <w:lang w:val="en-GB"/>
        </w:rPr>
        <w:t>,</w:t>
      </w:r>
      <w:r w:rsidR="00230C50" w:rsidRPr="00C470C8">
        <w:rPr>
          <w:rFonts w:asciiTheme="minorHAnsi" w:hAnsiTheme="minorHAnsi"/>
          <w:snapToGrid w:val="0"/>
          <w:lang w:val="en-GB"/>
        </w:rPr>
        <w:t xml:space="preserve"> </w:t>
      </w:r>
      <w:r w:rsidR="00143262" w:rsidRPr="00C470C8">
        <w:rPr>
          <w:rFonts w:asciiTheme="minorHAnsi" w:hAnsiTheme="minorHAnsi"/>
          <w:snapToGrid w:val="0"/>
          <w:lang w:val="en-GB"/>
        </w:rPr>
        <w:t xml:space="preserve">as outlined in paragraph </w:t>
      </w:r>
      <w:r w:rsidR="00143262" w:rsidRPr="00C470C8">
        <w:rPr>
          <w:rFonts w:asciiTheme="minorHAnsi" w:hAnsiTheme="minorHAnsi"/>
          <w:snapToGrid w:val="0"/>
          <w:lang w:val="en-GB"/>
        </w:rPr>
        <w:fldChar w:fldCharType="begin"/>
      </w:r>
      <w:r w:rsidR="00143262" w:rsidRPr="00C470C8">
        <w:rPr>
          <w:rFonts w:asciiTheme="minorHAnsi" w:hAnsiTheme="minorHAnsi"/>
          <w:snapToGrid w:val="0"/>
          <w:lang w:val="en-GB"/>
        </w:rPr>
        <w:instrText xml:space="preserve"> REF _Ref204606705 \r \h </w:instrText>
      </w:r>
      <w:r w:rsidR="00143262" w:rsidRPr="00C470C8">
        <w:rPr>
          <w:rFonts w:asciiTheme="minorHAnsi" w:hAnsiTheme="minorHAnsi"/>
          <w:snapToGrid w:val="0"/>
          <w:lang w:val="en-GB"/>
        </w:rPr>
      </w:r>
      <w:r w:rsidR="00143262" w:rsidRPr="00C470C8">
        <w:rPr>
          <w:rFonts w:asciiTheme="minorHAnsi" w:hAnsiTheme="minorHAnsi"/>
          <w:snapToGrid w:val="0"/>
          <w:lang w:val="en-GB"/>
        </w:rPr>
        <w:fldChar w:fldCharType="separate"/>
      </w:r>
      <w:r w:rsidR="00124226">
        <w:rPr>
          <w:rFonts w:asciiTheme="minorHAnsi" w:hAnsiTheme="minorHAnsi"/>
          <w:snapToGrid w:val="0"/>
          <w:lang w:val="en-GB"/>
        </w:rPr>
        <w:t>7.17</w:t>
      </w:r>
      <w:r w:rsidR="00143262" w:rsidRPr="00C470C8">
        <w:rPr>
          <w:rFonts w:asciiTheme="minorHAnsi" w:hAnsiTheme="minorHAnsi"/>
          <w:snapToGrid w:val="0"/>
          <w:lang w:val="en-GB"/>
        </w:rPr>
        <w:fldChar w:fldCharType="end"/>
      </w:r>
      <w:r w:rsidR="006E2019" w:rsidRPr="00C470C8">
        <w:rPr>
          <w:rFonts w:asciiTheme="minorHAnsi" w:hAnsiTheme="minorHAnsi"/>
          <w:snapToGrid w:val="0"/>
          <w:lang w:val="en-GB"/>
        </w:rPr>
        <w:t>.</w:t>
      </w:r>
    </w:p>
    <w:p w14:paraId="78235BA7" w14:textId="74BE9246" w:rsidR="00C719B2" w:rsidRPr="00C470C8" w:rsidRDefault="0002470E">
      <w:pPr>
        <w:widowControl w:val="0"/>
        <w:numPr>
          <w:ilvl w:val="1"/>
          <w:numId w:val="1"/>
        </w:numPr>
        <w:spacing w:after="120"/>
        <w:rPr>
          <w:snapToGrid w:val="0"/>
          <w:lang w:val="en-GB"/>
        </w:rPr>
      </w:pPr>
      <w:r w:rsidRPr="00C470C8">
        <w:rPr>
          <w:snapToGrid w:val="0"/>
          <w:lang w:val="en-GB"/>
        </w:rPr>
        <w:t xml:space="preserve">The PBAC recommended that the </w:t>
      </w:r>
      <w:r w:rsidR="002B47CA" w:rsidRPr="00C470C8">
        <w:rPr>
          <w:snapToGrid w:val="0"/>
          <w:lang w:val="en-GB"/>
        </w:rPr>
        <w:t xml:space="preserve">proposed </w:t>
      </w:r>
      <w:r w:rsidR="00513435" w:rsidRPr="00C470C8">
        <w:rPr>
          <w:snapToGrid w:val="0"/>
          <w:lang w:val="en-GB"/>
        </w:rPr>
        <w:t xml:space="preserve">initial and continuing </w:t>
      </w:r>
      <w:r w:rsidRPr="00C470C8">
        <w:rPr>
          <w:snapToGrid w:val="0"/>
          <w:lang w:val="en-GB"/>
        </w:rPr>
        <w:t>restriction</w:t>
      </w:r>
      <w:r w:rsidR="00513435" w:rsidRPr="00C470C8">
        <w:rPr>
          <w:snapToGrid w:val="0"/>
          <w:lang w:val="en-GB"/>
        </w:rPr>
        <w:t>s</w:t>
      </w:r>
      <w:r w:rsidRPr="00C470C8">
        <w:rPr>
          <w:snapToGrid w:val="0"/>
          <w:lang w:val="en-GB"/>
        </w:rPr>
        <w:t xml:space="preserve"> for the use of 0.1% TAC</w:t>
      </w:r>
      <w:r w:rsidR="00302B1F" w:rsidRPr="00C470C8">
        <w:rPr>
          <w:snapToGrid w:val="0"/>
          <w:lang w:val="en-GB"/>
        </w:rPr>
        <w:t xml:space="preserve"> should be simplified</w:t>
      </w:r>
      <w:r w:rsidR="00FE4E4A" w:rsidRPr="00C470C8">
        <w:rPr>
          <w:snapToGrid w:val="0"/>
          <w:lang w:val="en-GB"/>
        </w:rPr>
        <w:t>, advising that</w:t>
      </w:r>
      <w:r w:rsidR="00C719B2" w:rsidRPr="00C470C8">
        <w:rPr>
          <w:snapToGrid w:val="0"/>
          <w:lang w:val="en-GB"/>
        </w:rPr>
        <w:t>:</w:t>
      </w:r>
      <w:r w:rsidR="007A1BBC" w:rsidRPr="00C470C8">
        <w:rPr>
          <w:snapToGrid w:val="0"/>
          <w:lang w:val="en-GB"/>
        </w:rPr>
        <w:t xml:space="preserve"> </w:t>
      </w:r>
    </w:p>
    <w:p w14:paraId="7E856772" w14:textId="6D23DFDB" w:rsidR="003A71A7" w:rsidRPr="00C470C8" w:rsidRDefault="00FE4E4A">
      <w:pPr>
        <w:pStyle w:val="3-BodyText"/>
        <w:numPr>
          <w:ilvl w:val="1"/>
          <w:numId w:val="37"/>
        </w:numPr>
        <w:ind w:left="1080"/>
        <w:rPr>
          <w:snapToGrid w:val="0"/>
          <w:lang w:val="en-GB"/>
        </w:rPr>
      </w:pPr>
      <w:r w:rsidRPr="00C470C8">
        <w:rPr>
          <w:snapToGrid w:val="0"/>
          <w:lang w:val="en-GB"/>
        </w:rPr>
        <w:t>t</w:t>
      </w:r>
      <w:r w:rsidR="009E5185" w:rsidRPr="00C470C8">
        <w:rPr>
          <w:snapToGrid w:val="0"/>
          <w:lang w:val="en-GB"/>
        </w:rPr>
        <w:t xml:space="preserve">he initial </w:t>
      </w:r>
      <w:r w:rsidR="00134316" w:rsidRPr="00C470C8">
        <w:rPr>
          <w:snapToGrid w:val="0"/>
          <w:lang w:val="en-GB"/>
        </w:rPr>
        <w:t xml:space="preserve">and continuing </w:t>
      </w:r>
      <w:r w:rsidR="003A71A7" w:rsidRPr="00C470C8">
        <w:rPr>
          <w:snapToGrid w:val="0"/>
          <w:lang w:val="en-GB"/>
        </w:rPr>
        <w:t xml:space="preserve">treatment restrictions </w:t>
      </w:r>
      <w:r w:rsidR="00D22075" w:rsidRPr="00C470C8">
        <w:rPr>
          <w:snapToGrid w:val="0"/>
          <w:lang w:val="en-GB"/>
        </w:rPr>
        <w:t>could be combined into a single phase restriction;</w:t>
      </w:r>
    </w:p>
    <w:p w14:paraId="6F94ECCF" w14:textId="0C6C3D38" w:rsidR="009E5185" w:rsidRPr="00C470C8" w:rsidRDefault="00FE4E4A" w:rsidP="00FE4E4A">
      <w:pPr>
        <w:pStyle w:val="3-BodyText"/>
        <w:numPr>
          <w:ilvl w:val="1"/>
          <w:numId w:val="37"/>
        </w:numPr>
        <w:ind w:left="1080"/>
        <w:rPr>
          <w:snapToGrid w:val="0"/>
          <w:lang w:val="en-GB"/>
        </w:rPr>
      </w:pPr>
      <w:r w:rsidRPr="00C470C8">
        <w:rPr>
          <w:snapToGrid w:val="0"/>
          <w:lang w:val="en-GB"/>
        </w:rPr>
        <w:t>t</w:t>
      </w:r>
      <w:r w:rsidR="009E5185" w:rsidRPr="00C470C8">
        <w:rPr>
          <w:snapToGrid w:val="0"/>
          <w:lang w:val="en-GB"/>
        </w:rPr>
        <w:t xml:space="preserve">he </w:t>
      </w:r>
      <w:r w:rsidR="00134316" w:rsidRPr="00C470C8">
        <w:rPr>
          <w:snapToGrid w:val="0"/>
          <w:lang w:val="en-GB"/>
        </w:rPr>
        <w:t>restriction</w:t>
      </w:r>
      <w:r w:rsidR="009E5185" w:rsidRPr="00C470C8">
        <w:rPr>
          <w:snapToGrid w:val="0"/>
          <w:lang w:val="en-GB"/>
        </w:rPr>
        <w:t xml:space="preserve"> should be Authority Required (</w:t>
      </w:r>
      <w:r w:rsidR="00134316" w:rsidRPr="00C470C8">
        <w:rPr>
          <w:snapToGrid w:val="0"/>
          <w:lang w:val="en-GB"/>
        </w:rPr>
        <w:t>STREAMLINED)</w:t>
      </w:r>
      <w:r w:rsidRPr="00C470C8">
        <w:rPr>
          <w:snapToGrid w:val="0"/>
          <w:lang w:val="en-GB"/>
        </w:rPr>
        <w:t>;</w:t>
      </w:r>
      <w:r w:rsidR="00526E79" w:rsidRPr="00C470C8">
        <w:rPr>
          <w:snapToGrid w:val="0"/>
          <w:lang w:val="en-GB"/>
        </w:rPr>
        <w:t xml:space="preserve"> </w:t>
      </w:r>
      <w:r w:rsidRPr="00C470C8">
        <w:rPr>
          <w:snapToGrid w:val="0"/>
          <w:lang w:val="en-GB"/>
        </w:rPr>
        <w:t>and</w:t>
      </w:r>
      <w:r w:rsidR="000D594F" w:rsidRPr="00C470C8">
        <w:rPr>
          <w:snapToGrid w:val="0"/>
          <w:lang w:val="en-GB"/>
        </w:rPr>
        <w:t xml:space="preserve"> </w:t>
      </w:r>
    </w:p>
    <w:p w14:paraId="52314F60" w14:textId="6074951F" w:rsidR="005016EB" w:rsidRPr="00C470C8" w:rsidRDefault="000D594F" w:rsidP="00FE4E4A">
      <w:pPr>
        <w:pStyle w:val="3-BodyText"/>
        <w:numPr>
          <w:ilvl w:val="1"/>
          <w:numId w:val="37"/>
        </w:numPr>
        <w:ind w:left="1080"/>
        <w:rPr>
          <w:snapToGrid w:val="0"/>
          <w:lang w:val="en-GB"/>
        </w:rPr>
      </w:pPr>
      <w:r w:rsidRPr="00C470C8">
        <w:rPr>
          <w:snapToGrid w:val="0"/>
          <w:lang w:val="en-GB"/>
        </w:rPr>
        <w:t xml:space="preserve">the restriction should align with the TGA indication and </w:t>
      </w:r>
      <w:r w:rsidR="004C4C85" w:rsidRPr="00C470C8">
        <w:rPr>
          <w:snapToGrid w:val="0"/>
          <w:lang w:val="en-GB"/>
        </w:rPr>
        <w:t xml:space="preserve">allow </w:t>
      </w:r>
      <w:r w:rsidRPr="00C470C8">
        <w:rPr>
          <w:snapToGrid w:val="0"/>
          <w:lang w:val="en-GB"/>
        </w:rPr>
        <w:t xml:space="preserve">use in patients aged 16 years </w:t>
      </w:r>
      <w:r w:rsidR="004C4C85" w:rsidRPr="00C470C8">
        <w:rPr>
          <w:snapToGrid w:val="0"/>
          <w:lang w:val="en-GB"/>
        </w:rPr>
        <w:t>or above</w:t>
      </w:r>
      <w:r w:rsidRPr="00C470C8">
        <w:rPr>
          <w:snapToGrid w:val="0"/>
          <w:lang w:val="en-GB"/>
        </w:rPr>
        <w:t>.</w:t>
      </w:r>
      <w:r w:rsidR="007C3D77" w:rsidRPr="00C470C8">
        <w:rPr>
          <w:snapToGrid w:val="0"/>
          <w:lang w:val="en-GB"/>
        </w:rPr>
        <w:t xml:space="preserve"> </w:t>
      </w:r>
    </w:p>
    <w:p w14:paraId="165C1C25" w14:textId="6ACA8AEB" w:rsidR="00D02BEF" w:rsidRPr="00C470C8" w:rsidRDefault="00D02BEF" w:rsidP="00D02BEF">
      <w:pPr>
        <w:widowControl w:val="0"/>
        <w:numPr>
          <w:ilvl w:val="1"/>
          <w:numId w:val="1"/>
        </w:numPr>
        <w:spacing w:after="120"/>
        <w:rPr>
          <w:rFonts w:asciiTheme="minorHAnsi" w:hAnsiTheme="minorHAnsi"/>
          <w:snapToGrid w:val="0"/>
          <w:lang w:val="en-GB"/>
        </w:rPr>
      </w:pPr>
      <w:r w:rsidRPr="00C470C8">
        <w:rPr>
          <w:rFonts w:asciiTheme="minorHAnsi" w:hAnsiTheme="minorHAnsi"/>
          <w:snapToGrid w:val="0"/>
          <w:lang w:val="en-GB"/>
        </w:rPr>
        <w:t xml:space="preserve">The PBAC advised that </w:t>
      </w:r>
      <w:r w:rsidR="00B502A6" w:rsidRPr="00C470C8">
        <w:rPr>
          <w:rFonts w:asciiTheme="minorHAnsi" w:hAnsiTheme="minorHAnsi"/>
          <w:snapToGrid w:val="0"/>
          <w:lang w:val="en-GB"/>
        </w:rPr>
        <w:t xml:space="preserve">continuing supply of </w:t>
      </w:r>
      <w:r w:rsidRPr="00C470C8">
        <w:rPr>
          <w:rFonts w:asciiTheme="minorHAnsi" w:hAnsiTheme="minorHAnsi"/>
          <w:snapToGrid w:val="0"/>
          <w:lang w:val="en-GB"/>
        </w:rPr>
        <w:t>tacrolimus is suitable for prescribing by nurse practitioners.</w:t>
      </w:r>
      <w:r w:rsidR="003F0F14" w:rsidRPr="00C470C8">
        <w:rPr>
          <w:rFonts w:asciiTheme="minorHAnsi" w:hAnsiTheme="minorHAnsi"/>
          <w:snapToGrid w:val="0"/>
          <w:lang w:val="en-GB"/>
        </w:rPr>
        <w:t xml:space="preserve"> </w:t>
      </w:r>
    </w:p>
    <w:p w14:paraId="66B06D9D" w14:textId="6A3F8109" w:rsidR="00D02BEF" w:rsidRDefault="00D02BEF" w:rsidP="00D02BE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w:t>
      </w:r>
      <w:r w:rsidR="00A65E06">
        <w:rPr>
          <w:rFonts w:asciiTheme="minorHAnsi" w:hAnsiTheme="minorHAnsi"/>
          <w:snapToGrid w:val="0"/>
          <w:lang w:val="en-GB"/>
        </w:rPr>
        <w:t>tacrolimus</w:t>
      </w:r>
      <w:r>
        <w:rPr>
          <w:rFonts w:asciiTheme="minorHAnsi" w:hAnsiTheme="minorHAnsi"/>
          <w:snapToGrid w:val="0"/>
          <w:lang w:val="en-GB"/>
        </w:rPr>
        <w:t xml:space="preserve"> should not be exempt from the Early Supply Rule.</w:t>
      </w:r>
    </w:p>
    <w:p w14:paraId="196A0664" w14:textId="6ECDB492" w:rsidR="00D02BEF" w:rsidRDefault="00D02BEF" w:rsidP="00D02BE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under section 101(3BA) of the </w:t>
      </w:r>
      <w:r w:rsidRPr="008A40A6">
        <w:rPr>
          <w:rFonts w:asciiTheme="minorHAnsi" w:hAnsiTheme="minorHAnsi"/>
          <w:i/>
          <w:iCs/>
          <w:snapToGrid w:val="0"/>
          <w:lang w:val="en-GB"/>
        </w:rPr>
        <w:t>National Health Act 1953</w:t>
      </w:r>
      <w:r>
        <w:rPr>
          <w:rFonts w:asciiTheme="minorHAnsi" w:hAnsiTheme="minorHAnsi"/>
          <w:snapToGrid w:val="0"/>
          <w:lang w:val="en-GB"/>
        </w:rPr>
        <w:t xml:space="preserve">, </w:t>
      </w:r>
      <w:r w:rsidR="00A65E06">
        <w:rPr>
          <w:rFonts w:asciiTheme="minorHAnsi" w:hAnsiTheme="minorHAnsi"/>
          <w:snapToGrid w:val="0"/>
          <w:lang w:val="en-GB"/>
        </w:rPr>
        <w:t>tacrolimus</w:t>
      </w:r>
      <w:r>
        <w:rPr>
          <w:rFonts w:asciiTheme="minorHAnsi" w:hAnsiTheme="minorHAnsi"/>
          <w:snapToGrid w:val="0"/>
          <w:lang w:val="en-GB"/>
        </w:rPr>
        <w:t xml:space="preserve"> should not be treated as interchangeable on an individual patient basis with any other drug.</w:t>
      </w:r>
    </w:p>
    <w:p w14:paraId="5FEA8D8E" w14:textId="5E706C26" w:rsidR="00D02BEF" w:rsidRPr="00EE3B8C" w:rsidRDefault="00D02BEF" w:rsidP="00D02BEF">
      <w:pPr>
        <w:widowControl w:val="0"/>
        <w:numPr>
          <w:ilvl w:val="1"/>
          <w:numId w:val="1"/>
        </w:numPr>
        <w:spacing w:after="120"/>
        <w:rPr>
          <w:rFonts w:asciiTheme="minorHAnsi" w:hAnsiTheme="minorHAnsi"/>
          <w:snapToGrid w:val="0"/>
          <w:lang w:val="en-GB"/>
        </w:rPr>
      </w:pPr>
      <w:r w:rsidRPr="00EE3B8C">
        <w:rPr>
          <w:rFonts w:asciiTheme="minorHAnsi" w:hAnsiTheme="minorHAnsi"/>
          <w:snapToGrid w:val="0"/>
          <w:lang w:val="en-GB"/>
        </w:rPr>
        <w:t xml:space="preserve">The PBAC </w:t>
      </w:r>
      <w:r w:rsidRPr="00EE3B8C">
        <w:rPr>
          <w:rFonts w:asciiTheme="minorHAnsi" w:hAnsiTheme="minorHAnsi" w:cstheme="minorHAnsi"/>
          <w:lang w:val="en-GB"/>
        </w:rPr>
        <w:t>noted that its recommendation</w:t>
      </w:r>
      <w:r w:rsidR="000E0501">
        <w:rPr>
          <w:rFonts w:asciiTheme="minorHAnsi" w:hAnsiTheme="minorHAnsi" w:cstheme="minorHAnsi"/>
          <w:lang w:val="en-GB"/>
        </w:rPr>
        <w:t>s</w:t>
      </w:r>
      <w:r w:rsidRPr="00EE3B8C">
        <w:rPr>
          <w:rFonts w:asciiTheme="minorHAnsi" w:hAnsiTheme="minorHAnsi" w:cstheme="minorHAnsi"/>
          <w:lang w:val="en-GB"/>
        </w:rPr>
        <w:t xml:space="preserve"> w</w:t>
      </w:r>
      <w:r w:rsidR="000E0501">
        <w:rPr>
          <w:rFonts w:asciiTheme="minorHAnsi" w:hAnsiTheme="minorHAnsi" w:cstheme="minorHAnsi"/>
          <w:lang w:val="en-GB"/>
        </w:rPr>
        <w:t>ere</w:t>
      </w:r>
      <w:r w:rsidRPr="00EE3B8C">
        <w:rPr>
          <w:rFonts w:asciiTheme="minorHAnsi" w:hAnsiTheme="minorHAnsi" w:cstheme="minorHAnsi"/>
          <w:lang w:val="en-GB"/>
        </w:rPr>
        <w:t xml:space="preserve"> on a cost-minimisation basis and advised that, because </w:t>
      </w:r>
      <w:r w:rsidR="00134316">
        <w:rPr>
          <w:rFonts w:asciiTheme="minorHAnsi" w:hAnsiTheme="minorHAnsi" w:cstheme="minorHAnsi"/>
          <w:lang w:val="en-GB"/>
        </w:rPr>
        <w:t>0.1%</w:t>
      </w:r>
      <w:r w:rsidRPr="00EE3B8C">
        <w:rPr>
          <w:rFonts w:asciiTheme="minorHAnsi" w:hAnsiTheme="minorHAnsi" w:cstheme="minorHAnsi"/>
          <w:lang w:val="en-GB"/>
        </w:rPr>
        <w:t xml:space="preserve"> is not expected to provide a substantial</w:t>
      </w:r>
      <w:r w:rsidRPr="00EE3B8C">
        <w:rPr>
          <w:rFonts w:asciiTheme="minorHAnsi" w:hAnsiTheme="minorHAnsi"/>
          <w:bCs/>
          <w:lang w:val="en-GB"/>
        </w:rPr>
        <w:t xml:space="preserve"> and clinically relevant improvement in efficacy, or reduction of toxicity, over </w:t>
      </w:r>
      <w:r w:rsidR="00134316">
        <w:rPr>
          <w:rFonts w:asciiTheme="minorHAnsi" w:hAnsiTheme="minorHAnsi"/>
          <w:bCs/>
          <w:lang w:val="en-GB"/>
        </w:rPr>
        <w:t>1% PIM</w:t>
      </w:r>
      <w:r w:rsidR="00290C7E">
        <w:rPr>
          <w:rFonts w:asciiTheme="minorHAnsi" w:hAnsiTheme="minorHAnsi"/>
          <w:bCs/>
          <w:lang w:val="en-GB"/>
        </w:rPr>
        <w:t xml:space="preserve"> or the currently listed </w:t>
      </w:r>
      <w:r w:rsidR="00134316">
        <w:rPr>
          <w:rFonts w:asciiTheme="minorHAnsi" w:hAnsiTheme="minorHAnsi"/>
          <w:bCs/>
          <w:lang w:val="en-GB"/>
        </w:rPr>
        <w:t>TCS therapies</w:t>
      </w:r>
      <w:r w:rsidRPr="00EE3B8C">
        <w:rPr>
          <w:rFonts w:asciiTheme="minorHAnsi" w:hAnsiTheme="minorHAnsi"/>
          <w:bCs/>
          <w:lang w:val="en-GB"/>
        </w:rPr>
        <w:t xml:space="preserve">, or not expected to address a high and urgent unmet clinical need given the presence of an alternative therapy, the criteria prescribed by the </w:t>
      </w:r>
      <w:r w:rsidRPr="00EE3B8C">
        <w:rPr>
          <w:rFonts w:asciiTheme="minorHAnsi" w:hAnsiTheme="minorHAnsi"/>
          <w:bCs/>
          <w:i/>
          <w:lang w:val="en-GB"/>
        </w:rPr>
        <w:t>National Health (Pharmaceuticals and Vaccines – Cost Recovery) Regulations 2022</w:t>
      </w:r>
      <w:r w:rsidRPr="00EE3B8C">
        <w:rPr>
          <w:rFonts w:asciiTheme="minorHAnsi" w:hAnsiTheme="minorHAnsi"/>
          <w:bCs/>
          <w:lang w:val="en-GB"/>
        </w:rPr>
        <w:t xml:space="preserve"> for Pricing Pathway A were not met.</w:t>
      </w:r>
    </w:p>
    <w:p w14:paraId="67861B9D" w14:textId="518B167D" w:rsidR="00B77173" w:rsidRPr="000E0501" w:rsidDel="000E0501" w:rsidRDefault="00D02BEF" w:rsidP="00B7717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was not eligible for an Independent Review, as it received a positive recommendation.</w:t>
      </w:r>
      <w:r w:rsidR="0095187D">
        <w:rPr>
          <w:rFonts w:asciiTheme="minorHAnsi" w:hAnsiTheme="minorHAnsi"/>
          <w:snapToGrid w:val="0"/>
          <w:lang w:val="en-GB"/>
        </w:rPr>
        <w:t xml:space="preserve"> </w:t>
      </w:r>
    </w:p>
    <w:p w14:paraId="1EDE45D5" w14:textId="77777777" w:rsidR="00B77173" w:rsidRPr="00525B39" w:rsidRDefault="00B77173" w:rsidP="00F01848">
      <w:pPr>
        <w:keepNext/>
        <w:keepLines/>
        <w:rPr>
          <w:rFonts w:asciiTheme="minorHAnsi" w:hAnsiTheme="minorHAnsi"/>
          <w:b/>
          <w:bCs/>
          <w:snapToGrid w:val="0"/>
          <w:lang w:val="en-GB"/>
        </w:rPr>
      </w:pPr>
      <w:r w:rsidRPr="00525B39">
        <w:rPr>
          <w:rFonts w:asciiTheme="minorHAnsi" w:hAnsiTheme="minorHAnsi"/>
          <w:b/>
          <w:bCs/>
          <w:snapToGrid w:val="0"/>
          <w:lang w:val="en-GB"/>
        </w:rPr>
        <w:t>Outcome:</w:t>
      </w:r>
    </w:p>
    <w:p w14:paraId="5029B027" w14:textId="3FA889AE" w:rsidR="00B77173" w:rsidRPr="00525B39" w:rsidRDefault="00B77173" w:rsidP="00F01848">
      <w:pPr>
        <w:keepNext/>
        <w:keepLines/>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124"/>
    <w:p w14:paraId="04239813" w14:textId="77777777" w:rsidR="00B77173" w:rsidRPr="00907671" w:rsidRDefault="00B77173" w:rsidP="00B77173">
      <w:pPr>
        <w:pStyle w:val="2-SectionHeading"/>
        <w:numPr>
          <w:ilvl w:val="0"/>
          <w:numId w:val="1"/>
        </w:numPr>
      </w:pPr>
      <w:r w:rsidRPr="00907671">
        <w:t>Recommended listing</w:t>
      </w:r>
    </w:p>
    <w:p w14:paraId="2F3D5D32" w14:textId="77777777" w:rsidR="00B77173" w:rsidRPr="00525B39" w:rsidRDefault="00B77173" w:rsidP="002B47CA">
      <w:pPr>
        <w:widowControl w:val="0"/>
        <w:numPr>
          <w:ilvl w:val="1"/>
          <w:numId w:val="1"/>
        </w:numPr>
        <w:spacing w:after="120"/>
        <w:ind w:left="0" w:firstLine="0"/>
        <w:contextualSpacing/>
        <w:rPr>
          <w:rFonts w:asciiTheme="minorHAnsi" w:hAnsiTheme="minorHAnsi"/>
          <w:bCs/>
          <w:snapToGrid w:val="0"/>
        </w:rPr>
      </w:pPr>
      <w:r w:rsidRPr="00525B39">
        <w:rPr>
          <w:rFonts w:asciiTheme="minorHAnsi" w:hAnsiTheme="minorHAnsi"/>
          <w:bCs/>
          <w:snapToGrid w:val="0"/>
        </w:rPr>
        <w:t>Add new item:</w:t>
      </w:r>
    </w:p>
    <w:p w14:paraId="45453CEE" w14:textId="7D3DF5A7" w:rsidR="00722C0E" w:rsidRPr="00A92FBB" w:rsidRDefault="00722C0E" w:rsidP="00722C0E">
      <w:pPr>
        <w:rPr>
          <w:rFonts w:cs="Calibri"/>
          <w:b/>
          <w:bCs/>
        </w:rPr>
      </w:pPr>
      <w:r w:rsidRPr="00A92FBB">
        <w:rPr>
          <w:rFonts w:cs="Calibri"/>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722C0E" w:rsidRPr="00A92FBB" w14:paraId="7D633730" w14:textId="77777777" w:rsidTr="00B13C99">
        <w:trPr>
          <w:cantSplit/>
          <w:trHeight w:val="20"/>
        </w:trPr>
        <w:tc>
          <w:tcPr>
            <w:tcW w:w="3940" w:type="dxa"/>
            <w:gridSpan w:val="2"/>
            <w:vAlign w:val="center"/>
          </w:tcPr>
          <w:p w14:paraId="0C3F44FD" w14:textId="77777777" w:rsidR="00722C0E" w:rsidRPr="00A92FBB" w:rsidRDefault="00722C0E">
            <w:pPr>
              <w:keepLines/>
              <w:rPr>
                <w:rFonts w:ascii="Arial Narrow" w:hAnsi="Arial Narrow"/>
                <w:b/>
                <w:bCs/>
                <w:sz w:val="20"/>
                <w:szCs w:val="20"/>
              </w:rPr>
            </w:pPr>
            <w:r w:rsidRPr="00A92FBB">
              <w:rPr>
                <w:rFonts w:ascii="Arial Narrow" w:hAnsi="Arial Narrow"/>
                <w:b/>
                <w:bCs/>
                <w:sz w:val="20"/>
                <w:szCs w:val="20"/>
              </w:rPr>
              <w:t>MEDICINAL PRODUCT</w:t>
            </w:r>
          </w:p>
          <w:p w14:paraId="72465F2C" w14:textId="77777777" w:rsidR="00722C0E" w:rsidRPr="00A92FBB" w:rsidRDefault="00722C0E">
            <w:pPr>
              <w:keepLines/>
              <w:rPr>
                <w:rFonts w:ascii="Arial Narrow" w:hAnsi="Arial Narrow"/>
                <w:b/>
                <w:sz w:val="20"/>
                <w:szCs w:val="20"/>
              </w:rPr>
            </w:pPr>
            <w:r w:rsidRPr="00A92FBB">
              <w:rPr>
                <w:rFonts w:ascii="Arial Narrow" w:hAnsi="Arial Narrow"/>
                <w:b/>
                <w:bCs/>
                <w:sz w:val="20"/>
                <w:szCs w:val="20"/>
              </w:rPr>
              <w:t>medicinal product pack</w:t>
            </w:r>
          </w:p>
        </w:tc>
        <w:tc>
          <w:tcPr>
            <w:tcW w:w="811" w:type="dxa"/>
            <w:vAlign w:val="center"/>
          </w:tcPr>
          <w:p w14:paraId="10BDFCD8"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PBS item code</w:t>
            </w:r>
          </w:p>
        </w:tc>
        <w:tc>
          <w:tcPr>
            <w:tcW w:w="812" w:type="dxa"/>
            <w:vAlign w:val="center"/>
          </w:tcPr>
          <w:p w14:paraId="6399A6A2"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Max. qty packs</w:t>
            </w:r>
          </w:p>
        </w:tc>
        <w:tc>
          <w:tcPr>
            <w:tcW w:w="811" w:type="dxa"/>
            <w:vAlign w:val="center"/>
          </w:tcPr>
          <w:p w14:paraId="189A8F96"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Max. qty units</w:t>
            </w:r>
          </w:p>
        </w:tc>
        <w:tc>
          <w:tcPr>
            <w:tcW w:w="812" w:type="dxa"/>
            <w:vAlign w:val="center"/>
          </w:tcPr>
          <w:p w14:paraId="7C833532"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№.of</w:t>
            </w:r>
          </w:p>
          <w:p w14:paraId="509CB8D9" w14:textId="77777777" w:rsidR="00722C0E" w:rsidRPr="00A92FBB" w:rsidRDefault="00722C0E">
            <w:pPr>
              <w:keepLines/>
              <w:jc w:val="center"/>
              <w:rPr>
                <w:rFonts w:ascii="Arial Narrow" w:hAnsi="Arial Narrow"/>
                <w:b/>
                <w:sz w:val="20"/>
                <w:szCs w:val="20"/>
              </w:rPr>
            </w:pPr>
            <w:r w:rsidRPr="00A92FBB">
              <w:rPr>
                <w:rFonts w:ascii="Arial Narrow" w:hAnsi="Arial Narrow"/>
                <w:b/>
                <w:sz w:val="20"/>
                <w:szCs w:val="20"/>
              </w:rPr>
              <w:t>Rpts</w:t>
            </w:r>
          </w:p>
        </w:tc>
        <w:tc>
          <w:tcPr>
            <w:tcW w:w="1831" w:type="dxa"/>
            <w:vAlign w:val="center"/>
          </w:tcPr>
          <w:p w14:paraId="276C3613" w14:textId="77777777" w:rsidR="00722C0E" w:rsidRPr="00A92FBB" w:rsidRDefault="00722C0E">
            <w:pPr>
              <w:keepLines/>
              <w:rPr>
                <w:rFonts w:ascii="Arial Narrow" w:hAnsi="Arial Narrow"/>
                <w:b/>
                <w:sz w:val="20"/>
                <w:szCs w:val="20"/>
                <w:lang w:val="fr-FR"/>
              </w:rPr>
            </w:pPr>
            <w:r w:rsidRPr="00A92FBB">
              <w:rPr>
                <w:rFonts w:ascii="Arial Narrow" w:hAnsi="Arial Narrow"/>
                <w:b/>
                <w:sz w:val="20"/>
                <w:szCs w:val="20"/>
              </w:rPr>
              <w:t>Available brands</w:t>
            </w:r>
          </w:p>
        </w:tc>
      </w:tr>
      <w:tr w:rsidR="00722C0E" w:rsidRPr="00A92FBB" w14:paraId="2B622B6A" w14:textId="77777777" w:rsidTr="00B13C99">
        <w:trPr>
          <w:cantSplit/>
          <w:trHeight w:val="20"/>
        </w:trPr>
        <w:tc>
          <w:tcPr>
            <w:tcW w:w="9017" w:type="dxa"/>
            <w:gridSpan w:val="7"/>
            <w:vAlign w:val="center"/>
          </w:tcPr>
          <w:p w14:paraId="624926CB" w14:textId="60B26521" w:rsidR="00722C0E" w:rsidRPr="00A92FBB" w:rsidRDefault="00722C0E">
            <w:pPr>
              <w:keepLines/>
              <w:rPr>
                <w:rFonts w:ascii="Arial Narrow" w:hAnsi="Arial Narrow"/>
                <w:sz w:val="20"/>
                <w:szCs w:val="20"/>
              </w:rPr>
            </w:pPr>
            <w:r w:rsidRPr="00A92FBB">
              <w:rPr>
                <w:rFonts w:ascii="Arial Narrow" w:hAnsi="Arial Narrow"/>
                <w:sz w:val="20"/>
                <w:szCs w:val="20"/>
              </w:rPr>
              <w:t>TACROLIMUS</w:t>
            </w:r>
          </w:p>
        </w:tc>
      </w:tr>
      <w:tr w:rsidR="00722C0E" w:rsidRPr="00A92FBB" w14:paraId="4220B7A0" w14:textId="77777777" w:rsidTr="00B13C99">
        <w:trPr>
          <w:cantSplit/>
          <w:trHeight w:val="20"/>
        </w:trPr>
        <w:tc>
          <w:tcPr>
            <w:tcW w:w="3940" w:type="dxa"/>
            <w:gridSpan w:val="2"/>
            <w:vAlign w:val="center"/>
          </w:tcPr>
          <w:p w14:paraId="70284A09" w14:textId="77777777" w:rsidR="00722C0E" w:rsidRPr="00A92FBB" w:rsidRDefault="00722C0E">
            <w:pPr>
              <w:keepLines/>
              <w:rPr>
                <w:rFonts w:ascii="Arial Narrow" w:hAnsi="Arial Narrow"/>
                <w:sz w:val="20"/>
                <w:szCs w:val="20"/>
              </w:rPr>
            </w:pPr>
            <w:r w:rsidRPr="00A92FBB">
              <w:rPr>
                <w:rFonts w:ascii="Arial Narrow" w:hAnsi="Arial Narrow"/>
                <w:sz w:val="20"/>
                <w:szCs w:val="20"/>
              </w:rPr>
              <w:t>Tacrolimus 0.1%</w:t>
            </w:r>
            <w:r>
              <w:rPr>
                <w:rFonts w:ascii="Arial Narrow" w:hAnsi="Arial Narrow"/>
                <w:sz w:val="20"/>
                <w:szCs w:val="20"/>
              </w:rPr>
              <w:t xml:space="preserve"> </w:t>
            </w:r>
            <w:r w:rsidRPr="00A92FBB">
              <w:rPr>
                <w:rFonts w:ascii="Arial Narrow" w:hAnsi="Arial Narrow"/>
                <w:sz w:val="20"/>
                <w:szCs w:val="20"/>
              </w:rPr>
              <w:t>ointment</w:t>
            </w:r>
            <w:r>
              <w:rPr>
                <w:rFonts w:ascii="Arial Narrow" w:hAnsi="Arial Narrow"/>
                <w:sz w:val="20"/>
                <w:szCs w:val="20"/>
              </w:rPr>
              <w:t>, 30 g</w:t>
            </w:r>
          </w:p>
        </w:tc>
        <w:tc>
          <w:tcPr>
            <w:tcW w:w="811" w:type="dxa"/>
            <w:vAlign w:val="center"/>
          </w:tcPr>
          <w:p w14:paraId="54AD34E1"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NEW</w:t>
            </w:r>
          </w:p>
        </w:tc>
        <w:tc>
          <w:tcPr>
            <w:tcW w:w="812" w:type="dxa"/>
            <w:vAlign w:val="center"/>
          </w:tcPr>
          <w:p w14:paraId="13D26E16"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1</w:t>
            </w:r>
          </w:p>
        </w:tc>
        <w:tc>
          <w:tcPr>
            <w:tcW w:w="811" w:type="dxa"/>
            <w:vAlign w:val="center"/>
          </w:tcPr>
          <w:p w14:paraId="0AD60D60" w14:textId="5A88EF57" w:rsidR="00722C0E" w:rsidRPr="00A92FBB" w:rsidRDefault="00722C0E">
            <w:pPr>
              <w:keepLines/>
              <w:jc w:val="center"/>
              <w:rPr>
                <w:rFonts w:ascii="Arial Narrow" w:hAnsi="Arial Narrow"/>
                <w:sz w:val="20"/>
                <w:szCs w:val="20"/>
              </w:rPr>
            </w:pPr>
            <w:r w:rsidRPr="00A92FBB">
              <w:rPr>
                <w:rFonts w:ascii="Arial Narrow" w:hAnsi="Arial Narrow"/>
                <w:sz w:val="20"/>
                <w:szCs w:val="20"/>
              </w:rPr>
              <w:t>1</w:t>
            </w:r>
          </w:p>
        </w:tc>
        <w:tc>
          <w:tcPr>
            <w:tcW w:w="812" w:type="dxa"/>
            <w:vAlign w:val="center"/>
          </w:tcPr>
          <w:p w14:paraId="50CBC503"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1</w:t>
            </w:r>
          </w:p>
        </w:tc>
        <w:tc>
          <w:tcPr>
            <w:tcW w:w="1831" w:type="dxa"/>
            <w:vAlign w:val="center"/>
          </w:tcPr>
          <w:p w14:paraId="3451D337" w14:textId="77777777" w:rsidR="00722C0E" w:rsidRPr="00A92FBB" w:rsidRDefault="00722C0E">
            <w:pPr>
              <w:keepLines/>
              <w:jc w:val="center"/>
              <w:rPr>
                <w:rFonts w:ascii="Arial Narrow" w:hAnsi="Arial Narrow"/>
                <w:sz w:val="20"/>
                <w:szCs w:val="20"/>
              </w:rPr>
            </w:pPr>
            <w:r w:rsidRPr="00A92FBB">
              <w:rPr>
                <w:rFonts w:ascii="Arial Narrow" w:hAnsi="Arial Narrow"/>
                <w:sz w:val="20"/>
                <w:szCs w:val="20"/>
              </w:rPr>
              <w:t>AZematop</w:t>
            </w:r>
          </w:p>
        </w:tc>
      </w:tr>
      <w:tr w:rsidR="00722C0E" w:rsidRPr="00A92FBB" w14:paraId="0CB1B442" w14:textId="77777777" w:rsidTr="00B13C99">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7C315C5F" w14:textId="77777777" w:rsidR="00722C0E" w:rsidRPr="00A92FBB" w:rsidRDefault="00722C0E">
            <w:pPr>
              <w:rPr>
                <w:rFonts w:ascii="Arial Narrow" w:hAnsi="Arial Narrow"/>
                <w:sz w:val="20"/>
                <w:szCs w:val="20"/>
              </w:rPr>
            </w:pPr>
          </w:p>
        </w:tc>
      </w:tr>
      <w:tr w:rsidR="00722C0E" w:rsidRPr="00A92FBB" w14:paraId="12AE8C22" w14:textId="77777777" w:rsidTr="00B13C99">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185CF250" w14:textId="77777777" w:rsidR="00722C0E" w:rsidRPr="00A92FBB" w:rsidRDefault="00722C0E">
            <w:pPr>
              <w:rPr>
                <w:rFonts w:ascii="Arial Narrow" w:hAnsi="Arial Narrow"/>
                <w:sz w:val="20"/>
                <w:szCs w:val="20"/>
              </w:rPr>
            </w:pPr>
            <w:r w:rsidRPr="00A92FBB">
              <w:rPr>
                <w:rFonts w:ascii="Arial Narrow" w:hAnsi="Arial Narrow"/>
                <w:b/>
                <w:sz w:val="20"/>
                <w:szCs w:val="20"/>
              </w:rPr>
              <w:t>Concept ID</w:t>
            </w:r>
          </w:p>
          <w:p w14:paraId="40C8B297" w14:textId="77777777" w:rsidR="00722C0E" w:rsidRPr="00A92FBB" w:rsidRDefault="00722C0E">
            <w:pP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E78284A" w14:textId="77777777" w:rsidR="00722C0E" w:rsidRPr="00A92FBB" w:rsidRDefault="00722C0E">
            <w:pPr>
              <w:keepLines/>
              <w:rPr>
                <w:rFonts w:ascii="Arial Narrow" w:hAnsi="Arial Narrow"/>
                <w:sz w:val="20"/>
                <w:szCs w:val="20"/>
              </w:rPr>
            </w:pPr>
            <w:r w:rsidRPr="00A92FBB">
              <w:rPr>
                <w:rFonts w:ascii="Arial Narrow" w:hAnsi="Arial Narrow"/>
                <w:b/>
                <w:sz w:val="20"/>
                <w:szCs w:val="20"/>
              </w:rPr>
              <w:t>Category / Program:</w:t>
            </w:r>
            <w:r w:rsidRPr="00A92FBB">
              <w:rPr>
                <w:rFonts w:ascii="Arial Narrow" w:hAnsi="Arial Narrow"/>
                <w:sz w:val="20"/>
                <w:szCs w:val="20"/>
              </w:rPr>
              <w:t xml:space="preserve"> </w:t>
            </w:r>
            <w:r w:rsidRPr="00A92FBB">
              <w:rPr>
                <w:rFonts w:ascii="Arial Narrow" w:hAnsi="Arial Narrow"/>
                <w:sz w:val="20"/>
                <w:szCs w:val="20"/>
              </w:rPr>
              <w:fldChar w:fldCharType="begin">
                <w:ffData>
                  <w:name w:val=""/>
                  <w:enabled/>
                  <w:calcOnExit w:val="0"/>
                  <w:checkBox>
                    <w:sizeAuto/>
                    <w:default w:val="1"/>
                  </w:checkBox>
                </w:ffData>
              </w:fldChar>
            </w:r>
            <w:r w:rsidRPr="00A92FBB">
              <w:rPr>
                <w:rFonts w:ascii="Arial Narrow" w:hAnsi="Arial Narrow"/>
                <w:sz w:val="20"/>
                <w:szCs w:val="20"/>
              </w:rPr>
              <w:instrText xml:space="preserve"> FORMCHECKBOX </w:instrText>
            </w:r>
            <w:r w:rsidRPr="00A92FBB">
              <w:rPr>
                <w:rFonts w:ascii="Arial Narrow" w:hAnsi="Arial Narrow"/>
                <w:sz w:val="20"/>
                <w:szCs w:val="20"/>
              </w:rPr>
            </w:r>
            <w:r w:rsidRPr="00A92FBB">
              <w:rPr>
                <w:rFonts w:ascii="Arial Narrow" w:hAnsi="Arial Narrow"/>
                <w:sz w:val="20"/>
                <w:szCs w:val="20"/>
              </w:rPr>
              <w:fldChar w:fldCharType="separate"/>
            </w:r>
            <w:r w:rsidRPr="00A92FBB">
              <w:rPr>
                <w:rFonts w:ascii="Arial Narrow" w:hAnsi="Arial Narrow"/>
                <w:sz w:val="20"/>
                <w:szCs w:val="20"/>
              </w:rPr>
              <w:fldChar w:fldCharType="end"/>
            </w:r>
            <w:r w:rsidRPr="00A92FBB">
              <w:rPr>
                <w:rFonts w:ascii="Arial Narrow" w:hAnsi="Arial Narrow"/>
                <w:sz w:val="20"/>
                <w:szCs w:val="20"/>
              </w:rPr>
              <w:t xml:space="preserve"> </w:t>
            </w:r>
            <w:r w:rsidRPr="00A92FBB">
              <w:rPr>
                <w:rFonts w:ascii="Arial Narrow" w:eastAsia="Calibri" w:hAnsi="Arial Narrow"/>
                <w:sz w:val="20"/>
                <w:szCs w:val="20"/>
              </w:rPr>
              <w:t>GENERAL - General Schedule (Code GE)</w:t>
            </w:r>
          </w:p>
        </w:tc>
      </w:tr>
      <w:tr w:rsidR="00722C0E" w:rsidRPr="00A92FBB" w14:paraId="61231782" w14:textId="77777777" w:rsidTr="00B13C99">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4D42A188" w14:textId="77777777" w:rsidR="00722C0E" w:rsidRPr="00A92FBB" w:rsidRDefault="00722C0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3BCC8E" w14:textId="6F5E3D8D" w:rsidR="00722C0E" w:rsidRPr="00A92FBB" w:rsidRDefault="00722C0E">
            <w:pPr>
              <w:keepLines/>
              <w:rPr>
                <w:rFonts w:ascii="Arial Narrow" w:hAnsi="Arial Narrow"/>
                <w:b/>
                <w:sz w:val="20"/>
                <w:szCs w:val="20"/>
              </w:rPr>
            </w:pPr>
            <w:r w:rsidRPr="00A92FBB">
              <w:rPr>
                <w:rFonts w:ascii="Arial Narrow" w:hAnsi="Arial Narrow"/>
                <w:b/>
                <w:sz w:val="20"/>
                <w:szCs w:val="20"/>
              </w:rPr>
              <w:t xml:space="preserve">Prescriber type: </w:t>
            </w:r>
            <w:r w:rsidRPr="00A92FBB">
              <w:rPr>
                <w:rFonts w:ascii="Arial Narrow" w:hAnsi="Arial Narrow"/>
                <w:sz w:val="20"/>
                <w:szCs w:val="20"/>
              </w:rPr>
              <w:fldChar w:fldCharType="begin">
                <w:ffData>
                  <w:name w:val=""/>
                  <w:enabled/>
                  <w:calcOnExit w:val="0"/>
                  <w:checkBox>
                    <w:sizeAuto/>
                    <w:default w:val="1"/>
                  </w:checkBox>
                </w:ffData>
              </w:fldChar>
            </w:r>
            <w:r w:rsidRPr="00A92FBB">
              <w:rPr>
                <w:rFonts w:ascii="Arial Narrow" w:hAnsi="Arial Narrow"/>
                <w:sz w:val="20"/>
                <w:szCs w:val="20"/>
              </w:rPr>
              <w:instrText xml:space="preserve"> FORMCHECKBOX </w:instrText>
            </w:r>
            <w:r w:rsidRPr="00A92FBB">
              <w:rPr>
                <w:rFonts w:ascii="Arial Narrow" w:hAnsi="Arial Narrow"/>
                <w:sz w:val="20"/>
                <w:szCs w:val="20"/>
              </w:rPr>
            </w:r>
            <w:r w:rsidRPr="00A92FBB">
              <w:rPr>
                <w:rFonts w:ascii="Arial Narrow" w:hAnsi="Arial Narrow"/>
                <w:sz w:val="20"/>
                <w:szCs w:val="20"/>
              </w:rPr>
              <w:fldChar w:fldCharType="separate"/>
            </w:r>
            <w:r w:rsidRPr="00A92FBB">
              <w:rPr>
                <w:rFonts w:ascii="Arial Narrow" w:hAnsi="Arial Narrow"/>
                <w:sz w:val="20"/>
                <w:szCs w:val="20"/>
              </w:rPr>
              <w:fldChar w:fldCharType="end"/>
            </w:r>
            <w:r w:rsidRPr="00A92FBB">
              <w:rPr>
                <w:rFonts w:ascii="Arial Narrow" w:hAnsi="Arial Narrow"/>
                <w:sz w:val="20"/>
                <w:szCs w:val="20"/>
              </w:rPr>
              <w:t xml:space="preserve"> Medical Practitioners </w:t>
            </w:r>
            <w:r w:rsidR="00522F20" w:rsidRPr="00A92FBB">
              <w:rPr>
                <w:rFonts w:ascii="Arial Narrow" w:hAnsi="Arial Narrow"/>
                <w:sz w:val="20"/>
                <w:szCs w:val="20"/>
              </w:rPr>
              <w:fldChar w:fldCharType="begin">
                <w:ffData>
                  <w:name w:val=""/>
                  <w:enabled/>
                  <w:calcOnExit w:val="0"/>
                  <w:checkBox>
                    <w:sizeAuto/>
                    <w:default w:val="1"/>
                  </w:checkBox>
                </w:ffData>
              </w:fldChar>
            </w:r>
            <w:r w:rsidR="00522F20" w:rsidRPr="00A92FBB">
              <w:rPr>
                <w:rFonts w:ascii="Arial Narrow" w:hAnsi="Arial Narrow"/>
                <w:sz w:val="20"/>
                <w:szCs w:val="20"/>
              </w:rPr>
              <w:instrText xml:space="preserve"> FORMCHECKBOX </w:instrText>
            </w:r>
            <w:r w:rsidR="00522F20" w:rsidRPr="00A92FBB">
              <w:rPr>
                <w:rFonts w:ascii="Arial Narrow" w:hAnsi="Arial Narrow"/>
                <w:sz w:val="20"/>
                <w:szCs w:val="20"/>
              </w:rPr>
            </w:r>
            <w:r w:rsidR="00522F20" w:rsidRPr="00A92FBB">
              <w:rPr>
                <w:rFonts w:ascii="Arial Narrow" w:hAnsi="Arial Narrow"/>
                <w:sz w:val="20"/>
                <w:szCs w:val="20"/>
              </w:rPr>
              <w:fldChar w:fldCharType="separate"/>
            </w:r>
            <w:r w:rsidR="00522F20" w:rsidRPr="00A92FBB">
              <w:rPr>
                <w:rFonts w:ascii="Arial Narrow" w:hAnsi="Arial Narrow"/>
                <w:sz w:val="20"/>
                <w:szCs w:val="20"/>
              </w:rPr>
              <w:fldChar w:fldCharType="end"/>
            </w:r>
            <w:r w:rsidR="00522F20" w:rsidRPr="00A92FBB">
              <w:rPr>
                <w:rFonts w:ascii="Arial Narrow" w:hAnsi="Arial Narrow"/>
                <w:sz w:val="20"/>
                <w:szCs w:val="20"/>
              </w:rPr>
              <w:t xml:space="preserve"> </w:t>
            </w:r>
            <w:r w:rsidR="00522F20">
              <w:rPr>
                <w:rFonts w:ascii="Arial Narrow" w:hAnsi="Arial Narrow"/>
                <w:sz w:val="20"/>
                <w:szCs w:val="20"/>
              </w:rPr>
              <w:t>Nurse</w:t>
            </w:r>
            <w:r w:rsidR="00522F20" w:rsidRPr="00A92FBB">
              <w:rPr>
                <w:rFonts w:ascii="Arial Narrow" w:hAnsi="Arial Narrow"/>
                <w:sz w:val="20"/>
                <w:szCs w:val="20"/>
              </w:rPr>
              <w:t xml:space="preserve"> Practitioners</w:t>
            </w:r>
          </w:p>
        </w:tc>
      </w:tr>
      <w:tr w:rsidR="00722C0E" w:rsidRPr="00A92FBB" w14:paraId="7BDB1020" w14:textId="77777777" w:rsidTr="00B13C99">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1A49D1B6" w14:textId="77777777" w:rsidR="00722C0E" w:rsidRPr="00A92FBB" w:rsidRDefault="00722C0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FEF3C8" w14:textId="07308C59" w:rsidR="00722C0E" w:rsidRPr="00A92FBB" w:rsidRDefault="00722C0E">
            <w:pPr>
              <w:keepLines/>
              <w:rPr>
                <w:rFonts w:ascii="Arial Narrow" w:eastAsia="Calibri" w:hAnsi="Arial Narrow"/>
                <w:sz w:val="20"/>
                <w:szCs w:val="20"/>
              </w:rPr>
            </w:pPr>
            <w:r w:rsidRPr="00A92FBB">
              <w:rPr>
                <w:rFonts w:ascii="Arial Narrow" w:hAnsi="Arial Narrow"/>
                <w:b/>
                <w:sz w:val="20"/>
                <w:szCs w:val="20"/>
              </w:rPr>
              <w:t>Benefit type:</w:t>
            </w:r>
            <w:r w:rsidRPr="00A92FBB">
              <w:rPr>
                <w:rFonts w:ascii="Arial Narrow" w:hAnsi="Arial Narrow"/>
                <w:sz w:val="20"/>
                <w:szCs w:val="20"/>
              </w:rPr>
              <w:fldChar w:fldCharType="begin">
                <w:ffData>
                  <w:name w:val=""/>
                  <w:enabled/>
                  <w:calcOnExit w:val="0"/>
                  <w:checkBox>
                    <w:sizeAuto/>
                    <w:default w:val="1"/>
                  </w:checkBox>
                </w:ffData>
              </w:fldChar>
            </w:r>
            <w:r w:rsidRPr="00A92FBB">
              <w:rPr>
                <w:rFonts w:ascii="Arial Narrow" w:hAnsi="Arial Narrow"/>
                <w:sz w:val="20"/>
                <w:szCs w:val="20"/>
              </w:rPr>
              <w:instrText xml:space="preserve"> FORMCHECKBOX </w:instrText>
            </w:r>
            <w:r w:rsidRPr="00A92FBB">
              <w:rPr>
                <w:rFonts w:ascii="Arial Narrow" w:hAnsi="Arial Narrow"/>
                <w:sz w:val="20"/>
                <w:szCs w:val="20"/>
              </w:rPr>
            </w:r>
            <w:r w:rsidRPr="00A92FBB">
              <w:rPr>
                <w:rFonts w:ascii="Arial Narrow" w:hAnsi="Arial Narrow"/>
                <w:sz w:val="20"/>
                <w:szCs w:val="20"/>
              </w:rPr>
              <w:fldChar w:fldCharType="separate"/>
            </w:r>
            <w:r w:rsidRPr="00A92FBB">
              <w:rPr>
                <w:rFonts w:ascii="Arial Narrow" w:hAnsi="Arial Narrow"/>
                <w:sz w:val="20"/>
                <w:szCs w:val="20"/>
              </w:rPr>
              <w:fldChar w:fldCharType="end"/>
            </w:r>
            <w:r w:rsidRPr="00A92FBB">
              <w:rPr>
                <w:rFonts w:ascii="Arial Narrow" w:hAnsi="Arial Narrow"/>
                <w:sz w:val="20"/>
                <w:szCs w:val="20"/>
              </w:rPr>
              <w:t xml:space="preserve"> </w:t>
            </w:r>
            <w:r w:rsidRPr="00A92FBB">
              <w:rPr>
                <w:rFonts w:ascii="Arial Narrow" w:eastAsia="Calibri" w:hAnsi="Arial Narrow"/>
                <w:sz w:val="20"/>
                <w:szCs w:val="20"/>
              </w:rPr>
              <w:t xml:space="preserve">Authority Required </w:t>
            </w:r>
            <w:r>
              <w:rPr>
                <w:rFonts w:ascii="Arial Narrow" w:eastAsia="Calibri" w:hAnsi="Arial Narrow"/>
                <w:sz w:val="20"/>
                <w:szCs w:val="20"/>
              </w:rPr>
              <w:t>(</w:t>
            </w:r>
            <w:r w:rsidR="002C1C20">
              <w:rPr>
                <w:rFonts w:ascii="Arial Narrow" w:eastAsia="Calibri" w:hAnsi="Arial Narrow"/>
                <w:sz w:val="20"/>
                <w:szCs w:val="20"/>
              </w:rPr>
              <w:t>STREAMLINED</w:t>
            </w:r>
            <w:r w:rsidRPr="00A93EBF">
              <w:rPr>
                <w:rFonts w:ascii="Arial Narrow" w:eastAsia="Calibri" w:hAnsi="Arial Narrow"/>
                <w:sz w:val="20"/>
                <w:szCs w:val="20"/>
              </w:rPr>
              <w:t>)</w:t>
            </w:r>
            <w:r w:rsidR="002115E7">
              <w:rPr>
                <w:rFonts w:ascii="Arial Narrow" w:eastAsia="Calibri" w:hAnsi="Arial Narrow"/>
                <w:sz w:val="20"/>
                <w:szCs w:val="20"/>
              </w:rPr>
              <w:t xml:space="preserve"> [new code]</w:t>
            </w:r>
          </w:p>
        </w:tc>
      </w:tr>
      <w:tr w:rsidR="00D41D7B" w:rsidRPr="00A92FBB" w14:paraId="5691FE43" w14:textId="77777777" w:rsidTr="00B13C99">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right w:val="single" w:sz="4" w:space="0" w:color="auto"/>
            </w:tcBorders>
          </w:tcPr>
          <w:p w14:paraId="40CA5446" w14:textId="367A4281" w:rsidR="00D41D7B" w:rsidRPr="00A92FBB" w:rsidRDefault="00D41D7B" w:rsidP="00522F2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3A9D6" w14:textId="77777777" w:rsidR="00D41D7B" w:rsidRPr="008B666C" w:rsidRDefault="00D41D7B" w:rsidP="00D41D7B">
            <w:pPr>
              <w:keepLines/>
              <w:rPr>
                <w:rFonts w:ascii="Arial Narrow" w:hAnsi="Arial Narrow"/>
                <w:b/>
                <w:sz w:val="20"/>
                <w:szCs w:val="20"/>
              </w:rPr>
            </w:pPr>
            <w:r w:rsidRPr="008B666C">
              <w:rPr>
                <w:rFonts w:ascii="Arial Narrow" w:hAnsi="Arial Narrow"/>
                <w:b/>
                <w:sz w:val="20"/>
                <w:szCs w:val="20"/>
              </w:rPr>
              <w:t>Administrative advice:</w:t>
            </w:r>
          </w:p>
          <w:p w14:paraId="2D0FEA08" w14:textId="352756CD" w:rsidR="00D41D7B" w:rsidRPr="00A92FBB" w:rsidRDefault="00D41D7B" w:rsidP="00D41D7B">
            <w:pPr>
              <w:keepLines/>
              <w:rPr>
                <w:rFonts w:ascii="Arial Narrow" w:hAnsi="Arial Narrow"/>
                <w:b/>
                <w:sz w:val="20"/>
                <w:szCs w:val="20"/>
              </w:rPr>
            </w:pPr>
            <w:r w:rsidRPr="008B666C">
              <w:rPr>
                <w:rFonts w:ascii="Arial Narrow" w:hAnsi="Arial Narrow"/>
                <w:bCs/>
                <w:sz w:val="20"/>
                <w:szCs w:val="20"/>
              </w:rPr>
              <w:t>No increase in the maximum quantity or number of units may be authorised.</w:t>
            </w:r>
          </w:p>
        </w:tc>
      </w:tr>
      <w:tr w:rsidR="00D41D7B" w:rsidRPr="00A92FBB" w14:paraId="300DC146" w14:textId="77777777" w:rsidTr="00B13C99">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right w:val="single" w:sz="4" w:space="0" w:color="auto"/>
            </w:tcBorders>
          </w:tcPr>
          <w:p w14:paraId="2A16B56F" w14:textId="0B560EEE" w:rsidR="00D41D7B" w:rsidRPr="00A92FBB" w:rsidRDefault="00D41D7B" w:rsidP="00522F2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13027C9" w14:textId="77777777" w:rsidR="00D41D7B" w:rsidRPr="008B666C" w:rsidRDefault="00D41D7B" w:rsidP="00D41D7B">
            <w:pPr>
              <w:keepLines/>
              <w:rPr>
                <w:rFonts w:ascii="Arial Narrow" w:hAnsi="Arial Narrow"/>
                <w:b/>
                <w:sz w:val="20"/>
                <w:szCs w:val="20"/>
              </w:rPr>
            </w:pPr>
            <w:r w:rsidRPr="008B666C">
              <w:rPr>
                <w:rFonts w:ascii="Arial Narrow" w:hAnsi="Arial Narrow"/>
                <w:b/>
                <w:sz w:val="20"/>
                <w:szCs w:val="20"/>
              </w:rPr>
              <w:t>Administrative advice:</w:t>
            </w:r>
          </w:p>
          <w:p w14:paraId="443B3FDC" w14:textId="0F733758" w:rsidR="00D41D7B" w:rsidRPr="00A92FBB" w:rsidRDefault="00D41D7B" w:rsidP="00D41D7B">
            <w:pPr>
              <w:keepLines/>
              <w:rPr>
                <w:rFonts w:ascii="Arial Narrow" w:hAnsi="Arial Narrow"/>
                <w:b/>
                <w:sz w:val="20"/>
                <w:szCs w:val="20"/>
              </w:rPr>
            </w:pPr>
            <w:r w:rsidRPr="008B666C">
              <w:rPr>
                <w:rFonts w:ascii="Arial Narrow" w:hAnsi="Arial Narrow"/>
                <w:bCs/>
                <w:sz w:val="20"/>
                <w:szCs w:val="20"/>
              </w:rPr>
              <w:t>No increase in the maximum number of repeats may be authorised.</w:t>
            </w:r>
          </w:p>
        </w:tc>
      </w:tr>
      <w:tr w:rsidR="00722C0E" w:rsidRPr="00A92FBB" w14:paraId="7C68D904" w14:textId="77777777" w:rsidTr="00B13C99">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shd w:val="clear" w:color="auto" w:fill="BFBFBF"/>
          </w:tcPr>
          <w:p w14:paraId="156185A2" w14:textId="77777777" w:rsidR="00722C0E" w:rsidRPr="00A92FBB" w:rsidRDefault="00722C0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9506613" w14:textId="77777777" w:rsidR="00722C0E" w:rsidRPr="00A92FBB" w:rsidRDefault="00722C0E">
            <w:pPr>
              <w:keepLines/>
              <w:rPr>
                <w:rFonts w:ascii="Arial Narrow" w:hAnsi="Arial Narrow"/>
                <w:b/>
                <w:bCs/>
                <w:color w:val="333333"/>
                <w:sz w:val="20"/>
                <w:szCs w:val="20"/>
              </w:rPr>
            </w:pPr>
            <w:r w:rsidRPr="00A92FBB">
              <w:rPr>
                <w:rFonts w:ascii="Arial Narrow" w:hAnsi="Arial Narrow"/>
                <w:b/>
                <w:sz w:val="20"/>
                <w:szCs w:val="20"/>
              </w:rPr>
              <w:t>Restriction Summary [new1] / Treatment of Concept: [new1A]</w:t>
            </w:r>
          </w:p>
        </w:tc>
      </w:tr>
      <w:tr w:rsidR="00722C0E" w:rsidRPr="00A92FBB" w14:paraId="0C02B0C1" w14:textId="77777777" w:rsidTr="00B13C99">
        <w:tblPrEx>
          <w:tblCellMar>
            <w:top w:w="15" w:type="dxa"/>
            <w:bottom w:w="15" w:type="dxa"/>
          </w:tblCellMar>
          <w:tblLook w:val="04A0" w:firstRow="1" w:lastRow="0" w:firstColumn="1" w:lastColumn="0" w:noHBand="0" w:noVBand="1"/>
        </w:tblPrEx>
        <w:trPr>
          <w:cantSplit/>
          <w:trHeight w:val="20"/>
        </w:trPr>
        <w:tc>
          <w:tcPr>
            <w:tcW w:w="1272" w:type="dxa"/>
            <w:hideMark/>
          </w:tcPr>
          <w:p w14:paraId="5D5A60CB" w14:textId="7F877F8C" w:rsidR="00722C0E" w:rsidRPr="00A92FBB" w:rsidRDefault="00722C0E">
            <w:pPr>
              <w:keepLines/>
              <w:jc w:val="center"/>
              <w:rPr>
                <w:rFonts w:ascii="Arial Narrow" w:hAnsi="Arial Narrow"/>
                <w:sz w:val="20"/>
                <w:szCs w:val="20"/>
              </w:rPr>
            </w:pPr>
            <w:r w:rsidRPr="00A92FBB">
              <w:rPr>
                <w:rFonts w:ascii="Arial Narrow" w:hAnsi="Arial Narrow"/>
                <w:sz w:val="20"/>
                <w:szCs w:val="20"/>
              </w:rPr>
              <w:t xml:space="preserve"> </w:t>
            </w:r>
          </w:p>
        </w:tc>
        <w:tc>
          <w:tcPr>
            <w:tcW w:w="7745" w:type="dxa"/>
            <w:gridSpan w:val="6"/>
            <w:vAlign w:val="center"/>
            <w:hideMark/>
          </w:tcPr>
          <w:p w14:paraId="6F402CC7" w14:textId="694F0157" w:rsidR="00722C0E" w:rsidRPr="00A92FBB" w:rsidRDefault="00722C0E">
            <w:pPr>
              <w:keepLines/>
              <w:rPr>
                <w:rFonts w:ascii="Arial Narrow" w:hAnsi="Arial Narrow"/>
                <w:sz w:val="20"/>
                <w:szCs w:val="20"/>
              </w:rPr>
            </w:pPr>
            <w:r w:rsidRPr="00A92FBB">
              <w:rPr>
                <w:rFonts w:ascii="Arial Narrow" w:hAnsi="Arial Narrow"/>
                <w:b/>
                <w:bCs/>
                <w:sz w:val="20"/>
                <w:szCs w:val="20"/>
              </w:rPr>
              <w:t>Indication:</w:t>
            </w:r>
            <w:r w:rsidRPr="00A92FBB">
              <w:rPr>
                <w:rFonts w:ascii="Arial Narrow" w:hAnsi="Arial Narrow"/>
                <w:sz w:val="20"/>
                <w:szCs w:val="20"/>
              </w:rPr>
              <w:t xml:space="preserve"> Moderate to severe atopic dermatitis</w:t>
            </w:r>
          </w:p>
        </w:tc>
      </w:tr>
      <w:tr w:rsidR="00BA7159" w:rsidRPr="00A92FBB" w:rsidDel="00C53B1C" w14:paraId="76229BEB"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2417E672" w14:textId="0C351BD1" w:rsidR="00BA7159" w:rsidRPr="00A92FBB" w:rsidDel="00C53B1C" w:rsidRDefault="00BA7159" w:rsidP="00BA7159">
            <w:pPr>
              <w:jc w:val="center"/>
              <w:rPr>
                <w:rFonts w:ascii="Arial Narrow" w:hAnsi="Arial Narrow"/>
                <w:sz w:val="20"/>
                <w:szCs w:val="20"/>
              </w:rPr>
            </w:pPr>
          </w:p>
        </w:tc>
        <w:tc>
          <w:tcPr>
            <w:tcW w:w="7745" w:type="dxa"/>
            <w:gridSpan w:val="6"/>
            <w:vAlign w:val="center"/>
          </w:tcPr>
          <w:p w14:paraId="43F05611" w14:textId="5552A779" w:rsidR="00BA7159" w:rsidRPr="00A92FBB" w:rsidDel="00C53B1C" w:rsidRDefault="00BA7159" w:rsidP="00BA7159">
            <w:pPr>
              <w:rPr>
                <w:rFonts w:ascii="Arial Narrow" w:hAnsi="Arial Narrow"/>
                <w:b/>
                <w:bCs/>
                <w:sz w:val="20"/>
                <w:szCs w:val="20"/>
              </w:rPr>
            </w:pPr>
            <w:r w:rsidRPr="00505021">
              <w:rPr>
                <w:rFonts w:ascii="Arial Narrow" w:hAnsi="Arial Narrow"/>
                <w:b/>
                <w:bCs/>
                <w:color w:val="333333"/>
                <w:sz w:val="20"/>
                <w:szCs w:val="20"/>
              </w:rPr>
              <w:t xml:space="preserve">Clinical criteria: </w:t>
            </w:r>
          </w:p>
        </w:tc>
      </w:tr>
      <w:tr w:rsidR="00BA7159" w:rsidRPr="00A92FBB" w:rsidDel="00C53B1C" w14:paraId="70080223"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0FF20ADC" w14:textId="6C78E170" w:rsidR="00BA7159" w:rsidRPr="00A92FBB" w:rsidDel="00C53B1C" w:rsidRDefault="00BA7159" w:rsidP="00BA7159">
            <w:pPr>
              <w:jc w:val="center"/>
              <w:rPr>
                <w:rFonts w:ascii="Arial Narrow" w:hAnsi="Arial Narrow"/>
                <w:sz w:val="20"/>
                <w:szCs w:val="20"/>
              </w:rPr>
            </w:pPr>
          </w:p>
        </w:tc>
        <w:tc>
          <w:tcPr>
            <w:tcW w:w="7745" w:type="dxa"/>
            <w:gridSpan w:val="6"/>
            <w:vAlign w:val="center"/>
          </w:tcPr>
          <w:p w14:paraId="229F0AE6" w14:textId="77777777" w:rsidR="00BA563D" w:rsidRDefault="00BA563D" w:rsidP="00BA7159">
            <w:pPr>
              <w:rPr>
                <w:rFonts w:ascii="Arial Narrow" w:eastAsia="MS Gothic" w:hAnsi="Arial Narrow"/>
                <w:sz w:val="20"/>
                <w:szCs w:val="20"/>
                <w:lang w:bidi="en-US"/>
              </w:rPr>
            </w:pPr>
            <w:r>
              <w:rPr>
                <w:rFonts w:ascii="Arial Narrow" w:eastAsia="MS Gothic" w:hAnsi="Arial Narrow"/>
                <w:sz w:val="20"/>
                <w:szCs w:val="20"/>
                <w:lang w:bidi="en-US"/>
              </w:rPr>
              <w:t>Patient must be initiating treatment with this drug, or</w:t>
            </w:r>
          </w:p>
          <w:p w14:paraId="53975796" w14:textId="2FAF72DE" w:rsidR="00BA7159" w:rsidRPr="00A92FBB" w:rsidDel="00C53B1C" w:rsidRDefault="00BA7159" w:rsidP="00BA7159">
            <w:pPr>
              <w:rPr>
                <w:rFonts w:ascii="Arial Narrow" w:hAnsi="Arial Narrow"/>
                <w:b/>
                <w:bCs/>
                <w:sz w:val="20"/>
                <w:szCs w:val="20"/>
              </w:rPr>
            </w:pPr>
            <w:r w:rsidRPr="00516AE0">
              <w:rPr>
                <w:rFonts w:ascii="Arial Narrow" w:eastAsia="MS Gothic" w:hAnsi="Arial Narrow"/>
                <w:sz w:val="20"/>
                <w:szCs w:val="20"/>
                <w:lang w:bidi="en-US"/>
              </w:rPr>
              <w:t xml:space="preserve">Patient must </w:t>
            </w:r>
            <w:r w:rsidR="00BA563D">
              <w:rPr>
                <w:rFonts w:ascii="Arial Narrow" w:eastAsia="MS Gothic" w:hAnsi="Arial Narrow"/>
                <w:sz w:val="20"/>
                <w:szCs w:val="20"/>
                <w:lang w:bidi="en-US"/>
              </w:rPr>
              <w:t>be continuing treatment with this drug</w:t>
            </w:r>
            <w:r w:rsidR="00DA0AE3">
              <w:rPr>
                <w:rFonts w:ascii="Arial Narrow" w:eastAsia="MS Gothic" w:hAnsi="Arial Narrow"/>
                <w:sz w:val="20"/>
                <w:szCs w:val="20"/>
                <w:lang w:bidi="en-US"/>
              </w:rPr>
              <w:t xml:space="preserve"> if they </w:t>
            </w:r>
            <w:r w:rsidRPr="00516AE0">
              <w:rPr>
                <w:rFonts w:ascii="Arial Narrow" w:eastAsia="MS Gothic" w:hAnsi="Arial Narrow"/>
                <w:sz w:val="20"/>
                <w:szCs w:val="20"/>
                <w:lang w:bidi="en-US"/>
              </w:rPr>
              <w:t xml:space="preserve">have demonstrated an adequate response </w:t>
            </w:r>
            <w:r w:rsidR="00DA0AE3">
              <w:rPr>
                <w:rFonts w:ascii="Arial Narrow" w:eastAsia="MS Gothic" w:hAnsi="Arial Narrow"/>
                <w:sz w:val="20"/>
                <w:szCs w:val="20"/>
                <w:lang w:bidi="en-US"/>
              </w:rPr>
              <w:t xml:space="preserve">to </w:t>
            </w:r>
            <w:r w:rsidRPr="00516AE0">
              <w:rPr>
                <w:rFonts w:ascii="Arial Narrow" w:eastAsia="MS Gothic" w:hAnsi="Arial Narrow"/>
                <w:sz w:val="20"/>
                <w:szCs w:val="20"/>
                <w:lang w:bidi="en-US"/>
              </w:rPr>
              <w:t>at least 6 weeks of</w:t>
            </w:r>
            <w:r w:rsidRPr="00516AE0" w:rsidDel="00412FB5">
              <w:rPr>
                <w:rFonts w:ascii="Arial Narrow" w:eastAsia="MS Gothic" w:hAnsi="Arial Narrow"/>
                <w:sz w:val="20"/>
                <w:szCs w:val="20"/>
                <w:lang w:bidi="en-US"/>
              </w:rPr>
              <w:t xml:space="preserve"> </w:t>
            </w:r>
            <w:r w:rsidRPr="00516AE0">
              <w:rPr>
                <w:rFonts w:ascii="Arial Narrow" w:eastAsia="MS Gothic" w:hAnsi="Arial Narrow"/>
                <w:sz w:val="20"/>
                <w:szCs w:val="20"/>
                <w:lang w:bidi="en-US"/>
              </w:rPr>
              <w:t>treatment</w:t>
            </w:r>
            <w:r w:rsidR="00C43FA0">
              <w:rPr>
                <w:rFonts w:ascii="Arial Narrow" w:eastAsia="MS Gothic" w:hAnsi="Arial Narrow"/>
                <w:sz w:val="20"/>
                <w:szCs w:val="20"/>
                <w:lang w:bidi="en-US"/>
              </w:rPr>
              <w:t>, applied</w:t>
            </w:r>
            <w:r w:rsidRPr="00516AE0">
              <w:rPr>
                <w:rFonts w:ascii="Arial Narrow" w:eastAsia="MS Gothic" w:hAnsi="Arial Narrow"/>
                <w:sz w:val="20"/>
                <w:szCs w:val="20"/>
                <w:lang w:bidi="en-US"/>
              </w:rPr>
              <w:t xml:space="preserve"> at the recommended dosing regimen as per the approved Therapeutic Goods Administration (TGA) Product Information (PI).</w:t>
            </w:r>
          </w:p>
        </w:tc>
      </w:tr>
      <w:tr w:rsidR="00722C0E" w:rsidRPr="00A92FBB" w14:paraId="3404F233"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65C4898C" w14:textId="746D6E96" w:rsidR="00722C0E" w:rsidRPr="00096714" w:rsidRDefault="00722C0E">
            <w:pPr>
              <w:jc w:val="center"/>
              <w:rPr>
                <w:rFonts w:ascii="Arial Narrow" w:hAnsi="Arial Narrow"/>
                <w:color w:val="333333"/>
                <w:sz w:val="20"/>
                <w:szCs w:val="20"/>
              </w:rPr>
            </w:pPr>
          </w:p>
        </w:tc>
        <w:tc>
          <w:tcPr>
            <w:tcW w:w="7745" w:type="dxa"/>
            <w:gridSpan w:val="6"/>
            <w:vAlign w:val="center"/>
            <w:hideMark/>
          </w:tcPr>
          <w:p w14:paraId="3FDD9E0B" w14:textId="77777777" w:rsidR="00722C0E" w:rsidRPr="00096714" w:rsidRDefault="00722C0E">
            <w:pPr>
              <w:rPr>
                <w:rFonts w:ascii="Arial Narrow" w:hAnsi="Arial Narrow"/>
                <w:color w:val="333333"/>
                <w:sz w:val="20"/>
                <w:szCs w:val="20"/>
              </w:rPr>
            </w:pPr>
            <w:r w:rsidRPr="00096714">
              <w:rPr>
                <w:rFonts w:ascii="Arial Narrow" w:hAnsi="Arial Narrow"/>
                <w:b/>
                <w:bCs/>
                <w:color w:val="333333"/>
                <w:sz w:val="20"/>
                <w:szCs w:val="20"/>
              </w:rPr>
              <w:t>Population criteria:</w:t>
            </w:r>
          </w:p>
        </w:tc>
      </w:tr>
      <w:tr w:rsidR="00722C0E" w:rsidRPr="00A92FBB" w14:paraId="45669A3C"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3CCC5F13" w14:textId="253855B9" w:rsidR="00722C0E" w:rsidRPr="00096714" w:rsidRDefault="00722C0E">
            <w:pPr>
              <w:jc w:val="center"/>
              <w:rPr>
                <w:rFonts w:ascii="Arial Narrow" w:hAnsi="Arial Narrow"/>
                <w:color w:val="333333"/>
                <w:sz w:val="20"/>
                <w:szCs w:val="20"/>
              </w:rPr>
            </w:pPr>
          </w:p>
        </w:tc>
        <w:tc>
          <w:tcPr>
            <w:tcW w:w="7745" w:type="dxa"/>
            <w:gridSpan w:val="6"/>
            <w:vAlign w:val="center"/>
            <w:hideMark/>
          </w:tcPr>
          <w:p w14:paraId="07683FDC" w14:textId="77777777" w:rsidR="00722C0E" w:rsidRPr="00096714" w:rsidRDefault="00722C0E">
            <w:pPr>
              <w:rPr>
                <w:rFonts w:ascii="Arial Narrow" w:hAnsi="Arial Narrow"/>
                <w:color w:val="333333"/>
                <w:sz w:val="20"/>
                <w:szCs w:val="20"/>
              </w:rPr>
            </w:pPr>
            <w:r w:rsidRPr="00096714">
              <w:rPr>
                <w:rFonts w:ascii="Arial Narrow" w:eastAsia="MS Gothic" w:hAnsi="Arial Narrow"/>
                <w:sz w:val="20"/>
                <w:szCs w:val="20"/>
                <w:lang w:bidi="en-US"/>
              </w:rPr>
              <w:t xml:space="preserve">Patient must be at least 16 years of age. </w:t>
            </w:r>
          </w:p>
        </w:tc>
      </w:tr>
      <w:tr w:rsidR="00722C0E" w:rsidRPr="00A92FBB" w14:paraId="62887562"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4C51FCBA" w14:textId="7D3D5CF7" w:rsidR="00722C0E" w:rsidRPr="00A92FBB" w:rsidRDefault="00722C0E">
            <w:pPr>
              <w:jc w:val="center"/>
              <w:rPr>
                <w:rFonts w:ascii="Arial Narrow" w:hAnsi="Arial Narrow"/>
                <w:i/>
                <w:iCs/>
                <w:color w:val="333333"/>
                <w:sz w:val="20"/>
                <w:szCs w:val="20"/>
              </w:rPr>
            </w:pPr>
          </w:p>
        </w:tc>
        <w:tc>
          <w:tcPr>
            <w:tcW w:w="7745" w:type="dxa"/>
            <w:gridSpan w:val="6"/>
            <w:vAlign w:val="center"/>
          </w:tcPr>
          <w:p w14:paraId="0059487C" w14:textId="77777777" w:rsidR="00722C0E" w:rsidRPr="00505021" w:rsidRDefault="00722C0E">
            <w:pPr>
              <w:rPr>
                <w:rFonts w:ascii="Arial Narrow" w:eastAsia="MS Gothic" w:hAnsi="Arial Narrow"/>
                <w:b/>
                <w:bCs/>
                <w:sz w:val="20"/>
                <w:szCs w:val="20"/>
                <w:lang w:bidi="en-US"/>
              </w:rPr>
            </w:pPr>
            <w:r w:rsidRPr="00505021">
              <w:rPr>
                <w:rFonts w:ascii="Arial Narrow" w:eastAsia="MS Gothic" w:hAnsi="Arial Narrow"/>
                <w:b/>
                <w:bCs/>
                <w:sz w:val="20"/>
                <w:szCs w:val="20"/>
                <w:lang w:bidi="en-US"/>
              </w:rPr>
              <w:t>Prescribing instructions:</w:t>
            </w:r>
          </w:p>
          <w:p w14:paraId="7C3E7983" w14:textId="77777777" w:rsidR="00722C0E" w:rsidRDefault="00722C0E">
            <w:pPr>
              <w:rPr>
                <w:rFonts w:ascii="Arial Narrow" w:eastAsia="MS Gothic" w:hAnsi="Arial Narrow"/>
                <w:sz w:val="20"/>
                <w:szCs w:val="20"/>
                <w:lang w:bidi="en-US"/>
              </w:rPr>
            </w:pPr>
            <w:r w:rsidRPr="00505021">
              <w:rPr>
                <w:rFonts w:ascii="Arial Narrow" w:eastAsia="MS Gothic" w:hAnsi="Arial Narrow"/>
                <w:sz w:val="20"/>
                <w:szCs w:val="20"/>
                <w:lang w:bidi="en-US"/>
              </w:rPr>
              <w:t>Treatment should be discontinued</w:t>
            </w:r>
            <w:r>
              <w:rPr>
                <w:rFonts w:ascii="Arial Narrow" w:eastAsia="MS Gothic" w:hAnsi="Arial Narrow"/>
                <w:sz w:val="20"/>
                <w:szCs w:val="20"/>
                <w:lang w:bidi="en-US"/>
              </w:rPr>
              <w:t>,</w:t>
            </w:r>
            <w:r w:rsidRPr="00505021">
              <w:rPr>
                <w:rFonts w:ascii="Arial Narrow" w:eastAsia="MS Gothic" w:hAnsi="Arial Narrow"/>
                <w:sz w:val="20"/>
                <w:szCs w:val="20"/>
                <w:lang w:bidi="en-US"/>
              </w:rPr>
              <w:t xml:space="preserve"> </w:t>
            </w:r>
            <w:r>
              <w:rPr>
                <w:rFonts w:ascii="Arial Narrow" w:eastAsia="MS Gothic" w:hAnsi="Arial Narrow"/>
                <w:sz w:val="20"/>
                <w:szCs w:val="20"/>
                <w:lang w:bidi="en-US"/>
              </w:rPr>
              <w:t>and further treatment options should be considered if one of the following situations occurred:</w:t>
            </w:r>
          </w:p>
          <w:p w14:paraId="03C886D6" w14:textId="77777777" w:rsidR="00722C0E" w:rsidRDefault="00722C0E">
            <w:pPr>
              <w:rPr>
                <w:rFonts w:ascii="Arial Narrow" w:eastAsia="MS Gothic" w:hAnsi="Arial Narrow"/>
                <w:sz w:val="20"/>
                <w:szCs w:val="20"/>
                <w:lang w:bidi="en-US"/>
              </w:rPr>
            </w:pPr>
            <w:r>
              <w:rPr>
                <w:rFonts w:ascii="Arial Narrow" w:eastAsia="MS Gothic" w:hAnsi="Arial Narrow"/>
                <w:sz w:val="20"/>
                <w:szCs w:val="20"/>
                <w:lang w:bidi="en-US"/>
              </w:rPr>
              <w:t>a)</w:t>
            </w:r>
            <w:r w:rsidRPr="00762D72">
              <w:rPr>
                <w:rFonts w:ascii="Arial Narrow" w:eastAsia="MS Gothic" w:hAnsi="Arial Narrow"/>
                <w:sz w:val="20"/>
                <w:szCs w:val="20"/>
                <w:lang w:bidi="en-US"/>
              </w:rPr>
              <w:t xml:space="preserve"> no signs of improvement are seen after two weeks of treatment</w:t>
            </w:r>
            <w:r>
              <w:rPr>
                <w:rFonts w:ascii="Arial Narrow" w:eastAsia="MS Gothic" w:hAnsi="Arial Narrow"/>
                <w:sz w:val="20"/>
                <w:szCs w:val="20"/>
                <w:lang w:bidi="en-US"/>
              </w:rPr>
              <w:t>.</w:t>
            </w:r>
          </w:p>
          <w:p w14:paraId="3EE9855A" w14:textId="77777777" w:rsidR="00722C0E" w:rsidRDefault="00722C0E">
            <w:pPr>
              <w:rPr>
                <w:rFonts w:ascii="Arial Narrow" w:eastAsia="MS Gothic" w:hAnsi="Arial Narrow"/>
                <w:sz w:val="20"/>
                <w:szCs w:val="20"/>
                <w:lang w:bidi="en-US"/>
              </w:rPr>
            </w:pPr>
            <w:r>
              <w:rPr>
                <w:rFonts w:ascii="Arial Narrow" w:eastAsia="MS Gothic" w:hAnsi="Arial Narrow"/>
                <w:sz w:val="20"/>
                <w:szCs w:val="20"/>
                <w:lang w:bidi="en-US"/>
              </w:rPr>
              <w:t>b)</w:t>
            </w:r>
            <w:r w:rsidRPr="00505021">
              <w:rPr>
                <w:rFonts w:ascii="Arial Narrow" w:eastAsia="MS Gothic" w:hAnsi="Arial Narrow"/>
                <w:sz w:val="20"/>
                <w:szCs w:val="20"/>
                <w:lang w:bidi="en-US"/>
              </w:rPr>
              <w:t xml:space="preserve"> improvement is not maintained after a 3-month period of treatment (i.e. A</w:t>
            </w:r>
            <w:r>
              <w:rPr>
                <w:rFonts w:ascii="Arial Narrow" w:eastAsia="MS Gothic" w:hAnsi="Arial Narrow"/>
                <w:sz w:val="20"/>
                <w:szCs w:val="20"/>
                <w:lang w:bidi="en-US"/>
              </w:rPr>
              <w:t>topic Dermatitis (</w:t>
            </w:r>
            <w:r w:rsidRPr="00505021">
              <w:rPr>
                <w:rFonts w:ascii="Arial Narrow" w:eastAsia="MS Gothic" w:hAnsi="Arial Narrow"/>
                <w:sz w:val="20"/>
                <w:szCs w:val="20"/>
                <w:lang w:bidi="en-US"/>
              </w:rPr>
              <w:t>AD</w:t>
            </w:r>
            <w:r>
              <w:rPr>
                <w:rFonts w:ascii="Arial Narrow" w:eastAsia="MS Gothic" w:hAnsi="Arial Narrow"/>
                <w:sz w:val="20"/>
                <w:szCs w:val="20"/>
                <w:lang w:bidi="en-US"/>
              </w:rPr>
              <w:t>)</w:t>
            </w:r>
            <w:r w:rsidRPr="00505021">
              <w:rPr>
                <w:rFonts w:ascii="Arial Narrow" w:eastAsia="MS Gothic" w:hAnsi="Arial Narrow"/>
                <w:sz w:val="20"/>
                <w:szCs w:val="20"/>
                <w:lang w:bidi="en-US"/>
              </w:rPr>
              <w:t xml:space="preserve"> is </w:t>
            </w:r>
            <w:r>
              <w:rPr>
                <w:rFonts w:ascii="Arial Narrow" w:eastAsia="MS Gothic" w:hAnsi="Arial Narrow"/>
                <w:sz w:val="20"/>
                <w:szCs w:val="20"/>
                <w:lang w:bidi="en-US"/>
              </w:rPr>
              <w:t xml:space="preserve">not </w:t>
            </w:r>
            <w:r w:rsidRPr="00505021">
              <w:rPr>
                <w:rFonts w:ascii="Arial Narrow" w:eastAsia="MS Gothic" w:hAnsi="Arial Narrow"/>
                <w:sz w:val="20"/>
                <w:szCs w:val="20"/>
                <w:lang w:bidi="en-US"/>
              </w:rPr>
              <w:t xml:space="preserve">clear or almost clear). </w:t>
            </w:r>
          </w:p>
          <w:p w14:paraId="1FAD9DB9" w14:textId="77777777" w:rsidR="00722C0E" w:rsidRPr="007852E5" w:rsidRDefault="00722C0E">
            <w:pPr>
              <w:rPr>
                <w:rFonts w:ascii="Arial Narrow" w:eastAsia="MS Gothic" w:hAnsi="Arial Narrow"/>
                <w:i/>
                <w:iCs/>
                <w:sz w:val="20"/>
                <w:szCs w:val="20"/>
                <w:lang w:bidi="en-US"/>
              </w:rPr>
            </w:pPr>
            <w:r w:rsidRPr="00505021">
              <w:rPr>
                <w:rFonts w:ascii="Arial Narrow" w:eastAsia="MS Gothic" w:hAnsi="Arial Narrow"/>
                <w:sz w:val="20"/>
                <w:szCs w:val="20"/>
                <w:lang w:bidi="en-US"/>
              </w:rPr>
              <w:t xml:space="preserve">Once clearance or near clearance of AD is achieved, patients should take a break in tacrolimus treatment and reinitiate only if there is a flare of their AD. </w:t>
            </w:r>
          </w:p>
        </w:tc>
      </w:tr>
      <w:tr w:rsidR="00BA7159" w:rsidRPr="00A92FBB" w14:paraId="7701DAB3" w14:textId="77777777" w:rsidTr="00B13C99">
        <w:tblPrEx>
          <w:tblCellMar>
            <w:top w:w="15" w:type="dxa"/>
            <w:bottom w:w="15" w:type="dxa"/>
          </w:tblCellMar>
          <w:tblLook w:val="04A0" w:firstRow="1" w:lastRow="0" w:firstColumn="1" w:lastColumn="0" w:noHBand="0" w:noVBand="1"/>
        </w:tblPrEx>
        <w:trPr>
          <w:cantSplit/>
          <w:trHeight w:val="20"/>
        </w:trPr>
        <w:tc>
          <w:tcPr>
            <w:tcW w:w="1272" w:type="dxa"/>
          </w:tcPr>
          <w:p w14:paraId="2ABFD5B3" w14:textId="362469DD" w:rsidR="00BA7159" w:rsidRPr="00505021" w:rsidRDefault="00BA7159" w:rsidP="00BA7159">
            <w:pPr>
              <w:jc w:val="center"/>
              <w:rPr>
                <w:rFonts w:ascii="Arial Narrow" w:eastAsia="MS Gothic" w:hAnsi="Arial Narrow"/>
                <w:sz w:val="20"/>
                <w:szCs w:val="20"/>
                <w:lang w:bidi="en-US"/>
              </w:rPr>
            </w:pPr>
          </w:p>
        </w:tc>
        <w:tc>
          <w:tcPr>
            <w:tcW w:w="7745" w:type="dxa"/>
            <w:gridSpan w:val="6"/>
            <w:vAlign w:val="center"/>
          </w:tcPr>
          <w:p w14:paraId="3F029F75" w14:textId="77777777" w:rsidR="00BA7159" w:rsidRPr="001C59A7" w:rsidRDefault="00BA7159" w:rsidP="00BA7159">
            <w:pPr>
              <w:rPr>
                <w:rFonts w:ascii="Arial Narrow" w:eastAsia="MS Gothic" w:hAnsi="Arial Narrow"/>
                <w:b/>
                <w:bCs/>
                <w:sz w:val="20"/>
                <w:szCs w:val="20"/>
                <w:lang w:bidi="en-US"/>
              </w:rPr>
            </w:pPr>
            <w:r w:rsidRPr="001C59A7">
              <w:rPr>
                <w:rFonts w:ascii="Arial Narrow" w:eastAsia="MS Gothic" w:hAnsi="Arial Narrow"/>
                <w:b/>
                <w:bCs/>
                <w:sz w:val="20"/>
                <w:szCs w:val="20"/>
                <w:lang w:bidi="en-US"/>
              </w:rPr>
              <w:t>Prescribing instructions:</w:t>
            </w:r>
          </w:p>
          <w:p w14:paraId="1C760746" w14:textId="62AC1981" w:rsidR="00BA7159" w:rsidRPr="00505021" w:rsidRDefault="00BA7159" w:rsidP="00BA7159">
            <w:pPr>
              <w:rPr>
                <w:rFonts w:ascii="Arial Narrow" w:eastAsia="MS Gothic" w:hAnsi="Arial Narrow"/>
                <w:b/>
                <w:bCs/>
                <w:sz w:val="20"/>
                <w:szCs w:val="20"/>
                <w:lang w:bidi="en-US"/>
              </w:rPr>
            </w:pPr>
            <w:r>
              <w:rPr>
                <w:rFonts w:ascii="Arial Narrow" w:hAnsi="Arial Narrow"/>
                <w:color w:val="000000"/>
                <w:sz w:val="20"/>
                <w:szCs w:val="20"/>
              </w:rPr>
              <w:t xml:space="preserve">Prescribers must </w:t>
            </w:r>
            <w:r w:rsidRPr="001C59A7">
              <w:rPr>
                <w:rFonts w:ascii="Arial Narrow" w:hAnsi="Arial Narrow"/>
                <w:color w:val="000000"/>
                <w:sz w:val="20"/>
                <w:szCs w:val="20"/>
              </w:rPr>
              <w:t xml:space="preserve">review the patient’s condition </w:t>
            </w:r>
            <w:r>
              <w:rPr>
                <w:rFonts w:ascii="Arial Narrow" w:hAnsi="Arial Narrow"/>
                <w:color w:val="000000"/>
                <w:sz w:val="20"/>
                <w:szCs w:val="20"/>
              </w:rPr>
              <w:t xml:space="preserve">after 12 months of treatment and regularly thereafter, to determine whether maintenance treatment should/should not be continued. </w:t>
            </w:r>
          </w:p>
        </w:tc>
      </w:tr>
    </w:tbl>
    <w:p w14:paraId="280C0CC4" w14:textId="77777777" w:rsidR="00722C0E" w:rsidRDefault="00722C0E" w:rsidP="00722C0E">
      <w:pPr>
        <w:rPr>
          <w:b/>
          <w:bCs/>
        </w:rPr>
      </w:pPr>
    </w:p>
    <w:p w14:paraId="37E1E4F4" w14:textId="29CFEE23" w:rsidR="00C77F96" w:rsidRPr="001310AD" w:rsidRDefault="00BB6E88" w:rsidP="00BB6E88">
      <w:pPr>
        <w:jc w:val="left"/>
        <w:rPr>
          <w:rFonts w:asciiTheme="minorHAnsi" w:hAnsiTheme="minorHAnsi"/>
          <w:b/>
          <w:i/>
          <w:iCs/>
          <w:snapToGrid w:val="0"/>
        </w:rPr>
      </w:pPr>
      <w:r w:rsidRPr="001310AD">
        <w:rPr>
          <w:rFonts w:asciiTheme="minorHAnsi" w:hAnsiTheme="minorHAnsi"/>
          <w:b/>
          <w:i/>
          <w:iCs/>
          <w:snapToGrid w:val="0"/>
        </w:rPr>
        <w:t>This restriction may be subject to further review. Should there be any changes made to the restriction the sponsor will be informed.</w:t>
      </w:r>
    </w:p>
    <w:bookmarkEnd w:id="112"/>
    <w:bookmarkEnd w:id="113"/>
    <w:p w14:paraId="14E8C7C2" w14:textId="77777777" w:rsidR="007C62E3" w:rsidRPr="007C62E3" w:rsidRDefault="007C62E3" w:rsidP="007C62E3">
      <w:pPr>
        <w:keepNext/>
        <w:spacing w:before="240" w:after="120"/>
        <w:ind w:left="720" w:hanging="720"/>
        <w:jc w:val="left"/>
        <w:outlineLvl w:val="0"/>
        <w:rPr>
          <w:rFonts w:asciiTheme="minorHAnsi" w:hAnsiTheme="minorHAnsi"/>
          <w:b/>
          <w:bCs/>
          <w:snapToGrid w:val="0"/>
          <w:sz w:val="32"/>
          <w:szCs w:val="32"/>
          <w:lang w:val="en-GB"/>
        </w:rPr>
      </w:pPr>
      <w:r w:rsidRPr="007C62E3">
        <w:rPr>
          <w:rFonts w:asciiTheme="minorHAnsi" w:hAnsiTheme="minorHAnsi"/>
          <w:b/>
          <w:snapToGrid w:val="0"/>
          <w:sz w:val="32"/>
          <w:szCs w:val="32"/>
        </w:rPr>
        <w:t>9</w:t>
      </w:r>
      <w:r w:rsidRPr="007C62E3">
        <w:rPr>
          <w:rFonts w:asciiTheme="minorHAnsi" w:hAnsiTheme="minorHAnsi"/>
          <w:b/>
          <w:snapToGrid w:val="0"/>
          <w:sz w:val="32"/>
          <w:szCs w:val="32"/>
        </w:rPr>
        <w:tab/>
        <w:t>Context for Decision</w:t>
      </w:r>
    </w:p>
    <w:p w14:paraId="3E8FF6D0" w14:textId="1253CEA1" w:rsidR="007C62E3" w:rsidRPr="007C62E3" w:rsidRDefault="007C62E3" w:rsidP="007C62E3">
      <w:pPr>
        <w:spacing w:after="120"/>
        <w:ind w:left="720"/>
        <w:rPr>
          <w:rFonts w:asciiTheme="minorHAnsi" w:hAnsiTheme="minorHAnsi"/>
          <w:bCs/>
          <w:lang w:val="en-GB"/>
        </w:rPr>
      </w:pPr>
      <w:r w:rsidRPr="007C62E3">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962D95" w14:textId="198C8326" w:rsidR="00DE76E5" w:rsidRPr="00DE76E5" w:rsidRDefault="00DE76E5" w:rsidP="00DE76E5">
      <w:pPr>
        <w:keepNext/>
        <w:spacing w:before="240" w:after="120"/>
        <w:ind w:left="720" w:hanging="720"/>
        <w:jc w:val="left"/>
        <w:outlineLvl w:val="0"/>
        <w:rPr>
          <w:rFonts w:asciiTheme="minorHAnsi" w:hAnsiTheme="minorHAnsi"/>
          <w:b/>
          <w:snapToGrid w:val="0"/>
          <w:sz w:val="32"/>
          <w:szCs w:val="32"/>
        </w:rPr>
      </w:pPr>
      <w:r w:rsidRPr="00DE76E5">
        <w:rPr>
          <w:rFonts w:asciiTheme="minorHAnsi" w:hAnsiTheme="minorHAnsi"/>
          <w:b/>
          <w:snapToGrid w:val="0"/>
          <w:sz w:val="32"/>
          <w:szCs w:val="32"/>
        </w:rPr>
        <w:t>10</w:t>
      </w:r>
      <w:r w:rsidRPr="00DE76E5">
        <w:rPr>
          <w:rFonts w:asciiTheme="minorHAnsi" w:hAnsiTheme="minorHAnsi"/>
          <w:b/>
          <w:snapToGrid w:val="0"/>
          <w:sz w:val="32"/>
          <w:szCs w:val="32"/>
        </w:rPr>
        <w:tab/>
        <w:t>Sponsor’s Comment</w:t>
      </w:r>
    </w:p>
    <w:p w14:paraId="05A654E3" w14:textId="77777777" w:rsidR="00EF593D" w:rsidRPr="00AD0A34" w:rsidRDefault="00EF593D" w:rsidP="00EF593D">
      <w:pPr>
        <w:spacing w:after="120" w:line="276" w:lineRule="auto"/>
        <w:ind w:left="720"/>
        <w:rPr>
          <w:rFonts w:asciiTheme="minorHAnsi" w:eastAsiaTheme="minorHAnsi" w:hAnsiTheme="minorHAnsi"/>
          <w:bCs/>
          <w:szCs w:val="22"/>
          <w:lang w:eastAsia="en-US"/>
        </w:rPr>
      </w:pPr>
      <w:r w:rsidRPr="00AD0A34">
        <w:rPr>
          <w:rFonts w:asciiTheme="minorHAnsi" w:eastAsiaTheme="minorHAnsi" w:hAnsiTheme="minorHAnsi"/>
          <w:bCs/>
          <w:szCs w:val="22"/>
          <w:lang w:eastAsia="en-US"/>
        </w:rPr>
        <w:t>The sponsor had no comment.</w:t>
      </w:r>
    </w:p>
    <w:p w14:paraId="4F140CB0" w14:textId="77777777" w:rsidR="00EF593D" w:rsidRPr="00D86D87" w:rsidRDefault="00EF593D" w:rsidP="007C62E3">
      <w:pPr>
        <w:ind w:left="720"/>
        <w:rPr>
          <w:snapToGrid w:val="0"/>
        </w:rPr>
      </w:pPr>
    </w:p>
    <w:sectPr w:rsidR="00EF593D" w:rsidRPr="00D86D87" w:rsidSect="001C4836">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A20E" w14:textId="77777777" w:rsidR="00D245FE" w:rsidRDefault="00D245FE" w:rsidP="00124A51">
      <w:r>
        <w:separator/>
      </w:r>
    </w:p>
    <w:p w14:paraId="6F61D28B" w14:textId="77777777" w:rsidR="00D245FE" w:rsidRDefault="00D245FE"/>
  </w:endnote>
  <w:endnote w:type="continuationSeparator" w:id="0">
    <w:p w14:paraId="525D71D4" w14:textId="77777777" w:rsidR="00D245FE" w:rsidRDefault="00D245FE" w:rsidP="00124A51">
      <w:r>
        <w:continuationSeparator/>
      </w:r>
    </w:p>
    <w:p w14:paraId="65E4C34E" w14:textId="77777777" w:rsidR="00D245FE" w:rsidRDefault="00D245FE"/>
  </w:endnote>
  <w:endnote w:type="continuationNotice" w:id="1">
    <w:p w14:paraId="7CBCA299" w14:textId="77777777" w:rsidR="00D245FE" w:rsidRDefault="00D24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tka Small">
    <w:panose1 w:val="00000000000000000000"/>
    <w:charset w:val="00"/>
    <w:family w:val="auto"/>
    <w:pitch w:val="variable"/>
    <w:sig w:usb0="A00002EF" w:usb1="4000204B"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80A5" w14:textId="71FB8561" w:rsidR="004D12EA" w:rsidRDefault="00892A8F">
    <w:pPr>
      <w:pStyle w:val="Footer"/>
    </w:pPr>
    <w:r>
      <w:rPr>
        <w:noProof/>
      </w:rPr>
      <mc:AlternateContent>
        <mc:Choice Requires="wps">
          <w:drawing>
            <wp:anchor distT="0" distB="0" distL="0" distR="0" simplePos="0" relativeHeight="251663365" behindDoc="0" locked="0" layoutInCell="1" allowOverlap="1" wp14:anchorId="5938D498" wp14:editId="5B9291E1">
              <wp:simplePos x="635" y="635"/>
              <wp:positionH relativeFrom="page">
                <wp:align>center</wp:align>
              </wp:positionH>
              <wp:positionV relativeFrom="page">
                <wp:align>bottom</wp:align>
              </wp:positionV>
              <wp:extent cx="551815" cy="376555"/>
              <wp:effectExtent l="0" t="0" r="635" b="0"/>
              <wp:wrapNone/>
              <wp:docPr id="4632013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9B18FE" w14:textId="431AC1E2"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8D49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29B18FE" w14:textId="431AC1E2"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4468" w14:textId="2F60FDAE" w:rsidR="00197C42" w:rsidRDefault="00892A8F">
    <w:pPr>
      <w:pStyle w:val="Footer"/>
      <w:jc w:val="center"/>
      <w:rPr>
        <w:b/>
        <w:bCs/>
      </w:rPr>
    </w:pPr>
    <w:r>
      <w:rPr>
        <w:b/>
        <w:bCs/>
        <w:noProof/>
      </w:rPr>
      <mc:AlternateContent>
        <mc:Choice Requires="wps">
          <w:drawing>
            <wp:anchor distT="0" distB="0" distL="0" distR="0" simplePos="0" relativeHeight="251664389" behindDoc="0" locked="0" layoutInCell="1" allowOverlap="1" wp14:anchorId="36F0C485" wp14:editId="6C012F97">
              <wp:simplePos x="635" y="635"/>
              <wp:positionH relativeFrom="page">
                <wp:align>center</wp:align>
              </wp:positionH>
              <wp:positionV relativeFrom="page">
                <wp:align>bottom</wp:align>
              </wp:positionV>
              <wp:extent cx="551815" cy="376555"/>
              <wp:effectExtent l="0" t="0" r="635" b="0"/>
              <wp:wrapNone/>
              <wp:docPr id="11628853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4A6BAA" w14:textId="15114269"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0C48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F4A6BAA" w14:textId="15114269"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p w14:paraId="4ECEF202" w14:textId="779B34F7" w:rsidR="00734563" w:rsidRPr="00197C42" w:rsidRDefault="00124226">
    <w:pPr>
      <w:pStyle w:val="Footer"/>
      <w:jc w:val="center"/>
      <w:rPr>
        <w:b/>
        <w:bCs/>
      </w:rPr>
    </w:pPr>
    <w:sdt>
      <w:sdtPr>
        <w:rPr>
          <w:b/>
          <w:bCs/>
        </w:rPr>
        <w:id w:val="-1208021591"/>
        <w:docPartObj>
          <w:docPartGallery w:val="Page Numbers (Bottom of Page)"/>
          <w:docPartUnique/>
        </w:docPartObj>
      </w:sdtPr>
      <w:sdtEndPr>
        <w:rPr>
          <w:noProof/>
        </w:rPr>
      </w:sdtEndPr>
      <w:sdtContent>
        <w:r w:rsidR="00734563" w:rsidRPr="00197C42">
          <w:rPr>
            <w:b/>
            <w:bCs/>
          </w:rPr>
          <w:fldChar w:fldCharType="begin"/>
        </w:r>
        <w:r w:rsidR="00734563" w:rsidRPr="00197C42">
          <w:rPr>
            <w:b/>
            <w:bCs/>
          </w:rPr>
          <w:instrText xml:space="preserve"> PAGE   \* MERGEFORMAT </w:instrText>
        </w:r>
        <w:r w:rsidR="00734563" w:rsidRPr="00197C42">
          <w:rPr>
            <w:b/>
            <w:bCs/>
          </w:rPr>
          <w:fldChar w:fldCharType="separate"/>
        </w:r>
        <w:r w:rsidR="00734563" w:rsidRPr="00197C42">
          <w:rPr>
            <w:b/>
            <w:bCs/>
            <w:noProof/>
          </w:rPr>
          <w:t>2</w:t>
        </w:r>
        <w:r w:rsidR="00734563" w:rsidRPr="00197C42">
          <w:rPr>
            <w:b/>
            <w:bCs/>
            <w:noProof/>
          </w:rPr>
          <w:fldChar w:fldCharType="end"/>
        </w:r>
      </w:sdtContent>
    </w:sdt>
  </w:p>
  <w:p w14:paraId="12A36BC0" w14:textId="77777777" w:rsidR="00734563" w:rsidRDefault="00734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3CAA" w14:textId="160CB3AB" w:rsidR="004D12EA" w:rsidRDefault="00892A8F">
    <w:pPr>
      <w:pStyle w:val="Footer"/>
    </w:pPr>
    <w:r>
      <w:rPr>
        <w:noProof/>
      </w:rPr>
      <mc:AlternateContent>
        <mc:Choice Requires="wps">
          <w:drawing>
            <wp:anchor distT="0" distB="0" distL="0" distR="0" simplePos="0" relativeHeight="251662341" behindDoc="0" locked="0" layoutInCell="1" allowOverlap="1" wp14:anchorId="00556338" wp14:editId="5CA8DA02">
              <wp:simplePos x="635" y="635"/>
              <wp:positionH relativeFrom="page">
                <wp:align>center</wp:align>
              </wp:positionH>
              <wp:positionV relativeFrom="page">
                <wp:align>bottom</wp:align>
              </wp:positionV>
              <wp:extent cx="551815" cy="376555"/>
              <wp:effectExtent l="0" t="0" r="635" b="0"/>
              <wp:wrapNone/>
              <wp:docPr id="16578208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84356E" w14:textId="5A029E4B"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5633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B84356E" w14:textId="5A029E4B"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667D" w14:textId="77777777" w:rsidR="00D245FE" w:rsidRDefault="00D245FE">
      <w:r>
        <w:separator/>
      </w:r>
    </w:p>
  </w:footnote>
  <w:footnote w:type="continuationSeparator" w:id="0">
    <w:p w14:paraId="524AA518" w14:textId="77777777" w:rsidR="00D245FE" w:rsidRDefault="00D245FE" w:rsidP="00124A51">
      <w:r>
        <w:continuationSeparator/>
      </w:r>
    </w:p>
    <w:p w14:paraId="14AC6EA6" w14:textId="77777777" w:rsidR="00D245FE" w:rsidRDefault="00D245FE"/>
  </w:footnote>
  <w:footnote w:type="continuationNotice" w:id="1">
    <w:p w14:paraId="2A1582F9" w14:textId="77777777" w:rsidR="00D245FE" w:rsidRDefault="00D245FE"/>
  </w:footnote>
  <w:footnote w:id="2">
    <w:p w14:paraId="4AF983DF" w14:textId="77777777" w:rsidR="007F4F51" w:rsidRDefault="007F4F51" w:rsidP="007F4F51">
      <w:pPr>
        <w:pStyle w:val="FootnoteText"/>
      </w:pPr>
      <w:r>
        <w:rPr>
          <w:rStyle w:val="FootnoteReference"/>
        </w:rPr>
        <w:footnoteRef/>
      </w:r>
      <w:r>
        <w:t xml:space="preserve"> </w:t>
      </w:r>
      <w:r w:rsidRPr="00441D16">
        <w:t>The Australasian College of Dermatologists. Consensus statement: Management of atopic dermatitis in adults.  2021; Available from: https://www.dermcoll.edu.au/fellows/statements-guidelines-resources/.</w:t>
      </w:r>
    </w:p>
  </w:footnote>
  <w:footnote w:id="3">
    <w:p w14:paraId="6144ED9B" w14:textId="77777777" w:rsidR="007F4F51" w:rsidRDefault="007F4F51" w:rsidP="007F4F51">
      <w:pPr>
        <w:pStyle w:val="FootnoteText"/>
      </w:pPr>
      <w:r>
        <w:rPr>
          <w:rStyle w:val="FootnoteReference"/>
        </w:rPr>
        <w:footnoteRef/>
      </w:r>
      <w:r>
        <w:t xml:space="preserve"> DLQI = Dermatology Life Quality Index: </w:t>
      </w:r>
      <w:r w:rsidRPr="00305CEA">
        <w:t>ten questions which ask about symptoms, feelings, daily activities, leisure, work, school, personal relationships, and treatment</w:t>
      </w:r>
      <w:r>
        <w:t xml:space="preserve"> in the previous week. </w:t>
      </w:r>
      <w:r w:rsidRPr="00305CEA">
        <w:t xml:space="preserve">Questions are scored from 0 to 3 </w:t>
      </w:r>
      <w:r>
        <w:t>([</w:t>
      </w:r>
      <w:r w:rsidRPr="00305CEA">
        <w:t>0</w:t>
      </w:r>
      <w:r>
        <w:t>]</w:t>
      </w:r>
      <w:r w:rsidRPr="00305CEA">
        <w:t xml:space="preserve"> not at all, </w:t>
      </w:r>
      <w:r>
        <w:t xml:space="preserve">[1] </w:t>
      </w:r>
      <w:r w:rsidRPr="00305CEA">
        <w:t xml:space="preserve">a little, </w:t>
      </w:r>
      <w:r>
        <w:t xml:space="preserve">[2] </w:t>
      </w:r>
      <w:r w:rsidRPr="00305CEA">
        <w:t xml:space="preserve">a lot or </w:t>
      </w:r>
      <w:r>
        <w:t xml:space="preserve">[3] </w:t>
      </w:r>
      <w:r w:rsidRPr="00305CEA">
        <w:t>very much</w:t>
      </w:r>
      <w:r>
        <w:t>).</w:t>
      </w:r>
      <w:r w:rsidRPr="00305CEA">
        <w:t> </w:t>
      </w:r>
      <w:r>
        <w:t>The total overall maximum score is 30 ranging</w:t>
      </w:r>
      <w:r w:rsidRPr="00305CEA">
        <w:t xml:space="preserve"> from 0 (no impact on quality of life) to 30 (maximum impairment).</w:t>
      </w:r>
      <w:r>
        <w:t xml:space="preserve"> </w:t>
      </w:r>
      <w:r w:rsidRPr="00FE5CD3">
        <w:t xml:space="preserve">PGA = physician’s global assessment: How is the patient’s atopic dermatitis today? </w:t>
      </w:r>
      <w:r>
        <w:t>(</w:t>
      </w:r>
      <w:r w:rsidRPr="00FE5CD3">
        <w:t>[0] Clear, [1] Almost clear, [2] Mild, [3] Moderate, [4] Severe</w:t>
      </w:r>
      <w:r>
        <w:t>)</w:t>
      </w:r>
      <w:r w:rsidRPr="00FE5CD3">
        <w:t>.</w:t>
      </w:r>
    </w:p>
  </w:footnote>
  <w:footnote w:id="4">
    <w:p w14:paraId="2C5C4D38" w14:textId="77777777" w:rsidR="007F4F51" w:rsidRPr="00C14FB8" w:rsidRDefault="007F4F51" w:rsidP="007F4F51">
      <w:pPr>
        <w:pStyle w:val="FootnoteText"/>
      </w:pPr>
      <w:r>
        <w:rPr>
          <w:rStyle w:val="FootnoteReference"/>
        </w:rPr>
        <w:footnoteRef/>
      </w:r>
      <w:r>
        <w:t xml:space="preserve"> </w:t>
      </w:r>
      <w:r w:rsidRPr="00C14FB8">
        <w:t xml:space="preserve">Krueger GG, Eichenfield L, et al. Pharmacokinetics of tacrolimus following topical application of tacrolimus ointment in adult and pediatric patients with moderate to severe atopic dermatitis. </w:t>
      </w:r>
      <w:r w:rsidRPr="00C14FB8">
        <w:rPr>
          <w:i/>
          <w:iCs/>
        </w:rPr>
        <w:t>J Drugs Dermatol</w:t>
      </w:r>
      <w:r w:rsidRPr="00C14FB8">
        <w:t>. 2007 Feb;6(2):185-93.</w:t>
      </w:r>
    </w:p>
    <w:p w14:paraId="6C0B251F" w14:textId="77777777" w:rsidR="007F4F51" w:rsidRDefault="007F4F51" w:rsidP="007F4F51">
      <w:pPr>
        <w:pStyle w:val="FootnoteText"/>
      </w:pPr>
    </w:p>
  </w:footnote>
  <w:footnote w:id="5">
    <w:p w14:paraId="24CB1BE8" w14:textId="77777777" w:rsidR="007F4F51" w:rsidRDefault="007F4F51" w:rsidP="007F4F51">
      <w:pPr>
        <w:pStyle w:val="FootnoteText"/>
      </w:pPr>
      <w:r>
        <w:rPr>
          <w:rStyle w:val="FootnoteReference"/>
        </w:rPr>
        <w:footnoteRef/>
      </w:r>
      <w:r>
        <w:t xml:space="preserve"> </w:t>
      </w:r>
      <w:r w:rsidRPr="004F60B7">
        <w:t xml:space="preserve">Ruzicka T, Bieber T, et al. A short-term trial of tacrolimus ointment for atopic dermatitis. European Tacrolimus Multicenter Atopic Dermatitis Study Group. </w:t>
      </w:r>
      <w:r w:rsidRPr="004F60B7">
        <w:rPr>
          <w:i/>
          <w:iCs/>
        </w:rPr>
        <w:t>N Engl J Med</w:t>
      </w:r>
      <w:r w:rsidRPr="004F60B7">
        <w:t>. 1997 Sep 18;337(12):816-21.</w:t>
      </w:r>
    </w:p>
  </w:footnote>
  <w:footnote w:id="6">
    <w:p w14:paraId="1EFA5359" w14:textId="77777777" w:rsidR="007F4F51" w:rsidRDefault="007F4F51" w:rsidP="007F4F51">
      <w:pPr>
        <w:pStyle w:val="FootnoteText"/>
      </w:pPr>
      <w:r>
        <w:rPr>
          <w:rStyle w:val="FootnoteReference"/>
        </w:rPr>
        <w:footnoteRef/>
      </w:r>
      <w:r>
        <w:t xml:space="preserve"> </w:t>
      </w:r>
      <w:r w:rsidRPr="004F60B7">
        <w:t xml:space="preserve">Hanifin JM, Ling MR, </w:t>
      </w:r>
      <w:r>
        <w:t>et al</w:t>
      </w:r>
      <w:r w:rsidRPr="004F60B7">
        <w:t xml:space="preserve">. Tacrolimus ointment for the treatment of atopic dermatitis in adult patients: part I, efficacy. </w:t>
      </w:r>
      <w:r w:rsidRPr="004F60B7">
        <w:rPr>
          <w:i/>
          <w:iCs/>
        </w:rPr>
        <w:t>J Am Acad Dermatol</w:t>
      </w:r>
      <w:r w:rsidRPr="004F60B7">
        <w:t>. 2001 Jan;44(1 Suppl):S28-38.</w:t>
      </w:r>
    </w:p>
  </w:footnote>
  <w:footnote w:id="7">
    <w:p w14:paraId="045C3C6D" w14:textId="77777777" w:rsidR="007F4F51" w:rsidRDefault="007F4F51" w:rsidP="007F4F51">
      <w:pPr>
        <w:pStyle w:val="FootnoteText"/>
      </w:pPr>
      <w:r>
        <w:rPr>
          <w:rStyle w:val="FootnoteReference"/>
        </w:rPr>
        <w:footnoteRef/>
      </w:r>
      <w:r>
        <w:t xml:space="preserve"> </w:t>
      </w:r>
      <w:r w:rsidRPr="00A2502D">
        <w:t xml:space="preserve">Soter NA, Fleischer AB, Jr., </w:t>
      </w:r>
      <w:r>
        <w:t>et al</w:t>
      </w:r>
      <w:r w:rsidRPr="00A2502D">
        <w:t xml:space="preserve">. Tacrolimus ointment for the treatment of atopic dermatitis in adult patients: part II, safety. </w:t>
      </w:r>
      <w:r w:rsidRPr="003B70CE">
        <w:rPr>
          <w:i/>
          <w:iCs/>
        </w:rPr>
        <w:t>J Am Acad Dermatol.</w:t>
      </w:r>
      <w:r w:rsidRPr="00A2502D">
        <w:t xml:space="preserve"> 2001 Jan;44(1 Suppl):S39-46.</w:t>
      </w:r>
    </w:p>
  </w:footnote>
  <w:footnote w:id="8">
    <w:p w14:paraId="6186D2D3" w14:textId="77777777" w:rsidR="007F4F51" w:rsidRDefault="007F4F51" w:rsidP="007F4F51">
      <w:pPr>
        <w:pStyle w:val="FootnoteText"/>
      </w:pPr>
      <w:r>
        <w:rPr>
          <w:rStyle w:val="FootnoteReference"/>
        </w:rPr>
        <w:footnoteRef/>
      </w:r>
      <w:r>
        <w:t xml:space="preserve"> </w:t>
      </w:r>
      <w:r w:rsidRPr="00A12632">
        <w:t>Kang S, Paller A,</w:t>
      </w:r>
      <w:r>
        <w:t xml:space="preserve"> et al</w:t>
      </w:r>
      <w:r w:rsidRPr="00A12632">
        <w:t xml:space="preserve">. Safe treatment of head/neck AD with tacrolimus ointment. </w:t>
      </w:r>
      <w:r w:rsidRPr="00A12632">
        <w:rPr>
          <w:i/>
          <w:iCs/>
        </w:rPr>
        <w:t>J Dermatolog Treat</w:t>
      </w:r>
      <w:r w:rsidRPr="00A12632">
        <w:t>. 2003 Jun;14(2):86-94.</w:t>
      </w:r>
    </w:p>
  </w:footnote>
  <w:footnote w:id="9">
    <w:p w14:paraId="0C52CF75" w14:textId="77777777" w:rsidR="007F4F51" w:rsidRDefault="007F4F51" w:rsidP="007F4F51">
      <w:pPr>
        <w:pStyle w:val="FootnoteText"/>
      </w:pPr>
      <w:r>
        <w:rPr>
          <w:rStyle w:val="FootnoteReference"/>
        </w:rPr>
        <w:footnoteRef/>
      </w:r>
      <w:r>
        <w:t xml:space="preserve"> </w:t>
      </w:r>
      <w:r w:rsidRPr="00A12632">
        <w:t xml:space="preserve">Drake L, Prendergast M, et al. The impact of tacrolimus ointment on health-related quality of life of adult and pediatric patients with atopic dermatitis. </w:t>
      </w:r>
      <w:r w:rsidRPr="00A12632">
        <w:rPr>
          <w:i/>
          <w:iCs/>
        </w:rPr>
        <w:t>J Am Acad Dermatol</w:t>
      </w:r>
      <w:r w:rsidRPr="00A12632">
        <w:t>. 2001 Jan;44(1 Suppl):S65-72.</w:t>
      </w:r>
    </w:p>
  </w:footnote>
  <w:footnote w:id="10">
    <w:p w14:paraId="5FED7712" w14:textId="77777777" w:rsidR="007F4F51" w:rsidRDefault="007F4F51" w:rsidP="007F4F51">
      <w:pPr>
        <w:pStyle w:val="FootnoteText"/>
      </w:pPr>
      <w:r>
        <w:rPr>
          <w:rStyle w:val="FootnoteReference"/>
        </w:rPr>
        <w:footnoteRef/>
      </w:r>
      <w:r>
        <w:t xml:space="preserve"> </w:t>
      </w:r>
      <w:r w:rsidRPr="00A2502D">
        <w:t xml:space="preserve">Wollenberg A, Reitamo S, et al. Proactive treatment of atopic dermatitis in adults with 0.1% tacrolimus ointment. </w:t>
      </w:r>
      <w:r w:rsidRPr="00A2502D">
        <w:rPr>
          <w:i/>
          <w:iCs/>
        </w:rPr>
        <w:t>Allergy</w:t>
      </w:r>
      <w:r w:rsidRPr="00A2502D">
        <w:t>. 2008 Jun;63(6):742-50.</w:t>
      </w:r>
    </w:p>
  </w:footnote>
  <w:footnote w:id="11">
    <w:p w14:paraId="33FDD6E4" w14:textId="77777777" w:rsidR="007F4F51" w:rsidRDefault="007F4F51" w:rsidP="007F4F51">
      <w:pPr>
        <w:pStyle w:val="FootnoteText"/>
      </w:pPr>
      <w:r>
        <w:rPr>
          <w:rStyle w:val="FootnoteReference"/>
        </w:rPr>
        <w:footnoteRef/>
      </w:r>
      <w:r>
        <w:t xml:space="preserve"> </w:t>
      </w:r>
      <w:r w:rsidRPr="00400591">
        <w:t xml:space="preserve">Reitamo S, Allsopp R. Treatment with twice-weekly tacrolimus ointment in patients with moderate to severe atopic dermatitis: results from two randomized, multicentre, comparative studies. </w:t>
      </w:r>
      <w:r w:rsidRPr="00400591">
        <w:rPr>
          <w:i/>
          <w:iCs/>
        </w:rPr>
        <w:t>J Dermatolog Treat</w:t>
      </w:r>
      <w:r w:rsidRPr="00400591">
        <w:t>. 2010 Jan;21(1):34-44.</w:t>
      </w:r>
    </w:p>
  </w:footnote>
  <w:footnote w:id="12">
    <w:p w14:paraId="55975466" w14:textId="3C0B1994" w:rsidR="007F4F51" w:rsidRDefault="007F4F51" w:rsidP="007F4F51">
      <w:pPr>
        <w:pStyle w:val="FootnoteText"/>
      </w:pPr>
      <w:r>
        <w:rPr>
          <w:rStyle w:val="FootnoteReference"/>
        </w:rPr>
        <w:footnoteRef/>
      </w:r>
      <w:r>
        <w:t xml:space="preserve"> </w:t>
      </w:r>
      <w:r w:rsidRPr="0073408A">
        <w:t xml:space="preserve">Paller AS, Lebwohl M, Fleischer AB, Jr., Antaya R, Langley RG, Kirsner RS, et al. Tacrolimus ointment is more effective than pimecrolimus cream with a similar safety profile in the treatment of atopic dermatitis: results from 3 randomized, comparative studies. </w:t>
      </w:r>
      <w:r w:rsidRPr="0073408A">
        <w:rPr>
          <w:i/>
          <w:iCs/>
        </w:rPr>
        <w:t>J Am Acad Dermatol</w:t>
      </w:r>
      <w:r w:rsidRPr="0073408A">
        <w:t>. 2005 May;52(5):810-22.</w:t>
      </w:r>
    </w:p>
  </w:footnote>
  <w:footnote w:id="13">
    <w:p w14:paraId="298DC278" w14:textId="77777777" w:rsidR="007F4F51" w:rsidRDefault="007F4F51" w:rsidP="007F4F51">
      <w:pPr>
        <w:pStyle w:val="FootnoteText"/>
      </w:pPr>
      <w:r>
        <w:rPr>
          <w:rStyle w:val="FootnoteReference"/>
        </w:rPr>
        <w:footnoteRef/>
      </w:r>
      <w:r>
        <w:t xml:space="preserve"> </w:t>
      </w:r>
      <w:r w:rsidRPr="0073408A">
        <w:t xml:space="preserve">Fleischer AB, Jr., Abramovits W, Breneman D, Jaracz E. Tacrolimus ointment is more effective than pimecrolimus cream in adult patients with moderate to very severe atopic dermatitis. </w:t>
      </w:r>
      <w:r w:rsidRPr="0073408A">
        <w:rPr>
          <w:i/>
          <w:iCs/>
        </w:rPr>
        <w:t>J Dermatolog Treat</w:t>
      </w:r>
      <w:r w:rsidRPr="0073408A">
        <w:t>. 2007;18(3):151-7.</w:t>
      </w:r>
    </w:p>
  </w:footnote>
  <w:footnote w:id="14">
    <w:p w14:paraId="3E6A4146" w14:textId="10E118B6" w:rsidR="007F4F51" w:rsidRDefault="007F4F51" w:rsidP="007F4F51">
      <w:pPr>
        <w:pStyle w:val="FootnoteText"/>
      </w:pPr>
      <w:r>
        <w:rPr>
          <w:rStyle w:val="FootnoteReference"/>
        </w:rPr>
        <w:footnoteRef/>
      </w:r>
      <w:r>
        <w:t xml:space="preserve"> </w:t>
      </w:r>
      <w:r w:rsidRPr="0073408A">
        <w:t xml:space="preserve">Abramovits W, Fleischer AB, Jr., Jaracz E, Breneman D. Adult patients with moderate atopic dermatitis: tacrolimus ointment </w:t>
      </w:r>
      <w:r>
        <w:t>vs.</w:t>
      </w:r>
      <w:r w:rsidRPr="0073408A">
        <w:t xml:space="preserve"> pimecrolimus cream. </w:t>
      </w:r>
      <w:r w:rsidRPr="0073408A">
        <w:rPr>
          <w:i/>
          <w:iCs/>
        </w:rPr>
        <w:t>J Drugs Dermatol</w:t>
      </w:r>
      <w:r w:rsidRPr="0073408A">
        <w:t>. 2008 Dec;7(12):1153-8.</w:t>
      </w:r>
    </w:p>
  </w:footnote>
  <w:footnote w:id="15">
    <w:p w14:paraId="0D56DF71" w14:textId="5ED752D9" w:rsidR="007F4F51" w:rsidRDefault="007F4F51" w:rsidP="007F4F51">
      <w:pPr>
        <w:pStyle w:val="FootnoteText"/>
      </w:pPr>
    </w:p>
  </w:footnote>
  <w:footnote w:id="16">
    <w:p w14:paraId="58C6B0B1" w14:textId="77777777" w:rsidR="007F4F51" w:rsidRDefault="007F4F51" w:rsidP="007F4F51">
      <w:pPr>
        <w:pStyle w:val="FootnoteText"/>
      </w:pPr>
      <w:r>
        <w:rPr>
          <w:rStyle w:val="FootnoteReference"/>
        </w:rPr>
        <w:footnoteRef/>
      </w:r>
      <w:r>
        <w:t xml:space="preserve"> </w:t>
      </w:r>
      <w:r w:rsidRPr="00F746B3">
        <w:t>Drake L, Prendergast M,</w:t>
      </w:r>
      <w:r>
        <w:t xml:space="preserve"> </w:t>
      </w:r>
      <w:r w:rsidRPr="00F746B3">
        <w:t>et al. The impact of tacrolimus ointment on health-related quality of life of adult and pediatric patients with atopic dermatitis. J Am Acad Dermatol. 2001 Jan;44(1 Suppl):S65-72.</w:t>
      </w:r>
    </w:p>
  </w:footnote>
  <w:footnote w:id="17">
    <w:p w14:paraId="7F181CE4" w14:textId="4E94B5E1" w:rsidR="007F4F51" w:rsidRDefault="007F4F51" w:rsidP="007F4F51">
      <w:pPr>
        <w:pStyle w:val="FootnoteText"/>
      </w:pPr>
      <w:r>
        <w:rPr>
          <w:rStyle w:val="FootnoteReference"/>
        </w:rPr>
        <w:footnoteRef/>
      </w:r>
      <w:r>
        <w:t xml:space="preserve"> </w:t>
      </w:r>
      <w:r w:rsidRPr="007F55CD">
        <w:t xml:space="preserve">Reitamo S, Allsopp R. Treatment with twice-weekly tacrolimus ointment in patients with moderate to severe atopic dermatitis: results from two randomized, multicentre, comparative studies. </w:t>
      </w:r>
      <w:r w:rsidRPr="007F55CD">
        <w:rPr>
          <w:i/>
          <w:iCs/>
        </w:rPr>
        <w:t>J Dermatolog Treat</w:t>
      </w:r>
      <w:r w:rsidRPr="007F55CD">
        <w:t>. 2010 Jan;21(1):34-44.</w:t>
      </w:r>
    </w:p>
  </w:footnote>
  <w:footnote w:id="18">
    <w:p w14:paraId="5B19480B" w14:textId="77777777" w:rsidR="007F4F51" w:rsidRDefault="007F4F51" w:rsidP="007F4F51">
      <w:pPr>
        <w:pStyle w:val="FootnoteText"/>
      </w:pPr>
      <w:r>
        <w:rPr>
          <w:rStyle w:val="FootnoteReference"/>
        </w:rPr>
        <w:footnoteRef/>
      </w:r>
      <w:r>
        <w:t xml:space="preserve"> Major flares were defined as </w:t>
      </w:r>
      <w:r w:rsidRPr="00D50BFC">
        <w:t>disease exacerbations with an IGA &gt;2 on day 1 of the exacerbation that required the use of twice-daily 0.1% TAC for &gt;7 days.</w:t>
      </w:r>
    </w:p>
  </w:footnote>
  <w:footnote w:id="19">
    <w:p w14:paraId="73EDB984" w14:textId="68C2003D" w:rsidR="007F4F51" w:rsidRDefault="007F4F51" w:rsidP="007F4F51">
      <w:pPr>
        <w:pStyle w:val="FootnoteText"/>
      </w:pPr>
      <w:r>
        <w:rPr>
          <w:rStyle w:val="FootnoteReference"/>
        </w:rPr>
        <w:footnoteRef/>
      </w:r>
      <w:r>
        <w:t xml:space="preserve"> </w:t>
      </w:r>
      <w:r w:rsidRPr="00E021F2">
        <w:t>Abramovits W, Fleischer AB, Jr.,</w:t>
      </w:r>
      <w:r>
        <w:t xml:space="preserve"> et al</w:t>
      </w:r>
      <w:r w:rsidRPr="00E021F2">
        <w:t xml:space="preserve">. Adult patients with moderate atopic dermatitis: tacrolimus ointment </w:t>
      </w:r>
      <w:r>
        <w:t>vs.</w:t>
      </w:r>
      <w:r w:rsidRPr="00E021F2">
        <w:t xml:space="preserve"> pimecrolimus cream. </w:t>
      </w:r>
      <w:r w:rsidRPr="00E021F2">
        <w:rPr>
          <w:i/>
          <w:iCs/>
        </w:rPr>
        <w:t>J Drugs Dermatol</w:t>
      </w:r>
      <w:r w:rsidRPr="00E021F2">
        <w:t>. 2008 Dec;7(12):1153-8.</w:t>
      </w:r>
    </w:p>
  </w:footnote>
  <w:footnote w:id="20">
    <w:p w14:paraId="01F2EFE6" w14:textId="77777777" w:rsidR="007F4F51" w:rsidRPr="00E021F2" w:rsidRDefault="007F4F51" w:rsidP="007F4F51">
      <w:pPr>
        <w:pStyle w:val="FootnoteText"/>
      </w:pPr>
      <w:r>
        <w:rPr>
          <w:rStyle w:val="FootnoteReference"/>
        </w:rPr>
        <w:footnoteRef/>
      </w:r>
      <w:r>
        <w:t xml:space="preserve"> </w:t>
      </w:r>
      <w:r w:rsidRPr="00E021F2">
        <w:t xml:space="preserve">Paller AS, Lebwohl M, Fleischer AB, Jr., Antaya R, Langley RG, Kirsner RS, et al. Tacrolimus ointment is more effective than pimecrolimus cream with a similar safety profile in the treatment of atopic dermatitis: results from 3 randomized, comparative studies. </w:t>
      </w:r>
      <w:r w:rsidRPr="00E021F2">
        <w:rPr>
          <w:i/>
          <w:iCs/>
        </w:rPr>
        <w:t>J Am Acad Dermatol</w:t>
      </w:r>
      <w:r w:rsidRPr="00E021F2">
        <w:t>. 2005 May;52(5):810-22.</w:t>
      </w:r>
    </w:p>
    <w:p w14:paraId="5FE9F03E" w14:textId="77777777" w:rsidR="007F4F51" w:rsidRDefault="007F4F51" w:rsidP="007F4F51">
      <w:pPr>
        <w:pStyle w:val="FootnoteText"/>
      </w:pPr>
    </w:p>
  </w:footnote>
  <w:footnote w:id="21">
    <w:p w14:paraId="2CB26261" w14:textId="412EF90C" w:rsidR="007F4F51" w:rsidRPr="008F5FA0" w:rsidRDefault="007F4F51" w:rsidP="007F4F51">
      <w:pPr>
        <w:autoSpaceDE w:val="0"/>
        <w:autoSpaceDN w:val="0"/>
        <w:adjustRightInd w:val="0"/>
        <w:jc w:val="left"/>
        <w:rPr>
          <w:rFonts w:cs="Calibri"/>
          <w:sz w:val="20"/>
          <w:szCs w:val="20"/>
        </w:rPr>
      </w:pPr>
      <w:r w:rsidRPr="003819DB">
        <w:rPr>
          <w:rStyle w:val="FootnoteReference"/>
          <w:sz w:val="20"/>
          <w:szCs w:val="20"/>
        </w:rPr>
        <w:footnoteRef/>
      </w:r>
      <w:r>
        <w:t xml:space="preserve"> </w:t>
      </w:r>
      <w:r w:rsidRPr="008F5FA0">
        <w:rPr>
          <w:rFonts w:cs="Calibri"/>
          <w:sz w:val="20"/>
          <w:szCs w:val="20"/>
        </w:rPr>
        <w:t>Soter NA, Fleischer AB, Jr., et al. Tacrolimus ointment for the treatment of atopic dermatitis in adult patients: part II, safety. J Am Acad Dermatol. 2001 Jan;44(1 Suppl):S39-46.</w:t>
      </w:r>
    </w:p>
    <w:p w14:paraId="5274E446" w14:textId="77777777" w:rsidR="007F4F51" w:rsidRDefault="007F4F51" w:rsidP="007F4F51">
      <w:pPr>
        <w:pStyle w:val="FootnoteText"/>
      </w:pPr>
    </w:p>
  </w:footnote>
  <w:footnote w:id="22">
    <w:p w14:paraId="696644BE" w14:textId="77777777" w:rsidR="007F4F51" w:rsidRDefault="007F4F51" w:rsidP="007F4F51">
      <w:pPr>
        <w:pStyle w:val="FootnoteText"/>
      </w:pPr>
      <w:r>
        <w:rPr>
          <w:rStyle w:val="FootnoteReference"/>
        </w:rPr>
        <w:footnoteRef/>
      </w:r>
      <w:r>
        <w:t xml:space="preserve"> </w:t>
      </w:r>
      <w:r w:rsidRPr="0014598F">
        <w:t>a</w:t>
      </w:r>
      <w:r>
        <w:t>Z</w:t>
      </w:r>
      <w:r w:rsidRPr="0014598F">
        <w:t>ematop 0.1% (tacrolimus) ointment</w:t>
      </w:r>
      <w:r>
        <w:t xml:space="preserve"> </w:t>
      </w:r>
      <w:r w:rsidRPr="0014598F">
        <w:t>product information</w:t>
      </w:r>
      <w:r>
        <w:t>. Available at:</w:t>
      </w:r>
    </w:p>
    <w:p w14:paraId="13681BC5" w14:textId="77777777" w:rsidR="007F4F51" w:rsidRDefault="007F4F51" w:rsidP="007F4F51">
      <w:pPr>
        <w:pStyle w:val="FootnoteText"/>
      </w:pPr>
      <w:hyperlink r:id="rId1" w:history="1">
        <w:r w:rsidRPr="005E1AD0">
          <w:rPr>
            <w:rStyle w:val="Hyperlink"/>
          </w:rPr>
          <w:t>https://www.tga.gov.au/resources/artg/388172</w:t>
        </w:r>
      </w:hyperlink>
    </w:p>
  </w:footnote>
  <w:footnote w:id="23">
    <w:p w14:paraId="1BFE19E1" w14:textId="77777777" w:rsidR="007F4F51" w:rsidRDefault="007F4F51" w:rsidP="007F4F51">
      <w:pPr>
        <w:pStyle w:val="FootnoteText"/>
      </w:pPr>
      <w:r>
        <w:rPr>
          <w:rStyle w:val="FootnoteReference"/>
        </w:rPr>
        <w:footnoteRef/>
      </w:r>
      <w:r>
        <w:t xml:space="preserve"> </w:t>
      </w:r>
      <w:r w:rsidRPr="00E82F53">
        <w:t>Hanifin JM, Paller AS, et al. Efficacy and safety of tacrolimus ointment treatment for up to 4 years in patients with atopic dermatitis. J Am Acad Dermatol. 2005 Aug;53(2 Suppl 2):S186-</w:t>
      </w:r>
      <w:r>
        <w:t>1</w:t>
      </w:r>
      <w:r w:rsidRPr="00E82F53">
        <w:t>94.</w:t>
      </w:r>
    </w:p>
  </w:footnote>
  <w:footnote w:id="24">
    <w:p w14:paraId="7E3380E3" w14:textId="77777777" w:rsidR="007F4F51" w:rsidRDefault="007F4F51" w:rsidP="007F4F51">
      <w:pPr>
        <w:pStyle w:val="FootnoteText"/>
      </w:pPr>
      <w:r>
        <w:rPr>
          <w:rStyle w:val="FootnoteReference"/>
        </w:rPr>
        <w:footnoteRef/>
      </w:r>
      <w:r>
        <w:t xml:space="preserve"> </w:t>
      </w:r>
      <w:r w:rsidRPr="00B577EC">
        <w:t>Reitamo S, Rustin M, et al. A 4-year follow-up study of atopic dermatitis therapy with 0.1% tacrolimus ointment in children and adult patients. Br J Dermatol. 2008 Sep;159(4):942-51.</w:t>
      </w:r>
    </w:p>
  </w:footnote>
  <w:footnote w:id="25">
    <w:p w14:paraId="06FCD2AA" w14:textId="66DE26DE" w:rsidR="0055507B" w:rsidRDefault="0055507B">
      <w:pPr>
        <w:pStyle w:val="FootnoteText"/>
      </w:pPr>
      <w:r>
        <w:rPr>
          <w:rStyle w:val="FootnoteReference"/>
        </w:rPr>
        <w:footnoteRef/>
      </w:r>
      <w:r>
        <w:t xml:space="preserve"> </w:t>
      </w:r>
      <w:r w:rsidRPr="0055507B">
        <w:t>Ruzicka T, Bieber T, Schöpf E, Rubins A, Dobozy A, Bos JD, et al. A short-term trial of tacrolimus ointment for atopic dermatitis. European Tacrolimus Multicenter Atopic Dermatitis Study Group. N Engl J Med. 1997 Sep 18;337(12):816-21.</w:t>
      </w:r>
    </w:p>
  </w:footnote>
  <w:footnote w:id="26">
    <w:p w14:paraId="787FD305" w14:textId="710D84DE" w:rsidR="0055507B" w:rsidRDefault="0055507B">
      <w:pPr>
        <w:pStyle w:val="FootnoteText"/>
      </w:pPr>
      <w:r>
        <w:rPr>
          <w:rStyle w:val="FootnoteReference"/>
        </w:rPr>
        <w:footnoteRef/>
      </w:r>
      <w:r>
        <w:t xml:space="preserve"> </w:t>
      </w:r>
      <w:r w:rsidRPr="0055507B">
        <w:t>Wollenberg A, Reitamo S, Girolomoni G, Lahfa M, Ruzicka T, Healy E, et al. Proactive treatment of atopic dermatitis in adults with 0.1% tacrolimus ointment. Allergy. 2008;63(7):742-50.</w:t>
      </w:r>
    </w:p>
  </w:footnote>
  <w:footnote w:id="27">
    <w:p w14:paraId="550AEFF3" w14:textId="63666954" w:rsidR="0055507B" w:rsidRDefault="0055507B">
      <w:pPr>
        <w:pStyle w:val="FootnoteText"/>
      </w:pPr>
      <w:r>
        <w:rPr>
          <w:rStyle w:val="FootnoteReference"/>
        </w:rPr>
        <w:footnoteRef/>
      </w:r>
      <w:r>
        <w:t xml:space="preserve"> </w:t>
      </w:r>
      <w:r w:rsidRPr="0055507B">
        <w:t>Reitamo S, Allsopp R. Treatment with twice-weekly tacrolimus ointment in patients with moderate to severe atopic dermatitis: results from two randomized, multicentre, comparative studies. J Dermatolog Treat. 2010 Jan;21(1):34-44.</w:t>
      </w:r>
    </w:p>
  </w:footnote>
  <w:footnote w:id="28">
    <w:p w14:paraId="60404F9A" w14:textId="05702F5E" w:rsidR="008C058E" w:rsidRDefault="008C058E">
      <w:pPr>
        <w:pStyle w:val="FootnoteText"/>
      </w:pPr>
      <w:r>
        <w:rPr>
          <w:rStyle w:val="FootnoteReference"/>
        </w:rPr>
        <w:footnoteRef/>
      </w:r>
      <w:r>
        <w:t xml:space="preserve"> </w:t>
      </w:r>
      <w:r w:rsidRPr="008C058E">
        <w:t>Zuberbier T, Orlow SJ, Paller AS, Taïeb A, Allen R, Hernanz-Hermosa JM, et al. Patient perspectives on the management of atopic dermatitis. J Allergy Clin Immunol. 2006 Jul;118(1):226-32.</w:t>
      </w:r>
    </w:p>
  </w:footnote>
  <w:footnote w:id="29">
    <w:p w14:paraId="19521736" w14:textId="160A21C1" w:rsidR="008C058E" w:rsidRDefault="008C058E">
      <w:pPr>
        <w:pStyle w:val="FootnoteText"/>
      </w:pPr>
      <w:r>
        <w:rPr>
          <w:rStyle w:val="FootnoteReference"/>
        </w:rPr>
        <w:footnoteRef/>
      </w:r>
      <w:r>
        <w:t xml:space="preserve"> </w:t>
      </w:r>
      <w:r w:rsidRPr="008C058E">
        <w:t>Healy E, Bentley A, Fidler C, Chambers C. Cost‐effectiveness of tacrolimus ointment in adults and children with moderate and severe atopic dermatitis: twice‐weekly maintenance treatment vs. standard twice‐daily reactive treatment of exacerbations from a third party payer (U.K. National Health Service) perspective. British Journal of Dermatology. 2011;164(2):387-95.</w:t>
      </w:r>
    </w:p>
  </w:footnote>
  <w:footnote w:id="30">
    <w:p w14:paraId="0CADE46B" w14:textId="2958D9ED" w:rsidR="003C74FF" w:rsidRDefault="003C74FF">
      <w:pPr>
        <w:pStyle w:val="FootnoteText"/>
      </w:pPr>
      <w:r>
        <w:rPr>
          <w:rStyle w:val="FootnoteReference"/>
        </w:rPr>
        <w:footnoteRef/>
      </w:r>
      <w:r>
        <w:t xml:space="preserve"> </w:t>
      </w:r>
      <w:r w:rsidRPr="003C74FF">
        <w:t>Poole CD, Chambers C, Sidhu MK, Currie CJ. Health‐related utility among adults with atopic dermatitis treated with 0·1% tacrolimus ointment as maintenance therapy over the long term: findings from the Protopic® CONTROL study. British Journal of Dermatology. 2009;161(6):1335-40.</w:t>
      </w:r>
    </w:p>
  </w:footnote>
  <w:footnote w:id="31">
    <w:p w14:paraId="23D65F50" w14:textId="77777777" w:rsidR="002E4967" w:rsidRDefault="002E4967" w:rsidP="002E4967">
      <w:pPr>
        <w:pStyle w:val="FootnoteText"/>
      </w:pPr>
      <w:r>
        <w:rPr>
          <w:rStyle w:val="FootnoteReference"/>
        </w:rPr>
        <w:footnoteRef/>
      </w:r>
      <w:r>
        <w:t xml:space="preserve"> </w:t>
      </w:r>
      <w:r w:rsidRPr="00236FEF">
        <w:t>Paller AS, Lebwohl M, Fleischer AB, Antaya R, Langley RG, Kirsner RS, et al. Tacrolimus ointment is more effective than pimecrolimus cream with a similar safety profile in the treatment of atopic dermatitis: Results from 3 randomized, comparative studies. Journal of the American Academy of Dermatology. 2005 2005/05/01/;52(5):810-22.</w:t>
      </w:r>
    </w:p>
  </w:footnote>
  <w:footnote w:id="32">
    <w:p w14:paraId="45D0B6E3" w14:textId="77777777" w:rsidR="002E4967" w:rsidRDefault="002E4967" w:rsidP="002E4967">
      <w:pPr>
        <w:pStyle w:val="FootnoteText"/>
      </w:pPr>
      <w:r>
        <w:rPr>
          <w:rStyle w:val="FootnoteReference"/>
        </w:rPr>
        <w:footnoteRef/>
      </w:r>
      <w:r>
        <w:t xml:space="preserve"> </w:t>
      </w:r>
      <w:r w:rsidRPr="00236FEF">
        <w:t>Abramovits W, Fleischer AB, Jr., Jaracz E, Breneman D. Adult patients with moderate atopic dermatitis: tacrolimus ointment versus pimecrolimus cream. J Drugs Dermatol. 2008 Dec;7(12):1153-8.</w:t>
      </w:r>
    </w:p>
  </w:footnote>
  <w:footnote w:id="33">
    <w:p w14:paraId="7614FF3D" w14:textId="77777777" w:rsidR="00505BD5" w:rsidRDefault="00505BD5" w:rsidP="00505BD5">
      <w:pPr>
        <w:pStyle w:val="FootnoteText"/>
        <w:jc w:val="left"/>
      </w:pPr>
      <w:r>
        <w:rPr>
          <w:rStyle w:val="FootnoteReference"/>
        </w:rPr>
        <w:footnoteRef/>
      </w:r>
      <w:r>
        <w:t xml:space="preserve"> </w:t>
      </w:r>
      <w:r w:rsidRPr="005B5108">
        <w:t>Chidwick K, et al. Prevalence, incidence and management of atopic dermatitis in Australian general practice using routinely collected data from MedicineInsight. Australas J Dermatol. 2020;61(3):e319-e27.</w:t>
      </w:r>
    </w:p>
  </w:footnote>
  <w:footnote w:id="34">
    <w:p w14:paraId="1E90BDA0" w14:textId="77777777" w:rsidR="00505BD5" w:rsidRDefault="00505BD5" w:rsidP="00505BD5">
      <w:pPr>
        <w:pStyle w:val="FootnoteText"/>
        <w:jc w:val="left"/>
      </w:pPr>
      <w:r>
        <w:rPr>
          <w:rStyle w:val="FootnoteReference"/>
        </w:rPr>
        <w:footnoteRef/>
      </w:r>
      <w:r>
        <w:t xml:space="preserve"> </w:t>
      </w:r>
      <w:r w:rsidRPr="005B5108">
        <w:t>Bieber T, Straeter B. Off-label prescriptions for atopic dermatitis in Europe. Allergy. 2015;70(1):6-11.</w:t>
      </w:r>
    </w:p>
  </w:footnote>
  <w:footnote w:id="35">
    <w:p w14:paraId="31C75D58" w14:textId="77777777" w:rsidR="00505BD5" w:rsidRDefault="00505BD5" w:rsidP="00505BD5">
      <w:pPr>
        <w:pStyle w:val="FootnoteText"/>
        <w:jc w:val="left"/>
      </w:pPr>
      <w:r>
        <w:rPr>
          <w:rStyle w:val="FootnoteReference"/>
        </w:rPr>
        <w:footnoteRef/>
      </w:r>
      <w:r>
        <w:t xml:space="preserve"> </w:t>
      </w:r>
      <w:r w:rsidRPr="005B5108">
        <w:t>Szefler SJ,</w:t>
      </w:r>
      <w:r>
        <w:t xml:space="preserve"> et al</w:t>
      </w:r>
      <w:r w:rsidRPr="005B5108">
        <w:t>. Pediatric allergy: principles and practice: Elsevier Health Sciences; 2015.</w:t>
      </w:r>
    </w:p>
  </w:footnote>
  <w:footnote w:id="36">
    <w:p w14:paraId="4854D7FA" w14:textId="77777777" w:rsidR="00505BD5" w:rsidRDefault="00505BD5" w:rsidP="00505BD5">
      <w:pPr>
        <w:pStyle w:val="FootnoteText"/>
        <w:jc w:val="left"/>
      </w:pPr>
      <w:r>
        <w:rPr>
          <w:rStyle w:val="FootnoteReference"/>
        </w:rPr>
        <w:footnoteRef/>
      </w:r>
      <w:r>
        <w:t xml:space="preserve"> </w:t>
      </w:r>
      <w:r w:rsidRPr="005B5108">
        <w:t>Augustin M,</w:t>
      </w:r>
      <w:r>
        <w:t xml:space="preserve"> </w:t>
      </w:r>
      <w:r w:rsidRPr="005B5108">
        <w:t>et al. Real-World Treatment Patterns and Treatment Benefits among Adult Patients with Atopic Dermatitis: Results from the Atopic Dermatitis Patient Satisfaction and Unmet Need Survey. Acta Derm Venereol. 2022;102:adv00830.</w:t>
      </w:r>
    </w:p>
  </w:footnote>
  <w:footnote w:id="37">
    <w:p w14:paraId="4C7C6EDB" w14:textId="77777777" w:rsidR="00505BD5" w:rsidRDefault="00505BD5" w:rsidP="00505BD5">
      <w:pPr>
        <w:pStyle w:val="FootnoteText"/>
      </w:pPr>
      <w:r>
        <w:rPr>
          <w:rStyle w:val="FootnoteReference"/>
        </w:rPr>
        <w:footnoteRef/>
      </w:r>
      <w:r>
        <w:t xml:space="preserve"> </w:t>
      </w:r>
      <w:r w:rsidRPr="007A6397">
        <w:t>Reitamo S, Rustin M, Harper J, Kalimo K, Rubins A, Cambazard F, et al. A 4‐year follow‐up study of atopic dermatitis therapy with 0·1% tacrolimus ointment in children and adult patients. British Journal of Dermatology. 2008;159(4):942-51.</w:t>
      </w:r>
    </w:p>
  </w:footnote>
  <w:footnote w:id="38">
    <w:p w14:paraId="5CB5AFC8" w14:textId="77777777" w:rsidR="00505BD5" w:rsidRDefault="00505BD5" w:rsidP="00505BD5">
      <w:pPr>
        <w:pStyle w:val="FootnoteText"/>
      </w:pPr>
      <w:r>
        <w:rPr>
          <w:rStyle w:val="FootnoteReference"/>
        </w:rPr>
        <w:footnoteRef/>
      </w:r>
      <w:r>
        <w:t xml:space="preserve"> </w:t>
      </w:r>
      <w:r w:rsidRPr="00032FFB">
        <w:t>Barta K, Fonacier LS, Hart M, Lio P, Tullos K, Sheary B, Winders TA. Corticosteroid exposure and cumulative effects in patients with eczema: Results from a patient survey. Annals of Allergy, Asthma &amp; Immunology. 2023;130(1):93-9.e10.</w:t>
      </w:r>
    </w:p>
  </w:footnote>
  <w:footnote w:id="39">
    <w:p w14:paraId="374CCBF4" w14:textId="77777777" w:rsidR="004D47F8" w:rsidRDefault="004D47F8" w:rsidP="004D47F8">
      <w:pPr>
        <w:pStyle w:val="FootnoteText"/>
      </w:pPr>
      <w:r>
        <w:rPr>
          <w:rStyle w:val="FootnoteReference"/>
        </w:rPr>
        <w:footnoteRef/>
      </w:r>
      <w:r>
        <w:t xml:space="preserve"> Chu DK, Chu AWL, Rayner AD, et al. Topical treatments for atopic dermatitis (eczema): Systematic review and network meta-analysis of randomised trials. </w:t>
      </w:r>
      <w:r w:rsidRPr="001D58E5">
        <w:rPr>
          <w:i/>
          <w:iCs/>
        </w:rPr>
        <w:t>J Allergy Clin Immunol</w:t>
      </w:r>
      <w:r>
        <w:t>. 2023;152(6):1494-1519.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FCA3" w14:textId="338E6EB0" w:rsidR="004D12EA" w:rsidRDefault="00892A8F">
    <w:pPr>
      <w:pStyle w:val="Header"/>
    </w:pPr>
    <w:r>
      <w:rPr>
        <w:noProof/>
      </w:rPr>
      <mc:AlternateContent>
        <mc:Choice Requires="wps">
          <w:drawing>
            <wp:anchor distT="0" distB="0" distL="0" distR="0" simplePos="0" relativeHeight="251660293" behindDoc="0" locked="0" layoutInCell="1" allowOverlap="1" wp14:anchorId="7A3923B6" wp14:editId="17AB792A">
              <wp:simplePos x="635" y="635"/>
              <wp:positionH relativeFrom="page">
                <wp:align>center</wp:align>
              </wp:positionH>
              <wp:positionV relativeFrom="page">
                <wp:align>top</wp:align>
              </wp:positionV>
              <wp:extent cx="551815" cy="376555"/>
              <wp:effectExtent l="0" t="0" r="635" b="4445"/>
              <wp:wrapNone/>
              <wp:docPr id="9270339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3162CD" w14:textId="08A811CA"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923B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3162CD" w14:textId="08A811CA"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F6EA" w14:textId="39CE0D0B" w:rsidR="00734563" w:rsidRDefault="00892A8F">
    <w:pPr>
      <w:pStyle w:val="Header"/>
    </w:pPr>
    <w:r>
      <w:rPr>
        <w:noProof/>
      </w:rPr>
      <mc:AlternateContent>
        <mc:Choice Requires="wps">
          <w:drawing>
            <wp:anchor distT="0" distB="0" distL="0" distR="0" simplePos="0" relativeHeight="251661317" behindDoc="0" locked="0" layoutInCell="1" allowOverlap="1" wp14:anchorId="30D73D42" wp14:editId="4C4E4537">
              <wp:simplePos x="635" y="635"/>
              <wp:positionH relativeFrom="page">
                <wp:align>center</wp:align>
              </wp:positionH>
              <wp:positionV relativeFrom="page">
                <wp:align>top</wp:align>
              </wp:positionV>
              <wp:extent cx="551815" cy="376555"/>
              <wp:effectExtent l="0" t="0" r="635" b="4445"/>
              <wp:wrapNone/>
              <wp:docPr id="14286912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AA9273" w14:textId="11C103BF"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D73D4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3AA9273" w14:textId="11C103BF"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r w:rsidR="00857234">
      <w:t>Public Summary Document</w:t>
    </w:r>
    <w:r w:rsidR="00100811">
      <w:t xml:space="preserve"> - </w:t>
    </w:r>
    <w:r w:rsidR="00734563">
      <w:t>July 2025 PBAC Meeting</w:t>
    </w:r>
  </w:p>
  <w:p w14:paraId="11124239" w14:textId="77777777" w:rsidR="00734563" w:rsidRDefault="00734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5A5F" w14:textId="322101E3" w:rsidR="004D12EA" w:rsidRDefault="00892A8F">
    <w:pPr>
      <w:pStyle w:val="Header"/>
    </w:pPr>
    <w:r>
      <w:rPr>
        <w:noProof/>
      </w:rPr>
      <mc:AlternateContent>
        <mc:Choice Requires="wps">
          <w:drawing>
            <wp:anchor distT="0" distB="0" distL="0" distR="0" simplePos="0" relativeHeight="251659269" behindDoc="0" locked="0" layoutInCell="1" allowOverlap="1" wp14:anchorId="375233F6" wp14:editId="35D22A8B">
              <wp:simplePos x="635" y="635"/>
              <wp:positionH relativeFrom="page">
                <wp:align>center</wp:align>
              </wp:positionH>
              <wp:positionV relativeFrom="page">
                <wp:align>top</wp:align>
              </wp:positionV>
              <wp:extent cx="551815" cy="376555"/>
              <wp:effectExtent l="0" t="0" r="635" b="4445"/>
              <wp:wrapNone/>
              <wp:docPr id="4092447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6B29D6" w14:textId="6F30A040" w:rsidR="00892A8F" w:rsidRPr="00892A8F" w:rsidRDefault="00892A8F" w:rsidP="00892A8F">
                          <w:pPr>
                            <w:rPr>
                              <w:rFonts w:eastAsia="Calibri" w:cs="Calibri"/>
                              <w:noProof/>
                              <w:color w:val="FF0000"/>
                            </w:rPr>
                          </w:pPr>
                          <w:r w:rsidRPr="00892A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233F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96B29D6" w14:textId="6F30A040" w:rsidR="00892A8F" w:rsidRPr="00892A8F" w:rsidRDefault="00892A8F" w:rsidP="00892A8F">
                    <w:pPr>
                      <w:rPr>
                        <w:rFonts w:eastAsia="Calibri" w:cs="Calibri"/>
                        <w:noProof/>
                        <w:color w:val="FF0000"/>
                      </w:rPr>
                    </w:pPr>
                    <w:r w:rsidRPr="00892A8F">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CC1301"/>
    <w:multiLevelType w:val="multilevel"/>
    <w:tmpl w:val="B65A183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F58CD"/>
    <w:multiLevelType w:val="multilevel"/>
    <w:tmpl w:val="172E827C"/>
    <w:lvl w:ilvl="0">
      <w:start w:val="1"/>
      <w:numFmt w:val="decimal"/>
      <w:lvlText w:val="%1"/>
      <w:lvlJc w:val="left"/>
      <w:pPr>
        <w:ind w:left="720" w:hanging="720"/>
      </w:pPr>
      <w:rPr>
        <w:rFonts w:hint="default"/>
        <w:b/>
      </w:rPr>
    </w:lvl>
    <w:lvl w:ilvl="1">
      <w:start w:val="1"/>
      <w:numFmt w:val="lowerRoman"/>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772C3"/>
    <w:multiLevelType w:val="hybridMultilevel"/>
    <w:tmpl w:val="DB5E65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D741762"/>
    <w:multiLevelType w:val="multilevel"/>
    <w:tmpl w:val="61985BBA"/>
    <w:lvl w:ilvl="0">
      <w:start w:val="1"/>
      <w:numFmt w:val="decimal"/>
      <w:lvlText w:val="%1"/>
      <w:lvlJc w:val="left"/>
      <w:pPr>
        <w:ind w:left="720" w:hanging="720"/>
      </w:pPr>
      <w:rPr>
        <w:rFonts w:hint="default"/>
        <w:b/>
      </w:rPr>
    </w:lvl>
    <w:lvl w:ilvl="1">
      <w:start w:val="1"/>
      <w:numFmt w:val="upp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9079D"/>
    <w:multiLevelType w:val="multilevel"/>
    <w:tmpl w:val="B65A183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FD2C1F70"/>
    <w:lvl w:ilvl="0" w:tplc="5106EB2E">
      <w:start w:val="1"/>
      <w:numFmt w:val="decimal"/>
      <w:lvlText w:val="%1."/>
      <w:lvlJc w:val="left"/>
      <w:pPr>
        <w:ind w:left="1778" w:hanging="360"/>
      </w:pPr>
      <w:rPr>
        <w:rFonts w:hint="default"/>
        <w:b w:val="0"/>
        <w:bCs w:val="0"/>
        <w:i w:val="0"/>
        <w:i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3D16CB"/>
    <w:multiLevelType w:val="hybridMultilevel"/>
    <w:tmpl w:val="D4A089D6"/>
    <w:lvl w:ilvl="0" w:tplc="2F6828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F51731"/>
    <w:multiLevelType w:val="hybridMultilevel"/>
    <w:tmpl w:val="D98095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5827377"/>
    <w:multiLevelType w:val="hybridMultilevel"/>
    <w:tmpl w:val="E2E4EB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9861859"/>
    <w:multiLevelType w:val="multilevel"/>
    <w:tmpl w:val="77BCC26C"/>
    <w:lvl w:ilvl="0">
      <w:start w:val="1"/>
      <w:numFmt w:val="decimal"/>
      <w:lvlText w:val="%1"/>
      <w:lvlJc w:val="left"/>
      <w:pPr>
        <w:ind w:left="720" w:hanging="720"/>
      </w:pPr>
      <w:rPr>
        <w:rFonts w:hint="default"/>
        <w:b/>
      </w:rPr>
    </w:lvl>
    <w:lvl w:ilvl="1">
      <w:start w:val="1"/>
      <w:numFmt w:val="low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09161B"/>
    <w:multiLevelType w:val="hybridMultilevel"/>
    <w:tmpl w:val="938E1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2783A68"/>
    <w:multiLevelType w:val="hybridMultilevel"/>
    <w:tmpl w:val="F864A31C"/>
    <w:lvl w:ilvl="0" w:tplc="4A18F0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F2BE5"/>
    <w:multiLevelType w:val="multilevel"/>
    <w:tmpl w:val="5EF8CC2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DD38DB"/>
    <w:multiLevelType w:val="hybridMultilevel"/>
    <w:tmpl w:val="F11C85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8035148"/>
    <w:multiLevelType w:val="hybridMultilevel"/>
    <w:tmpl w:val="ED8E0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092328C"/>
    <w:multiLevelType w:val="hybridMultilevel"/>
    <w:tmpl w:val="5D6EE19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91A45"/>
    <w:multiLevelType w:val="hybridMultilevel"/>
    <w:tmpl w:val="F828B9EC"/>
    <w:lvl w:ilvl="0" w:tplc="4A18F0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7B86C4F"/>
    <w:multiLevelType w:val="multilevel"/>
    <w:tmpl w:val="75248B9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6D17DD"/>
    <w:multiLevelType w:val="hybridMultilevel"/>
    <w:tmpl w:val="47F4D8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5D431DBF"/>
    <w:multiLevelType w:val="hybridMultilevel"/>
    <w:tmpl w:val="DE82A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2CF5D49"/>
    <w:multiLevelType w:val="hybridMultilevel"/>
    <w:tmpl w:val="5D8C4E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49025C"/>
    <w:multiLevelType w:val="hybridMultilevel"/>
    <w:tmpl w:val="7C24D6EC"/>
    <w:lvl w:ilvl="0" w:tplc="4A18F0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84D033C"/>
    <w:multiLevelType w:val="multilevel"/>
    <w:tmpl w:val="EB6E71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5"/>
  </w:num>
  <w:num w:numId="2" w16cid:durableId="917793048">
    <w:abstractNumId w:val="19"/>
  </w:num>
  <w:num w:numId="3" w16cid:durableId="263461728">
    <w:abstractNumId w:val="0"/>
  </w:num>
  <w:num w:numId="4" w16cid:durableId="813834356">
    <w:abstractNumId w:val="31"/>
  </w:num>
  <w:num w:numId="5" w16cid:durableId="220360847">
    <w:abstractNumId w:val="32"/>
  </w:num>
  <w:num w:numId="6" w16cid:durableId="268196418">
    <w:abstractNumId w:val="14"/>
  </w:num>
  <w:num w:numId="7" w16cid:durableId="1048839230">
    <w:abstractNumId w:val="35"/>
  </w:num>
  <w:num w:numId="8" w16cid:durableId="1349912220">
    <w:abstractNumId w:val="23"/>
  </w:num>
  <w:num w:numId="9" w16cid:durableId="2134596201">
    <w:abstractNumId w:val="13"/>
  </w:num>
  <w:num w:numId="10" w16cid:durableId="771779442">
    <w:abstractNumId w:val="17"/>
  </w:num>
  <w:num w:numId="11" w16cid:durableId="1563298519">
    <w:abstractNumId w:val="5"/>
  </w:num>
  <w:num w:numId="12" w16cid:durableId="1804037325">
    <w:abstractNumId w:val="15"/>
  </w:num>
  <w:num w:numId="13" w16cid:durableId="1214267214">
    <w:abstractNumId w:val="7"/>
  </w:num>
  <w:num w:numId="14" w16cid:durableId="1155754369">
    <w:abstractNumId w:val="16"/>
  </w:num>
  <w:num w:numId="15" w16cid:durableId="1503735857">
    <w:abstractNumId w:val="2"/>
  </w:num>
  <w:num w:numId="16" w16cid:durableId="1007100742">
    <w:abstractNumId w:val="34"/>
  </w:num>
  <w:num w:numId="17" w16cid:durableId="1167867649">
    <w:abstractNumId w:val="18"/>
  </w:num>
  <w:num w:numId="18" w16cid:durableId="1337341633">
    <w:abstractNumId w:val="25"/>
  </w:num>
  <w:num w:numId="19" w16cid:durableId="11605360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2963256">
    <w:abstractNumId w:val="27"/>
  </w:num>
  <w:num w:numId="21" w16cid:durableId="1190533379">
    <w:abstractNumId w:val="21"/>
  </w:num>
  <w:num w:numId="22" w16cid:durableId="654380436">
    <w:abstractNumId w:val="9"/>
  </w:num>
  <w:num w:numId="23" w16cid:durableId="1855682155">
    <w:abstractNumId w:val="28"/>
  </w:num>
  <w:num w:numId="24" w16cid:durableId="1713919403">
    <w:abstractNumId w:val="26"/>
  </w:num>
  <w:num w:numId="25" w16cid:durableId="1073311743">
    <w:abstractNumId w:val="29"/>
  </w:num>
  <w:num w:numId="26" w16cid:durableId="408699874">
    <w:abstractNumId w:val="24"/>
  </w:num>
  <w:num w:numId="27" w16cid:durableId="1569418770">
    <w:abstractNumId w:val="3"/>
  </w:num>
  <w:num w:numId="28" w16cid:durableId="705176722">
    <w:abstractNumId w:val="1"/>
  </w:num>
  <w:num w:numId="29" w16cid:durableId="1926569401">
    <w:abstractNumId w:val="10"/>
  </w:num>
  <w:num w:numId="30" w16cid:durableId="1979457665">
    <w:abstractNumId w:val="11"/>
  </w:num>
  <w:num w:numId="31" w16cid:durableId="2038313566">
    <w:abstractNumId w:val="8"/>
  </w:num>
  <w:num w:numId="32" w16cid:durableId="12974431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97201">
    <w:abstractNumId w:val="33"/>
  </w:num>
  <w:num w:numId="34" w16cid:durableId="1981303235">
    <w:abstractNumId w:val="4"/>
  </w:num>
  <w:num w:numId="35" w16cid:durableId="1117216601">
    <w:abstractNumId w:val="6"/>
  </w:num>
  <w:num w:numId="36" w16cid:durableId="455417398">
    <w:abstractNumId w:val="22"/>
  </w:num>
  <w:num w:numId="37" w16cid:durableId="536235457">
    <w:abstractNumId w:val="20"/>
  </w:num>
  <w:num w:numId="38" w16cid:durableId="699277414">
    <w:abstractNumId w:val="12"/>
  </w:num>
  <w:num w:numId="39" w16cid:durableId="2733820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aza5e0h9v528eawvappxpiwp09wvrsptsp&quot;&gt;Tacrolimus commentary library&lt;record-ids&gt;&lt;item&gt;6&lt;/item&gt;&lt;item&gt;9&lt;/item&gt;&lt;item&gt;10&lt;/item&gt;&lt;item&gt;16&lt;/item&gt;&lt;item&gt;26&lt;/item&gt;&lt;item&gt;28&lt;/item&gt;&lt;item&gt;29&lt;/item&gt;&lt;item&gt;30&lt;/item&gt;&lt;item&gt;31&lt;/item&gt;&lt;item&gt;32&lt;/item&gt;&lt;item&gt;33&lt;/item&gt;&lt;item&gt;34&lt;/item&gt;&lt;item&gt;35&lt;/item&gt;&lt;item&gt;36&lt;/item&gt;&lt;item&gt;37&lt;/item&gt;&lt;item&gt;38&lt;/item&gt;&lt;item&gt;39&lt;/item&gt;&lt;item&gt;40&lt;/item&gt;&lt;item&gt;42&lt;/item&gt;&lt;item&gt;43&lt;/item&gt;&lt;item&gt;46&lt;/item&gt;&lt;item&gt;47&lt;/item&gt;&lt;item&gt;48&lt;/item&gt;&lt;item&gt;49&lt;/item&gt;&lt;item&gt;50&lt;/item&gt;&lt;item&gt;51&lt;/item&gt;&lt;item&gt;52&lt;/item&gt;&lt;item&gt;53&lt;/item&gt;&lt;item&gt;54&lt;/item&gt;&lt;item&gt;55&lt;/item&gt;&lt;item&gt;56&lt;/item&gt;&lt;item&gt;57&lt;/item&gt;&lt;item&gt;58&lt;/item&gt;&lt;item&gt;59&lt;/item&gt;&lt;item&gt;61&lt;/item&gt;&lt;item&gt;62&lt;/item&gt;&lt;item&gt;63&lt;/item&gt;&lt;item&gt;67&lt;/item&gt;&lt;item&gt;68&lt;/item&gt;&lt;item&gt;72&lt;/item&gt;&lt;item&gt;73&lt;/item&gt;&lt;item&gt;74&lt;/item&gt;&lt;item&gt;77&lt;/item&gt;&lt;item&gt;78&lt;/item&gt;&lt;item&gt;80&lt;/item&gt;&lt;item&gt;83&lt;/item&gt;&lt;item&gt;84&lt;/item&gt;&lt;item&gt;87&lt;/item&gt;&lt;item&gt;88&lt;/item&gt;&lt;item&gt;89&lt;/item&gt;&lt;item&gt;90&lt;/item&gt;&lt;item&gt;92&lt;/item&gt;&lt;item&gt;97&lt;/item&gt;&lt;item&gt;98&lt;/item&gt;&lt;item&gt;100&lt;/item&gt;&lt;item&gt;101&lt;/item&gt;&lt;item&gt;102&lt;/item&gt;&lt;item&gt;104&lt;/item&gt;&lt;item&gt;106&lt;/item&gt;&lt;item&gt;108&lt;/item&gt;&lt;/record-ids&gt;&lt;/item&gt;&lt;/Libraries&gt;"/>
    <w:docVar w:name="EN.UseJSCitationFormat" w:val="False"/>
  </w:docVars>
  <w:rsids>
    <w:rsidRoot w:val="00E65E79"/>
    <w:rsid w:val="0000015F"/>
    <w:rsid w:val="00000790"/>
    <w:rsid w:val="00000849"/>
    <w:rsid w:val="00000E3D"/>
    <w:rsid w:val="000010EE"/>
    <w:rsid w:val="0000110B"/>
    <w:rsid w:val="00001368"/>
    <w:rsid w:val="0000197E"/>
    <w:rsid w:val="00003499"/>
    <w:rsid w:val="0000379C"/>
    <w:rsid w:val="000039B7"/>
    <w:rsid w:val="00004165"/>
    <w:rsid w:val="000044A0"/>
    <w:rsid w:val="0000561D"/>
    <w:rsid w:val="000056B9"/>
    <w:rsid w:val="00005FBD"/>
    <w:rsid w:val="000062D4"/>
    <w:rsid w:val="0000639A"/>
    <w:rsid w:val="00006E7D"/>
    <w:rsid w:val="000074B7"/>
    <w:rsid w:val="00007D6E"/>
    <w:rsid w:val="00007EC3"/>
    <w:rsid w:val="0001027C"/>
    <w:rsid w:val="00010699"/>
    <w:rsid w:val="000106A3"/>
    <w:rsid w:val="00010E4D"/>
    <w:rsid w:val="00011216"/>
    <w:rsid w:val="0001162F"/>
    <w:rsid w:val="00011AD2"/>
    <w:rsid w:val="00012F0B"/>
    <w:rsid w:val="00013247"/>
    <w:rsid w:val="00013760"/>
    <w:rsid w:val="00013DA4"/>
    <w:rsid w:val="000144BB"/>
    <w:rsid w:val="00014C62"/>
    <w:rsid w:val="0001539D"/>
    <w:rsid w:val="00015549"/>
    <w:rsid w:val="0001583A"/>
    <w:rsid w:val="00015886"/>
    <w:rsid w:val="000162EF"/>
    <w:rsid w:val="0001637E"/>
    <w:rsid w:val="000163E8"/>
    <w:rsid w:val="00016ECC"/>
    <w:rsid w:val="00017115"/>
    <w:rsid w:val="000171EA"/>
    <w:rsid w:val="00017C00"/>
    <w:rsid w:val="000203B8"/>
    <w:rsid w:val="000204AA"/>
    <w:rsid w:val="000207C9"/>
    <w:rsid w:val="00020A45"/>
    <w:rsid w:val="0002144B"/>
    <w:rsid w:val="0002225F"/>
    <w:rsid w:val="00022B6A"/>
    <w:rsid w:val="00023736"/>
    <w:rsid w:val="00023763"/>
    <w:rsid w:val="00023A27"/>
    <w:rsid w:val="0002470E"/>
    <w:rsid w:val="00024737"/>
    <w:rsid w:val="00024A3A"/>
    <w:rsid w:val="00024A63"/>
    <w:rsid w:val="00024C72"/>
    <w:rsid w:val="00024EB5"/>
    <w:rsid w:val="00025E20"/>
    <w:rsid w:val="00025FFD"/>
    <w:rsid w:val="00026EAB"/>
    <w:rsid w:val="000274B8"/>
    <w:rsid w:val="00027675"/>
    <w:rsid w:val="00027829"/>
    <w:rsid w:val="00027934"/>
    <w:rsid w:val="00030345"/>
    <w:rsid w:val="0003140B"/>
    <w:rsid w:val="0003201A"/>
    <w:rsid w:val="000326EB"/>
    <w:rsid w:val="00032AC2"/>
    <w:rsid w:val="00032D3F"/>
    <w:rsid w:val="00033863"/>
    <w:rsid w:val="000339F6"/>
    <w:rsid w:val="000342A1"/>
    <w:rsid w:val="00034C21"/>
    <w:rsid w:val="00035070"/>
    <w:rsid w:val="00035DC0"/>
    <w:rsid w:val="0003633F"/>
    <w:rsid w:val="00036829"/>
    <w:rsid w:val="00037BE5"/>
    <w:rsid w:val="00040895"/>
    <w:rsid w:val="0004094F"/>
    <w:rsid w:val="00040F32"/>
    <w:rsid w:val="000410A0"/>
    <w:rsid w:val="000410F2"/>
    <w:rsid w:val="0004182A"/>
    <w:rsid w:val="00041B81"/>
    <w:rsid w:val="000430AF"/>
    <w:rsid w:val="0004340D"/>
    <w:rsid w:val="000435EE"/>
    <w:rsid w:val="00043C37"/>
    <w:rsid w:val="00044354"/>
    <w:rsid w:val="00044457"/>
    <w:rsid w:val="00044475"/>
    <w:rsid w:val="00045017"/>
    <w:rsid w:val="000452F6"/>
    <w:rsid w:val="00045544"/>
    <w:rsid w:val="00045A2B"/>
    <w:rsid w:val="00045E74"/>
    <w:rsid w:val="000460B8"/>
    <w:rsid w:val="00046356"/>
    <w:rsid w:val="0004698F"/>
    <w:rsid w:val="00046D64"/>
    <w:rsid w:val="00047569"/>
    <w:rsid w:val="00047765"/>
    <w:rsid w:val="000508C2"/>
    <w:rsid w:val="00051986"/>
    <w:rsid w:val="00051CE3"/>
    <w:rsid w:val="00052C70"/>
    <w:rsid w:val="00052EB6"/>
    <w:rsid w:val="00053364"/>
    <w:rsid w:val="000539D0"/>
    <w:rsid w:val="00053D06"/>
    <w:rsid w:val="00054600"/>
    <w:rsid w:val="00054621"/>
    <w:rsid w:val="000546D7"/>
    <w:rsid w:val="00054A8D"/>
    <w:rsid w:val="000552ED"/>
    <w:rsid w:val="000560D1"/>
    <w:rsid w:val="00056CC3"/>
    <w:rsid w:val="00056ECF"/>
    <w:rsid w:val="000575B0"/>
    <w:rsid w:val="00057951"/>
    <w:rsid w:val="00060131"/>
    <w:rsid w:val="000604DF"/>
    <w:rsid w:val="00061C1C"/>
    <w:rsid w:val="00061DA0"/>
    <w:rsid w:val="00062324"/>
    <w:rsid w:val="0006263D"/>
    <w:rsid w:val="00062CCD"/>
    <w:rsid w:val="0006319B"/>
    <w:rsid w:val="000637BF"/>
    <w:rsid w:val="000637D1"/>
    <w:rsid w:val="00063AA6"/>
    <w:rsid w:val="00063F83"/>
    <w:rsid w:val="00064212"/>
    <w:rsid w:val="0006446A"/>
    <w:rsid w:val="00064D39"/>
    <w:rsid w:val="000653B5"/>
    <w:rsid w:val="00065B95"/>
    <w:rsid w:val="00066360"/>
    <w:rsid w:val="00066843"/>
    <w:rsid w:val="00066A3B"/>
    <w:rsid w:val="00066AF8"/>
    <w:rsid w:val="000672FE"/>
    <w:rsid w:val="00067487"/>
    <w:rsid w:val="00070041"/>
    <w:rsid w:val="00070855"/>
    <w:rsid w:val="000708C5"/>
    <w:rsid w:val="00071248"/>
    <w:rsid w:val="000720B9"/>
    <w:rsid w:val="00072172"/>
    <w:rsid w:val="00072221"/>
    <w:rsid w:val="000722C7"/>
    <w:rsid w:val="0007268B"/>
    <w:rsid w:val="00072C71"/>
    <w:rsid w:val="00072FA7"/>
    <w:rsid w:val="0007331F"/>
    <w:rsid w:val="000737F7"/>
    <w:rsid w:val="0007462A"/>
    <w:rsid w:val="00074DF8"/>
    <w:rsid w:val="00075266"/>
    <w:rsid w:val="00075E2A"/>
    <w:rsid w:val="000764CC"/>
    <w:rsid w:val="0007672F"/>
    <w:rsid w:val="00076B54"/>
    <w:rsid w:val="00076C10"/>
    <w:rsid w:val="00076E44"/>
    <w:rsid w:val="000774F0"/>
    <w:rsid w:val="000775AE"/>
    <w:rsid w:val="00077E8D"/>
    <w:rsid w:val="0008049E"/>
    <w:rsid w:val="00080909"/>
    <w:rsid w:val="000812CA"/>
    <w:rsid w:val="0008159D"/>
    <w:rsid w:val="00081E3F"/>
    <w:rsid w:val="00081E63"/>
    <w:rsid w:val="000821D3"/>
    <w:rsid w:val="0008258D"/>
    <w:rsid w:val="0008335E"/>
    <w:rsid w:val="000839D9"/>
    <w:rsid w:val="00083E99"/>
    <w:rsid w:val="00084332"/>
    <w:rsid w:val="00084912"/>
    <w:rsid w:val="00084FA8"/>
    <w:rsid w:val="00084FFE"/>
    <w:rsid w:val="000856C5"/>
    <w:rsid w:val="00085761"/>
    <w:rsid w:val="00085C31"/>
    <w:rsid w:val="000860CF"/>
    <w:rsid w:val="0008659F"/>
    <w:rsid w:val="00086A6A"/>
    <w:rsid w:val="00086BCE"/>
    <w:rsid w:val="0008769C"/>
    <w:rsid w:val="000902D9"/>
    <w:rsid w:val="000904C0"/>
    <w:rsid w:val="0009077B"/>
    <w:rsid w:val="000909D7"/>
    <w:rsid w:val="00090B87"/>
    <w:rsid w:val="00090C7E"/>
    <w:rsid w:val="000911AC"/>
    <w:rsid w:val="0009146A"/>
    <w:rsid w:val="00091A29"/>
    <w:rsid w:val="00091F4E"/>
    <w:rsid w:val="00092600"/>
    <w:rsid w:val="0009262B"/>
    <w:rsid w:val="00093310"/>
    <w:rsid w:val="00093E16"/>
    <w:rsid w:val="0009445C"/>
    <w:rsid w:val="00094B2C"/>
    <w:rsid w:val="00094C01"/>
    <w:rsid w:val="000951D3"/>
    <w:rsid w:val="00095200"/>
    <w:rsid w:val="000954DE"/>
    <w:rsid w:val="00095FE5"/>
    <w:rsid w:val="00096284"/>
    <w:rsid w:val="000A03B7"/>
    <w:rsid w:val="000A0AE1"/>
    <w:rsid w:val="000A0B4F"/>
    <w:rsid w:val="000A1380"/>
    <w:rsid w:val="000A1BC0"/>
    <w:rsid w:val="000A228D"/>
    <w:rsid w:val="000A27D8"/>
    <w:rsid w:val="000A2E32"/>
    <w:rsid w:val="000A2F9E"/>
    <w:rsid w:val="000A3587"/>
    <w:rsid w:val="000A3AC8"/>
    <w:rsid w:val="000A3DB4"/>
    <w:rsid w:val="000A3DD2"/>
    <w:rsid w:val="000A3E47"/>
    <w:rsid w:val="000A522B"/>
    <w:rsid w:val="000A579B"/>
    <w:rsid w:val="000A57BA"/>
    <w:rsid w:val="000A6039"/>
    <w:rsid w:val="000A7453"/>
    <w:rsid w:val="000A75B7"/>
    <w:rsid w:val="000A7D08"/>
    <w:rsid w:val="000B0121"/>
    <w:rsid w:val="000B0670"/>
    <w:rsid w:val="000B0916"/>
    <w:rsid w:val="000B0E75"/>
    <w:rsid w:val="000B127C"/>
    <w:rsid w:val="000B2DCB"/>
    <w:rsid w:val="000B3245"/>
    <w:rsid w:val="000B3371"/>
    <w:rsid w:val="000B4EB6"/>
    <w:rsid w:val="000B4FEA"/>
    <w:rsid w:val="000B5AC1"/>
    <w:rsid w:val="000B5CE0"/>
    <w:rsid w:val="000B5D67"/>
    <w:rsid w:val="000B6918"/>
    <w:rsid w:val="000B6CAC"/>
    <w:rsid w:val="000B7472"/>
    <w:rsid w:val="000B7612"/>
    <w:rsid w:val="000B78AE"/>
    <w:rsid w:val="000B7B8C"/>
    <w:rsid w:val="000C0F42"/>
    <w:rsid w:val="000C1226"/>
    <w:rsid w:val="000C2761"/>
    <w:rsid w:val="000C2C1C"/>
    <w:rsid w:val="000C3D10"/>
    <w:rsid w:val="000C3DBA"/>
    <w:rsid w:val="000C3DF9"/>
    <w:rsid w:val="000C3E03"/>
    <w:rsid w:val="000C3E71"/>
    <w:rsid w:val="000C4CF2"/>
    <w:rsid w:val="000C4DEF"/>
    <w:rsid w:val="000C588C"/>
    <w:rsid w:val="000C6181"/>
    <w:rsid w:val="000C6713"/>
    <w:rsid w:val="000C6AD4"/>
    <w:rsid w:val="000D06FD"/>
    <w:rsid w:val="000D10DA"/>
    <w:rsid w:val="000D1BFC"/>
    <w:rsid w:val="000D1D5D"/>
    <w:rsid w:val="000D281A"/>
    <w:rsid w:val="000D2848"/>
    <w:rsid w:val="000D29CB"/>
    <w:rsid w:val="000D2FE7"/>
    <w:rsid w:val="000D326A"/>
    <w:rsid w:val="000D3768"/>
    <w:rsid w:val="000D381A"/>
    <w:rsid w:val="000D42A1"/>
    <w:rsid w:val="000D4422"/>
    <w:rsid w:val="000D465B"/>
    <w:rsid w:val="000D51FB"/>
    <w:rsid w:val="000D5877"/>
    <w:rsid w:val="000D594F"/>
    <w:rsid w:val="000D5DBE"/>
    <w:rsid w:val="000D6146"/>
    <w:rsid w:val="000D640A"/>
    <w:rsid w:val="000D67F3"/>
    <w:rsid w:val="000D7839"/>
    <w:rsid w:val="000D7B39"/>
    <w:rsid w:val="000E0501"/>
    <w:rsid w:val="000E0640"/>
    <w:rsid w:val="000E135D"/>
    <w:rsid w:val="000E2125"/>
    <w:rsid w:val="000E32A5"/>
    <w:rsid w:val="000E3F4E"/>
    <w:rsid w:val="000E4680"/>
    <w:rsid w:val="000E54DC"/>
    <w:rsid w:val="000E590E"/>
    <w:rsid w:val="000E5E1B"/>
    <w:rsid w:val="000E61E4"/>
    <w:rsid w:val="000E6914"/>
    <w:rsid w:val="000E7AF7"/>
    <w:rsid w:val="000E7CE6"/>
    <w:rsid w:val="000E7DB9"/>
    <w:rsid w:val="000F00BA"/>
    <w:rsid w:val="000F010A"/>
    <w:rsid w:val="000F0354"/>
    <w:rsid w:val="000F1507"/>
    <w:rsid w:val="000F1629"/>
    <w:rsid w:val="000F173A"/>
    <w:rsid w:val="000F316A"/>
    <w:rsid w:val="000F3515"/>
    <w:rsid w:val="000F3C74"/>
    <w:rsid w:val="000F4214"/>
    <w:rsid w:val="000F43B2"/>
    <w:rsid w:val="000F4605"/>
    <w:rsid w:val="000F48AF"/>
    <w:rsid w:val="000F4B68"/>
    <w:rsid w:val="000F4BB8"/>
    <w:rsid w:val="000F4FA9"/>
    <w:rsid w:val="000F53FB"/>
    <w:rsid w:val="000F57A1"/>
    <w:rsid w:val="000F64E1"/>
    <w:rsid w:val="000F7127"/>
    <w:rsid w:val="000F73EF"/>
    <w:rsid w:val="000F75B8"/>
    <w:rsid w:val="000F777D"/>
    <w:rsid w:val="000F7B54"/>
    <w:rsid w:val="000F7DEF"/>
    <w:rsid w:val="001000B3"/>
    <w:rsid w:val="00100811"/>
    <w:rsid w:val="00100A6F"/>
    <w:rsid w:val="00100F8A"/>
    <w:rsid w:val="00101080"/>
    <w:rsid w:val="001015DC"/>
    <w:rsid w:val="0010163D"/>
    <w:rsid w:val="0010223D"/>
    <w:rsid w:val="00102995"/>
    <w:rsid w:val="00102CC9"/>
    <w:rsid w:val="0010357D"/>
    <w:rsid w:val="00103C40"/>
    <w:rsid w:val="00104044"/>
    <w:rsid w:val="0010452E"/>
    <w:rsid w:val="00104732"/>
    <w:rsid w:val="00105752"/>
    <w:rsid w:val="00105AE2"/>
    <w:rsid w:val="001060C6"/>
    <w:rsid w:val="00106350"/>
    <w:rsid w:val="001065D7"/>
    <w:rsid w:val="00106B80"/>
    <w:rsid w:val="00107067"/>
    <w:rsid w:val="0011032E"/>
    <w:rsid w:val="0011040C"/>
    <w:rsid w:val="00110D9B"/>
    <w:rsid w:val="00111028"/>
    <w:rsid w:val="00111531"/>
    <w:rsid w:val="00112A6D"/>
    <w:rsid w:val="00112C1D"/>
    <w:rsid w:val="00112EBD"/>
    <w:rsid w:val="0011348B"/>
    <w:rsid w:val="001138EF"/>
    <w:rsid w:val="00113AAF"/>
    <w:rsid w:val="0011583C"/>
    <w:rsid w:val="00115982"/>
    <w:rsid w:val="00115D73"/>
    <w:rsid w:val="00116880"/>
    <w:rsid w:val="00116C53"/>
    <w:rsid w:val="00116DEA"/>
    <w:rsid w:val="0011742B"/>
    <w:rsid w:val="00117BEA"/>
    <w:rsid w:val="00117CF2"/>
    <w:rsid w:val="00117D2E"/>
    <w:rsid w:val="00117F2B"/>
    <w:rsid w:val="00117F47"/>
    <w:rsid w:val="00121799"/>
    <w:rsid w:val="00121B28"/>
    <w:rsid w:val="00121B2D"/>
    <w:rsid w:val="00121B3B"/>
    <w:rsid w:val="001221EA"/>
    <w:rsid w:val="001222FC"/>
    <w:rsid w:val="00122BE8"/>
    <w:rsid w:val="00122C67"/>
    <w:rsid w:val="00123337"/>
    <w:rsid w:val="00123902"/>
    <w:rsid w:val="0012421C"/>
    <w:rsid w:val="00124226"/>
    <w:rsid w:val="001246FB"/>
    <w:rsid w:val="00124A51"/>
    <w:rsid w:val="00126366"/>
    <w:rsid w:val="00126394"/>
    <w:rsid w:val="00126621"/>
    <w:rsid w:val="00126744"/>
    <w:rsid w:val="00126B1D"/>
    <w:rsid w:val="0012711B"/>
    <w:rsid w:val="0012744B"/>
    <w:rsid w:val="00127B8F"/>
    <w:rsid w:val="00130140"/>
    <w:rsid w:val="001301E9"/>
    <w:rsid w:val="00130E9D"/>
    <w:rsid w:val="001317D2"/>
    <w:rsid w:val="00131D82"/>
    <w:rsid w:val="00132310"/>
    <w:rsid w:val="0013258A"/>
    <w:rsid w:val="001325AF"/>
    <w:rsid w:val="00132A6B"/>
    <w:rsid w:val="00132B22"/>
    <w:rsid w:val="00132F07"/>
    <w:rsid w:val="00132F71"/>
    <w:rsid w:val="001335BB"/>
    <w:rsid w:val="001336DF"/>
    <w:rsid w:val="001338E2"/>
    <w:rsid w:val="00133D36"/>
    <w:rsid w:val="00134316"/>
    <w:rsid w:val="00137437"/>
    <w:rsid w:val="00137645"/>
    <w:rsid w:val="00137719"/>
    <w:rsid w:val="0014015A"/>
    <w:rsid w:val="0014053A"/>
    <w:rsid w:val="0014075D"/>
    <w:rsid w:val="00140E99"/>
    <w:rsid w:val="00141945"/>
    <w:rsid w:val="00141D60"/>
    <w:rsid w:val="0014264F"/>
    <w:rsid w:val="00143262"/>
    <w:rsid w:val="001433ED"/>
    <w:rsid w:val="00143C29"/>
    <w:rsid w:val="00143F67"/>
    <w:rsid w:val="00145234"/>
    <w:rsid w:val="00145540"/>
    <w:rsid w:val="001456B0"/>
    <w:rsid w:val="00146E8C"/>
    <w:rsid w:val="0014748C"/>
    <w:rsid w:val="0014758D"/>
    <w:rsid w:val="00147BA4"/>
    <w:rsid w:val="00150129"/>
    <w:rsid w:val="00150527"/>
    <w:rsid w:val="001508D9"/>
    <w:rsid w:val="00152942"/>
    <w:rsid w:val="00153C58"/>
    <w:rsid w:val="001541AF"/>
    <w:rsid w:val="0015476C"/>
    <w:rsid w:val="001547AB"/>
    <w:rsid w:val="00154826"/>
    <w:rsid w:val="0015486F"/>
    <w:rsid w:val="00154DCC"/>
    <w:rsid w:val="001563C8"/>
    <w:rsid w:val="00156C72"/>
    <w:rsid w:val="00156DF6"/>
    <w:rsid w:val="00156F8F"/>
    <w:rsid w:val="00157130"/>
    <w:rsid w:val="001576B1"/>
    <w:rsid w:val="001600C2"/>
    <w:rsid w:val="0016047B"/>
    <w:rsid w:val="00160A4C"/>
    <w:rsid w:val="00160DE1"/>
    <w:rsid w:val="00161649"/>
    <w:rsid w:val="00162913"/>
    <w:rsid w:val="00163281"/>
    <w:rsid w:val="00163EFF"/>
    <w:rsid w:val="00163F66"/>
    <w:rsid w:val="0016478E"/>
    <w:rsid w:val="00164A9F"/>
    <w:rsid w:val="0016551B"/>
    <w:rsid w:val="00165600"/>
    <w:rsid w:val="0016561D"/>
    <w:rsid w:val="00165AF3"/>
    <w:rsid w:val="00165EC4"/>
    <w:rsid w:val="00165FC7"/>
    <w:rsid w:val="001661FB"/>
    <w:rsid w:val="0016676A"/>
    <w:rsid w:val="00166C3F"/>
    <w:rsid w:val="00167126"/>
    <w:rsid w:val="001671A0"/>
    <w:rsid w:val="00167268"/>
    <w:rsid w:val="001672D3"/>
    <w:rsid w:val="0016767F"/>
    <w:rsid w:val="001677A3"/>
    <w:rsid w:val="00167BF1"/>
    <w:rsid w:val="00167D55"/>
    <w:rsid w:val="00170F5B"/>
    <w:rsid w:val="0017192A"/>
    <w:rsid w:val="00171982"/>
    <w:rsid w:val="00171A9C"/>
    <w:rsid w:val="00172271"/>
    <w:rsid w:val="00173565"/>
    <w:rsid w:val="00173B07"/>
    <w:rsid w:val="00173FC4"/>
    <w:rsid w:val="0017443A"/>
    <w:rsid w:val="00174B0D"/>
    <w:rsid w:val="00174F0D"/>
    <w:rsid w:val="00174F21"/>
    <w:rsid w:val="00174FA4"/>
    <w:rsid w:val="00175199"/>
    <w:rsid w:val="001751FA"/>
    <w:rsid w:val="001760A6"/>
    <w:rsid w:val="001760FA"/>
    <w:rsid w:val="001768F9"/>
    <w:rsid w:val="00177A74"/>
    <w:rsid w:val="00177ADD"/>
    <w:rsid w:val="00177EAC"/>
    <w:rsid w:val="001808F0"/>
    <w:rsid w:val="00181AD1"/>
    <w:rsid w:val="00181C10"/>
    <w:rsid w:val="00181D83"/>
    <w:rsid w:val="00181D9C"/>
    <w:rsid w:val="001837FF"/>
    <w:rsid w:val="00183B65"/>
    <w:rsid w:val="001842E3"/>
    <w:rsid w:val="00184B0E"/>
    <w:rsid w:val="00186244"/>
    <w:rsid w:val="0018707E"/>
    <w:rsid w:val="00187448"/>
    <w:rsid w:val="00187449"/>
    <w:rsid w:val="0018752F"/>
    <w:rsid w:val="00190711"/>
    <w:rsid w:val="001909EE"/>
    <w:rsid w:val="00190FA9"/>
    <w:rsid w:val="00191F9B"/>
    <w:rsid w:val="001921C4"/>
    <w:rsid w:val="001925F3"/>
    <w:rsid w:val="00193838"/>
    <w:rsid w:val="00194149"/>
    <w:rsid w:val="00194AD8"/>
    <w:rsid w:val="00194E6B"/>
    <w:rsid w:val="00194E86"/>
    <w:rsid w:val="00195222"/>
    <w:rsid w:val="00195444"/>
    <w:rsid w:val="00195452"/>
    <w:rsid w:val="00195DCE"/>
    <w:rsid w:val="001960CF"/>
    <w:rsid w:val="00196756"/>
    <w:rsid w:val="00196A3D"/>
    <w:rsid w:val="00197483"/>
    <w:rsid w:val="001975D8"/>
    <w:rsid w:val="00197C42"/>
    <w:rsid w:val="00197D50"/>
    <w:rsid w:val="001A1513"/>
    <w:rsid w:val="001A178E"/>
    <w:rsid w:val="001A34D9"/>
    <w:rsid w:val="001A43FA"/>
    <w:rsid w:val="001A45FB"/>
    <w:rsid w:val="001A4705"/>
    <w:rsid w:val="001A47C5"/>
    <w:rsid w:val="001A59FB"/>
    <w:rsid w:val="001A5C55"/>
    <w:rsid w:val="001A5E96"/>
    <w:rsid w:val="001A5E9E"/>
    <w:rsid w:val="001A6354"/>
    <w:rsid w:val="001A6366"/>
    <w:rsid w:val="001A658D"/>
    <w:rsid w:val="001A6806"/>
    <w:rsid w:val="001A7AE8"/>
    <w:rsid w:val="001B01FF"/>
    <w:rsid w:val="001B056B"/>
    <w:rsid w:val="001B0C52"/>
    <w:rsid w:val="001B12FD"/>
    <w:rsid w:val="001B204E"/>
    <w:rsid w:val="001B212C"/>
    <w:rsid w:val="001B2372"/>
    <w:rsid w:val="001B23FF"/>
    <w:rsid w:val="001B2F74"/>
    <w:rsid w:val="001B3443"/>
    <w:rsid w:val="001B3777"/>
    <w:rsid w:val="001B42A9"/>
    <w:rsid w:val="001B43CC"/>
    <w:rsid w:val="001B462D"/>
    <w:rsid w:val="001B4A22"/>
    <w:rsid w:val="001B4D20"/>
    <w:rsid w:val="001B5323"/>
    <w:rsid w:val="001B5487"/>
    <w:rsid w:val="001B5D3F"/>
    <w:rsid w:val="001B7F84"/>
    <w:rsid w:val="001C1283"/>
    <w:rsid w:val="001C1E12"/>
    <w:rsid w:val="001C2529"/>
    <w:rsid w:val="001C2775"/>
    <w:rsid w:val="001C2A9B"/>
    <w:rsid w:val="001C2C35"/>
    <w:rsid w:val="001C2D50"/>
    <w:rsid w:val="001C33A2"/>
    <w:rsid w:val="001C3B4B"/>
    <w:rsid w:val="001C3DD6"/>
    <w:rsid w:val="001C3ECF"/>
    <w:rsid w:val="001C4299"/>
    <w:rsid w:val="001C4836"/>
    <w:rsid w:val="001C4874"/>
    <w:rsid w:val="001C4A48"/>
    <w:rsid w:val="001C588A"/>
    <w:rsid w:val="001C5F94"/>
    <w:rsid w:val="001C6147"/>
    <w:rsid w:val="001C64AC"/>
    <w:rsid w:val="001C6E66"/>
    <w:rsid w:val="001C7575"/>
    <w:rsid w:val="001D0006"/>
    <w:rsid w:val="001D04EB"/>
    <w:rsid w:val="001D063E"/>
    <w:rsid w:val="001D09FF"/>
    <w:rsid w:val="001D0A7A"/>
    <w:rsid w:val="001D1100"/>
    <w:rsid w:val="001D1105"/>
    <w:rsid w:val="001D1391"/>
    <w:rsid w:val="001D181F"/>
    <w:rsid w:val="001D1BE4"/>
    <w:rsid w:val="001D201F"/>
    <w:rsid w:val="001D25D7"/>
    <w:rsid w:val="001D2F3F"/>
    <w:rsid w:val="001D33BE"/>
    <w:rsid w:val="001D34DD"/>
    <w:rsid w:val="001D3EFE"/>
    <w:rsid w:val="001D43E8"/>
    <w:rsid w:val="001D50B2"/>
    <w:rsid w:val="001D58B4"/>
    <w:rsid w:val="001D58E5"/>
    <w:rsid w:val="001D5E9F"/>
    <w:rsid w:val="001D601D"/>
    <w:rsid w:val="001D6DCC"/>
    <w:rsid w:val="001D6F04"/>
    <w:rsid w:val="001D71F4"/>
    <w:rsid w:val="001D761E"/>
    <w:rsid w:val="001D7645"/>
    <w:rsid w:val="001D7B36"/>
    <w:rsid w:val="001E0980"/>
    <w:rsid w:val="001E11D9"/>
    <w:rsid w:val="001E1E86"/>
    <w:rsid w:val="001E238E"/>
    <w:rsid w:val="001E246D"/>
    <w:rsid w:val="001E2483"/>
    <w:rsid w:val="001E2B1E"/>
    <w:rsid w:val="001E2C08"/>
    <w:rsid w:val="001E2CFF"/>
    <w:rsid w:val="001E2E26"/>
    <w:rsid w:val="001E2F24"/>
    <w:rsid w:val="001E30D4"/>
    <w:rsid w:val="001E33EA"/>
    <w:rsid w:val="001E34DF"/>
    <w:rsid w:val="001E34ED"/>
    <w:rsid w:val="001E3B83"/>
    <w:rsid w:val="001E52EB"/>
    <w:rsid w:val="001E61D2"/>
    <w:rsid w:val="001E6F9B"/>
    <w:rsid w:val="001E740C"/>
    <w:rsid w:val="001E766C"/>
    <w:rsid w:val="001F09B6"/>
    <w:rsid w:val="001F1036"/>
    <w:rsid w:val="001F1235"/>
    <w:rsid w:val="001F1CB3"/>
    <w:rsid w:val="001F224B"/>
    <w:rsid w:val="001F2C94"/>
    <w:rsid w:val="001F2CFC"/>
    <w:rsid w:val="001F2D83"/>
    <w:rsid w:val="001F2D8D"/>
    <w:rsid w:val="001F3154"/>
    <w:rsid w:val="001F336C"/>
    <w:rsid w:val="001F38B5"/>
    <w:rsid w:val="001F3A0F"/>
    <w:rsid w:val="001F3E46"/>
    <w:rsid w:val="001F3F41"/>
    <w:rsid w:val="001F4081"/>
    <w:rsid w:val="001F4736"/>
    <w:rsid w:val="001F5145"/>
    <w:rsid w:val="001F51D8"/>
    <w:rsid w:val="001F5266"/>
    <w:rsid w:val="001F59A4"/>
    <w:rsid w:val="001F712E"/>
    <w:rsid w:val="001F7361"/>
    <w:rsid w:val="001F744C"/>
    <w:rsid w:val="00200234"/>
    <w:rsid w:val="0020030F"/>
    <w:rsid w:val="00200C96"/>
    <w:rsid w:val="002011B0"/>
    <w:rsid w:val="00202045"/>
    <w:rsid w:val="00202503"/>
    <w:rsid w:val="00203058"/>
    <w:rsid w:val="00203181"/>
    <w:rsid w:val="002034A9"/>
    <w:rsid w:val="00203711"/>
    <w:rsid w:val="00203783"/>
    <w:rsid w:val="0020385F"/>
    <w:rsid w:val="00204337"/>
    <w:rsid w:val="00204C75"/>
    <w:rsid w:val="00205031"/>
    <w:rsid w:val="0020542B"/>
    <w:rsid w:val="00205774"/>
    <w:rsid w:val="00206875"/>
    <w:rsid w:val="002068A0"/>
    <w:rsid w:val="00207021"/>
    <w:rsid w:val="0020732F"/>
    <w:rsid w:val="00207D00"/>
    <w:rsid w:val="002105C1"/>
    <w:rsid w:val="00211075"/>
    <w:rsid w:val="0021136A"/>
    <w:rsid w:val="0021148A"/>
    <w:rsid w:val="002115E7"/>
    <w:rsid w:val="002116FD"/>
    <w:rsid w:val="00211913"/>
    <w:rsid w:val="00212847"/>
    <w:rsid w:val="00212EDF"/>
    <w:rsid w:val="0021352B"/>
    <w:rsid w:val="00213EF5"/>
    <w:rsid w:val="002144DC"/>
    <w:rsid w:val="00214846"/>
    <w:rsid w:val="00215557"/>
    <w:rsid w:val="002155E8"/>
    <w:rsid w:val="00215794"/>
    <w:rsid w:val="00215D53"/>
    <w:rsid w:val="00216BF5"/>
    <w:rsid w:val="00216F5D"/>
    <w:rsid w:val="002175D7"/>
    <w:rsid w:val="00217A14"/>
    <w:rsid w:val="00217C6C"/>
    <w:rsid w:val="00217D7D"/>
    <w:rsid w:val="00220548"/>
    <w:rsid w:val="00221557"/>
    <w:rsid w:val="002215AC"/>
    <w:rsid w:val="00222601"/>
    <w:rsid w:val="002226B3"/>
    <w:rsid w:val="002235F2"/>
    <w:rsid w:val="00223B49"/>
    <w:rsid w:val="00223D5A"/>
    <w:rsid w:val="00224061"/>
    <w:rsid w:val="00224DD4"/>
    <w:rsid w:val="00225723"/>
    <w:rsid w:val="0022593D"/>
    <w:rsid w:val="0022720D"/>
    <w:rsid w:val="002275D4"/>
    <w:rsid w:val="002278A0"/>
    <w:rsid w:val="00227921"/>
    <w:rsid w:val="00230062"/>
    <w:rsid w:val="002309CC"/>
    <w:rsid w:val="00230C50"/>
    <w:rsid w:val="00231BA9"/>
    <w:rsid w:val="0023209F"/>
    <w:rsid w:val="00232964"/>
    <w:rsid w:val="00233C01"/>
    <w:rsid w:val="0023413C"/>
    <w:rsid w:val="0023423A"/>
    <w:rsid w:val="002346F0"/>
    <w:rsid w:val="00234A34"/>
    <w:rsid w:val="00234F46"/>
    <w:rsid w:val="00235C9A"/>
    <w:rsid w:val="0023629D"/>
    <w:rsid w:val="00236FEF"/>
    <w:rsid w:val="00237255"/>
    <w:rsid w:val="00240017"/>
    <w:rsid w:val="00240BE3"/>
    <w:rsid w:val="00241194"/>
    <w:rsid w:val="00241C05"/>
    <w:rsid w:val="00241DA4"/>
    <w:rsid w:val="00241DEC"/>
    <w:rsid w:val="002424AF"/>
    <w:rsid w:val="002424DA"/>
    <w:rsid w:val="0024340B"/>
    <w:rsid w:val="002438ED"/>
    <w:rsid w:val="002439DC"/>
    <w:rsid w:val="002441D2"/>
    <w:rsid w:val="00244DC8"/>
    <w:rsid w:val="002458BA"/>
    <w:rsid w:val="00245CE9"/>
    <w:rsid w:val="0024636C"/>
    <w:rsid w:val="0024771C"/>
    <w:rsid w:val="00247925"/>
    <w:rsid w:val="00247C40"/>
    <w:rsid w:val="00250191"/>
    <w:rsid w:val="00250C83"/>
    <w:rsid w:val="00251006"/>
    <w:rsid w:val="00251A64"/>
    <w:rsid w:val="002522B9"/>
    <w:rsid w:val="002524D5"/>
    <w:rsid w:val="002526D3"/>
    <w:rsid w:val="002530DD"/>
    <w:rsid w:val="002534BB"/>
    <w:rsid w:val="0025366A"/>
    <w:rsid w:val="00253ACF"/>
    <w:rsid w:val="00253B1D"/>
    <w:rsid w:val="00253C2D"/>
    <w:rsid w:val="00254159"/>
    <w:rsid w:val="002542DA"/>
    <w:rsid w:val="002543DB"/>
    <w:rsid w:val="00254A2C"/>
    <w:rsid w:val="00254DCF"/>
    <w:rsid w:val="0025534B"/>
    <w:rsid w:val="0025592B"/>
    <w:rsid w:val="00255BB7"/>
    <w:rsid w:val="00255EEE"/>
    <w:rsid w:val="00255F4D"/>
    <w:rsid w:val="00256333"/>
    <w:rsid w:val="00256DBB"/>
    <w:rsid w:val="00257541"/>
    <w:rsid w:val="00257857"/>
    <w:rsid w:val="002578B6"/>
    <w:rsid w:val="00257A39"/>
    <w:rsid w:val="00257AC4"/>
    <w:rsid w:val="00257BBE"/>
    <w:rsid w:val="00257DF8"/>
    <w:rsid w:val="00260C4F"/>
    <w:rsid w:val="002619E6"/>
    <w:rsid w:val="00261CCD"/>
    <w:rsid w:val="00261EEF"/>
    <w:rsid w:val="002622E3"/>
    <w:rsid w:val="0026281B"/>
    <w:rsid w:val="00262A1A"/>
    <w:rsid w:val="00262A87"/>
    <w:rsid w:val="00262C34"/>
    <w:rsid w:val="0026380B"/>
    <w:rsid w:val="00263A6B"/>
    <w:rsid w:val="00264047"/>
    <w:rsid w:val="00264335"/>
    <w:rsid w:val="00264D26"/>
    <w:rsid w:val="0026539D"/>
    <w:rsid w:val="00265A46"/>
    <w:rsid w:val="00266056"/>
    <w:rsid w:val="002666DF"/>
    <w:rsid w:val="0026694F"/>
    <w:rsid w:val="00266A1E"/>
    <w:rsid w:val="002671E1"/>
    <w:rsid w:val="00267642"/>
    <w:rsid w:val="00267AEA"/>
    <w:rsid w:val="00267F54"/>
    <w:rsid w:val="002700E6"/>
    <w:rsid w:val="00270487"/>
    <w:rsid w:val="00270E55"/>
    <w:rsid w:val="00271BAC"/>
    <w:rsid w:val="002720E7"/>
    <w:rsid w:val="00272206"/>
    <w:rsid w:val="0027294B"/>
    <w:rsid w:val="00273914"/>
    <w:rsid w:val="00273945"/>
    <w:rsid w:val="00273ADC"/>
    <w:rsid w:val="00273EB4"/>
    <w:rsid w:val="002741F4"/>
    <w:rsid w:val="002745AB"/>
    <w:rsid w:val="00274682"/>
    <w:rsid w:val="00275158"/>
    <w:rsid w:val="00275C5A"/>
    <w:rsid w:val="00275CD2"/>
    <w:rsid w:val="00275DAE"/>
    <w:rsid w:val="00276793"/>
    <w:rsid w:val="00276E88"/>
    <w:rsid w:val="00277125"/>
    <w:rsid w:val="0027752C"/>
    <w:rsid w:val="00277631"/>
    <w:rsid w:val="002809B4"/>
    <w:rsid w:val="00281014"/>
    <w:rsid w:val="0028119E"/>
    <w:rsid w:val="00281D91"/>
    <w:rsid w:val="002820BC"/>
    <w:rsid w:val="00282127"/>
    <w:rsid w:val="00282323"/>
    <w:rsid w:val="00282741"/>
    <w:rsid w:val="00282A35"/>
    <w:rsid w:val="00282D2F"/>
    <w:rsid w:val="00282D89"/>
    <w:rsid w:val="00283631"/>
    <w:rsid w:val="00283D0A"/>
    <w:rsid w:val="00285BCE"/>
    <w:rsid w:val="0028665D"/>
    <w:rsid w:val="00287284"/>
    <w:rsid w:val="00287C87"/>
    <w:rsid w:val="00290C7E"/>
    <w:rsid w:val="00292FDA"/>
    <w:rsid w:val="00293052"/>
    <w:rsid w:val="00293AE0"/>
    <w:rsid w:val="00295124"/>
    <w:rsid w:val="0029609E"/>
    <w:rsid w:val="00296634"/>
    <w:rsid w:val="00296951"/>
    <w:rsid w:val="00296EA5"/>
    <w:rsid w:val="002971BD"/>
    <w:rsid w:val="00297FBA"/>
    <w:rsid w:val="002A1247"/>
    <w:rsid w:val="002A125E"/>
    <w:rsid w:val="002A14AB"/>
    <w:rsid w:val="002A1E11"/>
    <w:rsid w:val="002A1EFD"/>
    <w:rsid w:val="002A2A8D"/>
    <w:rsid w:val="002A2ADE"/>
    <w:rsid w:val="002A2F50"/>
    <w:rsid w:val="002A30D4"/>
    <w:rsid w:val="002A3423"/>
    <w:rsid w:val="002A3452"/>
    <w:rsid w:val="002A35E1"/>
    <w:rsid w:val="002A4055"/>
    <w:rsid w:val="002A4525"/>
    <w:rsid w:val="002A49B7"/>
    <w:rsid w:val="002A4E73"/>
    <w:rsid w:val="002A50E8"/>
    <w:rsid w:val="002A50F8"/>
    <w:rsid w:val="002A5B60"/>
    <w:rsid w:val="002A5BB2"/>
    <w:rsid w:val="002A5E70"/>
    <w:rsid w:val="002A5ECB"/>
    <w:rsid w:val="002A6484"/>
    <w:rsid w:val="002A692B"/>
    <w:rsid w:val="002A6EA3"/>
    <w:rsid w:val="002A6EC3"/>
    <w:rsid w:val="002A7943"/>
    <w:rsid w:val="002B05A1"/>
    <w:rsid w:val="002B084E"/>
    <w:rsid w:val="002B09A4"/>
    <w:rsid w:val="002B09DC"/>
    <w:rsid w:val="002B12BF"/>
    <w:rsid w:val="002B1C1F"/>
    <w:rsid w:val="002B2716"/>
    <w:rsid w:val="002B3012"/>
    <w:rsid w:val="002B351F"/>
    <w:rsid w:val="002B377F"/>
    <w:rsid w:val="002B427E"/>
    <w:rsid w:val="002B432F"/>
    <w:rsid w:val="002B47CA"/>
    <w:rsid w:val="002B4B9F"/>
    <w:rsid w:val="002B50B3"/>
    <w:rsid w:val="002B5132"/>
    <w:rsid w:val="002B51DB"/>
    <w:rsid w:val="002B55E2"/>
    <w:rsid w:val="002B62B3"/>
    <w:rsid w:val="002B63ED"/>
    <w:rsid w:val="002B6754"/>
    <w:rsid w:val="002B68C2"/>
    <w:rsid w:val="002B6986"/>
    <w:rsid w:val="002B6CCE"/>
    <w:rsid w:val="002B709E"/>
    <w:rsid w:val="002B70B5"/>
    <w:rsid w:val="002B7648"/>
    <w:rsid w:val="002C03AB"/>
    <w:rsid w:val="002C05B8"/>
    <w:rsid w:val="002C0A1D"/>
    <w:rsid w:val="002C0FE7"/>
    <w:rsid w:val="002C1C20"/>
    <w:rsid w:val="002C2510"/>
    <w:rsid w:val="002C2775"/>
    <w:rsid w:val="002C27C1"/>
    <w:rsid w:val="002C36B0"/>
    <w:rsid w:val="002C36E3"/>
    <w:rsid w:val="002C3AE1"/>
    <w:rsid w:val="002C3C08"/>
    <w:rsid w:val="002C3D99"/>
    <w:rsid w:val="002C42D3"/>
    <w:rsid w:val="002C49AC"/>
    <w:rsid w:val="002C5099"/>
    <w:rsid w:val="002C541E"/>
    <w:rsid w:val="002C5889"/>
    <w:rsid w:val="002C5AF6"/>
    <w:rsid w:val="002C5E76"/>
    <w:rsid w:val="002C61A4"/>
    <w:rsid w:val="002C6240"/>
    <w:rsid w:val="002C71CE"/>
    <w:rsid w:val="002C7BEB"/>
    <w:rsid w:val="002D0426"/>
    <w:rsid w:val="002D08F8"/>
    <w:rsid w:val="002D1730"/>
    <w:rsid w:val="002D1C16"/>
    <w:rsid w:val="002D3BB1"/>
    <w:rsid w:val="002D3CF8"/>
    <w:rsid w:val="002D4EC2"/>
    <w:rsid w:val="002D577C"/>
    <w:rsid w:val="002D62CF"/>
    <w:rsid w:val="002D7832"/>
    <w:rsid w:val="002D7B76"/>
    <w:rsid w:val="002E0539"/>
    <w:rsid w:val="002E1071"/>
    <w:rsid w:val="002E13BA"/>
    <w:rsid w:val="002E15B9"/>
    <w:rsid w:val="002E2158"/>
    <w:rsid w:val="002E23E5"/>
    <w:rsid w:val="002E254B"/>
    <w:rsid w:val="002E2CF6"/>
    <w:rsid w:val="002E32EF"/>
    <w:rsid w:val="002E35C9"/>
    <w:rsid w:val="002E37B4"/>
    <w:rsid w:val="002E3963"/>
    <w:rsid w:val="002E3B52"/>
    <w:rsid w:val="002E43D4"/>
    <w:rsid w:val="002E4967"/>
    <w:rsid w:val="002E4B58"/>
    <w:rsid w:val="002E4F02"/>
    <w:rsid w:val="002E6040"/>
    <w:rsid w:val="002E70F9"/>
    <w:rsid w:val="002E738C"/>
    <w:rsid w:val="002E7691"/>
    <w:rsid w:val="002E7722"/>
    <w:rsid w:val="002E7A8C"/>
    <w:rsid w:val="002E7DC0"/>
    <w:rsid w:val="002F0029"/>
    <w:rsid w:val="002F07BA"/>
    <w:rsid w:val="002F0DA9"/>
    <w:rsid w:val="002F1014"/>
    <w:rsid w:val="002F1047"/>
    <w:rsid w:val="002F15D1"/>
    <w:rsid w:val="002F19C3"/>
    <w:rsid w:val="002F1A06"/>
    <w:rsid w:val="002F1E3B"/>
    <w:rsid w:val="002F2C88"/>
    <w:rsid w:val="002F3730"/>
    <w:rsid w:val="002F3E58"/>
    <w:rsid w:val="002F414D"/>
    <w:rsid w:val="002F4738"/>
    <w:rsid w:val="002F5257"/>
    <w:rsid w:val="002F56B8"/>
    <w:rsid w:val="002F5F22"/>
    <w:rsid w:val="002F643C"/>
    <w:rsid w:val="002F66B5"/>
    <w:rsid w:val="002F71C0"/>
    <w:rsid w:val="002F74F1"/>
    <w:rsid w:val="002F761D"/>
    <w:rsid w:val="002F775D"/>
    <w:rsid w:val="002F79FB"/>
    <w:rsid w:val="002F7F97"/>
    <w:rsid w:val="00300149"/>
    <w:rsid w:val="00301017"/>
    <w:rsid w:val="0030118A"/>
    <w:rsid w:val="0030155F"/>
    <w:rsid w:val="00301AC8"/>
    <w:rsid w:val="0030219C"/>
    <w:rsid w:val="003029D1"/>
    <w:rsid w:val="00302B1F"/>
    <w:rsid w:val="00302B2F"/>
    <w:rsid w:val="0030331F"/>
    <w:rsid w:val="00303D95"/>
    <w:rsid w:val="00304176"/>
    <w:rsid w:val="00305108"/>
    <w:rsid w:val="003052D1"/>
    <w:rsid w:val="0030572D"/>
    <w:rsid w:val="0030587B"/>
    <w:rsid w:val="0030597F"/>
    <w:rsid w:val="003069F8"/>
    <w:rsid w:val="00306D98"/>
    <w:rsid w:val="0030786C"/>
    <w:rsid w:val="00307E47"/>
    <w:rsid w:val="003102AA"/>
    <w:rsid w:val="0031031A"/>
    <w:rsid w:val="00310760"/>
    <w:rsid w:val="00310981"/>
    <w:rsid w:val="00311D9B"/>
    <w:rsid w:val="0031227B"/>
    <w:rsid w:val="003124D9"/>
    <w:rsid w:val="00312594"/>
    <w:rsid w:val="00312A54"/>
    <w:rsid w:val="00312E4E"/>
    <w:rsid w:val="003135DE"/>
    <w:rsid w:val="00313AFE"/>
    <w:rsid w:val="00314CBA"/>
    <w:rsid w:val="00314D97"/>
    <w:rsid w:val="00315498"/>
    <w:rsid w:val="0031562C"/>
    <w:rsid w:val="00315F0D"/>
    <w:rsid w:val="003163BB"/>
    <w:rsid w:val="00316474"/>
    <w:rsid w:val="00316D4A"/>
    <w:rsid w:val="003206D6"/>
    <w:rsid w:val="00320928"/>
    <w:rsid w:val="00320E34"/>
    <w:rsid w:val="00320FE0"/>
    <w:rsid w:val="00321F64"/>
    <w:rsid w:val="00322107"/>
    <w:rsid w:val="00322355"/>
    <w:rsid w:val="0032244B"/>
    <w:rsid w:val="00322846"/>
    <w:rsid w:val="003228E3"/>
    <w:rsid w:val="0032335C"/>
    <w:rsid w:val="00323600"/>
    <w:rsid w:val="003236FF"/>
    <w:rsid w:val="003241DB"/>
    <w:rsid w:val="003245C3"/>
    <w:rsid w:val="00324A7E"/>
    <w:rsid w:val="00325744"/>
    <w:rsid w:val="00326257"/>
    <w:rsid w:val="00326DA7"/>
    <w:rsid w:val="003270E4"/>
    <w:rsid w:val="00327654"/>
    <w:rsid w:val="003303F0"/>
    <w:rsid w:val="003305D8"/>
    <w:rsid w:val="00330DAA"/>
    <w:rsid w:val="00330F5C"/>
    <w:rsid w:val="00331F94"/>
    <w:rsid w:val="00332085"/>
    <w:rsid w:val="003320F3"/>
    <w:rsid w:val="0033233C"/>
    <w:rsid w:val="00333065"/>
    <w:rsid w:val="00333B81"/>
    <w:rsid w:val="00334E26"/>
    <w:rsid w:val="003353FD"/>
    <w:rsid w:val="00335F52"/>
    <w:rsid w:val="003366C9"/>
    <w:rsid w:val="003371B0"/>
    <w:rsid w:val="003371CD"/>
    <w:rsid w:val="00340DF1"/>
    <w:rsid w:val="00340E6F"/>
    <w:rsid w:val="0034108D"/>
    <w:rsid w:val="00341369"/>
    <w:rsid w:val="00341885"/>
    <w:rsid w:val="00341A75"/>
    <w:rsid w:val="0034211E"/>
    <w:rsid w:val="00343615"/>
    <w:rsid w:val="00343797"/>
    <w:rsid w:val="003442A7"/>
    <w:rsid w:val="003442E9"/>
    <w:rsid w:val="00345320"/>
    <w:rsid w:val="003457A4"/>
    <w:rsid w:val="0034586A"/>
    <w:rsid w:val="00345DB7"/>
    <w:rsid w:val="00346054"/>
    <w:rsid w:val="00347805"/>
    <w:rsid w:val="00347E79"/>
    <w:rsid w:val="00347E92"/>
    <w:rsid w:val="00347EBA"/>
    <w:rsid w:val="00347F97"/>
    <w:rsid w:val="0035032D"/>
    <w:rsid w:val="0035043B"/>
    <w:rsid w:val="003507AC"/>
    <w:rsid w:val="00350AA3"/>
    <w:rsid w:val="003511AA"/>
    <w:rsid w:val="003517F9"/>
    <w:rsid w:val="00351BA9"/>
    <w:rsid w:val="003521EC"/>
    <w:rsid w:val="003523B3"/>
    <w:rsid w:val="00352FFD"/>
    <w:rsid w:val="00353924"/>
    <w:rsid w:val="00353BF5"/>
    <w:rsid w:val="00354F64"/>
    <w:rsid w:val="0035620E"/>
    <w:rsid w:val="00356524"/>
    <w:rsid w:val="0035731F"/>
    <w:rsid w:val="003575BE"/>
    <w:rsid w:val="00357FE8"/>
    <w:rsid w:val="00360345"/>
    <w:rsid w:val="003614A6"/>
    <w:rsid w:val="00361584"/>
    <w:rsid w:val="00361A05"/>
    <w:rsid w:val="003624C4"/>
    <w:rsid w:val="00363089"/>
    <w:rsid w:val="0036309B"/>
    <w:rsid w:val="00363B00"/>
    <w:rsid w:val="0036479B"/>
    <w:rsid w:val="0036495B"/>
    <w:rsid w:val="003650E4"/>
    <w:rsid w:val="003654AC"/>
    <w:rsid w:val="003656AE"/>
    <w:rsid w:val="0036685C"/>
    <w:rsid w:val="00366CE8"/>
    <w:rsid w:val="0036703A"/>
    <w:rsid w:val="003674E0"/>
    <w:rsid w:val="00370156"/>
    <w:rsid w:val="0037043B"/>
    <w:rsid w:val="00370D19"/>
    <w:rsid w:val="003710CF"/>
    <w:rsid w:val="00371684"/>
    <w:rsid w:val="00371C94"/>
    <w:rsid w:val="00372F2C"/>
    <w:rsid w:val="00373044"/>
    <w:rsid w:val="0037358A"/>
    <w:rsid w:val="00373827"/>
    <w:rsid w:val="003750F6"/>
    <w:rsid w:val="00375C6C"/>
    <w:rsid w:val="003760FC"/>
    <w:rsid w:val="00376C33"/>
    <w:rsid w:val="003772B2"/>
    <w:rsid w:val="0037785B"/>
    <w:rsid w:val="00380885"/>
    <w:rsid w:val="00380A61"/>
    <w:rsid w:val="00381AB8"/>
    <w:rsid w:val="00382D5F"/>
    <w:rsid w:val="0038365C"/>
    <w:rsid w:val="0038369B"/>
    <w:rsid w:val="003838D7"/>
    <w:rsid w:val="00383B78"/>
    <w:rsid w:val="00384D98"/>
    <w:rsid w:val="00385A9D"/>
    <w:rsid w:val="00385BC0"/>
    <w:rsid w:val="00385E92"/>
    <w:rsid w:val="00386AA5"/>
    <w:rsid w:val="00387121"/>
    <w:rsid w:val="003875D3"/>
    <w:rsid w:val="00387967"/>
    <w:rsid w:val="0039022C"/>
    <w:rsid w:val="003902B1"/>
    <w:rsid w:val="0039179C"/>
    <w:rsid w:val="00391B19"/>
    <w:rsid w:val="00391B4A"/>
    <w:rsid w:val="00391C09"/>
    <w:rsid w:val="00392A16"/>
    <w:rsid w:val="00392AA8"/>
    <w:rsid w:val="00392B0C"/>
    <w:rsid w:val="0039307E"/>
    <w:rsid w:val="00393099"/>
    <w:rsid w:val="00393273"/>
    <w:rsid w:val="003941A5"/>
    <w:rsid w:val="003958EE"/>
    <w:rsid w:val="00395A33"/>
    <w:rsid w:val="00395E56"/>
    <w:rsid w:val="00395F0E"/>
    <w:rsid w:val="0039606A"/>
    <w:rsid w:val="003960DB"/>
    <w:rsid w:val="003961D6"/>
    <w:rsid w:val="00396896"/>
    <w:rsid w:val="00396FD0"/>
    <w:rsid w:val="00397946"/>
    <w:rsid w:val="003A1371"/>
    <w:rsid w:val="003A14EE"/>
    <w:rsid w:val="003A1A7A"/>
    <w:rsid w:val="003A2392"/>
    <w:rsid w:val="003A2831"/>
    <w:rsid w:val="003A3419"/>
    <w:rsid w:val="003A3665"/>
    <w:rsid w:val="003A3CB6"/>
    <w:rsid w:val="003A3ED1"/>
    <w:rsid w:val="003A40B5"/>
    <w:rsid w:val="003A4341"/>
    <w:rsid w:val="003A44DB"/>
    <w:rsid w:val="003A4C14"/>
    <w:rsid w:val="003A4F60"/>
    <w:rsid w:val="003A5E3C"/>
    <w:rsid w:val="003A651A"/>
    <w:rsid w:val="003A67E6"/>
    <w:rsid w:val="003A68D6"/>
    <w:rsid w:val="003A71A7"/>
    <w:rsid w:val="003A799F"/>
    <w:rsid w:val="003B02AF"/>
    <w:rsid w:val="003B06A3"/>
    <w:rsid w:val="003B0C9F"/>
    <w:rsid w:val="003B21B5"/>
    <w:rsid w:val="003B23E5"/>
    <w:rsid w:val="003B23F6"/>
    <w:rsid w:val="003B24BC"/>
    <w:rsid w:val="003B2727"/>
    <w:rsid w:val="003B3971"/>
    <w:rsid w:val="003B3A36"/>
    <w:rsid w:val="003B3F72"/>
    <w:rsid w:val="003B4352"/>
    <w:rsid w:val="003B480D"/>
    <w:rsid w:val="003B4848"/>
    <w:rsid w:val="003B49E9"/>
    <w:rsid w:val="003B51FE"/>
    <w:rsid w:val="003B55D1"/>
    <w:rsid w:val="003B57DB"/>
    <w:rsid w:val="003B5B61"/>
    <w:rsid w:val="003B5BDA"/>
    <w:rsid w:val="003B6086"/>
    <w:rsid w:val="003B617E"/>
    <w:rsid w:val="003B751B"/>
    <w:rsid w:val="003B7812"/>
    <w:rsid w:val="003B7B42"/>
    <w:rsid w:val="003C14F2"/>
    <w:rsid w:val="003C1654"/>
    <w:rsid w:val="003C1855"/>
    <w:rsid w:val="003C1C5D"/>
    <w:rsid w:val="003C1E35"/>
    <w:rsid w:val="003C1F4A"/>
    <w:rsid w:val="003C248B"/>
    <w:rsid w:val="003C2FB7"/>
    <w:rsid w:val="003C30C6"/>
    <w:rsid w:val="003C316F"/>
    <w:rsid w:val="003C365B"/>
    <w:rsid w:val="003C374B"/>
    <w:rsid w:val="003C3C5B"/>
    <w:rsid w:val="003C3F33"/>
    <w:rsid w:val="003C4279"/>
    <w:rsid w:val="003C49F6"/>
    <w:rsid w:val="003C5542"/>
    <w:rsid w:val="003C7406"/>
    <w:rsid w:val="003C74FF"/>
    <w:rsid w:val="003C7C15"/>
    <w:rsid w:val="003C7D19"/>
    <w:rsid w:val="003C7D2F"/>
    <w:rsid w:val="003C7D54"/>
    <w:rsid w:val="003C7EC0"/>
    <w:rsid w:val="003D0250"/>
    <w:rsid w:val="003D09C5"/>
    <w:rsid w:val="003D0C5A"/>
    <w:rsid w:val="003D104D"/>
    <w:rsid w:val="003D1828"/>
    <w:rsid w:val="003D187E"/>
    <w:rsid w:val="003D1DE4"/>
    <w:rsid w:val="003D1E9A"/>
    <w:rsid w:val="003D23B5"/>
    <w:rsid w:val="003D2422"/>
    <w:rsid w:val="003D39A1"/>
    <w:rsid w:val="003D39BF"/>
    <w:rsid w:val="003D3C4C"/>
    <w:rsid w:val="003D3D9B"/>
    <w:rsid w:val="003D3FBF"/>
    <w:rsid w:val="003D4A30"/>
    <w:rsid w:val="003D4FC5"/>
    <w:rsid w:val="003D50AE"/>
    <w:rsid w:val="003D58E7"/>
    <w:rsid w:val="003D5B86"/>
    <w:rsid w:val="003D5CFC"/>
    <w:rsid w:val="003D5FF2"/>
    <w:rsid w:val="003D7406"/>
    <w:rsid w:val="003D7452"/>
    <w:rsid w:val="003D77F9"/>
    <w:rsid w:val="003D79BB"/>
    <w:rsid w:val="003D7C98"/>
    <w:rsid w:val="003D7D9D"/>
    <w:rsid w:val="003D7DB8"/>
    <w:rsid w:val="003E0543"/>
    <w:rsid w:val="003E055F"/>
    <w:rsid w:val="003E06FF"/>
    <w:rsid w:val="003E0C04"/>
    <w:rsid w:val="003E10F8"/>
    <w:rsid w:val="003E1807"/>
    <w:rsid w:val="003E47C6"/>
    <w:rsid w:val="003E5603"/>
    <w:rsid w:val="003E749E"/>
    <w:rsid w:val="003F04A0"/>
    <w:rsid w:val="003F06E6"/>
    <w:rsid w:val="003F0734"/>
    <w:rsid w:val="003F0F14"/>
    <w:rsid w:val="003F22A5"/>
    <w:rsid w:val="003F2E12"/>
    <w:rsid w:val="003F305A"/>
    <w:rsid w:val="003F354B"/>
    <w:rsid w:val="003F37BA"/>
    <w:rsid w:val="003F4027"/>
    <w:rsid w:val="003F4156"/>
    <w:rsid w:val="003F49E6"/>
    <w:rsid w:val="003F5529"/>
    <w:rsid w:val="003F5ADF"/>
    <w:rsid w:val="003F60E9"/>
    <w:rsid w:val="003F6345"/>
    <w:rsid w:val="003F678A"/>
    <w:rsid w:val="003F6B15"/>
    <w:rsid w:val="00400B29"/>
    <w:rsid w:val="00400E45"/>
    <w:rsid w:val="004016FD"/>
    <w:rsid w:val="00401CBE"/>
    <w:rsid w:val="00402812"/>
    <w:rsid w:val="00402D3D"/>
    <w:rsid w:val="00404268"/>
    <w:rsid w:val="0040433C"/>
    <w:rsid w:val="00404773"/>
    <w:rsid w:val="004047DA"/>
    <w:rsid w:val="004047DD"/>
    <w:rsid w:val="00404890"/>
    <w:rsid w:val="00404F23"/>
    <w:rsid w:val="0040504B"/>
    <w:rsid w:val="004059F4"/>
    <w:rsid w:val="00406102"/>
    <w:rsid w:val="004061B7"/>
    <w:rsid w:val="00406329"/>
    <w:rsid w:val="004067CA"/>
    <w:rsid w:val="00406A25"/>
    <w:rsid w:val="00407FE5"/>
    <w:rsid w:val="004101B0"/>
    <w:rsid w:val="00410326"/>
    <w:rsid w:val="004106B3"/>
    <w:rsid w:val="00410708"/>
    <w:rsid w:val="00410EC7"/>
    <w:rsid w:val="00411225"/>
    <w:rsid w:val="00411727"/>
    <w:rsid w:val="00411B39"/>
    <w:rsid w:val="00411D3E"/>
    <w:rsid w:val="004124B5"/>
    <w:rsid w:val="004125BF"/>
    <w:rsid w:val="0041267C"/>
    <w:rsid w:val="004127A7"/>
    <w:rsid w:val="00413A1E"/>
    <w:rsid w:val="00413C28"/>
    <w:rsid w:val="00413CE8"/>
    <w:rsid w:val="00414476"/>
    <w:rsid w:val="00414A84"/>
    <w:rsid w:val="00414C2E"/>
    <w:rsid w:val="004151CF"/>
    <w:rsid w:val="00415292"/>
    <w:rsid w:val="00415C3D"/>
    <w:rsid w:val="00415F93"/>
    <w:rsid w:val="00416364"/>
    <w:rsid w:val="0041679D"/>
    <w:rsid w:val="004170D3"/>
    <w:rsid w:val="00420002"/>
    <w:rsid w:val="0042044B"/>
    <w:rsid w:val="0042047F"/>
    <w:rsid w:val="00420AA6"/>
    <w:rsid w:val="00420B9F"/>
    <w:rsid w:val="0042192C"/>
    <w:rsid w:val="00421952"/>
    <w:rsid w:val="00422260"/>
    <w:rsid w:val="00422A0C"/>
    <w:rsid w:val="00422D17"/>
    <w:rsid w:val="00423327"/>
    <w:rsid w:val="004233DB"/>
    <w:rsid w:val="00423CF6"/>
    <w:rsid w:val="0042413F"/>
    <w:rsid w:val="004251A1"/>
    <w:rsid w:val="00425499"/>
    <w:rsid w:val="004255AD"/>
    <w:rsid w:val="004256B2"/>
    <w:rsid w:val="00425996"/>
    <w:rsid w:val="00425ACC"/>
    <w:rsid w:val="00425D7D"/>
    <w:rsid w:val="00426A96"/>
    <w:rsid w:val="00426E7E"/>
    <w:rsid w:val="0042743F"/>
    <w:rsid w:val="004302A3"/>
    <w:rsid w:val="00430875"/>
    <w:rsid w:val="00430A75"/>
    <w:rsid w:val="00430CD6"/>
    <w:rsid w:val="00430D61"/>
    <w:rsid w:val="004318B9"/>
    <w:rsid w:val="004319F8"/>
    <w:rsid w:val="00431E55"/>
    <w:rsid w:val="004321F6"/>
    <w:rsid w:val="00432909"/>
    <w:rsid w:val="00432E6C"/>
    <w:rsid w:val="00433044"/>
    <w:rsid w:val="004330F5"/>
    <w:rsid w:val="00433764"/>
    <w:rsid w:val="00433885"/>
    <w:rsid w:val="00434088"/>
    <w:rsid w:val="004344F1"/>
    <w:rsid w:val="004351E1"/>
    <w:rsid w:val="00435C83"/>
    <w:rsid w:val="00436CD5"/>
    <w:rsid w:val="00436F37"/>
    <w:rsid w:val="004375B9"/>
    <w:rsid w:val="00440B1E"/>
    <w:rsid w:val="004419D2"/>
    <w:rsid w:val="00442380"/>
    <w:rsid w:val="0044287C"/>
    <w:rsid w:val="004428D0"/>
    <w:rsid w:val="00442DD4"/>
    <w:rsid w:val="004434D9"/>
    <w:rsid w:val="0044409C"/>
    <w:rsid w:val="00444185"/>
    <w:rsid w:val="004443A7"/>
    <w:rsid w:val="0044442C"/>
    <w:rsid w:val="0044468A"/>
    <w:rsid w:val="00445645"/>
    <w:rsid w:val="004458DB"/>
    <w:rsid w:val="00445941"/>
    <w:rsid w:val="00445AA9"/>
    <w:rsid w:val="004462A0"/>
    <w:rsid w:val="004464EB"/>
    <w:rsid w:val="00446803"/>
    <w:rsid w:val="004472DF"/>
    <w:rsid w:val="004477C8"/>
    <w:rsid w:val="00447B76"/>
    <w:rsid w:val="00447D26"/>
    <w:rsid w:val="00447DFC"/>
    <w:rsid w:val="004502C1"/>
    <w:rsid w:val="00451347"/>
    <w:rsid w:val="0045159F"/>
    <w:rsid w:val="004524C8"/>
    <w:rsid w:val="004524DD"/>
    <w:rsid w:val="004537BF"/>
    <w:rsid w:val="0045397F"/>
    <w:rsid w:val="004542AC"/>
    <w:rsid w:val="00454436"/>
    <w:rsid w:val="00454F6E"/>
    <w:rsid w:val="0045581F"/>
    <w:rsid w:val="00455A42"/>
    <w:rsid w:val="00455D45"/>
    <w:rsid w:val="00457A72"/>
    <w:rsid w:val="00457B8B"/>
    <w:rsid w:val="00457EB5"/>
    <w:rsid w:val="00460689"/>
    <w:rsid w:val="004606FA"/>
    <w:rsid w:val="00460BD2"/>
    <w:rsid w:val="0046103F"/>
    <w:rsid w:val="00461196"/>
    <w:rsid w:val="00462235"/>
    <w:rsid w:val="00462690"/>
    <w:rsid w:val="0046281A"/>
    <w:rsid w:val="00463432"/>
    <w:rsid w:val="004635FF"/>
    <w:rsid w:val="00464595"/>
    <w:rsid w:val="00465690"/>
    <w:rsid w:val="00465732"/>
    <w:rsid w:val="004658B5"/>
    <w:rsid w:val="0046789B"/>
    <w:rsid w:val="00467BD0"/>
    <w:rsid w:val="00470698"/>
    <w:rsid w:val="004716C3"/>
    <w:rsid w:val="00471B18"/>
    <w:rsid w:val="00471DEA"/>
    <w:rsid w:val="00471EA5"/>
    <w:rsid w:val="00471EBD"/>
    <w:rsid w:val="00472616"/>
    <w:rsid w:val="00472A79"/>
    <w:rsid w:val="00473975"/>
    <w:rsid w:val="00473AD7"/>
    <w:rsid w:val="00473EB2"/>
    <w:rsid w:val="00473F19"/>
    <w:rsid w:val="00475637"/>
    <w:rsid w:val="00475D67"/>
    <w:rsid w:val="00475E22"/>
    <w:rsid w:val="00475E50"/>
    <w:rsid w:val="00476095"/>
    <w:rsid w:val="00476909"/>
    <w:rsid w:val="0047722B"/>
    <w:rsid w:val="004776DF"/>
    <w:rsid w:val="00477E17"/>
    <w:rsid w:val="00480057"/>
    <w:rsid w:val="0048088E"/>
    <w:rsid w:val="004808AC"/>
    <w:rsid w:val="00480AED"/>
    <w:rsid w:val="00480D21"/>
    <w:rsid w:val="00480F2B"/>
    <w:rsid w:val="00481441"/>
    <w:rsid w:val="004817E6"/>
    <w:rsid w:val="00481A19"/>
    <w:rsid w:val="00481B99"/>
    <w:rsid w:val="00482720"/>
    <w:rsid w:val="004835E7"/>
    <w:rsid w:val="00484887"/>
    <w:rsid w:val="00484ACB"/>
    <w:rsid w:val="004859E1"/>
    <w:rsid w:val="0048617D"/>
    <w:rsid w:val="00486182"/>
    <w:rsid w:val="004867E2"/>
    <w:rsid w:val="00486875"/>
    <w:rsid w:val="0048693F"/>
    <w:rsid w:val="00486A8E"/>
    <w:rsid w:val="0048714A"/>
    <w:rsid w:val="00487E47"/>
    <w:rsid w:val="00490AF5"/>
    <w:rsid w:val="00490B17"/>
    <w:rsid w:val="00490F99"/>
    <w:rsid w:val="004911E9"/>
    <w:rsid w:val="00491B3A"/>
    <w:rsid w:val="00492CFD"/>
    <w:rsid w:val="00493166"/>
    <w:rsid w:val="00494207"/>
    <w:rsid w:val="0049437C"/>
    <w:rsid w:val="004944CF"/>
    <w:rsid w:val="004945ED"/>
    <w:rsid w:val="0049464F"/>
    <w:rsid w:val="00494A45"/>
    <w:rsid w:val="00494C0C"/>
    <w:rsid w:val="00494DD5"/>
    <w:rsid w:val="00495065"/>
    <w:rsid w:val="004962D2"/>
    <w:rsid w:val="0049652C"/>
    <w:rsid w:val="00496954"/>
    <w:rsid w:val="00496998"/>
    <w:rsid w:val="00497B78"/>
    <w:rsid w:val="004A002C"/>
    <w:rsid w:val="004A0650"/>
    <w:rsid w:val="004A0DA1"/>
    <w:rsid w:val="004A13D6"/>
    <w:rsid w:val="004A1B48"/>
    <w:rsid w:val="004A217A"/>
    <w:rsid w:val="004A2923"/>
    <w:rsid w:val="004A2A7B"/>
    <w:rsid w:val="004A2B7D"/>
    <w:rsid w:val="004A3B9C"/>
    <w:rsid w:val="004A4687"/>
    <w:rsid w:val="004A52E9"/>
    <w:rsid w:val="004A545E"/>
    <w:rsid w:val="004A5995"/>
    <w:rsid w:val="004A5A80"/>
    <w:rsid w:val="004A6040"/>
    <w:rsid w:val="004A60DA"/>
    <w:rsid w:val="004A6597"/>
    <w:rsid w:val="004A7848"/>
    <w:rsid w:val="004A793B"/>
    <w:rsid w:val="004A7947"/>
    <w:rsid w:val="004A7F74"/>
    <w:rsid w:val="004B0C29"/>
    <w:rsid w:val="004B1045"/>
    <w:rsid w:val="004B184E"/>
    <w:rsid w:val="004B196B"/>
    <w:rsid w:val="004B1CB4"/>
    <w:rsid w:val="004B2E80"/>
    <w:rsid w:val="004B2F18"/>
    <w:rsid w:val="004B3AF2"/>
    <w:rsid w:val="004B3DDB"/>
    <w:rsid w:val="004B44FD"/>
    <w:rsid w:val="004B461E"/>
    <w:rsid w:val="004B467B"/>
    <w:rsid w:val="004B55DF"/>
    <w:rsid w:val="004B5CFC"/>
    <w:rsid w:val="004B65B6"/>
    <w:rsid w:val="004B6C92"/>
    <w:rsid w:val="004B6F79"/>
    <w:rsid w:val="004B735B"/>
    <w:rsid w:val="004B774D"/>
    <w:rsid w:val="004B77EF"/>
    <w:rsid w:val="004B7D40"/>
    <w:rsid w:val="004C001B"/>
    <w:rsid w:val="004C0453"/>
    <w:rsid w:val="004C0A4C"/>
    <w:rsid w:val="004C107F"/>
    <w:rsid w:val="004C1445"/>
    <w:rsid w:val="004C2AC2"/>
    <w:rsid w:val="004C3360"/>
    <w:rsid w:val="004C3AB0"/>
    <w:rsid w:val="004C3B02"/>
    <w:rsid w:val="004C46CD"/>
    <w:rsid w:val="004C4AED"/>
    <w:rsid w:val="004C4B48"/>
    <w:rsid w:val="004C4C85"/>
    <w:rsid w:val="004C4E2D"/>
    <w:rsid w:val="004C5916"/>
    <w:rsid w:val="004C5BB2"/>
    <w:rsid w:val="004C5E90"/>
    <w:rsid w:val="004C5EBB"/>
    <w:rsid w:val="004C6EA4"/>
    <w:rsid w:val="004C7096"/>
    <w:rsid w:val="004C7E8E"/>
    <w:rsid w:val="004D0697"/>
    <w:rsid w:val="004D12EA"/>
    <w:rsid w:val="004D13BA"/>
    <w:rsid w:val="004D2645"/>
    <w:rsid w:val="004D2C2D"/>
    <w:rsid w:val="004D308D"/>
    <w:rsid w:val="004D390E"/>
    <w:rsid w:val="004D465A"/>
    <w:rsid w:val="004D47F8"/>
    <w:rsid w:val="004D4D65"/>
    <w:rsid w:val="004D5691"/>
    <w:rsid w:val="004D6447"/>
    <w:rsid w:val="004D67A3"/>
    <w:rsid w:val="004D69B5"/>
    <w:rsid w:val="004D7227"/>
    <w:rsid w:val="004D7499"/>
    <w:rsid w:val="004D762C"/>
    <w:rsid w:val="004D7B5E"/>
    <w:rsid w:val="004D7FC7"/>
    <w:rsid w:val="004E0E7F"/>
    <w:rsid w:val="004E0EB8"/>
    <w:rsid w:val="004E11F0"/>
    <w:rsid w:val="004E1420"/>
    <w:rsid w:val="004E18E9"/>
    <w:rsid w:val="004E19E6"/>
    <w:rsid w:val="004E20A2"/>
    <w:rsid w:val="004E26E8"/>
    <w:rsid w:val="004E2ADC"/>
    <w:rsid w:val="004E30F0"/>
    <w:rsid w:val="004E33F0"/>
    <w:rsid w:val="004E400C"/>
    <w:rsid w:val="004E43B2"/>
    <w:rsid w:val="004E468F"/>
    <w:rsid w:val="004E4E1E"/>
    <w:rsid w:val="004E518D"/>
    <w:rsid w:val="004E5226"/>
    <w:rsid w:val="004E5E21"/>
    <w:rsid w:val="004E64CF"/>
    <w:rsid w:val="004E690F"/>
    <w:rsid w:val="004E6B72"/>
    <w:rsid w:val="004E6F91"/>
    <w:rsid w:val="004E7692"/>
    <w:rsid w:val="004F00E4"/>
    <w:rsid w:val="004F01FF"/>
    <w:rsid w:val="004F04A2"/>
    <w:rsid w:val="004F0501"/>
    <w:rsid w:val="004F05B4"/>
    <w:rsid w:val="004F1D02"/>
    <w:rsid w:val="004F2564"/>
    <w:rsid w:val="004F2679"/>
    <w:rsid w:val="004F2F21"/>
    <w:rsid w:val="004F3DE5"/>
    <w:rsid w:val="004F3E6C"/>
    <w:rsid w:val="004F3E8D"/>
    <w:rsid w:val="004F41FD"/>
    <w:rsid w:val="004F47BD"/>
    <w:rsid w:val="004F5D1A"/>
    <w:rsid w:val="004F5F98"/>
    <w:rsid w:val="004F6913"/>
    <w:rsid w:val="004F7684"/>
    <w:rsid w:val="004F7865"/>
    <w:rsid w:val="00500050"/>
    <w:rsid w:val="00500660"/>
    <w:rsid w:val="0050130C"/>
    <w:rsid w:val="005016EB"/>
    <w:rsid w:val="0050174E"/>
    <w:rsid w:val="00501854"/>
    <w:rsid w:val="00501DC3"/>
    <w:rsid w:val="0050219B"/>
    <w:rsid w:val="005025F7"/>
    <w:rsid w:val="00502B8A"/>
    <w:rsid w:val="005030EC"/>
    <w:rsid w:val="00503F17"/>
    <w:rsid w:val="00503F3A"/>
    <w:rsid w:val="00504C8C"/>
    <w:rsid w:val="0050595E"/>
    <w:rsid w:val="00505A3C"/>
    <w:rsid w:val="00505BD5"/>
    <w:rsid w:val="00506698"/>
    <w:rsid w:val="00506928"/>
    <w:rsid w:val="005069B9"/>
    <w:rsid w:val="005077EF"/>
    <w:rsid w:val="00507870"/>
    <w:rsid w:val="0051060E"/>
    <w:rsid w:val="005109DE"/>
    <w:rsid w:val="00510F55"/>
    <w:rsid w:val="00511AD5"/>
    <w:rsid w:val="00511D32"/>
    <w:rsid w:val="00511DC7"/>
    <w:rsid w:val="0051315B"/>
    <w:rsid w:val="00513435"/>
    <w:rsid w:val="005142C5"/>
    <w:rsid w:val="00514378"/>
    <w:rsid w:val="005145C0"/>
    <w:rsid w:val="00514D93"/>
    <w:rsid w:val="0051501B"/>
    <w:rsid w:val="005152B5"/>
    <w:rsid w:val="00515485"/>
    <w:rsid w:val="00515568"/>
    <w:rsid w:val="0051561C"/>
    <w:rsid w:val="00515886"/>
    <w:rsid w:val="00516239"/>
    <w:rsid w:val="00516DC8"/>
    <w:rsid w:val="005170C3"/>
    <w:rsid w:val="00517337"/>
    <w:rsid w:val="005173C7"/>
    <w:rsid w:val="005178C0"/>
    <w:rsid w:val="00520692"/>
    <w:rsid w:val="00520E3B"/>
    <w:rsid w:val="0052123C"/>
    <w:rsid w:val="00521319"/>
    <w:rsid w:val="00522838"/>
    <w:rsid w:val="00522A17"/>
    <w:rsid w:val="00522BC8"/>
    <w:rsid w:val="00522F20"/>
    <w:rsid w:val="00522FBA"/>
    <w:rsid w:val="00523C28"/>
    <w:rsid w:val="00523EAD"/>
    <w:rsid w:val="0052497E"/>
    <w:rsid w:val="00524DEB"/>
    <w:rsid w:val="0052581F"/>
    <w:rsid w:val="00525CDA"/>
    <w:rsid w:val="00526446"/>
    <w:rsid w:val="00526CA4"/>
    <w:rsid w:val="00526E79"/>
    <w:rsid w:val="005273ED"/>
    <w:rsid w:val="00527BAE"/>
    <w:rsid w:val="00530DED"/>
    <w:rsid w:val="0053176B"/>
    <w:rsid w:val="00532CE8"/>
    <w:rsid w:val="00532E72"/>
    <w:rsid w:val="0053305D"/>
    <w:rsid w:val="00533089"/>
    <w:rsid w:val="00533116"/>
    <w:rsid w:val="00533588"/>
    <w:rsid w:val="005335BA"/>
    <w:rsid w:val="00533602"/>
    <w:rsid w:val="00533625"/>
    <w:rsid w:val="005339EF"/>
    <w:rsid w:val="00533D83"/>
    <w:rsid w:val="005341B3"/>
    <w:rsid w:val="005356C6"/>
    <w:rsid w:val="00536168"/>
    <w:rsid w:val="00536F42"/>
    <w:rsid w:val="00537182"/>
    <w:rsid w:val="00537336"/>
    <w:rsid w:val="005376CB"/>
    <w:rsid w:val="005377FE"/>
    <w:rsid w:val="00540D41"/>
    <w:rsid w:val="00541EDD"/>
    <w:rsid w:val="00542743"/>
    <w:rsid w:val="00542C2D"/>
    <w:rsid w:val="00542CFE"/>
    <w:rsid w:val="00543713"/>
    <w:rsid w:val="00543D0F"/>
    <w:rsid w:val="00545DAB"/>
    <w:rsid w:val="00546C8D"/>
    <w:rsid w:val="005472A3"/>
    <w:rsid w:val="005478BD"/>
    <w:rsid w:val="005479E3"/>
    <w:rsid w:val="00550649"/>
    <w:rsid w:val="00550863"/>
    <w:rsid w:val="00550A89"/>
    <w:rsid w:val="00551287"/>
    <w:rsid w:val="00551985"/>
    <w:rsid w:val="00552952"/>
    <w:rsid w:val="00552BD3"/>
    <w:rsid w:val="0055317C"/>
    <w:rsid w:val="005532A0"/>
    <w:rsid w:val="005536B1"/>
    <w:rsid w:val="00553980"/>
    <w:rsid w:val="00553996"/>
    <w:rsid w:val="00553F39"/>
    <w:rsid w:val="00554A98"/>
    <w:rsid w:val="00554E28"/>
    <w:rsid w:val="00554EE5"/>
    <w:rsid w:val="0055507B"/>
    <w:rsid w:val="00555109"/>
    <w:rsid w:val="005558EB"/>
    <w:rsid w:val="00555DF9"/>
    <w:rsid w:val="00556B35"/>
    <w:rsid w:val="0055741A"/>
    <w:rsid w:val="00560891"/>
    <w:rsid w:val="00560BFE"/>
    <w:rsid w:val="005611B7"/>
    <w:rsid w:val="005618D4"/>
    <w:rsid w:val="00562122"/>
    <w:rsid w:val="005621C0"/>
    <w:rsid w:val="00562821"/>
    <w:rsid w:val="00562964"/>
    <w:rsid w:val="00563058"/>
    <w:rsid w:val="005631C8"/>
    <w:rsid w:val="005635AD"/>
    <w:rsid w:val="005637F3"/>
    <w:rsid w:val="00563F28"/>
    <w:rsid w:val="005645BC"/>
    <w:rsid w:val="00564867"/>
    <w:rsid w:val="00565C79"/>
    <w:rsid w:val="00565DF0"/>
    <w:rsid w:val="0056696F"/>
    <w:rsid w:val="00567075"/>
    <w:rsid w:val="00571060"/>
    <w:rsid w:val="00572269"/>
    <w:rsid w:val="0057244A"/>
    <w:rsid w:val="00572F26"/>
    <w:rsid w:val="00572FBD"/>
    <w:rsid w:val="0057364A"/>
    <w:rsid w:val="0057409E"/>
    <w:rsid w:val="0057410F"/>
    <w:rsid w:val="005750C5"/>
    <w:rsid w:val="005752DE"/>
    <w:rsid w:val="005755AE"/>
    <w:rsid w:val="00575D60"/>
    <w:rsid w:val="00575D8D"/>
    <w:rsid w:val="0057614E"/>
    <w:rsid w:val="00576338"/>
    <w:rsid w:val="00576972"/>
    <w:rsid w:val="005771EE"/>
    <w:rsid w:val="00577248"/>
    <w:rsid w:val="005810AA"/>
    <w:rsid w:val="00581B02"/>
    <w:rsid w:val="005826AC"/>
    <w:rsid w:val="005827BE"/>
    <w:rsid w:val="00582938"/>
    <w:rsid w:val="00582A83"/>
    <w:rsid w:val="00582C17"/>
    <w:rsid w:val="0058360F"/>
    <w:rsid w:val="00583699"/>
    <w:rsid w:val="00583F24"/>
    <w:rsid w:val="00584C4F"/>
    <w:rsid w:val="00585651"/>
    <w:rsid w:val="00585CDD"/>
    <w:rsid w:val="005861B3"/>
    <w:rsid w:val="00586755"/>
    <w:rsid w:val="005868FB"/>
    <w:rsid w:val="00586C7C"/>
    <w:rsid w:val="00587058"/>
    <w:rsid w:val="0059082E"/>
    <w:rsid w:val="00590AD3"/>
    <w:rsid w:val="00591957"/>
    <w:rsid w:val="00592DE5"/>
    <w:rsid w:val="0059315C"/>
    <w:rsid w:val="005935E1"/>
    <w:rsid w:val="005938B8"/>
    <w:rsid w:val="00593C82"/>
    <w:rsid w:val="005944A9"/>
    <w:rsid w:val="00594D83"/>
    <w:rsid w:val="0059535C"/>
    <w:rsid w:val="005965D6"/>
    <w:rsid w:val="00597611"/>
    <w:rsid w:val="00597804"/>
    <w:rsid w:val="00597BC2"/>
    <w:rsid w:val="00597BF9"/>
    <w:rsid w:val="005A0855"/>
    <w:rsid w:val="005A0C11"/>
    <w:rsid w:val="005A0FBA"/>
    <w:rsid w:val="005A1743"/>
    <w:rsid w:val="005A247F"/>
    <w:rsid w:val="005A24D8"/>
    <w:rsid w:val="005A251D"/>
    <w:rsid w:val="005A2AD2"/>
    <w:rsid w:val="005A2E45"/>
    <w:rsid w:val="005A309A"/>
    <w:rsid w:val="005A373D"/>
    <w:rsid w:val="005A4292"/>
    <w:rsid w:val="005A50C7"/>
    <w:rsid w:val="005A5D6A"/>
    <w:rsid w:val="005A6AC4"/>
    <w:rsid w:val="005B066B"/>
    <w:rsid w:val="005B06D4"/>
    <w:rsid w:val="005B0B3F"/>
    <w:rsid w:val="005B0B58"/>
    <w:rsid w:val="005B0BA3"/>
    <w:rsid w:val="005B1043"/>
    <w:rsid w:val="005B131A"/>
    <w:rsid w:val="005B1981"/>
    <w:rsid w:val="005B1F6D"/>
    <w:rsid w:val="005B298D"/>
    <w:rsid w:val="005B3786"/>
    <w:rsid w:val="005B3B98"/>
    <w:rsid w:val="005B45DD"/>
    <w:rsid w:val="005B4E53"/>
    <w:rsid w:val="005B5714"/>
    <w:rsid w:val="005B57C1"/>
    <w:rsid w:val="005B5857"/>
    <w:rsid w:val="005B668A"/>
    <w:rsid w:val="005B67E4"/>
    <w:rsid w:val="005C01DB"/>
    <w:rsid w:val="005C0A9F"/>
    <w:rsid w:val="005C19C4"/>
    <w:rsid w:val="005C1B83"/>
    <w:rsid w:val="005C1BB1"/>
    <w:rsid w:val="005C1D0C"/>
    <w:rsid w:val="005C25FF"/>
    <w:rsid w:val="005C27B7"/>
    <w:rsid w:val="005C2D55"/>
    <w:rsid w:val="005C33F6"/>
    <w:rsid w:val="005C346B"/>
    <w:rsid w:val="005C36A0"/>
    <w:rsid w:val="005C44C4"/>
    <w:rsid w:val="005C484A"/>
    <w:rsid w:val="005C4E80"/>
    <w:rsid w:val="005C5044"/>
    <w:rsid w:val="005C5ABC"/>
    <w:rsid w:val="005C6939"/>
    <w:rsid w:val="005C6C34"/>
    <w:rsid w:val="005C71DA"/>
    <w:rsid w:val="005C7225"/>
    <w:rsid w:val="005C75B0"/>
    <w:rsid w:val="005C7D06"/>
    <w:rsid w:val="005D044D"/>
    <w:rsid w:val="005D080F"/>
    <w:rsid w:val="005D0ABD"/>
    <w:rsid w:val="005D18AD"/>
    <w:rsid w:val="005D1CC8"/>
    <w:rsid w:val="005D26B4"/>
    <w:rsid w:val="005D26BA"/>
    <w:rsid w:val="005D2C87"/>
    <w:rsid w:val="005D315D"/>
    <w:rsid w:val="005D3BC8"/>
    <w:rsid w:val="005D4C5F"/>
    <w:rsid w:val="005D4D89"/>
    <w:rsid w:val="005D5451"/>
    <w:rsid w:val="005D553E"/>
    <w:rsid w:val="005D563B"/>
    <w:rsid w:val="005D5CCB"/>
    <w:rsid w:val="005D614B"/>
    <w:rsid w:val="005D67D7"/>
    <w:rsid w:val="005D7207"/>
    <w:rsid w:val="005D72AA"/>
    <w:rsid w:val="005D7C15"/>
    <w:rsid w:val="005D7FAF"/>
    <w:rsid w:val="005E09E6"/>
    <w:rsid w:val="005E1901"/>
    <w:rsid w:val="005E1995"/>
    <w:rsid w:val="005E1BA2"/>
    <w:rsid w:val="005E2029"/>
    <w:rsid w:val="005E2066"/>
    <w:rsid w:val="005E2680"/>
    <w:rsid w:val="005E2A65"/>
    <w:rsid w:val="005E2B82"/>
    <w:rsid w:val="005E32D1"/>
    <w:rsid w:val="005E3F5D"/>
    <w:rsid w:val="005E407D"/>
    <w:rsid w:val="005E4687"/>
    <w:rsid w:val="005E481C"/>
    <w:rsid w:val="005E5188"/>
    <w:rsid w:val="005E5230"/>
    <w:rsid w:val="005E5FD7"/>
    <w:rsid w:val="005E67A0"/>
    <w:rsid w:val="005E6CBC"/>
    <w:rsid w:val="005E6E1A"/>
    <w:rsid w:val="005E712C"/>
    <w:rsid w:val="005E72FF"/>
    <w:rsid w:val="005E73C0"/>
    <w:rsid w:val="005F07ED"/>
    <w:rsid w:val="005F081B"/>
    <w:rsid w:val="005F1060"/>
    <w:rsid w:val="005F13E4"/>
    <w:rsid w:val="005F144D"/>
    <w:rsid w:val="005F19D6"/>
    <w:rsid w:val="005F2706"/>
    <w:rsid w:val="005F2AE6"/>
    <w:rsid w:val="005F2B34"/>
    <w:rsid w:val="005F2D94"/>
    <w:rsid w:val="005F305F"/>
    <w:rsid w:val="005F408E"/>
    <w:rsid w:val="005F4867"/>
    <w:rsid w:val="005F4C6D"/>
    <w:rsid w:val="005F4E23"/>
    <w:rsid w:val="005F4FAB"/>
    <w:rsid w:val="005F57F8"/>
    <w:rsid w:val="005F5C61"/>
    <w:rsid w:val="005F636C"/>
    <w:rsid w:val="005F6A8F"/>
    <w:rsid w:val="005F6BB7"/>
    <w:rsid w:val="005F7588"/>
    <w:rsid w:val="005F7594"/>
    <w:rsid w:val="005F77E9"/>
    <w:rsid w:val="006005CD"/>
    <w:rsid w:val="00600C02"/>
    <w:rsid w:val="006010CB"/>
    <w:rsid w:val="00601345"/>
    <w:rsid w:val="006028D3"/>
    <w:rsid w:val="00603039"/>
    <w:rsid w:val="006033AB"/>
    <w:rsid w:val="00603DB9"/>
    <w:rsid w:val="006043DB"/>
    <w:rsid w:val="006047E7"/>
    <w:rsid w:val="00606085"/>
    <w:rsid w:val="006061E3"/>
    <w:rsid w:val="00606BDD"/>
    <w:rsid w:val="00606FBA"/>
    <w:rsid w:val="00607669"/>
    <w:rsid w:val="006076F4"/>
    <w:rsid w:val="00607732"/>
    <w:rsid w:val="006078D5"/>
    <w:rsid w:val="00607AFD"/>
    <w:rsid w:val="00607E5D"/>
    <w:rsid w:val="00611B12"/>
    <w:rsid w:val="00612B60"/>
    <w:rsid w:val="00612F73"/>
    <w:rsid w:val="00612F97"/>
    <w:rsid w:val="006131EF"/>
    <w:rsid w:val="0061345D"/>
    <w:rsid w:val="006140F0"/>
    <w:rsid w:val="0061441D"/>
    <w:rsid w:val="006146FC"/>
    <w:rsid w:val="0061549B"/>
    <w:rsid w:val="00615ACE"/>
    <w:rsid w:val="00615AE4"/>
    <w:rsid w:val="00616410"/>
    <w:rsid w:val="00616802"/>
    <w:rsid w:val="00616A12"/>
    <w:rsid w:val="00616C28"/>
    <w:rsid w:val="0061751B"/>
    <w:rsid w:val="00617E12"/>
    <w:rsid w:val="00620129"/>
    <w:rsid w:val="0062063B"/>
    <w:rsid w:val="00620C25"/>
    <w:rsid w:val="006210ED"/>
    <w:rsid w:val="00621474"/>
    <w:rsid w:val="00621477"/>
    <w:rsid w:val="00621ADA"/>
    <w:rsid w:val="00621F23"/>
    <w:rsid w:val="0062227F"/>
    <w:rsid w:val="00622646"/>
    <w:rsid w:val="00622771"/>
    <w:rsid w:val="00622A03"/>
    <w:rsid w:val="00623349"/>
    <w:rsid w:val="00623891"/>
    <w:rsid w:val="00623F7B"/>
    <w:rsid w:val="006247DB"/>
    <w:rsid w:val="00624B66"/>
    <w:rsid w:val="00624BD4"/>
    <w:rsid w:val="0062535A"/>
    <w:rsid w:val="00625470"/>
    <w:rsid w:val="00625EC6"/>
    <w:rsid w:val="00626496"/>
    <w:rsid w:val="006268EF"/>
    <w:rsid w:val="0062772C"/>
    <w:rsid w:val="00627F49"/>
    <w:rsid w:val="00630D07"/>
    <w:rsid w:val="00630D7E"/>
    <w:rsid w:val="0063148A"/>
    <w:rsid w:val="0063158F"/>
    <w:rsid w:val="00631D6B"/>
    <w:rsid w:val="00631ECE"/>
    <w:rsid w:val="00632183"/>
    <w:rsid w:val="00632299"/>
    <w:rsid w:val="006324FB"/>
    <w:rsid w:val="0063287F"/>
    <w:rsid w:val="00632EB8"/>
    <w:rsid w:val="006330A1"/>
    <w:rsid w:val="006334E3"/>
    <w:rsid w:val="00634759"/>
    <w:rsid w:val="0063479F"/>
    <w:rsid w:val="006348B5"/>
    <w:rsid w:val="00634979"/>
    <w:rsid w:val="00634BA7"/>
    <w:rsid w:val="006353F0"/>
    <w:rsid w:val="0063558B"/>
    <w:rsid w:val="006357B5"/>
    <w:rsid w:val="00635D35"/>
    <w:rsid w:val="006364A1"/>
    <w:rsid w:val="0063663F"/>
    <w:rsid w:val="0063678E"/>
    <w:rsid w:val="00637AB6"/>
    <w:rsid w:val="00637BFD"/>
    <w:rsid w:val="00637C5C"/>
    <w:rsid w:val="00637EAD"/>
    <w:rsid w:val="006401CE"/>
    <w:rsid w:val="006402CB"/>
    <w:rsid w:val="00641058"/>
    <w:rsid w:val="00641C4E"/>
    <w:rsid w:val="00641FB3"/>
    <w:rsid w:val="00642A68"/>
    <w:rsid w:val="006430E8"/>
    <w:rsid w:val="00643DAB"/>
    <w:rsid w:val="0064434C"/>
    <w:rsid w:val="006443C8"/>
    <w:rsid w:val="00644EBA"/>
    <w:rsid w:val="00645E18"/>
    <w:rsid w:val="0064669D"/>
    <w:rsid w:val="00646942"/>
    <w:rsid w:val="006471CC"/>
    <w:rsid w:val="006472FE"/>
    <w:rsid w:val="006477A1"/>
    <w:rsid w:val="00647A29"/>
    <w:rsid w:val="0065079F"/>
    <w:rsid w:val="0065136D"/>
    <w:rsid w:val="00651B59"/>
    <w:rsid w:val="006526E1"/>
    <w:rsid w:val="006528E4"/>
    <w:rsid w:val="00652A28"/>
    <w:rsid w:val="00652AFF"/>
    <w:rsid w:val="00652BC0"/>
    <w:rsid w:val="00652E58"/>
    <w:rsid w:val="0065379F"/>
    <w:rsid w:val="00653B88"/>
    <w:rsid w:val="00653FB3"/>
    <w:rsid w:val="00654972"/>
    <w:rsid w:val="00655E67"/>
    <w:rsid w:val="00656188"/>
    <w:rsid w:val="00656A2C"/>
    <w:rsid w:val="0065715A"/>
    <w:rsid w:val="00657D23"/>
    <w:rsid w:val="0066017D"/>
    <w:rsid w:val="00660542"/>
    <w:rsid w:val="00660C1E"/>
    <w:rsid w:val="006610F1"/>
    <w:rsid w:val="00661999"/>
    <w:rsid w:val="00661C6B"/>
    <w:rsid w:val="00662CAF"/>
    <w:rsid w:val="00662D3E"/>
    <w:rsid w:val="006639BD"/>
    <w:rsid w:val="006644C8"/>
    <w:rsid w:val="00664918"/>
    <w:rsid w:val="00665243"/>
    <w:rsid w:val="006652C4"/>
    <w:rsid w:val="00665562"/>
    <w:rsid w:val="00666FC2"/>
    <w:rsid w:val="00667A07"/>
    <w:rsid w:val="00667A20"/>
    <w:rsid w:val="00667BE3"/>
    <w:rsid w:val="0067036E"/>
    <w:rsid w:val="00671004"/>
    <w:rsid w:val="00671005"/>
    <w:rsid w:val="006710D8"/>
    <w:rsid w:val="00671804"/>
    <w:rsid w:val="00671A44"/>
    <w:rsid w:val="00672646"/>
    <w:rsid w:val="006727ED"/>
    <w:rsid w:val="006728A6"/>
    <w:rsid w:val="006728D4"/>
    <w:rsid w:val="0067305A"/>
    <w:rsid w:val="00673A9B"/>
    <w:rsid w:val="00674349"/>
    <w:rsid w:val="00674567"/>
    <w:rsid w:val="00674E42"/>
    <w:rsid w:val="00675AEA"/>
    <w:rsid w:val="00675EC6"/>
    <w:rsid w:val="00676563"/>
    <w:rsid w:val="00676B4A"/>
    <w:rsid w:val="00676F1D"/>
    <w:rsid w:val="006776FD"/>
    <w:rsid w:val="00677B6C"/>
    <w:rsid w:val="00680C70"/>
    <w:rsid w:val="0068116D"/>
    <w:rsid w:val="006813F8"/>
    <w:rsid w:val="00681829"/>
    <w:rsid w:val="00681844"/>
    <w:rsid w:val="00682112"/>
    <w:rsid w:val="006829F5"/>
    <w:rsid w:val="00682BA6"/>
    <w:rsid w:val="00683675"/>
    <w:rsid w:val="00683C8E"/>
    <w:rsid w:val="00683CD1"/>
    <w:rsid w:val="00684868"/>
    <w:rsid w:val="00684AA2"/>
    <w:rsid w:val="00686957"/>
    <w:rsid w:val="00686E23"/>
    <w:rsid w:val="006872BA"/>
    <w:rsid w:val="00690795"/>
    <w:rsid w:val="00690B05"/>
    <w:rsid w:val="00690B0D"/>
    <w:rsid w:val="00690D70"/>
    <w:rsid w:val="00690D93"/>
    <w:rsid w:val="00691648"/>
    <w:rsid w:val="006917D7"/>
    <w:rsid w:val="00692D08"/>
    <w:rsid w:val="00693796"/>
    <w:rsid w:val="006942DE"/>
    <w:rsid w:val="0069434C"/>
    <w:rsid w:val="00694653"/>
    <w:rsid w:val="00694F44"/>
    <w:rsid w:val="00695FB1"/>
    <w:rsid w:val="00695FD0"/>
    <w:rsid w:val="00696EF9"/>
    <w:rsid w:val="00696F51"/>
    <w:rsid w:val="00697788"/>
    <w:rsid w:val="006977D0"/>
    <w:rsid w:val="006979A5"/>
    <w:rsid w:val="00697C7E"/>
    <w:rsid w:val="006A016F"/>
    <w:rsid w:val="006A070B"/>
    <w:rsid w:val="006A0AEF"/>
    <w:rsid w:val="006A0DF7"/>
    <w:rsid w:val="006A10BA"/>
    <w:rsid w:val="006A1179"/>
    <w:rsid w:val="006A14C0"/>
    <w:rsid w:val="006A25AC"/>
    <w:rsid w:val="006A277A"/>
    <w:rsid w:val="006A338F"/>
    <w:rsid w:val="006A4321"/>
    <w:rsid w:val="006A43D9"/>
    <w:rsid w:val="006A4D28"/>
    <w:rsid w:val="006A6847"/>
    <w:rsid w:val="006A6B99"/>
    <w:rsid w:val="006A7031"/>
    <w:rsid w:val="006A71F2"/>
    <w:rsid w:val="006A7884"/>
    <w:rsid w:val="006A7B62"/>
    <w:rsid w:val="006A7E5F"/>
    <w:rsid w:val="006B03D6"/>
    <w:rsid w:val="006B03D8"/>
    <w:rsid w:val="006B1580"/>
    <w:rsid w:val="006B1B53"/>
    <w:rsid w:val="006B202C"/>
    <w:rsid w:val="006B239A"/>
    <w:rsid w:val="006B261B"/>
    <w:rsid w:val="006B26D1"/>
    <w:rsid w:val="006B285F"/>
    <w:rsid w:val="006B2C90"/>
    <w:rsid w:val="006B35E6"/>
    <w:rsid w:val="006B36C1"/>
    <w:rsid w:val="006B37D6"/>
    <w:rsid w:val="006B3EDF"/>
    <w:rsid w:val="006B415F"/>
    <w:rsid w:val="006B465A"/>
    <w:rsid w:val="006B4919"/>
    <w:rsid w:val="006B49C1"/>
    <w:rsid w:val="006B4AC8"/>
    <w:rsid w:val="006B52B3"/>
    <w:rsid w:val="006B52D6"/>
    <w:rsid w:val="006B54F2"/>
    <w:rsid w:val="006B55D4"/>
    <w:rsid w:val="006B68A7"/>
    <w:rsid w:val="006B69AC"/>
    <w:rsid w:val="006B6DD0"/>
    <w:rsid w:val="006B77EF"/>
    <w:rsid w:val="006C0399"/>
    <w:rsid w:val="006C097B"/>
    <w:rsid w:val="006C0EAE"/>
    <w:rsid w:val="006C1B24"/>
    <w:rsid w:val="006C235D"/>
    <w:rsid w:val="006C269A"/>
    <w:rsid w:val="006C2A8E"/>
    <w:rsid w:val="006C2AF9"/>
    <w:rsid w:val="006C3255"/>
    <w:rsid w:val="006C3B30"/>
    <w:rsid w:val="006C3F26"/>
    <w:rsid w:val="006C43A9"/>
    <w:rsid w:val="006C4D4B"/>
    <w:rsid w:val="006C5A63"/>
    <w:rsid w:val="006C635A"/>
    <w:rsid w:val="006C6C50"/>
    <w:rsid w:val="006D0031"/>
    <w:rsid w:val="006D0D17"/>
    <w:rsid w:val="006D1640"/>
    <w:rsid w:val="006D171E"/>
    <w:rsid w:val="006D2633"/>
    <w:rsid w:val="006D3C7D"/>
    <w:rsid w:val="006D4659"/>
    <w:rsid w:val="006D4B2C"/>
    <w:rsid w:val="006D4E10"/>
    <w:rsid w:val="006D55BB"/>
    <w:rsid w:val="006D55E0"/>
    <w:rsid w:val="006D5D5F"/>
    <w:rsid w:val="006D5FFE"/>
    <w:rsid w:val="006D68FB"/>
    <w:rsid w:val="006D6D7C"/>
    <w:rsid w:val="006D7F69"/>
    <w:rsid w:val="006E08C7"/>
    <w:rsid w:val="006E1485"/>
    <w:rsid w:val="006E2019"/>
    <w:rsid w:val="006E2304"/>
    <w:rsid w:val="006E232C"/>
    <w:rsid w:val="006E23B3"/>
    <w:rsid w:val="006E2868"/>
    <w:rsid w:val="006E2AB6"/>
    <w:rsid w:val="006E302B"/>
    <w:rsid w:val="006E3948"/>
    <w:rsid w:val="006E3F3F"/>
    <w:rsid w:val="006E5135"/>
    <w:rsid w:val="006E5D63"/>
    <w:rsid w:val="006E63A0"/>
    <w:rsid w:val="006E70B5"/>
    <w:rsid w:val="006F0243"/>
    <w:rsid w:val="006F1816"/>
    <w:rsid w:val="006F18F4"/>
    <w:rsid w:val="006F19D3"/>
    <w:rsid w:val="006F2519"/>
    <w:rsid w:val="006F2618"/>
    <w:rsid w:val="006F265C"/>
    <w:rsid w:val="006F306C"/>
    <w:rsid w:val="006F3100"/>
    <w:rsid w:val="006F3588"/>
    <w:rsid w:val="006F39A1"/>
    <w:rsid w:val="006F3F0A"/>
    <w:rsid w:val="006F508B"/>
    <w:rsid w:val="006F5192"/>
    <w:rsid w:val="006F51CB"/>
    <w:rsid w:val="006F553C"/>
    <w:rsid w:val="006F63A5"/>
    <w:rsid w:val="006F6608"/>
    <w:rsid w:val="006F6DA9"/>
    <w:rsid w:val="006F75E0"/>
    <w:rsid w:val="007007BF"/>
    <w:rsid w:val="0070142B"/>
    <w:rsid w:val="00702524"/>
    <w:rsid w:val="0070276E"/>
    <w:rsid w:val="00702DE5"/>
    <w:rsid w:val="00702F8F"/>
    <w:rsid w:val="00703711"/>
    <w:rsid w:val="00704055"/>
    <w:rsid w:val="00704774"/>
    <w:rsid w:val="00704C1C"/>
    <w:rsid w:val="007053DC"/>
    <w:rsid w:val="007058EC"/>
    <w:rsid w:val="00705B75"/>
    <w:rsid w:val="00706626"/>
    <w:rsid w:val="00706ABE"/>
    <w:rsid w:val="007079FC"/>
    <w:rsid w:val="00707F59"/>
    <w:rsid w:val="00710360"/>
    <w:rsid w:val="00711A36"/>
    <w:rsid w:val="007125D3"/>
    <w:rsid w:val="007129EA"/>
    <w:rsid w:val="00713FAD"/>
    <w:rsid w:val="00714C26"/>
    <w:rsid w:val="0071529C"/>
    <w:rsid w:val="00715F9E"/>
    <w:rsid w:val="00715FF0"/>
    <w:rsid w:val="0071651E"/>
    <w:rsid w:val="007165F7"/>
    <w:rsid w:val="00716FD4"/>
    <w:rsid w:val="007170DA"/>
    <w:rsid w:val="007172AD"/>
    <w:rsid w:val="00717546"/>
    <w:rsid w:val="00717775"/>
    <w:rsid w:val="0072050D"/>
    <w:rsid w:val="00720801"/>
    <w:rsid w:val="0072082D"/>
    <w:rsid w:val="00720DA6"/>
    <w:rsid w:val="00721216"/>
    <w:rsid w:val="00721588"/>
    <w:rsid w:val="00721782"/>
    <w:rsid w:val="007218C1"/>
    <w:rsid w:val="00721920"/>
    <w:rsid w:val="00722552"/>
    <w:rsid w:val="00722B1B"/>
    <w:rsid w:val="00722C0E"/>
    <w:rsid w:val="00722CFF"/>
    <w:rsid w:val="0072383C"/>
    <w:rsid w:val="00723B30"/>
    <w:rsid w:val="0072416F"/>
    <w:rsid w:val="00724DF2"/>
    <w:rsid w:val="007259CA"/>
    <w:rsid w:val="00725A3D"/>
    <w:rsid w:val="00727C94"/>
    <w:rsid w:val="00727F84"/>
    <w:rsid w:val="00730006"/>
    <w:rsid w:val="00730218"/>
    <w:rsid w:val="00730D79"/>
    <w:rsid w:val="00731262"/>
    <w:rsid w:val="00731B0A"/>
    <w:rsid w:val="00731EAE"/>
    <w:rsid w:val="00732524"/>
    <w:rsid w:val="00732900"/>
    <w:rsid w:val="00732B2B"/>
    <w:rsid w:val="00733073"/>
    <w:rsid w:val="0073383A"/>
    <w:rsid w:val="00734468"/>
    <w:rsid w:val="00734563"/>
    <w:rsid w:val="00734612"/>
    <w:rsid w:val="00734C40"/>
    <w:rsid w:val="00734C87"/>
    <w:rsid w:val="00735033"/>
    <w:rsid w:val="00735328"/>
    <w:rsid w:val="0073685B"/>
    <w:rsid w:val="00736C0F"/>
    <w:rsid w:val="00736E82"/>
    <w:rsid w:val="00736EE3"/>
    <w:rsid w:val="00736FF8"/>
    <w:rsid w:val="00737772"/>
    <w:rsid w:val="00737791"/>
    <w:rsid w:val="007403D6"/>
    <w:rsid w:val="00740F24"/>
    <w:rsid w:val="007428AD"/>
    <w:rsid w:val="0074358D"/>
    <w:rsid w:val="007440A7"/>
    <w:rsid w:val="0074448D"/>
    <w:rsid w:val="007449BF"/>
    <w:rsid w:val="007454A8"/>
    <w:rsid w:val="0074594F"/>
    <w:rsid w:val="00745B48"/>
    <w:rsid w:val="00746118"/>
    <w:rsid w:val="007463FE"/>
    <w:rsid w:val="007464D4"/>
    <w:rsid w:val="00746553"/>
    <w:rsid w:val="007467AA"/>
    <w:rsid w:val="007468CD"/>
    <w:rsid w:val="00746BC0"/>
    <w:rsid w:val="00746D2D"/>
    <w:rsid w:val="00746DCB"/>
    <w:rsid w:val="00747385"/>
    <w:rsid w:val="00747A20"/>
    <w:rsid w:val="007503F4"/>
    <w:rsid w:val="007504B2"/>
    <w:rsid w:val="007510B4"/>
    <w:rsid w:val="00751458"/>
    <w:rsid w:val="0075152D"/>
    <w:rsid w:val="00751F83"/>
    <w:rsid w:val="00752142"/>
    <w:rsid w:val="007523F9"/>
    <w:rsid w:val="00752773"/>
    <w:rsid w:val="0075296A"/>
    <w:rsid w:val="00752B09"/>
    <w:rsid w:val="00753350"/>
    <w:rsid w:val="0075357E"/>
    <w:rsid w:val="00753833"/>
    <w:rsid w:val="00753988"/>
    <w:rsid w:val="00753B29"/>
    <w:rsid w:val="00753BA8"/>
    <w:rsid w:val="00753CD6"/>
    <w:rsid w:val="0075407B"/>
    <w:rsid w:val="00754B03"/>
    <w:rsid w:val="00755B18"/>
    <w:rsid w:val="00755E3A"/>
    <w:rsid w:val="007565D7"/>
    <w:rsid w:val="007573E8"/>
    <w:rsid w:val="00757CF5"/>
    <w:rsid w:val="00760958"/>
    <w:rsid w:val="00760C4E"/>
    <w:rsid w:val="00760F9E"/>
    <w:rsid w:val="007616E6"/>
    <w:rsid w:val="0076277B"/>
    <w:rsid w:val="007627BE"/>
    <w:rsid w:val="00763DB8"/>
    <w:rsid w:val="007646DC"/>
    <w:rsid w:val="00764A71"/>
    <w:rsid w:val="00764C7C"/>
    <w:rsid w:val="00764F03"/>
    <w:rsid w:val="00765462"/>
    <w:rsid w:val="00765B1A"/>
    <w:rsid w:val="00765B29"/>
    <w:rsid w:val="00765C6E"/>
    <w:rsid w:val="00765DC1"/>
    <w:rsid w:val="0076613A"/>
    <w:rsid w:val="00766263"/>
    <w:rsid w:val="00766330"/>
    <w:rsid w:val="007663FB"/>
    <w:rsid w:val="00766C84"/>
    <w:rsid w:val="00766D2A"/>
    <w:rsid w:val="00766F96"/>
    <w:rsid w:val="0077082E"/>
    <w:rsid w:val="0077087D"/>
    <w:rsid w:val="00771884"/>
    <w:rsid w:val="0077251C"/>
    <w:rsid w:val="0077270B"/>
    <w:rsid w:val="00772B0B"/>
    <w:rsid w:val="00775202"/>
    <w:rsid w:val="00775211"/>
    <w:rsid w:val="007755C0"/>
    <w:rsid w:val="00775BCF"/>
    <w:rsid w:val="00776A29"/>
    <w:rsid w:val="00776BDC"/>
    <w:rsid w:val="00776DA7"/>
    <w:rsid w:val="0077703D"/>
    <w:rsid w:val="00777335"/>
    <w:rsid w:val="0078020F"/>
    <w:rsid w:val="00780473"/>
    <w:rsid w:val="007809CA"/>
    <w:rsid w:val="00780B37"/>
    <w:rsid w:val="00780FF0"/>
    <w:rsid w:val="00781260"/>
    <w:rsid w:val="007813A8"/>
    <w:rsid w:val="00781D4A"/>
    <w:rsid w:val="007821EB"/>
    <w:rsid w:val="00782889"/>
    <w:rsid w:val="00782B07"/>
    <w:rsid w:val="00782F65"/>
    <w:rsid w:val="007833E0"/>
    <w:rsid w:val="00783536"/>
    <w:rsid w:val="007843F2"/>
    <w:rsid w:val="0078453A"/>
    <w:rsid w:val="0078460B"/>
    <w:rsid w:val="007846FA"/>
    <w:rsid w:val="0078528F"/>
    <w:rsid w:val="007852CB"/>
    <w:rsid w:val="007856E3"/>
    <w:rsid w:val="00785A9F"/>
    <w:rsid w:val="00785E61"/>
    <w:rsid w:val="00786572"/>
    <w:rsid w:val="00786D43"/>
    <w:rsid w:val="00786DCC"/>
    <w:rsid w:val="00786ED7"/>
    <w:rsid w:val="007877BF"/>
    <w:rsid w:val="00790A63"/>
    <w:rsid w:val="00790B8F"/>
    <w:rsid w:val="00791D71"/>
    <w:rsid w:val="007925DF"/>
    <w:rsid w:val="00793BA2"/>
    <w:rsid w:val="007943E0"/>
    <w:rsid w:val="00794A5B"/>
    <w:rsid w:val="00794E89"/>
    <w:rsid w:val="00794F70"/>
    <w:rsid w:val="00795096"/>
    <w:rsid w:val="0079572A"/>
    <w:rsid w:val="007962A7"/>
    <w:rsid w:val="007967AC"/>
    <w:rsid w:val="00797255"/>
    <w:rsid w:val="007A046C"/>
    <w:rsid w:val="007A08AA"/>
    <w:rsid w:val="007A0A12"/>
    <w:rsid w:val="007A1256"/>
    <w:rsid w:val="007A12C6"/>
    <w:rsid w:val="007A132D"/>
    <w:rsid w:val="007A1345"/>
    <w:rsid w:val="007A13A3"/>
    <w:rsid w:val="007A1957"/>
    <w:rsid w:val="007A1BBC"/>
    <w:rsid w:val="007A2B3A"/>
    <w:rsid w:val="007A2DDB"/>
    <w:rsid w:val="007A3AA4"/>
    <w:rsid w:val="007A3DE0"/>
    <w:rsid w:val="007A4132"/>
    <w:rsid w:val="007A528B"/>
    <w:rsid w:val="007A5320"/>
    <w:rsid w:val="007A55B6"/>
    <w:rsid w:val="007A5B0C"/>
    <w:rsid w:val="007A602E"/>
    <w:rsid w:val="007A6820"/>
    <w:rsid w:val="007A70BA"/>
    <w:rsid w:val="007A7909"/>
    <w:rsid w:val="007A7CDB"/>
    <w:rsid w:val="007B0287"/>
    <w:rsid w:val="007B04AD"/>
    <w:rsid w:val="007B0D68"/>
    <w:rsid w:val="007B1068"/>
    <w:rsid w:val="007B152F"/>
    <w:rsid w:val="007B17E0"/>
    <w:rsid w:val="007B1A98"/>
    <w:rsid w:val="007B24BD"/>
    <w:rsid w:val="007B251D"/>
    <w:rsid w:val="007B301D"/>
    <w:rsid w:val="007B32B6"/>
    <w:rsid w:val="007B3533"/>
    <w:rsid w:val="007B3A43"/>
    <w:rsid w:val="007B4E4B"/>
    <w:rsid w:val="007B4F58"/>
    <w:rsid w:val="007B528D"/>
    <w:rsid w:val="007B5338"/>
    <w:rsid w:val="007B5570"/>
    <w:rsid w:val="007B63CA"/>
    <w:rsid w:val="007B69DB"/>
    <w:rsid w:val="007B77D1"/>
    <w:rsid w:val="007B7C36"/>
    <w:rsid w:val="007C00E1"/>
    <w:rsid w:val="007C07C7"/>
    <w:rsid w:val="007C10CA"/>
    <w:rsid w:val="007C12D3"/>
    <w:rsid w:val="007C14FB"/>
    <w:rsid w:val="007C1A38"/>
    <w:rsid w:val="007C1CD9"/>
    <w:rsid w:val="007C27FB"/>
    <w:rsid w:val="007C2C51"/>
    <w:rsid w:val="007C3017"/>
    <w:rsid w:val="007C32EF"/>
    <w:rsid w:val="007C3346"/>
    <w:rsid w:val="007C361D"/>
    <w:rsid w:val="007C3944"/>
    <w:rsid w:val="007C3D06"/>
    <w:rsid w:val="007C3D77"/>
    <w:rsid w:val="007C46AA"/>
    <w:rsid w:val="007C4B84"/>
    <w:rsid w:val="007C5096"/>
    <w:rsid w:val="007C6119"/>
    <w:rsid w:val="007C62E3"/>
    <w:rsid w:val="007C64E6"/>
    <w:rsid w:val="007C7023"/>
    <w:rsid w:val="007C70FF"/>
    <w:rsid w:val="007C7C25"/>
    <w:rsid w:val="007D004F"/>
    <w:rsid w:val="007D035F"/>
    <w:rsid w:val="007D06B2"/>
    <w:rsid w:val="007D0B38"/>
    <w:rsid w:val="007D0EEF"/>
    <w:rsid w:val="007D2ABE"/>
    <w:rsid w:val="007D3636"/>
    <w:rsid w:val="007D3D70"/>
    <w:rsid w:val="007D5440"/>
    <w:rsid w:val="007D5D9A"/>
    <w:rsid w:val="007D649B"/>
    <w:rsid w:val="007D654B"/>
    <w:rsid w:val="007D6675"/>
    <w:rsid w:val="007D69EB"/>
    <w:rsid w:val="007D73C1"/>
    <w:rsid w:val="007E11D3"/>
    <w:rsid w:val="007E128F"/>
    <w:rsid w:val="007E1D26"/>
    <w:rsid w:val="007E2395"/>
    <w:rsid w:val="007E2669"/>
    <w:rsid w:val="007E32A4"/>
    <w:rsid w:val="007E3704"/>
    <w:rsid w:val="007E4C82"/>
    <w:rsid w:val="007E4CBA"/>
    <w:rsid w:val="007E5446"/>
    <w:rsid w:val="007E65B4"/>
    <w:rsid w:val="007E6F93"/>
    <w:rsid w:val="007E7B62"/>
    <w:rsid w:val="007F08C7"/>
    <w:rsid w:val="007F0F8A"/>
    <w:rsid w:val="007F1017"/>
    <w:rsid w:val="007F1861"/>
    <w:rsid w:val="007F2162"/>
    <w:rsid w:val="007F2249"/>
    <w:rsid w:val="007F258D"/>
    <w:rsid w:val="007F2769"/>
    <w:rsid w:val="007F29E2"/>
    <w:rsid w:val="007F413A"/>
    <w:rsid w:val="007F4A3F"/>
    <w:rsid w:val="007F4A61"/>
    <w:rsid w:val="007F4F51"/>
    <w:rsid w:val="007F5255"/>
    <w:rsid w:val="007F56CC"/>
    <w:rsid w:val="007F61C2"/>
    <w:rsid w:val="007F7E8F"/>
    <w:rsid w:val="007F7F50"/>
    <w:rsid w:val="00800149"/>
    <w:rsid w:val="008001B8"/>
    <w:rsid w:val="00800DC9"/>
    <w:rsid w:val="00801079"/>
    <w:rsid w:val="0080205B"/>
    <w:rsid w:val="00802425"/>
    <w:rsid w:val="0080254D"/>
    <w:rsid w:val="00802BCA"/>
    <w:rsid w:val="008034D4"/>
    <w:rsid w:val="0080449E"/>
    <w:rsid w:val="00804E48"/>
    <w:rsid w:val="00805142"/>
    <w:rsid w:val="0080566B"/>
    <w:rsid w:val="00805C70"/>
    <w:rsid w:val="00805FCE"/>
    <w:rsid w:val="008065A5"/>
    <w:rsid w:val="00806642"/>
    <w:rsid w:val="00806C1D"/>
    <w:rsid w:val="00806E64"/>
    <w:rsid w:val="00807450"/>
    <w:rsid w:val="00807A8B"/>
    <w:rsid w:val="008103D0"/>
    <w:rsid w:val="0081050D"/>
    <w:rsid w:val="00810885"/>
    <w:rsid w:val="00811383"/>
    <w:rsid w:val="0081183F"/>
    <w:rsid w:val="00812149"/>
    <w:rsid w:val="008124D3"/>
    <w:rsid w:val="00812BB1"/>
    <w:rsid w:val="00812CAC"/>
    <w:rsid w:val="0081425D"/>
    <w:rsid w:val="0081444B"/>
    <w:rsid w:val="00814CE2"/>
    <w:rsid w:val="00815616"/>
    <w:rsid w:val="008158B6"/>
    <w:rsid w:val="00816361"/>
    <w:rsid w:val="00816385"/>
    <w:rsid w:val="008166EF"/>
    <w:rsid w:val="00816B25"/>
    <w:rsid w:val="00816E3C"/>
    <w:rsid w:val="00816FEF"/>
    <w:rsid w:val="008176F6"/>
    <w:rsid w:val="008177A1"/>
    <w:rsid w:val="00817CC6"/>
    <w:rsid w:val="008203B6"/>
    <w:rsid w:val="00820A8C"/>
    <w:rsid w:val="008215FB"/>
    <w:rsid w:val="0082182E"/>
    <w:rsid w:val="00821844"/>
    <w:rsid w:val="008218E3"/>
    <w:rsid w:val="008220CC"/>
    <w:rsid w:val="0082223F"/>
    <w:rsid w:val="00822DBD"/>
    <w:rsid w:val="00823070"/>
    <w:rsid w:val="00823174"/>
    <w:rsid w:val="008231AC"/>
    <w:rsid w:val="008232F1"/>
    <w:rsid w:val="00823AA9"/>
    <w:rsid w:val="00823EE3"/>
    <w:rsid w:val="0082414D"/>
    <w:rsid w:val="008243E6"/>
    <w:rsid w:val="00824A7B"/>
    <w:rsid w:val="00824E24"/>
    <w:rsid w:val="00824E8D"/>
    <w:rsid w:val="00825604"/>
    <w:rsid w:val="008256B8"/>
    <w:rsid w:val="00825751"/>
    <w:rsid w:val="0082611D"/>
    <w:rsid w:val="008264EB"/>
    <w:rsid w:val="00826616"/>
    <w:rsid w:val="008268CE"/>
    <w:rsid w:val="00827B5C"/>
    <w:rsid w:val="00827C23"/>
    <w:rsid w:val="00827EB3"/>
    <w:rsid w:val="00830A52"/>
    <w:rsid w:val="0083169D"/>
    <w:rsid w:val="008317AA"/>
    <w:rsid w:val="00831D37"/>
    <w:rsid w:val="008324D8"/>
    <w:rsid w:val="00832FE4"/>
    <w:rsid w:val="008333D3"/>
    <w:rsid w:val="00833B05"/>
    <w:rsid w:val="00833B51"/>
    <w:rsid w:val="00834C8C"/>
    <w:rsid w:val="00835C8D"/>
    <w:rsid w:val="00835EFF"/>
    <w:rsid w:val="008362B4"/>
    <w:rsid w:val="00837054"/>
    <w:rsid w:val="0083770F"/>
    <w:rsid w:val="00837F95"/>
    <w:rsid w:val="00840CA2"/>
    <w:rsid w:val="008412C3"/>
    <w:rsid w:val="008413B6"/>
    <w:rsid w:val="00841651"/>
    <w:rsid w:val="008416AE"/>
    <w:rsid w:val="00841D92"/>
    <w:rsid w:val="0084345D"/>
    <w:rsid w:val="0084374F"/>
    <w:rsid w:val="00843769"/>
    <w:rsid w:val="00843B88"/>
    <w:rsid w:val="00843EE0"/>
    <w:rsid w:val="008441C8"/>
    <w:rsid w:val="00844A22"/>
    <w:rsid w:val="00844E4B"/>
    <w:rsid w:val="00844F81"/>
    <w:rsid w:val="00844FA2"/>
    <w:rsid w:val="0084699B"/>
    <w:rsid w:val="00846C80"/>
    <w:rsid w:val="00847703"/>
    <w:rsid w:val="00847DF5"/>
    <w:rsid w:val="0085019B"/>
    <w:rsid w:val="00851147"/>
    <w:rsid w:val="0085162E"/>
    <w:rsid w:val="0085173F"/>
    <w:rsid w:val="0085309D"/>
    <w:rsid w:val="00853433"/>
    <w:rsid w:val="008549AE"/>
    <w:rsid w:val="00854BF0"/>
    <w:rsid w:val="00854DD0"/>
    <w:rsid w:val="00855D07"/>
    <w:rsid w:val="0085610A"/>
    <w:rsid w:val="008565EE"/>
    <w:rsid w:val="0085667C"/>
    <w:rsid w:val="00856897"/>
    <w:rsid w:val="00856E21"/>
    <w:rsid w:val="00856E9A"/>
    <w:rsid w:val="00857234"/>
    <w:rsid w:val="0085754F"/>
    <w:rsid w:val="0086075D"/>
    <w:rsid w:val="00861254"/>
    <w:rsid w:val="00861325"/>
    <w:rsid w:val="00861356"/>
    <w:rsid w:val="00861E5D"/>
    <w:rsid w:val="00861E97"/>
    <w:rsid w:val="008623BE"/>
    <w:rsid w:val="00862502"/>
    <w:rsid w:val="00862AF4"/>
    <w:rsid w:val="00862CC1"/>
    <w:rsid w:val="00863324"/>
    <w:rsid w:val="0086378A"/>
    <w:rsid w:val="008642A7"/>
    <w:rsid w:val="008649D8"/>
    <w:rsid w:val="00864F04"/>
    <w:rsid w:val="0086573C"/>
    <w:rsid w:val="00865D31"/>
    <w:rsid w:val="008660D4"/>
    <w:rsid w:val="00866AC7"/>
    <w:rsid w:val="008672B1"/>
    <w:rsid w:val="008705D1"/>
    <w:rsid w:val="00871FA9"/>
    <w:rsid w:val="0087245A"/>
    <w:rsid w:val="0087265F"/>
    <w:rsid w:val="008728E9"/>
    <w:rsid w:val="00872915"/>
    <w:rsid w:val="00872A45"/>
    <w:rsid w:val="00873A1E"/>
    <w:rsid w:val="008743F7"/>
    <w:rsid w:val="0087535C"/>
    <w:rsid w:val="008756AF"/>
    <w:rsid w:val="00875E1B"/>
    <w:rsid w:val="0087704A"/>
    <w:rsid w:val="00877579"/>
    <w:rsid w:val="00877AD3"/>
    <w:rsid w:val="00877EC9"/>
    <w:rsid w:val="00880285"/>
    <w:rsid w:val="0088052B"/>
    <w:rsid w:val="008818FA"/>
    <w:rsid w:val="00881CEF"/>
    <w:rsid w:val="0088274E"/>
    <w:rsid w:val="00882874"/>
    <w:rsid w:val="0088298C"/>
    <w:rsid w:val="00882B93"/>
    <w:rsid w:val="00882E3C"/>
    <w:rsid w:val="0088303C"/>
    <w:rsid w:val="0088308A"/>
    <w:rsid w:val="00883149"/>
    <w:rsid w:val="00883415"/>
    <w:rsid w:val="00883787"/>
    <w:rsid w:val="00884239"/>
    <w:rsid w:val="008850ED"/>
    <w:rsid w:val="008855E4"/>
    <w:rsid w:val="00886BAC"/>
    <w:rsid w:val="00886CD2"/>
    <w:rsid w:val="00886F00"/>
    <w:rsid w:val="008877AD"/>
    <w:rsid w:val="00890833"/>
    <w:rsid w:val="00890953"/>
    <w:rsid w:val="00891275"/>
    <w:rsid w:val="00891E6F"/>
    <w:rsid w:val="00891EE5"/>
    <w:rsid w:val="0089275D"/>
    <w:rsid w:val="00892A36"/>
    <w:rsid w:val="00892A8F"/>
    <w:rsid w:val="00893239"/>
    <w:rsid w:val="00893BFA"/>
    <w:rsid w:val="00894081"/>
    <w:rsid w:val="0089420E"/>
    <w:rsid w:val="00894489"/>
    <w:rsid w:val="00894CD6"/>
    <w:rsid w:val="00895CBA"/>
    <w:rsid w:val="008963A5"/>
    <w:rsid w:val="00896727"/>
    <w:rsid w:val="00896D51"/>
    <w:rsid w:val="00896D5D"/>
    <w:rsid w:val="0089701C"/>
    <w:rsid w:val="008973D9"/>
    <w:rsid w:val="008A0667"/>
    <w:rsid w:val="008A08C2"/>
    <w:rsid w:val="008A0B2A"/>
    <w:rsid w:val="008A0B93"/>
    <w:rsid w:val="008A0DCB"/>
    <w:rsid w:val="008A0EDE"/>
    <w:rsid w:val="008A15E8"/>
    <w:rsid w:val="008A19B1"/>
    <w:rsid w:val="008A1EAA"/>
    <w:rsid w:val="008A2B7F"/>
    <w:rsid w:val="008A3020"/>
    <w:rsid w:val="008A3158"/>
    <w:rsid w:val="008A3363"/>
    <w:rsid w:val="008A3371"/>
    <w:rsid w:val="008A3A77"/>
    <w:rsid w:val="008A3C3E"/>
    <w:rsid w:val="008A406D"/>
    <w:rsid w:val="008A41BC"/>
    <w:rsid w:val="008A60C6"/>
    <w:rsid w:val="008A646D"/>
    <w:rsid w:val="008A686F"/>
    <w:rsid w:val="008A71ED"/>
    <w:rsid w:val="008A79DE"/>
    <w:rsid w:val="008B00D5"/>
    <w:rsid w:val="008B011C"/>
    <w:rsid w:val="008B1507"/>
    <w:rsid w:val="008B1757"/>
    <w:rsid w:val="008B1A7E"/>
    <w:rsid w:val="008B1C33"/>
    <w:rsid w:val="008B1FB9"/>
    <w:rsid w:val="008B20DE"/>
    <w:rsid w:val="008B32E0"/>
    <w:rsid w:val="008B4B6F"/>
    <w:rsid w:val="008B4CB7"/>
    <w:rsid w:val="008B4DF5"/>
    <w:rsid w:val="008B4FB4"/>
    <w:rsid w:val="008B64FC"/>
    <w:rsid w:val="008B6556"/>
    <w:rsid w:val="008B7992"/>
    <w:rsid w:val="008B7BCC"/>
    <w:rsid w:val="008B7BFE"/>
    <w:rsid w:val="008B7C6F"/>
    <w:rsid w:val="008B7D7E"/>
    <w:rsid w:val="008C04DB"/>
    <w:rsid w:val="008C058E"/>
    <w:rsid w:val="008C114A"/>
    <w:rsid w:val="008C125F"/>
    <w:rsid w:val="008C1393"/>
    <w:rsid w:val="008C14CC"/>
    <w:rsid w:val="008C19C2"/>
    <w:rsid w:val="008C28FE"/>
    <w:rsid w:val="008C2AFB"/>
    <w:rsid w:val="008C2FED"/>
    <w:rsid w:val="008C3B71"/>
    <w:rsid w:val="008C4F75"/>
    <w:rsid w:val="008C5035"/>
    <w:rsid w:val="008C523E"/>
    <w:rsid w:val="008C5610"/>
    <w:rsid w:val="008C5739"/>
    <w:rsid w:val="008C6759"/>
    <w:rsid w:val="008C67A9"/>
    <w:rsid w:val="008C6858"/>
    <w:rsid w:val="008C68B5"/>
    <w:rsid w:val="008C7135"/>
    <w:rsid w:val="008C7282"/>
    <w:rsid w:val="008C739C"/>
    <w:rsid w:val="008C795E"/>
    <w:rsid w:val="008C7ECB"/>
    <w:rsid w:val="008D05E7"/>
    <w:rsid w:val="008D08F2"/>
    <w:rsid w:val="008D0AE6"/>
    <w:rsid w:val="008D0BC6"/>
    <w:rsid w:val="008D0CA3"/>
    <w:rsid w:val="008D25CB"/>
    <w:rsid w:val="008D2A49"/>
    <w:rsid w:val="008D3241"/>
    <w:rsid w:val="008D3742"/>
    <w:rsid w:val="008D39CB"/>
    <w:rsid w:val="008D3B86"/>
    <w:rsid w:val="008D43FD"/>
    <w:rsid w:val="008D4493"/>
    <w:rsid w:val="008D4755"/>
    <w:rsid w:val="008D4C3D"/>
    <w:rsid w:val="008D4E2B"/>
    <w:rsid w:val="008D5D07"/>
    <w:rsid w:val="008D614E"/>
    <w:rsid w:val="008D743C"/>
    <w:rsid w:val="008D778F"/>
    <w:rsid w:val="008D7981"/>
    <w:rsid w:val="008E0383"/>
    <w:rsid w:val="008E07F1"/>
    <w:rsid w:val="008E0D3C"/>
    <w:rsid w:val="008E0D78"/>
    <w:rsid w:val="008E165A"/>
    <w:rsid w:val="008E19A7"/>
    <w:rsid w:val="008E1B9E"/>
    <w:rsid w:val="008E2264"/>
    <w:rsid w:val="008E22BF"/>
    <w:rsid w:val="008E2C87"/>
    <w:rsid w:val="008E3C56"/>
    <w:rsid w:val="008E3F0A"/>
    <w:rsid w:val="008E4937"/>
    <w:rsid w:val="008E5130"/>
    <w:rsid w:val="008E55AB"/>
    <w:rsid w:val="008E5748"/>
    <w:rsid w:val="008E5A9E"/>
    <w:rsid w:val="008E5D01"/>
    <w:rsid w:val="008E6006"/>
    <w:rsid w:val="008E6661"/>
    <w:rsid w:val="008E68DA"/>
    <w:rsid w:val="008E6A11"/>
    <w:rsid w:val="008E7692"/>
    <w:rsid w:val="008F05FD"/>
    <w:rsid w:val="008F120A"/>
    <w:rsid w:val="008F141A"/>
    <w:rsid w:val="008F1DB1"/>
    <w:rsid w:val="008F27E0"/>
    <w:rsid w:val="008F2A7F"/>
    <w:rsid w:val="008F2ABD"/>
    <w:rsid w:val="008F40FC"/>
    <w:rsid w:val="008F41CA"/>
    <w:rsid w:val="008F445D"/>
    <w:rsid w:val="008F48EB"/>
    <w:rsid w:val="008F4F0B"/>
    <w:rsid w:val="008F567B"/>
    <w:rsid w:val="008F5F1D"/>
    <w:rsid w:val="008F6205"/>
    <w:rsid w:val="008F660E"/>
    <w:rsid w:val="008F67E7"/>
    <w:rsid w:val="008F6832"/>
    <w:rsid w:val="008F7231"/>
    <w:rsid w:val="00900ACF"/>
    <w:rsid w:val="00900BAA"/>
    <w:rsid w:val="00900C8D"/>
    <w:rsid w:val="00901187"/>
    <w:rsid w:val="0090128B"/>
    <w:rsid w:val="00901D96"/>
    <w:rsid w:val="0090276B"/>
    <w:rsid w:val="009028C1"/>
    <w:rsid w:val="00902ACA"/>
    <w:rsid w:val="00902B8E"/>
    <w:rsid w:val="00902E41"/>
    <w:rsid w:val="00903C81"/>
    <w:rsid w:val="00904610"/>
    <w:rsid w:val="009046C4"/>
    <w:rsid w:val="00904B91"/>
    <w:rsid w:val="00906229"/>
    <w:rsid w:val="009062A5"/>
    <w:rsid w:val="00907699"/>
    <w:rsid w:val="009076B3"/>
    <w:rsid w:val="00907925"/>
    <w:rsid w:val="00907C3D"/>
    <w:rsid w:val="00907F2B"/>
    <w:rsid w:val="00910B38"/>
    <w:rsid w:val="00910FA7"/>
    <w:rsid w:val="00911272"/>
    <w:rsid w:val="009112AB"/>
    <w:rsid w:val="00911339"/>
    <w:rsid w:val="00911F0E"/>
    <w:rsid w:val="00912C60"/>
    <w:rsid w:val="00912DCC"/>
    <w:rsid w:val="009135D6"/>
    <w:rsid w:val="00913DF7"/>
    <w:rsid w:val="00913F9F"/>
    <w:rsid w:val="00914C77"/>
    <w:rsid w:val="00915D56"/>
    <w:rsid w:val="00921474"/>
    <w:rsid w:val="00921A7B"/>
    <w:rsid w:val="00921ACB"/>
    <w:rsid w:val="00922606"/>
    <w:rsid w:val="00922986"/>
    <w:rsid w:val="0092369B"/>
    <w:rsid w:val="009236CF"/>
    <w:rsid w:val="00924D82"/>
    <w:rsid w:val="00924FBA"/>
    <w:rsid w:val="0092517E"/>
    <w:rsid w:val="0092531D"/>
    <w:rsid w:val="00926DC4"/>
    <w:rsid w:val="0092705F"/>
    <w:rsid w:val="009278A6"/>
    <w:rsid w:val="0092791A"/>
    <w:rsid w:val="009301D3"/>
    <w:rsid w:val="00930B3E"/>
    <w:rsid w:val="009329F0"/>
    <w:rsid w:val="00932E67"/>
    <w:rsid w:val="0093400F"/>
    <w:rsid w:val="00934988"/>
    <w:rsid w:val="00935C3A"/>
    <w:rsid w:val="00937089"/>
    <w:rsid w:val="00940302"/>
    <w:rsid w:val="00941BA2"/>
    <w:rsid w:val="009434F8"/>
    <w:rsid w:val="0094482F"/>
    <w:rsid w:val="00944B72"/>
    <w:rsid w:val="00944B9E"/>
    <w:rsid w:val="00944F8A"/>
    <w:rsid w:val="009462A1"/>
    <w:rsid w:val="00947123"/>
    <w:rsid w:val="0094775C"/>
    <w:rsid w:val="009510A2"/>
    <w:rsid w:val="009514D0"/>
    <w:rsid w:val="0095187D"/>
    <w:rsid w:val="0095194E"/>
    <w:rsid w:val="00951C82"/>
    <w:rsid w:val="00951FF1"/>
    <w:rsid w:val="00952632"/>
    <w:rsid w:val="00953257"/>
    <w:rsid w:val="009532D8"/>
    <w:rsid w:val="0095405C"/>
    <w:rsid w:val="009540A4"/>
    <w:rsid w:val="0095474C"/>
    <w:rsid w:val="009562AF"/>
    <w:rsid w:val="00956574"/>
    <w:rsid w:val="00957C63"/>
    <w:rsid w:val="00957D3F"/>
    <w:rsid w:val="00957D92"/>
    <w:rsid w:val="0096087B"/>
    <w:rsid w:val="00960D6F"/>
    <w:rsid w:val="00960D90"/>
    <w:rsid w:val="00960E0E"/>
    <w:rsid w:val="00961B01"/>
    <w:rsid w:val="009623E3"/>
    <w:rsid w:val="00962CB9"/>
    <w:rsid w:val="00962CEE"/>
    <w:rsid w:val="00964227"/>
    <w:rsid w:val="00964274"/>
    <w:rsid w:val="00964312"/>
    <w:rsid w:val="0096472A"/>
    <w:rsid w:val="00964A51"/>
    <w:rsid w:val="00964D7C"/>
    <w:rsid w:val="0096510B"/>
    <w:rsid w:val="0096587E"/>
    <w:rsid w:val="00965B8A"/>
    <w:rsid w:val="00965DDB"/>
    <w:rsid w:val="00967320"/>
    <w:rsid w:val="0097071F"/>
    <w:rsid w:val="00970762"/>
    <w:rsid w:val="00971329"/>
    <w:rsid w:val="00971694"/>
    <w:rsid w:val="009717AC"/>
    <w:rsid w:val="00971AE1"/>
    <w:rsid w:val="0097229C"/>
    <w:rsid w:val="00972397"/>
    <w:rsid w:val="00972D1D"/>
    <w:rsid w:val="0097340C"/>
    <w:rsid w:val="00973502"/>
    <w:rsid w:val="00973D55"/>
    <w:rsid w:val="0097488C"/>
    <w:rsid w:val="00974C11"/>
    <w:rsid w:val="009751C1"/>
    <w:rsid w:val="009771F1"/>
    <w:rsid w:val="0097722F"/>
    <w:rsid w:val="0097766B"/>
    <w:rsid w:val="009779B7"/>
    <w:rsid w:val="00980713"/>
    <w:rsid w:val="009810A4"/>
    <w:rsid w:val="009811F1"/>
    <w:rsid w:val="00981295"/>
    <w:rsid w:val="00982042"/>
    <w:rsid w:val="00982529"/>
    <w:rsid w:val="0098262F"/>
    <w:rsid w:val="009828FF"/>
    <w:rsid w:val="00983D9B"/>
    <w:rsid w:val="00983E57"/>
    <w:rsid w:val="009842B1"/>
    <w:rsid w:val="00984A33"/>
    <w:rsid w:val="00985DE2"/>
    <w:rsid w:val="00985F69"/>
    <w:rsid w:val="00986268"/>
    <w:rsid w:val="0098675D"/>
    <w:rsid w:val="00986B83"/>
    <w:rsid w:val="00986C1B"/>
    <w:rsid w:val="00986D88"/>
    <w:rsid w:val="009872D5"/>
    <w:rsid w:val="0098766C"/>
    <w:rsid w:val="00987BA4"/>
    <w:rsid w:val="00990359"/>
    <w:rsid w:val="009908EA"/>
    <w:rsid w:val="00992625"/>
    <w:rsid w:val="009926E0"/>
    <w:rsid w:val="009929E8"/>
    <w:rsid w:val="00993778"/>
    <w:rsid w:val="00993C7C"/>
    <w:rsid w:val="009944B4"/>
    <w:rsid w:val="0099451E"/>
    <w:rsid w:val="00994688"/>
    <w:rsid w:val="009961D8"/>
    <w:rsid w:val="00996345"/>
    <w:rsid w:val="00996B1A"/>
    <w:rsid w:val="009A03F0"/>
    <w:rsid w:val="009A086C"/>
    <w:rsid w:val="009A0C73"/>
    <w:rsid w:val="009A1782"/>
    <w:rsid w:val="009A18F6"/>
    <w:rsid w:val="009A1CC3"/>
    <w:rsid w:val="009A2326"/>
    <w:rsid w:val="009A2DCC"/>
    <w:rsid w:val="009A3184"/>
    <w:rsid w:val="009A3F5E"/>
    <w:rsid w:val="009A5900"/>
    <w:rsid w:val="009A5ABC"/>
    <w:rsid w:val="009A5B59"/>
    <w:rsid w:val="009A5D73"/>
    <w:rsid w:val="009A6A71"/>
    <w:rsid w:val="009A717F"/>
    <w:rsid w:val="009A78D8"/>
    <w:rsid w:val="009A7A3D"/>
    <w:rsid w:val="009A7F10"/>
    <w:rsid w:val="009A7F4A"/>
    <w:rsid w:val="009B0B9B"/>
    <w:rsid w:val="009B1185"/>
    <w:rsid w:val="009B1594"/>
    <w:rsid w:val="009B1D28"/>
    <w:rsid w:val="009B1FD3"/>
    <w:rsid w:val="009B2866"/>
    <w:rsid w:val="009B3164"/>
    <w:rsid w:val="009B3A35"/>
    <w:rsid w:val="009B3E26"/>
    <w:rsid w:val="009B4407"/>
    <w:rsid w:val="009B444E"/>
    <w:rsid w:val="009B5300"/>
    <w:rsid w:val="009B5342"/>
    <w:rsid w:val="009B5992"/>
    <w:rsid w:val="009B5B30"/>
    <w:rsid w:val="009B6B3B"/>
    <w:rsid w:val="009B6BAA"/>
    <w:rsid w:val="009B6DC3"/>
    <w:rsid w:val="009B79F6"/>
    <w:rsid w:val="009B7C88"/>
    <w:rsid w:val="009C0190"/>
    <w:rsid w:val="009C08BB"/>
    <w:rsid w:val="009C0B4E"/>
    <w:rsid w:val="009C0B5A"/>
    <w:rsid w:val="009C1271"/>
    <w:rsid w:val="009C167A"/>
    <w:rsid w:val="009C17E6"/>
    <w:rsid w:val="009C1B54"/>
    <w:rsid w:val="009C2297"/>
    <w:rsid w:val="009C24A6"/>
    <w:rsid w:val="009C26CF"/>
    <w:rsid w:val="009C3465"/>
    <w:rsid w:val="009C3706"/>
    <w:rsid w:val="009C3A3A"/>
    <w:rsid w:val="009C3AEC"/>
    <w:rsid w:val="009C426B"/>
    <w:rsid w:val="009C4AB1"/>
    <w:rsid w:val="009C4F70"/>
    <w:rsid w:val="009C514B"/>
    <w:rsid w:val="009C51FF"/>
    <w:rsid w:val="009C5217"/>
    <w:rsid w:val="009C6CEA"/>
    <w:rsid w:val="009C6E9E"/>
    <w:rsid w:val="009C7B85"/>
    <w:rsid w:val="009C7D5F"/>
    <w:rsid w:val="009D0254"/>
    <w:rsid w:val="009D04C2"/>
    <w:rsid w:val="009D081C"/>
    <w:rsid w:val="009D1A64"/>
    <w:rsid w:val="009D3B78"/>
    <w:rsid w:val="009D3D56"/>
    <w:rsid w:val="009D5B91"/>
    <w:rsid w:val="009D67F0"/>
    <w:rsid w:val="009D6BD8"/>
    <w:rsid w:val="009D7087"/>
    <w:rsid w:val="009D792E"/>
    <w:rsid w:val="009E0DFE"/>
    <w:rsid w:val="009E10A0"/>
    <w:rsid w:val="009E21DD"/>
    <w:rsid w:val="009E226E"/>
    <w:rsid w:val="009E31F6"/>
    <w:rsid w:val="009E3339"/>
    <w:rsid w:val="009E3790"/>
    <w:rsid w:val="009E488F"/>
    <w:rsid w:val="009E4C07"/>
    <w:rsid w:val="009E4F81"/>
    <w:rsid w:val="009E5185"/>
    <w:rsid w:val="009E5366"/>
    <w:rsid w:val="009E5B1D"/>
    <w:rsid w:val="009E605B"/>
    <w:rsid w:val="009E6A60"/>
    <w:rsid w:val="009E72C8"/>
    <w:rsid w:val="009E751C"/>
    <w:rsid w:val="009E777F"/>
    <w:rsid w:val="009E7A22"/>
    <w:rsid w:val="009F0195"/>
    <w:rsid w:val="009F028E"/>
    <w:rsid w:val="009F070C"/>
    <w:rsid w:val="009F0DF5"/>
    <w:rsid w:val="009F0ED4"/>
    <w:rsid w:val="009F1641"/>
    <w:rsid w:val="009F35E5"/>
    <w:rsid w:val="009F4386"/>
    <w:rsid w:val="009F4B2A"/>
    <w:rsid w:val="009F5152"/>
    <w:rsid w:val="009F5466"/>
    <w:rsid w:val="009F5A5F"/>
    <w:rsid w:val="009F5BA0"/>
    <w:rsid w:val="009F6120"/>
    <w:rsid w:val="009F63FA"/>
    <w:rsid w:val="009F68B5"/>
    <w:rsid w:val="009F765D"/>
    <w:rsid w:val="00A00901"/>
    <w:rsid w:val="00A0092A"/>
    <w:rsid w:val="00A00D76"/>
    <w:rsid w:val="00A01184"/>
    <w:rsid w:val="00A01298"/>
    <w:rsid w:val="00A01449"/>
    <w:rsid w:val="00A02257"/>
    <w:rsid w:val="00A024E5"/>
    <w:rsid w:val="00A0261A"/>
    <w:rsid w:val="00A0262E"/>
    <w:rsid w:val="00A0343F"/>
    <w:rsid w:val="00A037C2"/>
    <w:rsid w:val="00A03B2F"/>
    <w:rsid w:val="00A03D43"/>
    <w:rsid w:val="00A04009"/>
    <w:rsid w:val="00A04143"/>
    <w:rsid w:val="00A04380"/>
    <w:rsid w:val="00A04786"/>
    <w:rsid w:val="00A04C9F"/>
    <w:rsid w:val="00A04CFB"/>
    <w:rsid w:val="00A04E2D"/>
    <w:rsid w:val="00A05472"/>
    <w:rsid w:val="00A05BC0"/>
    <w:rsid w:val="00A05C32"/>
    <w:rsid w:val="00A0653F"/>
    <w:rsid w:val="00A06683"/>
    <w:rsid w:val="00A07345"/>
    <w:rsid w:val="00A07A44"/>
    <w:rsid w:val="00A07A9D"/>
    <w:rsid w:val="00A0D2B1"/>
    <w:rsid w:val="00A1010C"/>
    <w:rsid w:val="00A10242"/>
    <w:rsid w:val="00A10693"/>
    <w:rsid w:val="00A1099A"/>
    <w:rsid w:val="00A11B7E"/>
    <w:rsid w:val="00A11CD0"/>
    <w:rsid w:val="00A125F7"/>
    <w:rsid w:val="00A130C6"/>
    <w:rsid w:val="00A13219"/>
    <w:rsid w:val="00A13948"/>
    <w:rsid w:val="00A13AB1"/>
    <w:rsid w:val="00A13F12"/>
    <w:rsid w:val="00A14199"/>
    <w:rsid w:val="00A142C7"/>
    <w:rsid w:val="00A1430D"/>
    <w:rsid w:val="00A1480F"/>
    <w:rsid w:val="00A14F80"/>
    <w:rsid w:val="00A1555B"/>
    <w:rsid w:val="00A155C5"/>
    <w:rsid w:val="00A156EE"/>
    <w:rsid w:val="00A165AB"/>
    <w:rsid w:val="00A16AD8"/>
    <w:rsid w:val="00A1720C"/>
    <w:rsid w:val="00A1752E"/>
    <w:rsid w:val="00A175F5"/>
    <w:rsid w:val="00A17924"/>
    <w:rsid w:val="00A17BAB"/>
    <w:rsid w:val="00A17CD1"/>
    <w:rsid w:val="00A2021E"/>
    <w:rsid w:val="00A207C3"/>
    <w:rsid w:val="00A20A72"/>
    <w:rsid w:val="00A21C95"/>
    <w:rsid w:val="00A21CF3"/>
    <w:rsid w:val="00A2221A"/>
    <w:rsid w:val="00A225C4"/>
    <w:rsid w:val="00A22DFC"/>
    <w:rsid w:val="00A22ED1"/>
    <w:rsid w:val="00A24813"/>
    <w:rsid w:val="00A253C0"/>
    <w:rsid w:val="00A25716"/>
    <w:rsid w:val="00A26B6B"/>
    <w:rsid w:val="00A2705D"/>
    <w:rsid w:val="00A27AEC"/>
    <w:rsid w:val="00A30186"/>
    <w:rsid w:val="00A301CE"/>
    <w:rsid w:val="00A30279"/>
    <w:rsid w:val="00A30C9F"/>
    <w:rsid w:val="00A31D0B"/>
    <w:rsid w:val="00A320DB"/>
    <w:rsid w:val="00A32555"/>
    <w:rsid w:val="00A33B53"/>
    <w:rsid w:val="00A33C23"/>
    <w:rsid w:val="00A348F4"/>
    <w:rsid w:val="00A350E1"/>
    <w:rsid w:val="00A35D16"/>
    <w:rsid w:val="00A35EDA"/>
    <w:rsid w:val="00A36074"/>
    <w:rsid w:val="00A36843"/>
    <w:rsid w:val="00A36903"/>
    <w:rsid w:val="00A3704F"/>
    <w:rsid w:val="00A37182"/>
    <w:rsid w:val="00A3765C"/>
    <w:rsid w:val="00A37BCD"/>
    <w:rsid w:val="00A4082C"/>
    <w:rsid w:val="00A41689"/>
    <w:rsid w:val="00A41A39"/>
    <w:rsid w:val="00A423BF"/>
    <w:rsid w:val="00A4252B"/>
    <w:rsid w:val="00A42592"/>
    <w:rsid w:val="00A42D0E"/>
    <w:rsid w:val="00A42FC1"/>
    <w:rsid w:val="00A43C59"/>
    <w:rsid w:val="00A443CC"/>
    <w:rsid w:val="00A44574"/>
    <w:rsid w:val="00A46173"/>
    <w:rsid w:val="00A4665B"/>
    <w:rsid w:val="00A46BA9"/>
    <w:rsid w:val="00A46D27"/>
    <w:rsid w:val="00A475C6"/>
    <w:rsid w:val="00A50965"/>
    <w:rsid w:val="00A50ECD"/>
    <w:rsid w:val="00A518F3"/>
    <w:rsid w:val="00A51922"/>
    <w:rsid w:val="00A51B34"/>
    <w:rsid w:val="00A5212D"/>
    <w:rsid w:val="00A52559"/>
    <w:rsid w:val="00A52729"/>
    <w:rsid w:val="00A532E3"/>
    <w:rsid w:val="00A53675"/>
    <w:rsid w:val="00A564D7"/>
    <w:rsid w:val="00A56B6A"/>
    <w:rsid w:val="00A578DC"/>
    <w:rsid w:val="00A57A86"/>
    <w:rsid w:val="00A6008D"/>
    <w:rsid w:val="00A602C8"/>
    <w:rsid w:val="00A602CE"/>
    <w:rsid w:val="00A603E8"/>
    <w:rsid w:val="00A610C4"/>
    <w:rsid w:val="00A61463"/>
    <w:rsid w:val="00A6173C"/>
    <w:rsid w:val="00A61BBF"/>
    <w:rsid w:val="00A622BA"/>
    <w:rsid w:val="00A623F4"/>
    <w:rsid w:val="00A6384C"/>
    <w:rsid w:val="00A63928"/>
    <w:rsid w:val="00A640E2"/>
    <w:rsid w:val="00A64575"/>
    <w:rsid w:val="00A64AB4"/>
    <w:rsid w:val="00A64D65"/>
    <w:rsid w:val="00A65628"/>
    <w:rsid w:val="00A65C53"/>
    <w:rsid w:val="00A65E06"/>
    <w:rsid w:val="00A66DC7"/>
    <w:rsid w:val="00A6725B"/>
    <w:rsid w:val="00A67931"/>
    <w:rsid w:val="00A67A01"/>
    <w:rsid w:val="00A67A5B"/>
    <w:rsid w:val="00A67E2D"/>
    <w:rsid w:val="00A70605"/>
    <w:rsid w:val="00A71332"/>
    <w:rsid w:val="00A721B8"/>
    <w:rsid w:val="00A73134"/>
    <w:rsid w:val="00A7365A"/>
    <w:rsid w:val="00A73DBB"/>
    <w:rsid w:val="00A73FC6"/>
    <w:rsid w:val="00A7404D"/>
    <w:rsid w:val="00A74931"/>
    <w:rsid w:val="00A7558E"/>
    <w:rsid w:val="00A75C7B"/>
    <w:rsid w:val="00A75D5C"/>
    <w:rsid w:val="00A76001"/>
    <w:rsid w:val="00A777B2"/>
    <w:rsid w:val="00A817D1"/>
    <w:rsid w:val="00A825D4"/>
    <w:rsid w:val="00A825E8"/>
    <w:rsid w:val="00A828F6"/>
    <w:rsid w:val="00A82B73"/>
    <w:rsid w:val="00A842AA"/>
    <w:rsid w:val="00A848C7"/>
    <w:rsid w:val="00A86694"/>
    <w:rsid w:val="00A86BD8"/>
    <w:rsid w:val="00A86C38"/>
    <w:rsid w:val="00A86E8B"/>
    <w:rsid w:val="00A87164"/>
    <w:rsid w:val="00A871A2"/>
    <w:rsid w:val="00A871A9"/>
    <w:rsid w:val="00A87BE6"/>
    <w:rsid w:val="00A912BC"/>
    <w:rsid w:val="00A91361"/>
    <w:rsid w:val="00A91E84"/>
    <w:rsid w:val="00A93072"/>
    <w:rsid w:val="00A934FA"/>
    <w:rsid w:val="00A938BD"/>
    <w:rsid w:val="00A93953"/>
    <w:rsid w:val="00A93BDF"/>
    <w:rsid w:val="00A94AF1"/>
    <w:rsid w:val="00A959D8"/>
    <w:rsid w:val="00A9608D"/>
    <w:rsid w:val="00A96CEF"/>
    <w:rsid w:val="00A97506"/>
    <w:rsid w:val="00A97DF2"/>
    <w:rsid w:val="00AA0668"/>
    <w:rsid w:val="00AA0CD2"/>
    <w:rsid w:val="00AA10EA"/>
    <w:rsid w:val="00AA113D"/>
    <w:rsid w:val="00AA1B6E"/>
    <w:rsid w:val="00AA1D14"/>
    <w:rsid w:val="00AA2442"/>
    <w:rsid w:val="00AA2490"/>
    <w:rsid w:val="00AA2727"/>
    <w:rsid w:val="00AA2E08"/>
    <w:rsid w:val="00AA2E19"/>
    <w:rsid w:val="00AA2E5B"/>
    <w:rsid w:val="00AA30B3"/>
    <w:rsid w:val="00AA3279"/>
    <w:rsid w:val="00AA3672"/>
    <w:rsid w:val="00AA3E12"/>
    <w:rsid w:val="00AA49BE"/>
    <w:rsid w:val="00AA4C1B"/>
    <w:rsid w:val="00AA62F7"/>
    <w:rsid w:val="00AA6625"/>
    <w:rsid w:val="00AA6BD5"/>
    <w:rsid w:val="00AA6BD8"/>
    <w:rsid w:val="00AA6C7D"/>
    <w:rsid w:val="00AA6D1F"/>
    <w:rsid w:val="00AA6DE4"/>
    <w:rsid w:val="00AA7011"/>
    <w:rsid w:val="00AA7026"/>
    <w:rsid w:val="00AA7FD6"/>
    <w:rsid w:val="00AB042A"/>
    <w:rsid w:val="00AB11AD"/>
    <w:rsid w:val="00AB19EF"/>
    <w:rsid w:val="00AB2467"/>
    <w:rsid w:val="00AB2495"/>
    <w:rsid w:val="00AB2D34"/>
    <w:rsid w:val="00AB32A1"/>
    <w:rsid w:val="00AB3430"/>
    <w:rsid w:val="00AB364A"/>
    <w:rsid w:val="00AB37B9"/>
    <w:rsid w:val="00AB3B47"/>
    <w:rsid w:val="00AB4AD1"/>
    <w:rsid w:val="00AB5E07"/>
    <w:rsid w:val="00AB6038"/>
    <w:rsid w:val="00AB60B7"/>
    <w:rsid w:val="00AB6403"/>
    <w:rsid w:val="00AB66F7"/>
    <w:rsid w:val="00AB706B"/>
    <w:rsid w:val="00AB7102"/>
    <w:rsid w:val="00AB72B0"/>
    <w:rsid w:val="00AB7542"/>
    <w:rsid w:val="00AB765A"/>
    <w:rsid w:val="00AB7BA6"/>
    <w:rsid w:val="00AB7CFA"/>
    <w:rsid w:val="00AC2766"/>
    <w:rsid w:val="00AC277D"/>
    <w:rsid w:val="00AC29D7"/>
    <w:rsid w:val="00AC37B5"/>
    <w:rsid w:val="00AC385C"/>
    <w:rsid w:val="00AC3923"/>
    <w:rsid w:val="00AC3D6B"/>
    <w:rsid w:val="00AC4D3F"/>
    <w:rsid w:val="00AC4EE0"/>
    <w:rsid w:val="00AC5B42"/>
    <w:rsid w:val="00AC5B48"/>
    <w:rsid w:val="00AC5D83"/>
    <w:rsid w:val="00AC64A8"/>
    <w:rsid w:val="00AC68BE"/>
    <w:rsid w:val="00AC6E6D"/>
    <w:rsid w:val="00AC6ED2"/>
    <w:rsid w:val="00AC7B22"/>
    <w:rsid w:val="00AC7FD4"/>
    <w:rsid w:val="00AD0566"/>
    <w:rsid w:val="00AD075B"/>
    <w:rsid w:val="00AD09E3"/>
    <w:rsid w:val="00AD1450"/>
    <w:rsid w:val="00AD15E8"/>
    <w:rsid w:val="00AD181A"/>
    <w:rsid w:val="00AD1B4F"/>
    <w:rsid w:val="00AD21F3"/>
    <w:rsid w:val="00AD2F76"/>
    <w:rsid w:val="00AD356D"/>
    <w:rsid w:val="00AD3857"/>
    <w:rsid w:val="00AD3DFC"/>
    <w:rsid w:val="00AD4CC9"/>
    <w:rsid w:val="00AD6375"/>
    <w:rsid w:val="00AD648F"/>
    <w:rsid w:val="00AD6502"/>
    <w:rsid w:val="00AD6885"/>
    <w:rsid w:val="00AD7777"/>
    <w:rsid w:val="00AD7925"/>
    <w:rsid w:val="00AE0695"/>
    <w:rsid w:val="00AE0CB9"/>
    <w:rsid w:val="00AE1829"/>
    <w:rsid w:val="00AE1C26"/>
    <w:rsid w:val="00AE288C"/>
    <w:rsid w:val="00AE2D81"/>
    <w:rsid w:val="00AE3E7E"/>
    <w:rsid w:val="00AE42D2"/>
    <w:rsid w:val="00AE487C"/>
    <w:rsid w:val="00AE4A66"/>
    <w:rsid w:val="00AE5EC9"/>
    <w:rsid w:val="00AE6055"/>
    <w:rsid w:val="00AE6DB2"/>
    <w:rsid w:val="00AE73D1"/>
    <w:rsid w:val="00AE75F4"/>
    <w:rsid w:val="00AE79E5"/>
    <w:rsid w:val="00AE7E53"/>
    <w:rsid w:val="00AF06CD"/>
    <w:rsid w:val="00AF0B75"/>
    <w:rsid w:val="00AF0DAB"/>
    <w:rsid w:val="00AF1315"/>
    <w:rsid w:val="00AF1343"/>
    <w:rsid w:val="00AF16FF"/>
    <w:rsid w:val="00AF19BF"/>
    <w:rsid w:val="00AF21A3"/>
    <w:rsid w:val="00AF2DC3"/>
    <w:rsid w:val="00AF2FF9"/>
    <w:rsid w:val="00AF3492"/>
    <w:rsid w:val="00AF5BFB"/>
    <w:rsid w:val="00AF68F3"/>
    <w:rsid w:val="00AF6EE1"/>
    <w:rsid w:val="00AF7409"/>
    <w:rsid w:val="00AF7413"/>
    <w:rsid w:val="00B007FE"/>
    <w:rsid w:val="00B01428"/>
    <w:rsid w:val="00B016D0"/>
    <w:rsid w:val="00B01DAF"/>
    <w:rsid w:val="00B02ABC"/>
    <w:rsid w:val="00B02F08"/>
    <w:rsid w:val="00B0331F"/>
    <w:rsid w:val="00B033E5"/>
    <w:rsid w:val="00B03589"/>
    <w:rsid w:val="00B03A63"/>
    <w:rsid w:val="00B03C3D"/>
    <w:rsid w:val="00B04B84"/>
    <w:rsid w:val="00B04EFC"/>
    <w:rsid w:val="00B05B72"/>
    <w:rsid w:val="00B0609B"/>
    <w:rsid w:val="00B06276"/>
    <w:rsid w:val="00B07B2E"/>
    <w:rsid w:val="00B1013F"/>
    <w:rsid w:val="00B10C21"/>
    <w:rsid w:val="00B11A18"/>
    <w:rsid w:val="00B11AAA"/>
    <w:rsid w:val="00B129A4"/>
    <w:rsid w:val="00B1348E"/>
    <w:rsid w:val="00B139DD"/>
    <w:rsid w:val="00B13B19"/>
    <w:rsid w:val="00B13C91"/>
    <w:rsid w:val="00B13C99"/>
    <w:rsid w:val="00B14941"/>
    <w:rsid w:val="00B15587"/>
    <w:rsid w:val="00B15F29"/>
    <w:rsid w:val="00B164AF"/>
    <w:rsid w:val="00B16CA2"/>
    <w:rsid w:val="00B16DEB"/>
    <w:rsid w:val="00B1742B"/>
    <w:rsid w:val="00B176D6"/>
    <w:rsid w:val="00B17A50"/>
    <w:rsid w:val="00B17CE0"/>
    <w:rsid w:val="00B201A4"/>
    <w:rsid w:val="00B201D1"/>
    <w:rsid w:val="00B20653"/>
    <w:rsid w:val="00B20E84"/>
    <w:rsid w:val="00B213A6"/>
    <w:rsid w:val="00B216EC"/>
    <w:rsid w:val="00B22CAA"/>
    <w:rsid w:val="00B22E7E"/>
    <w:rsid w:val="00B235B0"/>
    <w:rsid w:val="00B23C24"/>
    <w:rsid w:val="00B23D4A"/>
    <w:rsid w:val="00B23EA0"/>
    <w:rsid w:val="00B243DB"/>
    <w:rsid w:val="00B24788"/>
    <w:rsid w:val="00B24DF6"/>
    <w:rsid w:val="00B250A1"/>
    <w:rsid w:val="00B25EC7"/>
    <w:rsid w:val="00B2672E"/>
    <w:rsid w:val="00B26743"/>
    <w:rsid w:val="00B26BC1"/>
    <w:rsid w:val="00B272E9"/>
    <w:rsid w:val="00B2789F"/>
    <w:rsid w:val="00B27A61"/>
    <w:rsid w:val="00B27FB6"/>
    <w:rsid w:val="00B31F2E"/>
    <w:rsid w:val="00B32161"/>
    <w:rsid w:val="00B3242F"/>
    <w:rsid w:val="00B339AB"/>
    <w:rsid w:val="00B33EA3"/>
    <w:rsid w:val="00B34FE2"/>
    <w:rsid w:val="00B35166"/>
    <w:rsid w:val="00B35645"/>
    <w:rsid w:val="00B357D8"/>
    <w:rsid w:val="00B360F4"/>
    <w:rsid w:val="00B36A00"/>
    <w:rsid w:val="00B3792B"/>
    <w:rsid w:val="00B37BFC"/>
    <w:rsid w:val="00B40358"/>
    <w:rsid w:val="00B41149"/>
    <w:rsid w:val="00B411AF"/>
    <w:rsid w:val="00B41614"/>
    <w:rsid w:val="00B41694"/>
    <w:rsid w:val="00B41F58"/>
    <w:rsid w:val="00B421BD"/>
    <w:rsid w:val="00B42288"/>
    <w:rsid w:val="00B42851"/>
    <w:rsid w:val="00B42B24"/>
    <w:rsid w:val="00B42F80"/>
    <w:rsid w:val="00B43535"/>
    <w:rsid w:val="00B435CB"/>
    <w:rsid w:val="00B438C2"/>
    <w:rsid w:val="00B449A9"/>
    <w:rsid w:val="00B45A33"/>
    <w:rsid w:val="00B465EC"/>
    <w:rsid w:val="00B4741A"/>
    <w:rsid w:val="00B47AF2"/>
    <w:rsid w:val="00B47C24"/>
    <w:rsid w:val="00B47CF3"/>
    <w:rsid w:val="00B47F81"/>
    <w:rsid w:val="00B502A6"/>
    <w:rsid w:val="00B505C8"/>
    <w:rsid w:val="00B50DB8"/>
    <w:rsid w:val="00B51FD8"/>
    <w:rsid w:val="00B52E0D"/>
    <w:rsid w:val="00B53654"/>
    <w:rsid w:val="00B536FF"/>
    <w:rsid w:val="00B53905"/>
    <w:rsid w:val="00B546DB"/>
    <w:rsid w:val="00B549E3"/>
    <w:rsid w:val="00B54B5B"/>
    <w:rsid w:val="00B54B88"/>
    <w:rsid w:val="00B55099"/>
    <w:rsid w:val="00B5562E"/>
    <w:rsid w:val="00B55862"/>
    <w:rsid w:val="00B55957"/>
    <w:rsid w:val="00B55AF4"/>
    <w:rsid w:val="00B55D46"/>
    <w:rsid w:val="00B55D65"/>
    <w:rsid w:val="00B55E71"/>
    <w:rsid w:val="00B56305"/>
    <w:rsid w:val="00B567EB"/>
    <w:rsid w:val="00B56859"/>
    <w:rsid w:val="00B57000"/>
    <w:rsid w:val="00B5759B"/>
    <w:rsid w:val="00B6041E"/>
    <w:rsid w:val="00B607B8"/>
    <w:rsid w:val="00B60939"/>
    <w:rsid w:val="00B60AFD"/>
    <w:rsid w:val="00B6136E"/>
    <w:rsid w:val="00B61AEF"/>
    <w:rsid w:val="00B61CEA"/>
    <w:rsid w:val="00B62400"/>
    <w:rsid w:val="00B62715"/>
    <w:rsid w:val="00B62DF8"/>
    <w:rsid w:val="00B62F72"/>
    <w:rsid w:val="00B64487"/>
    <w:rsid w:val="00B644D3"/>
    <w:rsid w:val="00B64EA2"/>
    <w:rsid w:val="00B651F7"/>
    <w:rsid w:val="00B653A6"/>
    <w:rsid w:val="00B65611"/>
    <w:rsid w:val="00B67A11"/>
    <w:rsid w:val="00B67F94"/>
    <w:rsid w:val="00B67FD4"/>
    <w:rsid w:val="00B708DA"/>
    <w:rsid w:val="00B70C74"/>
    <w:rsid w:val="00B70E8E"/>
    <w:rsid w:val="00B71867"/>
    <w:rsid w:val="00B71A30"/>
    <w:rsid w:val="00B71BF9"/>
    <w:rsid w:val="00B739F0"/>
    <w:rsid w:val="00B740E4"/>
    <w:rsid w:val="00B75826"/>
    <w:rsid w:val="00B75BB7"/>
    <w:rsid w:val="00B7638B"/>
    <w:rsid w:val="00B76C92"/>
    <w:rsid w:val="00B77173"/>
    <w:rsid w:val="00B7724A"/>
    <w:rsid w:val="00B773D7"/>
    <w:rsid w:val="00B80BBC"/>
    <w:rsid w:val="00B80EFD"/>
    <w:rsid w:val="00B818A4"/>
    <w:rsid w:val="00B829E6"/>
    <w:rsid w:val="00B82CB3"/>
    <w:rsid w:val="00B83089"/>
    <w:rsid w:val="00B832AE"/>
    <w:rsid w:val="00B83437"/>
    <w:rsid w:val="00B83739"/>
    <w:rsid w:val="00B83F6C"/>
    <w:rsid w:val="00B84117"/>
    <w:rsid w:val="00B84240"/>
    <w:rsid w:val="00B845BD"/>
    <w:rsid w:val="00B84654"/>
    <w:rsid w:val="00B8518F"/>
    <w:rsid w:val="00B858F0"/>
    <w:rsid w:val="00B859E6"/>
    <w:rsid w:val="00B85AA2"/>
    <w:rsid w:val="00B8649C"/>
    <w:rsid w:val="00B86718"/>
    <w:rsid w:val="00B86885"/>
    <w:rsid w:val="00B8695D"/>
    <w:rsid w:val="00B8767E"/>
    <w:rsid w:val="00B87F0A"/>
    <w:rsid w:val="00B91564"/>
    <w:rsid w:val="00B92460"/>
    <w:rsid w:val="00B92D0B"/>
    <w:rsid w:val="00B92F30"/>
    <w:rsid w:val="00B93119"/>
    <w:rsid w:val="00B94945"/>
    <w:rsid w:val="00B94D23"/>
    <w:rsid w:val="00B94DD6"/>
    <w:rsid w:val="00B94DFD"/>
    <w:rsid w:val="00B959F7"/>
    <w:rsid w:val="00B95EB1"/>
    <w:rsid w:val="00B95FFE"/>
    <w:rsid w:val="00B96602"/>
    <w:rsid w:val="00B9692F"/>
    <w:rsid w:val="00B97340"/>
    <w:rsid w:val="00B97CCD"/>
    <w:rsid w:val="00BA0087"/>
    <w:rsid w:val="00BA041A"/>
    <w:rsid w:val="00BA05E1"/>
    <w:rsid w:val="00BA0A6F"/>
    <w:rsid w:val="00BA1707"/>
    <w:rsid w:val="00BA1791"/>
    <w:rsid w:val="00BA183E"/>
    <w:rsid w:val="00BA197A"/>
    <w:rsid w:val="00BA2243"/>
    <w:rsid w:val="00BA2423"/>
    <w:rsid w:val="00BA295B"/>
    <w:rsid w:val="00BA2BF2"/>
    <w:rsid w:val="00BA2C90"/>
    <w:rsid w:val="00BA2DDC"/>
    <w:rsid w:val="00BA322D"/>
    <w:rsid w:val="00BA3421"/>
    <w:rsid w:val="00BA34A8"/>
    <w:rsid w:val="00BA35AC"/>
    <w:rsid w:val="00BA3F44"/>
    <w:rsid w:val="00BA4C94"/>
    <w:rsid w:val="00BA5488"/>
    <w:rsid w:val="00BA563D"/>
    <w:rsid w:val="00BA569E"/>
    <w:rsid w:val="00BA63FA"/>
    <w:rsid w:val="00BA6CA5"/>
    <w:rsid w:val="00BA6F76"/>
    <w:rsid w:val="00BA7100"/>
    <w:rsid w:val="00BA7159"/>
    <w:rsid w:val="00BA7E5B"/>
    <w:rsid w:val="00BA7F28"/>
    <w:rsid w:val="00BB00B3"/>
    <w:rsid w:val="00BB02E0"/>
    <w:rsid w:val="00BB082B"/>
    <w:rsid w:val="00BB0BDD"/>
    <w:rsid w:val="00BB0DE3"/>
    <w:rsid w:val="00BB12B8"/>
    <w:rsid w:val="00BB161C"/>
    <w:rsid w:val="00BB176C"/>
    <w:rsid w:val="00BB1E74"/>
    <w:rsid w:val="00BB262D"/>
    <w:rsid w:val="00BB2A73"/>
    <w:rsid w:val="00BB32B1"/>
    <w:rsid w:val="00BB3A45"/>
    <w:rsid w:val="00BB3E3A"/>
    <w:rsid w:val="00BB4ACC"/>
    <w:rsid w:val="00BB5110"/>
    <w:rsid w:val="00BB5A78"/>
    <w:rsid w:val="00BB5FDB"/>
    <w:rsid w:val="00BB63FF"/>
    <w:rsid w:val="00BB688B"/>
    <w:rsid w:val="00BB6E88"/>
    <w:rsid w:val="00BB703E"/>
    <w:rsid w:val="00BB7209"/>
    <w:rsid w:val="00BB732D"/>
    <w:rsid w:val="00BB7405"/>
    <w:rsid w:val="00BB7AEE"/>
    <w:rsid w:val="00BB7C42"/>
    <w:rsid w:val="00BC0874"/>
    <w:rsid w:val="00BC2472"/>
    <w:rsid w:val="00BC3631"/>
    <w:rsid w:val="00BC456A"/>
    <w:rsid w:val="00BC45FA"/>
    <w:rsid w:val="00BC490B"/>
    <w:rsid w:val="00BC4F1D"/>
    <w:rsid w:val="00BC57AD"/>
    <w:rsid w:val="00BC591F"/>
    <w:rsid w:val="00BC5C4E"/>
    <w:rsid w:val="00BC63DF"/>
    <w:rsid w:val="00BC67AA"/>
    <w:rsid w:val="00BC70AD"/>
    <w:rsid w:val="00BC77BD"/>
    <w:rsid w:val="00BC7D6D"/>
    <w:rsid w:val="00BC7FC6"/>
    <w:rsid w:val="00BC7FF5"/>
    <w:rsid w:val="00BD08B8"/>
    <w:rsid w:val="00BD0FB2"/>
    <w:rsid w:val="00BD1108"/>
    <w:rsid w:val="00BD1110"/>
    <w:rsid w:val="00BD1C15"/>
    <w:rsid w:val="00BD2108"/>
    <w:rsid w:val="00BD278C"/>
    <w:rsid w:val="00BD2FD3"/>
    <w:rsid w:val="00BD3D71"/>
    <w:rsid w:val="00BD4F80"/>
    <w:rsid w:val="00BD5055"/>
    <w:rsid w:val="00BD52CF"/>
    <w:rsid w:val="00BD58C2"/>
    <w:rsid w:val="00BD5E6D"/>
    <w:rsid w:val="00BD6133"/>
    <w:rsid w:val="00BD67D0"/>
    <w:rsid w:val="00BD68A3"/>
    <w:rsid w:val="00BD6938"/>
    <w:rsid w:val="00BD6CF3"/>
    <w:rsid w:val="00BD7F72"/>
    <w:rsid w:val="00BE029B"/>
    <w:rsid w:val="00BE02F0"/>
    <w:rsid w:val="00BE040B"/>
    <w:rsid w:val="00BE0ECA"/>
    <w:rsid w:val="00BE0F94"/>
    <w:rsid w:val="00BE1097"/>
    <w:rsid w:val="00BE2180"/>
    <w:rsid w:val="00BE21F2"/>
    <w:rsid w:val="00BE27E8"/>
    <w:rsid w:val="00BE2CBA"/>
    <w:rsid w:val="00BE2EE0"/>
    <w:rsid w:val="00BE4275"/>
    <w:rsid w:val="00BE42CE"/>
    <w:rsid w:val="00BE4BC4"/>
    <w:rsid w:val="00BE4C1F"/>
    <w:rsid w:val="00BE7774"/>
    <w:rsid w:val="00BF01CE"/>
    <w:rsid w:val="00BF0496"/>
    <w:rsid w:val="00BF06AE"/>
    <w:rsid w:val="00BF0749"/>
    <w:rsid w:val="00BF08D9"/>
    <w:rsid w:val="00BF0B66"/>
    <w:rsid w:val="00BF0F95"/>
    <w:rsid w:val="00BF1323"/>
    <w:rsid w:val="00BF1765"/>
    <w:rsid w:val="00BF1904"/>
    <w:rsid w:val="00BF2433"/>
    <w:rsid w:val="00BF2E6E"/>
    <w:rsid w:val="00BF37EA"/>
    <w:rsid w:val="00BF42E3"/>
    <w:rsid w:val="00BF4998"/>
    <w:rsid w:val="00BF4A98"/>
    <w:rsid w:val="00BF52BD"/>
    <w:rsid w:val="00BF52FF"/>
    <w:rsid w:val="00BF5436"/>
    <w:rsid w:val="00BF54D3"/>
    <w:rsid w:val="00BF5B4C"/>
    <w:rsid w:val="00BF60BA"/>
    <w:rsid w:val="00BF61C9"/>
    <w:rsid w:val="00BF6223"/>
    <w:rsid w:val="00BF6730"/>
    <w:rsid w:val="00BF6C94"/>
    <w:rsid w:val="00BF74B3"/>
    <w:rsid w:val="00BF76B0"/>
    <w:rsid w:val="00C00424"/>
    <w:rsid w:val="00C00BB0"/>
    <w:rsid w:val="00C01835"/>
    <w:rsid w:val="00C01926"/>
    <w:rsid w:val="00C01EC3"/>
    <w:rsid w:val="00C01F68"/>
    <w:rsid w:val="00C02AA8"/>
    <w:rsid w:val="00C03445"/>
    <w:rsid w:val="00C03777"/>
    <w:rsid w:val="00C04222"/>
    <w:rsid w:val="00C04365"/>
    <w:rsid w:val="00C04701"/>
    <w:rsid w:val="00C05C11"/>
    <w:rsid w:val="00C05C4D"/>
    <w:rsid w:val="00C06979"/>
    <w:rsid w:val="00C06F75"/>
    <w:rsid w:val="00C0701D"/>
    <w:rsid w:val="00C07400"/>
    <w:rsid w:val="00C10373"/>
    <w:rsid w:val="00C10470"/>
    <w:rsid w:val="00C108CE"/>
    <w:rsid w:val="00C10B46"/>
    <w:rsid w:val="00C10D3E"/>
    <w:rsid w:val="00C10D4D"/>
    <w:rsid w:val="00C1179F"/>
    <w:rsid w:val="00C127B9"/>
    <w:rsid w:val="00C128FA"/>
    <w:rsid w:val="00C12953"/>
    <w:rsid w:val="00C12C14"/>
    <w:rsid w:val="00C12C2B"/>
    <w:rsid w:val="00C13266"/>
    <w:rsid w:val="00C143D4"/>
    <w:rsid w:val="00C14A21"/>
    <w:rsid w:val="00C15123"/>
    <w:rsid w:val="00C15CC0"/>
    <w:rsid w:val="00C15F04"/>
    <w:rsid w:val="00C160AC"/>
    <w:rsid w:val="00C16114"/>
    <w:rsid w:val="00C167CB"/>
    <w:rsid w:val="00C16B19"/>
    <w:rsid w:val="00C16CE7"/>
    <w:rsid w:val="00C1737C"/>
    <w:rsid w:val="00C179B3"/>
    <w:rsid w:val="00C17B95"/>
    <w:rsid w:val="00C17E3F"/>
    <w:rsid w:val="00C200AA"/>
    <w:rsid w:val="00C20943"/>
    <w:rsid w:val="00C21BF9"/>
    <w:rsid w:val="00C21F95"/>
    <w:rsid w:val="00C22096"/>
    <w:rsid w:val="00C232F6"/>
    <w:rsid w:val="00C237ED"/>
    <w:rsid w:val="00C23D82"/>
    <w:rsid w:val="00C240B0"/>
    <w:rsid w:val="00C24324"/>
    <w:rsid w:val="00C244A2"/>
    <w:rsid w:val="00C24632"/>
    <w:rsid w:val="00C24A50"/>
    <w:rsid w:val="00C25418"/>
    <w:rsid w:val="00C25D9C"/>
    <w:rsid w:val="00C260A4"/>
    <w:rsid w:val="00C27581"/>
    <w:rsid w:val="00C2778B"/>
    <w:rsid w:val="00C278E2"/>
    <w:rsid w:val="00C302D0"/>
    <w:rsid w:val="00C3093C"/>
    <w:rsid w:val="00C311A1"/>
    <w:rsid w:val="00C315FC"/>
    <w:rsid w:val="00C31649"/>
    <w:rsid w:val="00C32A31"/>
    <w:rsid w:val="00C32A5E"/>
    <w:rsid w:val="00C32F87"/>
    <w:rsid w:val="00C3434C"/>
    <w:rsid w:val="00C34BCC"/>
    <w:rsid w:val="00C35E56"/>
    <w:rsid w:val="00C36422"/>
    <w:rsid w:val="00C36AB5"/>
    <w:rsid w:val="00C36FA8"/>
    <w:rsid w:val="00C371E8"/>
    <w:rsid w:val="00C374B6"/>
    <w:rsid w:val="00C3777D"/>
    <w:rsid w:val="00C40385"/>
    <w:rsid w:val="00C40B4D"/>
    <w:rsid w:val="00C40B8F"/>
    <w:rsid w:val="00C414CC"/>
    <w:rsid w:val="00C41768"/>
    <w:rsid w:val="00C4200C"/>
    <w:rsid w:val="00C42602"/>
    <w:rsid w:val="00C426EC"/>
    <w:rsid w:val="00C43B3F"/>
    <w:rsid w:val="00C43FA0"/>
    <w:rsid w:val="00C44967"/>
    <w:rsid w:val="00C45057"/>
    <w:rsid w:val="00C45C16"/>
    <w:rsid w:val="00C45D35"/>
    <w:rsid w:val="00C46801"/>
    <w:rsid w:val="00C46FA6"/>
    <w:rsid w:val="00C470C8"/>
    <w:rsid w:val="00C475AA"/>
    <w:rsid w:val="00C47FE3"/>
    <w:rsid w:val="00C50234"/>
    <w:rsid w:val="00C50648"/>
    <w:rsid w:val="00C50D05"/>
    <w:rsid w:val="00C51670"/>
    <w:rsid w:val="00C51721"/>
    <w:rsid w:val="00C51DF1"/>
    <w:rsid w:val="00C527C7"/>
    <w:rsid w:val="00C52F1F"/>
    <w:rsid w:val="00C53109"/>
    <w:rsid w:val="00C53B1C"/>
    <w:rsid w:val="00C53C30"/>
    <w:rsid w:val="00C53C98"/>
    <w:rsid w:val="00C547D0"/>
    <w:rsid w:val="00C5499A"/>
    <w:rsid w:val="00C55024"/>
    <w:rsid w:val="00C550C8"/>
    <w:rsid w:val="00C56CC0"/>
    <w:rsid w:val="00C56FCF"/>
    <w:rsid w:val="00C572F6"/>
    <w:rsid w:val="00C57413"/>
    <w:rsid w:val="00C5744B"/>
    <w:rsid w:val="00C57AB1"/>
    <w:rsid w:val="00C57B6C"/>
    <w:rsid w:val="00C57ED9"/>
    <w:rsid w:val="00C60673"/>
    <w:rsid w:val="00C60792"/>
    <w:rsid w:val="00C60F19"/>
    <w:rsid w:val="00C60FF0"/>
    <w:rsid w:val="00C616D7"/>
    <w:rsid w:val="00C61A59"/>
    <w:rsid w:val="00C628A6"/>
    <w:rsid w:val="00C62C2F"/>
    <w:rsid w:val="00C62D1E"/>
    <w:rsid w:val="00C63C02"/>
    <w:rsid w:val="00C64344"/>
    <w:rsid w:val="00C647C1"/>
    <w:rsid w:val="00C65108"/>
    <w:rsid w:val="00C65576"/>
    <w:rsid w:val="00C66163"/>
    <w:rsid w:val="00C66165"/>
    <w:rsid w:val="00C6672C"/>
    <w:rsid w:val="00C669E2"/>
    <w:rsid w:val="00C66D54"/>
    <w:rsid w:val="00C67646"/>
    <w:rsid w:val="00C67CDA"/>
    <w:rsid w:val="00C67FEB"/>
    <w:rsid w:val="00C7060A"/>
    <w:rsid w:val="00C70637"/>
    <w:rsid w:val="00C707CB"/>
    <w:rsid w:val="00C71065"/>
    <w:rsid w:val="00C7151A"/>
    <w:rsid w:val="00C717E3"/>
    <w:rsid w:val="00C719B2"/>
    <w:rsid w:val="00C71D78"/>
    <w:rsid w:val="00C71F60"/>
    <w:rsid w:val="00C72169"/>
    <w:rsid w:val="00C72241"/>
    <w:rsid w:val="00C729D1"/>
    <w:rsid w:val="00C7360E"/>
    <w:rsid w:val="00C73C53"/>
    <w:rsid w:val="00C750C8"/>
    <w:rsid w:val="00C7560F"/>
    <w:rsid w:val="00C75CF6"/>
    <w:rsid w:val="00C760DF"/>
    <w:rsid w:val="00C76E27"/>
    <w:rsid w:val="00C77A8C"/>
    <w:rsid w:val="00C77C59"/>
    <w:rsid w:val="00C77F96"/>
    <w:rsid w:val="00C80179"/>
    <w:rsid w:val="00C802C3"/>
    <w:rsid w:val="00C80329"/>
    <w:rsid w:val="00C8042D"/>
    <w:rsid w:val="00C806E8"/>
    <w:rsid w:val="00C80A0E"/>
    <w:rsid w:val="00C815C3"/>
    <w:rsid w:val="00C81B38"/>
    <w:rsid w:val="00C8213F"/>
    <w:rsid w:val="00C82C8C"/>
    <w:rsid w:val="00C82C96"/>
    <w:rsid w:val="00C8303F"/>
    <w:rsid w:val="00C85154"/>
    <w:rsid w:val="00C852E6"/>
    <w:rsid w:val="00C85A70"/>
    <w:rsid w:val="00C85BE8"/>
    <w:rsid w:val="00C86AD7"/>
    <w:rsid w:val="00C873F6"/>
    <w:rsid w:val="00C8783B"/>
    <w:rsid w:val="00C8797A"/>
    <w:rsid w:val="00C87C6D"/>
    <w:rsid w:val="00C900B8"/>
    <w:rsid w:val="00C90197"/>
    <w:rsid w:val="00C90C71"/>
    <w:rsid w:val="00C90CA1"/>
    <w:rsid w:val="00C9147A"/>
    <w:rsid w:val="00C919D5"/>
    <w:rsid w:val="00C91F87"/>
    <w:rsid w:val="00C91FD1"/>
    <w:rsid w:val="00C92B28"/>
    <w:rsid w:val="00C931CF"/>
    <w:rsid w:val="00C938CF"/>
    <w:rsid w:val="00C93E97"/>
    <w:rsid w:val="00C94053"/>
    <w:rsid w:val="00C94C35"/>
    <w:rsid w:val="00C94DEF"/>
    <w:rsid w:val="00C95493"/>
    <w:rsid w:val="00C956E1"/>
    <w:rsid w:val="00C95988"/>
    <w:rsid w:val="00C9624D"/>
    <w:rsid w:val="00C9657B"/>
    <w:rsid w:val="00C969DA"/>
    <w:rsid w:val="00C9779F"/>
    <w:rsid w:val="00C97822"/>
    <w:rsid w:val="00C97A69"/>
    <w:rsid w:val="00CA046C"/>
    <w:rsid w:val="00CA08F7"/>
    <w:rsid w:val="00CA0D7F"/>
    <w:rsid w:val="00CA0F9F"/>
    <w:rsid w:val="00CA27D7"/>
    <w:rsid w:val="00CA280F"/>
    <w:rsid w:val="00CA2C77"/>
    <w:rsid w:val="00CA2D70"/>
    <w:rsid w:val="00CA3336"/>
    <w:rsid w:val="00CA38A5"/>
    <w:rsid w:val="00CA3C8A"/>
    <w:rsid w:val="00CA444F"/>
    <w:rsid w:val="00CA4D86"/>
    <w:rsid w:val="00CA5245"/>
    <w:rsid w:val="00CA5281"/>
    <w:rsid w:val="00CA5403"/>
    <w:rsid w:val="00CA688F"/>
    <w:rsid w:val="00CA71BB"/>
    <w:rsid w:val="00CA71F4"/>
    <w:rsid w:val="00CA7626"/>
    <w:rsid w:val="00CA7B09"/>
    <w:rsid w:val="00CB12A5"/>
    <w:rsid w:val="00CB1384"/>
    <w:rsid w:val="00CB1CAC"/>
    <w:rsid w:val="00CB1CF0"/>
    <w:rsid w:val="00CB20BC"/>
    <w:rsid w:val="00CB2F2A"/>
    <w:rsid w:val="00CB3208"/>
    <w:rsid w:val="00CB387F"/>
    <w:rsid w:val="00CB3C65"/>
    <w:rsid w:val="00CB52B0"/>
    <w:rsid w:val="00CB5942"/>
    <w:rsid w:val="00CB5B1A"/>
    <w:rsid w:val="00CB6B22"/>
    <w:rsid w:val="00CB6FC7"/>
    <w:rsid w:val="00CB7AF9"/>
    <w:rsid w:val="00CB7F5F"/>
    <w:rsid w:val="00CB7F66"/>
    <w:rsid w:val="00CB7F9D"/>
    <w:rsid w:val="00CC0424"/>
    <w:rsid w:val="00CC1148"/>
    <w:rsid w:val="00CC1765"/>
    <w:rsid w:val="00CC1B39"/>
    <w:rsid w:val="00CC1BFA"/>
    <w:rsid w:val="00CC1C80"/>
    <w:rsid w:val="00CC2E9F"/>
    <w:rsid w:val="00CC3103"/>
    <w:rsid w:val="00CC35EA"/>
    <w:rsid w:val="00CC3848"/>
    <w:rsid w:val="00CC4EFC"/>
    <w:rsid w:val="00CC6667"/>
    <w:rsid w:val="00CC668F"/>
    <w:rsid w:val="00CC6D5E"/>
    <w:rsid w:val="00CC6EC0"/>
    <w:rsid w:val="00CD0200"/>
    <w:rsid w:val="00CD07E2"/>
    <w:rsid w:val="00CD0920"/>
    <w:rsid w:val="00CD1BD5"/>
    <w:rsid w:val="00CD271E"/>
    <w:rsid w:val="00CD294B"/>
    <w:rsid w:val="00CD2AE8"/>
    <w:rsid w:val="00CD2DC5"/>
    <w:rsid w:val="00CD35EC"/>
    <w:rsid w:val="00CD3858"/>
    <w:rsid w:val="00CD3E2F"/>
    <w:rsid w:val="00CD3EE7"/>
    <w:rsid w:val="00CD3F77"/>
    <w:rsid w:val="00CD45E5"/>
    <w:rsid w:val="00CD46A5"/>
    <w:rsid w:val="00CD54BC"/>
    <w:rsid w:val="00CD594A"/>
    <w:rsid w:val="00CD6ADC"/>
    <w:rsid w:val="00CD70E0"/>
    <w:rsid w:val="00CD7193"/>
    <w:rsid w:val="00CD7254"/>
    <w:rsid w:val="00CD736B"/>
    <w:rsid w:val="00CD7FFC"/>
    <w:rsid w:val="00CE04F0"/>
    <w:rsid w:val="00CE1EB4"/>
    <w:rsid w:val="00CE208F"/>
    <w:rsid w:val="00CE2788"/>
    <w:rsid w:val="00CE3872"/>
    <w:rsid w:val="00CE38C8"/>
    <w:rsid w:val="00CE442E"/>
    <w:rsid w:val="00CE4D04"/>
    <w:rsid w:val="00CE524F"/>
    <w:rsid w:val="00CE546D"/>
    <w:rsid w:val="00CE58CC"/>
    <w:rsid w:val="00CE603A"/>
    <w:rsid w:val="00CE6274"/>
    <w:rsid w:val="00CE62BC"/>
    <w:rsid w:val="00CE7600"/>
    <w:rsid w:val="00CE77B6"/>
    <w:rsid w:val="00CE7C7E"/>
    <w:rsid w:val="00CE7D78"/>
    <w:rsid w:val="00CF05CB"/>
    <w:rsid w:val="00CF074E"/>
    <w:rsid w:val="00CF0B05"/>
    <w:rsid w:val="00CF0E08"/>
    <w:rsid w:val="00CF1AA9"/>
    <w:rsid w:val="00CF1FE4"/>
    <w:rsid w:val="00CF2B8D"/>
    <w:rsid w:val="00CF2F34"/>
    <w:rsid w:val="00CF35A5"/>
    <w:rsid w:val="00CF3A1B"/>
    <w:rsid w:val="00CF444F"/>
    <w:rsid w:val="00CF456B"/>
    <w:rsid w:val="00CF5715"/>
    <w:rsid w:val="00CF5A22"/>
    <w:rsid w:val="00CF5A64"/>
    <w:rsid w:val="00CF5DBA"/>
    <w:rsid w:val="00CF6289"/>
    <w:rsid w:val="00CF70EC"/>
    <w:rsid w:val="00CF7B88"/>
    <w:rsid w:val="00D0043F"/>
    <w:rsid w:val="00D00867"/>
    <w:rsid w:val="00D01AA9"/>
    <w:rsid w:val="00D02080"/>
    <w:rsid w:val="00D0262E"/>
    <w:rsid w:val="00D02A8C"/>
    <w:rsid w:val="00D02AE3"/>
    <w:rsid w:val="00D02BEF"/>
    <w:rsid w:val="00D03028"/>
    <w:rsid w:val="00D03679"/>
    <w:rsid w:val="00D05E3D"/>
    <w:rsid w:val="00D0606A"/>
    <w:rsid w:val="00D06092"/>
    <w:rsid w:val="00D06139"/>
    <w:rsid w:val="00D105DC"/>
    <w:rsid w:val="00D108EA"/>
    <w:rsid w:val="00D10A49"/>
    <w:rsid w:val="00D1109B"/>
    <w:rsid w:val="00D110BD"/>
    <w:rsid w:val="00D11897"/>
    <w:rsid w:val="00D11DD1"/>
    <w:rsid w:val="00D124BF"/>
    <w:rsid w:val="00D12531"/>
    <w:rsid w:val="00D1271A"/>
    <w:rsid w:val="00D12F16"/>
    <w:rsid w:val="00D131E3"/>
    <w:rsid w:val="00D13675"/>
    <w:rsid w:val="00D141BF"/>
    <w:rsid w:val="00D141E1"/>
    <w:rsid w:val="00D1439A"/>
    <w:rsid w:val="00D14E53"/>
    <w:rsid w:val="00D15314"/>
    <w:rsid w:val="00D15B48"/>
    <w:rsid w:val="00D15E95"/>
    <w:rsid w:val="00D173BD"/>
    <w:rsid w:val="00D179C9"/>
    <w:rsid w:val="00D17D6C"/>
    <w:rsid w:val="00D202B2"/>
    <w:rsid w:val="00D20CD9"/>
    <w:rsid w:val="00D2155B"/>
    <w:rsid w:val="00D21A73"/>
    <w:rsid w:val="00D21C31"/>
    <w:rsid w:val="00D21F1B"/>
    <w:rsid w:val="00D22075"/>
    <w:rsid w:val="00D22109"/>
    <w:rsid w:val="00D22787"/>
    <w:rsid w:val="00D22BD2"/>
    <w:rsid w:val="00D23D11"/>
    <w:rsid w:val="00D23DB1"/>
    <w:rsid w:val="00D240A7"/>
    <w:rsid w:val="00D24177"/>
    <w:rsid w:val="00D244B6"/>
    <w:rsid w:val="00D24573"/>
    <w:rsid w:val="00D245FE"/>
    <w:rsid w:val="00D249F7"/>
    <w:rsid w:val="00D25216"/>
    <w:rsid w:val="00D25288"/>
    <w:rsid w:val="00D252CB"/>
    <w:rsid w:val="00D25863"/>
    <w:rsid w:val="00D25A90"/>
    <w:rsid w:val="00D25F00"/>
    <w:rsid w:val="00D26CE9"/>
    <w:rsid w:val="00D2754D"/>
    <w:rsid w:val="00D27B27"/>
    <w:rsid w:val="00D27F5E"/>
    <w:rsid w:val="00D30078"/>
    <w:rsid w:val="00D302EF"/>
    <w:rsid w:val="00D309D6"/>
    <w:rsid w:val="00D30D5B"/>
    <w:rsid w:val="00D338E1"/>
    <w:rsid w:val="00D33BE9"/>
    <w:rsid w:val="00D33F93"/>
    <w:rsid w:val="00D34193"/>
    <w:rsid w:val="00D3574F"/>
    <w:rsid w:val="00D357FF"/>
    <w:rsid w:val="00D363DD"/>
    <w:rsid w:val="00D367DE"/>
    <w:rsid w:val="00D37D55"/>
    <w:rsid w:val="00D40336"/>
    <w:rsid w:val="00D4050D"/>
    <w:rsid w:val="00D40925"/>
    <w:rsid w:val="00D40DDA"/>
    <w:rsid w:val="00D41114"/>
    <w:rsid w:val="00D416B5"/>
    <w:rsid w:val="00D41D7B"/>
    <w:rsid w:val="00D4219B"/>
    <w:rsid w:val="00D424C7"/>
    <w:rsid w:val="00D432CE"/>
    <w:rsid w:val="00D432E4"/>
    <w:rsid w:val="00D43B2A"/>
    <w:rsid w:val="00D43CF1"/>
    <w:rsid w:val="00D43D83"/>
    <w:rsid w:val="00D442E7"/>
    <w:rsid w:val="00D44750"/>
    <w:rsid w:val="00D451D6"/>
    <w:rsid w:val="00D45741"/>
    <w:rsid w:val="00D4633E"/>
    <w:rsid w:val="00D466BA"/>
    <w:rsid w:val="00D47396"/>
    <w:rsid w:val="00D47575"/>
    <w:rsid w:val="00D477B4"/>
    <w:rsid w:val="00D50192"/>
    <w:rsid w:val="00D50AEA"/>
    <w:rsid w:val="00D51633"/>
    <w:rsid w:val="00D52175"/>
    <w:rsid w:val="00D5243B"/>
    <w:rsid w:val="00D52D21"/>
    <w:rsid w:val="00D533EC"/>
    <w:rsid w:val="00D538C1"/>
    <w:rsid w:val="00D5458B"/>
    <w:rsid w:val="00D547A1"/>
    <w:rsid w:val="00D54871"/>
    <w:rsid w:val="00D54A2E"/>
    <w:rsid w:val="00D54F29"/>
    <w:rsid w:val="00D55BC3"/>
    <w:rsid w:val="00D565B6"/>
    <w:rsid w:val="00D569E0"/>
    <w:rsid w:val="00D56A95"/>
    <w:rsid w:val="00D56BB4"/>
    <w:rsid w:val="00D57012"/>
    <w:rsid w:val="00D5749E"/>
    <w:rsid w:val="00D5796C"/>
    <w:rsid w:val="00D57F59"/>
    <w:rsid w:val="00D6076E"/>
    <w:rsid w:val="00D61008"/>
    <w:rsid w:val="00D6110C"/>
    <w:rsid w:val="00D61404"/>
    <w:rsid w:val="00D645E8"/>
    <w:rsid w:val="00D64806"/>
    <w:rsid w:val="00D64F82"/>
    <w:rsid w:val="00D66519"/>
    <w:rsid w:val="00D66F28"/>
    <w:rsid w:val="00D67135"/>
    <w:rsid w:val="00D679F5"/>
    <w:rsid w:val="00D67F22"/>
    <w:rsid w:val="00D701DB"/>
    <w:rsid w:val="00D70546"/>
    <w:rsid w:val="00D70F16"/>
    <w:rsid w:val="00D716A5"/>
    <w:rsid w:val="00D7217A"/>
    <w:rsid w:val="00D72617"/>
    <w:rsid w:val="00D72F57"/>
    <w:rsid w:val="00D73068"/>
    <w:rsid w:val="00D741F2"/>
    <w:rsid w:val="00D74D40"/>
    <w:rsid w:val="00D74D56"/>
    <w:rsid w:val="00D76288"/>
    <w:rsid w:val="00D76646"/>
    <w:rsid w:val="00D76798"/>
    <w:rsid w:val="00D76A44"/>
    <w:rsid w:val="00D76DFA"/>
    <w:rsid w:val="00D77048"/>
    <w:rsid w:val="00D80F8B"/>
    <w:rsid w:val="00D81187"/>
    <w:rsid w:val="00D815EF"/>
    <w:rsid w:val="00D81949"/>
    <w:rsid w:val="00D81EFF"/>
    <w:rsid w:val="00D81F26"/>
    <w:rsid w:val="00D82119"/>
    <w:rsid w:val="00D822E2"/>
    <w:rsid w:val="00D82B70"/>
    <w:rsid w:val="00D82B7D"/>
    <w:rsid w:val="00D82C51"/>
    <w:rsid w:val="00D831D2"/>
    <w:rsid w:val="00D83571"/>
    <w:rsid w:val="00D838AB"/>
    <w:rsid w:val="00D843F2"/>
    <w:rsid w:val="00D8464E"/>
    <w:rsid w:val="00D84913"/>
    <w:rsid w:val="00D8603A"/>
    <w:rsid w:val="00D86231"/>
    <w:rsid w:val="00D8684E"/>
    <w:rsid w:val="00D86CB2"/>
    <w:rsid w:val="00D86D87"/>
    <w:rsid w:val="00D90064"/>
    <w:rsid w:val="00D901AC"/>
    <w:rsid w:val="00D9059A"/>
    <w:rsid w:val="00D912AB"/>
    <w:rsid w:val="00D91923"/>
    <w:rsid w:val="00D91FE3"/>
    <w:rsid w:val="00D92D1C"/>
    <w:rsid w:val="00D92D9D"/>
    <w:rsid w:val="00D93753"/>
    <w:rsid w:val="00D9419F"/>
    <w:rsid w:val="00D941E1"/>
    <w:rsid w:val="00D944E2"/>
    <w:rsid w:val="00D9481D"/>
    <w:rsid w:val="00D95031"/>
    <w:rsid w:val="00D950F1"/>
    <w:rsid w:val="00D953E2"/>
    <w:rsid w:val="00D954F4"/>
    <w:rsid w:val="00D97616"/>
    <w:rsid w:val="00D976A0"/>
    <w:rsid w:val="00D9794C"/>
    <w:rsid w:val="00D97A4B"/>
    <w:rsid w:val="00D97CB6"/>
    <w:rsid w:val="00DA0092"/>
    <w:rsid w:val="00DA0AE3"/>
    <w:rsid w:val="00DA0BB2"/>
    <w:rsid w:val="00DA0E1A"/>
    <w:rsid w:val="00DA26BD"/>
    <w:rsid w:val="00DA2783"/>
    <w:rsid w:val="00DA27F4"/>
    <w:rsid w:val="00DA2F42"/>
    <w:rsid w:val="00DA3167"/>
    <w:rsid w:val="00DA47E8"/>
    <w:rsid w:val="00DA4DC3"/>
    <w:rsid w:val="00DA5A86"/>
    <w:rsid w:val="00DA5C28"/>
    <w:rsid w:val="00DA674E"/>
    <w:rsid w:val="00DA6D74"/>
    <w:rsid w:val="00DA6FE2"/>
    <w:rsid w:val="00DA705A"/>
    <w:rsid w:val="00DA74B4"/>
    <w:rsid w:val="00DA76F1"/>
    <w:rsid w:val="00DA77A5"/>
    <w:rsid w:val="00DB006C"/>
    <w:rsid w:val="00DB0C97"/>
    <w:rsid w:val="00DB0E36"/>
    <w:rsid w:val="00DB11C8"/>
    <w:rsid w:val="00DB11D0"/>
    <w:rsid w:val="00DB1A7D"/>
    <w:rsid w:val="00DB1DC1"/>
    <w:rsid w:val="00DB22C5"/>
    <w:rsid w:val="00DB2664"/>
    <w:rsid w:val="00DB2723"/>
    <w:rsid w:val="00DB2BAD"/>
    <w:rsid w:val="00DB2EA3"/>
    <w:rsid w:val="00DB3A3A"/>
    <w:rsid w:val="00DB3A6E"/>
    <w:rsid w:val="00DB3DBF"/>
    <w:rsid w:val="00DB484F"/>
    <w:rsid w:val="00DB557E"/>
    <w:rsid w:val="00DB5588"/>
    <w:rsid w:val="00DB6034"/>
    <w:rsid w:val="00DB780A"/>
    <w:rsid w:val="00DB792D"/>
    <w:rsid w:val="00DC03C8"/>
    <w:rsid w:val="00DC04F6"/>
    <w:rsid w:val="00DC05BD"/>
    <w:rsid w:val="00DC0690"/>
    <w:rsid w:val="00DC0C3E"/>
    <w:rsid w:val="00DC12CA"/>
    <w:rsid w:val="00DC177C"/>
    <w:rsid w:val="00DC1A7D"/>
    <w:rsid w:val="00DC1D65"/>
    <w:rsid w:val="00DC26D6"/>
    <w:rsid w:val="00DC2E72"/>
    <w:rsid w:val="00DC3203"/>
    <w:rsid w:val="00DC3C57"/>
    <w:rsid w:val="00DC497A"/>
    <w:rsid w:val="00DC4998"/>
    <w:rsid w:val="00DC5501"/>
    <w:rsid w:val="00DC558B"/>
    <w:rsid w:val="00DC5DE4"/>
    <w:rsid w:val="00DC6668"/>
    <w:rsid w:val="00DC7020"/>
    <w:rsid w:val="00DC7154"/>
    <w:rsid w:val="00DC78CE"/>
    <w:rsid w:val="00DC7E8A"/>
    <w:rsid w:val="00DC7F4B"/>
    <w:rsid w:val="00DD0D13"/>
    <w:rsid w:val="00DD0F78"/>
    <w:rsid w:val="00DD114F"/>
    <w:rsid w:val="00DD138C"/>
    <w:rsid w:val="00DD140F"/>
    <w:rsid w:val="00DD21CF"/>
    <w:rsid w:val="00DD2659"/>
    <w:rsid w:val="00DD273C"/>
    <w:rsid w:val="00DD3080"/>
    <w:rsid w:val="00DD352E"/>
    <w:rsid w:val="00DD3C9B"/>
    <w:rsid w:val="00DD3E2C"/>
    <w:rsid w:val="00DD3F28"/>
    <w:rsid w:val="00DD4446"/>
    <w:rsid w:val="00DD4537"/>
    <w:rsid w:val="00DD4BF0"/>
    <w:rsid w:val="00DD4E15"/>
    <w:rsid w:val="00DD580B"/>
    <w:rsid w:val="00DD6023"/>
    <w:rsid w:val="00DD6D9B"/>
    <w:rsid w:val="00DD77B0"/>
    <w:rsid w:val="00DD7863"/>
    <w:rsid w:val="00DD79CD"/>
    <w:rsid w:val="00DD7C7E"/>
    <w:rsid w:val="00DD7FB5"/>
    <w:rsid w:val="00DE17BC"/>
    <w:rsid w:val="00DE1AFE"/>
    <w:rsid w:val="00DE2304"/>
    <w:rsid w:val="00DE302F"/>
    <w:rsid w:val="00DE3138"/>
    <w:rsid w:val="00DE328F"/>
    <w:rsid w:val="00DE37F8"/>
    <w:rsid w:val="00DE4273"/>
    <w:rsid w:val="00DE4FCB"/>
    <w:rsid w:val="00DE50CA"/>
    <w:rsid w:val="00DE5D07"/>
    <w:rsid w:val="00DE7167"/>
    <w:rsid w:val="00DE72A7"/>
    <w:rsid w:val="00DE752B"/>
    <w:rsid w:val="00DE76E5"/>
    <w:rsid w:val="00DE7832"/>
    <w:rsid w:val="00DE7952"/>
    <w:rsid w:val="00DE7D55"/>
    <w:rsid w:val="00DF0E7C"/>
    <w:rsid w:val="00DF11B6"/>
    <w:rsid w:val="00DF18FC"/>
    <w:rsid w:val="00DF1FED"/>
    <w:rsid w:val="00DF2160"/>
    <w:rsid w:val="00DF22E7"/>
    <w:rsid w:val="00DF28DD"/>
    <w:rsid w:val="00DF2A2F"/>
    <w:rsid w:val="00DF2B09"/>
    <w:rsid w:val="00DF2DAF"/>
    <w:rsid w:val="00DF2DE5"/>
    <w:rsid w:val="00DF31F9"/>
    <w:rsid w:val="00DF3703"/>
    <w:rsid w:val="00DF3B45"/>
    <w:rsid w:val="00DF421D"/>
    <w:rsid w:val="00DF4D7E"/>
    <w:rsid w:val="00DF5C31"/>
    <w:rsid w:val="00DF5D2B"/>
    <w:rsid w:val="00DF6341"/>
    <w:rsid w:val="00DF681C"/>
    <w:rsid w:val="00DF6851"/>
    <w:rsid w:val="00DF73E9"/>
    <w:rsid w:val="00E00668"/>
    <w:rsid w:val="00E00BEB"/>
    <w:rsid w:val="00E00E8E"/>
    <w:rsid w:val="00E0137C"/>
    <w:rsid w:val="00E01594"/>
    <w:rsid w:val="00E01AB6"/>
    <w:rsid w:val="00E0250A"/>
    <w:rsid w:val="00E02632"/>
    <w:rsid w:val="00E02B61"/>
    <w:rsid w:val="00E02F4A"/>
    <w:rsid w:val="00E03626"/>
    <w:rsid w:val="00E04016"/>
    <w:rsid w:val="00E0416D"/>
    <w:rsid w:val="00E04A63"/>
    <w:rsid w:val="00E053AA"/>
    <w:rsid w:val="00E05630"/>
    <w:rsid w:val="00E06DBB"/>
    <w:rsid w:val="00E10068"/>
    <w:rsid w:val="00E10149"/>
    <w:rsid w:val="00E10B87"/>
    <w:rsid w:val="00E10D9A"/>
    <w:rsid w:val="00E11274"/>
    <w:rsid w:val="00E112C1"/>
    <w:rsid w:val="00E11340"/>
    <w:rsid w:val="00E122A1"/>
    <w:rsid w:val="00E12654"/>
    <w:rsid w:val="00E14347"/>
    <w:rsid w:val="00E14813"/>
    <w:rsid w:val="00E14A96"/>
    <w:rsid w:val="00E15805"/>
    <w:rsid w:val="00E15947"/>
    <w:rsid w:val="00E16372"/>
    <w:rsid w:val="00E16AD8"/>
    <w:rsid w:val="00E16CAB"/>
    <w:rsid w:val="00E17036"/>
    <w:rsid w:val="00E178B6"/>
    <w:rsid w:val="00E17FFA"/>
    <w:rsid w:val="00E20A39"/>
    <w:rsid w:val="00E20C1D"/>
    <w:rsid w:val="00E20E4D"/>
    <w:rsid w:val="00E20ED6"/>
    <w:rsid w:val="00E21358"/>
    <w:rsid w:val="00E2249B"/>
    <w:rsid w:val="00E2289E"/>
    <w:rsid w:val="00E22A0D"/>
    <w:rsid w:val="00E234A7"/>
    <w:rsid w:val="00E2383B"/>
    <w:rsid w:val="00E239C7"/>
    <w:rsid w:val="00E244F6"/>
    <w:rsid w:val="00E258DB"/>
    <w:rsid w:val="00E25FAB"/>
    <w:rsid w:val="00E265E7"/>
    <w:rsid w:val="00E26B70"/>
    <w:rsid w:val="00E276A7"/>
    <w:rsid w:val="00E2771E"/>
    <w:rsid w:val="00E27B6C"/>
    <w:rsid w:val="00E27B90"/>
    <w:rsid w:val="00E27DE4"/>
    <w:rsid w:val="00E306B2"/>
    <w:rsid w:val="00E30931"/>
    <w:rsid w:val="00E311EF"/>
    <w:rsid w:val="00E31533"/>
    <w:rsid w:val="00E316BA"/>
    <w:rsid w:val="00E32180"/>
    <w:rsid w:val="00E3288D"/>
    <w:rsid w:val="00E32BFE"/>
    <w:rsid w:val="00E33966"/>
    <w:rsid w:val="00E3452D"/>
    <w:rsid w:val="00E34948"/>
    <w:rsid w:val="00E36381"/>
    <w:rsid w:val="00E36E31"/>
    <w:rsid w:val="00E37569"/>
    <w:rsid w:val="00E3784A"/>
    <w:rsid w:val="00E401B2"/>
    <w:rsid w:val="00E40D92"/>
    <w:rsid w:val="00E40DFD"/>
    <w:rsid w:val="00E41457"/>
    <w:rsid w:val="00E41C13"/>
    <w:rsid w:val="00E41CC2"/>
    <w:rsid w:val="00E41E30"/>
    <w:rsid w:val="00E424FF"/>
    <w:rsid w:val="00E42F73"/>
    <w:rsid w:val="00E4302E"/>
    <w:rsid w:val="00E43D70"/>
    <w:rsid w:val="00E4506C"/>
    <w:rsid w:val="00E45397"/>
    <w:rsid w:val="00E45A95"/>
    <w:rsid w:val="00E466F3"/>
    <w:rsid w:val="00E46731"/>
    <w:rsid w:val="00E46DF6"/>
    <w:rsid w:val="00E47B2C"/>
    <w:rsid w:val="00E47C55"/>
    <w:rsid w:val="00E50816"/>
    <w:rsid w:val="00E5133D"/>
    <w:rsid w:val="00E51560"/>
    <w:rsid w:val="00E51821"/>
    <w:rsid w:val="00E528EA"/>
    <w:rsid w:val="00E530E7"/>
    <w:rsid w:val="00E53ECF"/>
    <w:rsid w:val="00E53F36"/>
    <w:rsid w:val="00E53FC8"/>
    <w:rsid w:val="00E54347"/>
    <w:rsid w:val="00E54464"/>
    <w:rsid w:val="00E5524B"/>
    <w:rsid w:val="00E55424"/>
    <w:rsid w:val="00E55915"/>
    <w:rsid w:val="00E55980"/>
    <w:rsid w:val="00E55BB5"/>
    <w:rsid w:val="00E56462"/>
    <w:rsid w:val="00E567A7"/>
    <w:rsid w:val="00E602F3"/>
    <w:rsid w:val="00E604FE"/>
    <w:rsid w:val="00E611DF"/>
    <w:rsid w:val="00E61B6D"/>
    <w:rsid w:val="00E61F16"/>
    <w:rsid w:val="00E61FC5"/>
    <w:rsid w:val="00E62013"/>
    <w:rsid w:val="00E620A1"/>
    <w:rsid w:val="00E620D7"/>
    <w:rsid w:val="00E6320C"/>
    <w:rsid w:val="00E63581"/>
    <w:rsid w:val="00E63954"/>
    <w:rsid w:val="00E648A5"/>
    <w:rsid w:val="00E64F0B"/>
    <w:rsid w:val="00E65317"/>
    <w:rsid w:val="00E6546D"/>
    <w:rsid w:val="00E655BA"/>
    <w:rsid w:val="00E65E79"/>
    <w:rsid w:val="00E66BA2"/>
    <w:rsid w:val="00E67416"/>
    <w:rsid w:val="00E67E05"/>
    <w:rsid w:val="00E70037"/>
    <w:rsid w:val="00E71551"/>
    <w:rsid w:val="00E718B6"/>
    <w:rsid w:val="00E723BA"/>
    <w:rsid w:val="00E7296C"/>
    <w:rsid w:val="00E72B34"/>
    <w:rsid w:val="00E72E94"/>
    <w:rsid w:val="00E730E1"/>
    <w:rsid w:val="00E73581"/>
    <w:rsid w:val="00E738DA"/>
    <w:rsid w:val="00E74083"/>
    <w:rsid w:val="00E764DD"/>
    <w:rsid w:val="00E76D15"/>
    <w:rsid w:val="00E76D65"/>
    <w:rsid w:val="00E77338"/>
    <w:rsid w:val="00E806D0"/>
    <w:rsid w:val="00E80951"/>
    <w:rsid w:val="00E80977"/>
    <w:rsid w:val="00E80B7A"/>
    <w:rsid w:val="00E80EEA"/>
    <w:rsid w:val="00E810D8"/>
    <w:rsid w:val="00E819DB"/>
    <w:rsid w:val="00E81DBB"/>
    <w:rsid w:val="00E81F41"/>
    <w:rsid w:val="00E828D0"/>
    <w:rsid w:val="00E82A50"/>
    <w:rsid w:val="00E82B46"/>
    <w:rsid w:val="00E833F7"/>
    <w:rsid w:val="00E8343C"/>
    <w:rsid w:val="00E83BDF"/>
    <w:rsid w:val="00E83DEE"/>
    <w:rsid w:val="00E849C2"/>
    <w:rsid w:val="00E85C0E"/>
    <w:rsid w:val="00E86658"/>
    <w:rsid w:val="00E86B2E"/>
    <w:rsid w:val="00E86FCC"/>
    <w:rsid w:val="00E87A1D"/>
    <w:rsid w:val="00E904C4"/>
    <w:rsid w:val="00E9094A"/>
    <w:rsid w:val="00E91D35"/>
    <w:rsid w:val="00E91EFE"/>
    <w:rsid w:val="00E92517"/>
    <w:rsid w:val="00E926A5"/>
    <w:rsid w:val="00E935DB"/>
    <w:rsid w:val="00E93D47"/>
    <w:rsid w:val="00E952FF"/>
    <w:rsid w:val="00E95CA0"/>
    <w:rsid w:val="00E96237"/>
    <w:rsid w:val="00E96288"/>
    <w:rsid w:val="00E962CC"/>
    <w:rsid w:val="00E96A51"/>
    <w:rsid w:val="00E97302"/>
    <w:rsid w:val="00EA0D09"/>
    <w:rsid w:val="00EA11DC"/>
    <w:rsid w:val="00EA1292"/>
    <w:rsid w:val="00EA17C3"/>
    <w:rsid w:val="00EA1C38"/>
    <w:rsid w:val="00EA25D6"/>
    <w:rsid w:val="00EA2786"/>
    <w:rsid w:val="00EA297B"/>
    <w:rsid w:val="00EA2CAA"/>
    <w:rsid w:val="00EA32CC"/>
    <w:rsid w:val="00EA369A"/>
    <w:rsid w:val="00EA3864"/>
    <w:rsid w:val="00EA3979"/>
    <w:rsid w:val="00EA460C"/>
    <w:rsid w:val="00EA4C01"/>
    <w:rsid w:val="00EA5146"/>
    <w:rsid w:val="00EA6830"/>
    <w:rsid w:val="00EA7F1C"/>
    <w:rsid w:val="00EB04EC"/>
    <w:rsid w:val="00EB09E8"/>
    <w:rsid w:val="00EB0CC8"/>
    <w:rsid w:val="00EB1547"/>
    <w:rsid w:val="00EB1571"/>
    <w:rsid w:val="00EB15B6"/>
    <w:rsid w:val="00EB1844"/>
    <w:rsid w:val="00EB22F3"/>
    <w:rsid w:val="00EB2841"/>
    <w:rsid w:val="00EB2ACE"/>
    <w:rsid w:val="00EB32B8"/>
    <w:rsid w:val="00EB3D06"/>
    <w:rsid w:val="00EB4916"/>
    <w:rsid w:val="00EB4952"/>
    <w:rsid w:val="00EB53F6"/>
    <w:rsid w:val="00EB5971"/>
    <w:rsid w:val="00EB5B95"/>
    <w:rsid w:val="00EB60C1"/>
    <w:rsid w:val="00EB6B8E"/>
    <w:rsid w:val="00EB7B63"/>
    <w:rsid w:val="00EC00C9"/>
    <w:rsid w:val="00EC0DD9"/>
    <w:rsid w:val="00EC0E49"/>
    <w:rsid w:val="00EC10BC"/>
    <w:rsid w:val="00EC12AA"/>
    <w:rsid w:val="00EC1854"/>
    <w:rsid w:val="00EC1AE0"/>
    <w:rsid w:val="00EC1BB7"/>
    <w:rsid w:val="00EC20CE"/>
    <w:rsid w:val="00EC23C0"/>
    <w:rsid w:val="00EC2649"/>
    <w:rsid w:val="00EC26AE"/>
    <w:rsid w:val="00EC28A7"/>
    <w:rsid w:val="00EC2ED4"/>
    <w:rsid w:val="00EC31ED"/>
    <w:rsid w:val="00EC3A27"/>
    <w:rsid w:val="00EC3AFF"/>
    <w:rsid w:val="00EC3B06"/>
    <w:rsid w:val="00EC478D"/>
    <w:rsid w:val="00EC4922"/>
    <w:rsid w:val="00EC4F17"/>
    <w:rsid w:val="00EC52F2"/>
    <w:rsid w:val="00EC53B9"/>
    <w:rsid w:val="00EC577B"/>
    <w:rsid w:val="00EC5836"/>
    <w:rsid w:val="00EC5CD8"/>
    <w:rsid w:val="00EC67A0"/>
    <w:rsid w:val="00EC688C"/>
    <w:rsid w:val="00EC720F"/>
    <w:rsid w:val="00EC73CE"/>
    <w:rsid w:val="00ED0C81"/>
    <w:rsid w:val="00ED0CBB"/>
    <w:rsid w:val="00ED0F3A"/>
    <w:rsid w:val="00ED1096"/>
    <w:rsid w:val="00ED12E3"/>
    <w:rsid w:val="00ED1DB4"/>
    <w:rsid w:val="00ED2919"/>
    <w:rsid w:val="00ED364F"/>
    <w:rsid w:val="00ED3E49"/>
    <w:rsid w:val="00ED400D"/>
    <w:rsid w:val="00ED4840"/>
    <w:rsid w:val="00ED4B04"/>
    <w:rsid w:val="00ED4F4C"/>
    <w:rsid w:val="00ED543E"/>
    <w:rsid w:val="00ED5532"/>
    <w:rsid w:val="00ED57EA"/>
    <w:rsid w:val="00ED5BD4"/>
    <w:rsid w:val="00ED5C61"/>
    <w:rsid w:val="00ED5D09"/>
    <w:rsid w:val="00ED694F"/>
    <w:rsid w:val="00ED6CF9"/>
    <w:rsid w:val="00ED73E2"/>
    <w:rsid w:val="00ED777F"/>
    <w:rsid w:val="00ED78F7"/>
    <w:rsid w:val="00EE0067"/>
    <w:rsid w:val="00EE07D3"/>
    <w:rsid w:val="00EE100F"/>
    <w:rsid w:val="00EE18CE"/>
    <w:rsid w:val="00EE1996"/>
    <w:rsid w:val="00EE1C01"/>
    <w:rsid w:val="00EE1E96"/>
    <w:rsid w:val="00EE22AF"/>
    <w:rsid w:val="00EE2399"/>
    <w:rsid w:val="00EE2835"/>
    <w:rsid w:val="00EE2A17"/>
    <w:rsid w:val="00EE2B6B"/>
    <w:rsid w:val="00EE2D6F"/>
    <w:rsid w:val="00EE32CF"/>
    <w:rsid w:val="00EE45A2"/>
    <w:rsid w:val="00EE55C9"/>
    <w:rsid w:val="00EE58A3"/>
    <w:rsid w:val="00EE5B03"/>
    <w:rsid w:val="00EE602E"/>
    <w:rsid w:val="00EE6403"/>
    <w:rsid w:val="00EE6FC0"/>
    <w:rsid w:val="00EF0171"/>
    <w:rsid w:val="00EF01B8"/>
    <w:rsid w:val="00EF1198"/>
    <w:rsid w:val="00EF158C"/>
    <w:rsid w:val="00EF1B25"/>
    <w:rsid w:val="00EF1D8C"/>
    <w:rsid w:val="00EF1DA0"/>
    <w:rsid w:val="00EF319E"/>
    <w:rsid w:val="00EF4747"/>
    <w:rsid w:val="00EF48C6"/>
    <w:rsid w:val="00EF4A24"/>
    <w:rsid w:val="00EF4BF8"/>
    <w:rsid w:val="00EF593D"/>
    <w:rsid w:val="00EF5CC7"/>
    <w:rsid w:val="00EF60FC"/>
    <w:rsid w:val="00EF6447"/>
    <w:rsid w:val="00F009B1"/>
    <w:rsid w:val="00F00DF6"/>
    <w:rsid w:val="00F01848"/>
    <w:rsid w:val="00F01B6D"/>
    <w:rsid w:val="00F02248"/>
    <w:rsid w:val="00F02253"/>
    <w:rsid w:val="00F026ED"/>
    <w:rsid w:val="00F035B7"/>
    <w:rsid w:val="00F03C2E"/>
    <w:rsid w:val="00F03F66"/>
    <w:rsid w:val="00F04059"/>
    <w:rsid w:val="00F04356"/>
    <w:rsid w:val="00F043C6"/>
    <w:rsid w:val="00F0466D"/>
    <w:rsid w:val="00F04A66"/>
    <w:rsid w:val="00F04B4B"/>
    <w:rsid w:val="00F0516C"/>
    <w:rsid w:val="00F067A2"/>
    <w:rsid w:val="00F07081"/>
    <w:rsid w:val="00F075B5"/>
    <w:rsid w:val="00F07B9E"/>
    <w:rsid w:val="00F07CB6"/>
    <w:rsid w:val="00F1116F"/>
    <w:rsid w:val="00F1164E"/>
    <w:rsid w:val="00F11AA6"/>
    <w:rsid w:val="00F11B52"/>
    <w:rsid w:val="00F1263A"/>
    <w:rsid w:val="00F12761"/>
    <w:rsid w:val="00F138EB"/>
    <w:rsid w:val="00F1397C"/>
    <w:rsid w:val="00F139C5"/>
    <w:rsid w:val="00F13C31"/>
    <w:rsid w:val="00F142A8"/>
    <w:rsid w:val="00F151F2"/>
    <w:rsid w:val="00F155CD"/>
    <w:rsid w:val="00F15981"/>
    <w:rsid w:val="00F15B77"/>
    <w:rsid w:val="00F165BC"/>
    <w:rsid w:val="00F16E41"/>
    <w:rsid w:val="00F172A9"/>
    <w:rsid w:val="00F204A9"/>
    <w:rsid w:val="00F2088D"/>
    <w:rsid w:val="00F20F78"/>
    <w:rsid w:val="00F21236"/>
    <w:rsid w:val="00F212D3"/>
    <w:rsid w:val="00F21484"/>
    <w:rsid w:val="00F21AD0"/>
    <w:rsid w:val="00F21AD3"/>
    <w:rsid w:val="00F2279B"/>
    <w:rsid w:val="00F23062"/>
    <w:rsid w:val="00F239DF"/>
    <w:rsid w:val="00F243AD"/>
    <w:rsid w:val="00F24837"/>
    <w:rsid w:val="00F2575F"/>
    <w:rsid w:val="00F25F04"/>
    <w:rsid w:val="00F26085"/>
    <w:rsid w:val="00F27565"/>
    <w:rsid w:val="00F27672"/>
    <w:rsid w:val="00F3087B"/>
    <w:rsid w:val="00F310D4"/>
    <w:rsid w:val="00F31D5A"/>
    <w:rsid w:val="00F32020"/>
    <w:rsid w:val="00F32948"/>
    <w:rsid w:val="00F32BB9"/>
    <w:rsid w:val="00F33752"/>
    <w:rsid w:val="00F33941"/>
    <w:rsid w:val="00F33975"/>
    <w:rsid w:val="00F33DE9"/>
    <w:rsid w:val="00F33E23"/>
    <w:rsid w:val="00F341D8"/>
    <w:rsid w:val="00F34A06"/>
    <w:rsid w:val="00F34C57"/>
    <w:rsid w:val="00F35E6D"/>
    <w:rsid w:val="00F3619A"/>
    <w:rsid w:val="00F36303"/>
    <w:rsid w:val="00F363D3"/>
    <w:rsid w:val="00F365B3"/>
    <w:rsid w:val="00F369E8"/>
    <w:rsid w:val="00F36BC3"/>
    <w:rsid w:val="00F36FE5"/>
    <w:rsid w:val="00F3776D"/>
    <w:rsid w:val="00F37F0C"/>
    <w:rsid w:val="00F40AAA"/>
    <w:rsid w:val="00F40BA7"/>
    <w:rsid w:val="00F40F9D"/>
    <w:rsid w:val="00F41A1F"/>
    <w:rsid w:val="00F41ACD"/>
    <w:rsid w:val="00F423A0"/>
    <w:rsid w:val="00F428CF"/>
    <w:rsid w:val="00F42A10"/>
    <w:rsid w:val="00F42CDD"/>
    <w:rsid w:val="00F43971"/>
    <w:rsid w:val="00F439E4"/>
    <w:rsid w:val="00F43EED"/>
    <w:rsid w:val="00F444A9"/>
    <w:rsid w:val="00F44CE2"/>
    <w:rsid w:val="00F45270"/>
    <w:rsid w:val="00F463C2"/>
    <w:rsid w:val="00F46AF3"/>
    <w:rsid w:val="00F46B1F"/>
    <w:rsid w:val="00F46CB6"/>
    <w:rsid w:val="00F4756D"/>
    <w:rsid w:val="00F47961"/>
    <w:rsid w:val="00F47A3D"/>
    <w:rsid w:val="00F47A72"/>
    <w:rsid w:val="00F47DE8"/>
    <w:rsid w:val="00F47E86"/>
    <w:rsid w:val="00F504D3"/>
    <w:rsid w:val="00F505C4"/>
    <w:rsid w:val="00F5060A"/>
    <w:rsid w:val="00F5099B"/>
    <w:rsid w:val="00F51A10"/>
    <w:rsid w:val="00F51BF3"/>
    <w:rsid w:val="00F52BC4"/>
    <w:rsid w:val="00F53090"/>
    <w:rsid w:val="00F542C1"/>
    <w:rsid w:val="00F550E3"/>
    <w:rsid w:val="00F55CB7"/>
    <w:rsid w:val="00F55E21"/>
    <w:rsid w:val="00F55E73"/>
    <w:rsid w:val="00F55EDA"/>
    <w:rsid w:val="00F55FF2"/>
    <w:rsid w:val="00F56755"/>
    <w:rsid w:val="00F56C80"/>
    <w:rsid w:val="00F56E61"/>
    <w:rsid w:val="00F56FCC"/>
    <w:rsid w:val="00F57D2D"/>
    <w:rsid w:val="00F60092"/>
    <w:rsid w:val="00F60961"/>
    <w:rsid w:val="00F618A3"/>
    <w:rsid w:val="00F61C18"/>
    <w:rsid w:val="00F61FA0"/>
    <w:rsid w:val="00F62065"/>
    <w:rsid w:val="00F63AB8"/>
    <w:rsid w:val="00F63ACC"/>
    <w:rsid w:val="00F641CB"/>
    <w:rsid w:val="00F64709"/>
    <w:rsid w:val="00F64E44"/>
    <w:rsid w:val="00F64EBE"/>
    <w:rsid w:val="00F656B8"/>
    <w:rsid w:val="00F6588B"/>
    <w:rsid w:val="00F65AE6"/>
    <w:rsid w:val="00F65F4B"/>
    <w:rsid w:val="00F66485"/>
    <w:rsid w:val="00F6651E"/>
    <w:rsid w:val="00F6656E"/>
    <w:rsid w:val="00F66B0D"/>
    <w:rsid w:val="00F67A43"/>
    <w:rsid w:val="00F67A69"/>
    <w:rsid w:val="00F67B0E"/>
    <w:rsid w:val="00F70450"/>
    <w:rsid w:val="00F706B2"/>
    <w:rsid w:val="00F7096E"/>
    <w:rsid w:val="00F70BFF"/>
    <w:rsid w:val="00F70C9D"/>
    <w:rsid w:val="00F7103D"/>
    <w:rsid w:val="00F71080"/>
    <w:rsid w:val="00F72F79"/>
    <w:rsid w:val="00F732F7"/>
    <w:rsid w:val="00F73857"/>
    <w:rsid w:val="00F73E08"/>
    <w:rsid w:val="00F740A7"/>
    <w:rsid w:val="00F74CD9"/>
    <w:rsid w:val="00F762C8"/>
    <w:rsid w:val="00F76DAD"/>
    <w:rsid w:val="00F77B2A"/>
    <w:rsid w:val="00F77D73"/>
    <w:rsid w:val="00F77E5A"/>
    <w:rsid w:val="00F77F72"/>
    <w:rsid w:val="00F80A7B"/>
    <w:rsid w:val="00F80E5D"/>
    <w:rsid w:val="00F81015"/>
    <w:rsid w:val="00F81996"/>
    <w:rsid w:val="00F81AAC"/>
    <w:rsid w:val="00F81DD7"/>
    <w:rsid w:val="00F81E78"/>
    <w:rsid w:val="00F81FCD"/>
    <w:rsid w:val="00F829E3"/>
    <w:rsid w:val="00F83916"/>
    <w:rsid w:val="00F84780"/>
    <w:rsid w:val="00F851CE"/>
    <w:rsid w:val="00F8524F"/>
    <w:rsid w:val="00F85B02"/>
    <w:rsid w:val="00F85C51"/>
    <w:rsid w:val="00F85E12"/>
    <w:rsid w:val="00F8624E"/>
    <w:rsid w:val="00F86594"/>
    <w:rsid w:val="00F8683F"/>
    <w:rsid w:val="00F86916"/>
    <w:rsid w:val="00F86DBC"/>
    <w:rsid w:val="00F86E78"/>
    <w:rsid w:val="00F8759A"/>
    <w:rsid w:val="00F879A0"/>
    <w:rsid w:val="00F87D21"/>
    <w:rsid w:val="00F90B37"/>
    <w:rsid w:val="00F91219"/>
    <w:rsid w:val="00F922E3"/>
    <w:rsid w:val="00F92444"/>
    <w:rsid w:val="00F9393E"/>
    <w:rsid w:val="00F93A79"/>
    <w:rsid w:val="00F93C5E"/>
    <w:rsid w:val="00F94837"/>
    <w:rsid w:val="00F948AE"/>
    <w:rsid w:val="00F94981"/>
    <w:rsid w:val="00F95A4E"/>
    <w:rsid w:val="00F965A5"/>
    <w:rsid w:val="00F96938"/>
    <w:rsid w:val="00F96FD0"/>
    <w:rsid w:val="00F97A78"/>
    <w:rsid w:val="00FA015F"/>
    <w:rsid w:val="00FA0B20"/>
    <w:rsid w:val="00FA0FE6"/>
    <w:rsid w:val="00FA1CEF"/>
    <w:rsid w:val="00FA24E7"/>
    <w:rsid w:val="00FA27AA"/>
    <w:rsid w:val="00FA3834"/>
    <w:rsid w:val="00FA3D87"/>
    <w:rsid w:val="00FA4D4D"/>
    <w:rsid w:val="00FA570A"/>
    <w:rsid w:val="00FA5C69"/>
    <w:rsid w:val="00FA5C79"/>
    <w:rsid w:val="00FA5EE6"/>
    <w:rsid w:val="00FA69B6"/>
    <w:rsid w:val="00FA7285"/>
    <w:rsid w:val="00FA7582"/>
    <w:rsid w:val="00FA7956"/>
    <w:rsid w:val="00FB0824"/>
    <w:rsid w:val="00FB0985"/>
    <w:rsid w:val="00FB0B06"/>
    <w:rsid w:val="00FB1022"/>
    <w:rsid w:val="00FB147F"/>
    <w:rsid w:val="00FB1D56"/>
    <w:rsid w:val="00FB2196"/>
    <w:rsid w:val="00FB26CE"/>
    <w:rsid w:val="00FB2B5D"/>
    <w:rsid w:val="00FB2B9C"/>
    <w:rsid w:val="00FB2FCB"/>
    <w:rsid w:val="00FB405B"/>
    <w:rsid w:val="00FB4067"/>
    <w:rsid w:val="00FB4C9C"/>
    <w:rsid w:val="00FB51BD"/>
    <w:rsid w:val="00FB5C90"/>
    <w:rsid w:val="00FB67C4"/>
    <w:rsid w:val="00FB7472"/>
    <w:rsid w:val="00FB7A5D"/>
    <w:rsid w:val="00FB7C55"/>
    <w:rsid w:val="00FB7CE9"/>
    <w:rsid w:val="00FC077C"/>
    <w:rsid w:val="00FC1074"/>
    <w:rsid w:val="00FC1884"/>
    <w:rsid w:val="00FC371D"/>
    <w:rsid w:val="00FC4C02"/>
    <w:rsid w:val="00FC4FD9"/>
    <w:rsid w:val="00FC5205"/>
    <w:rsid w:val="00FC5ADB"/>
    <w:rsid w:val="00FC5F0B"/>
    <w:rsid w:val="00FC719D"/>
    <w:rsid w:val="00FC7510"/>
    <w:rsid w:val="00FD0096"/>
    <w:rsid w:val="00FD00FD"/>
    <w:rsid w:val="00FD0C68"/>
    <w:rsid w:val="00FD1714"/>
    <w:rsid w:val="00FD1949"/>
    <w:rsid w:val="00FD19C4"/>
    <w:rsid w:val="00FD1C36"/>
    <w:rsid w:val="00FD1FAE"/>
    <w:rsid w:val="00FD2100"/>
    <w:rsid w:val="00FD22B6"/>
    <w:rsid w:val="00FD255B"/>
    <w:rsid w:val="00FD26AD"/>
    <w:rsid w:val="00FD2FE3"/>
    <w:rsid w:val="00FD3670"/>
    <w:rsid w:val="00FD3C01"/>
    <w:rsid w:val="00FD436C"/>
    <w:rsid w:val="00FD446D"/>
    <w:rsid w:val="00FD46D1"/>
    <w:rsid w:val="00FD4956"/>
    <w:rsid w:val="00FD4A26"/>
    <w:rsid w:val="00FD4B14"/>
    <w:rsid w:val="00FD4F2C"/>
    <w:rsid w:val="00FD4FCC"/>
    <w:rsid w:val="00FD519A"/>
    <w:rsid w:val="00FD5353"/>
    <w:rsid w:val="00FD5364"/>
    <w:rsid w:val="00FD6394"/>
    <w:rsid w:val="00FD6D7B"/>
    <w:rsid w:val="00FD7945"/>
    <w:rsid w:val="00FE01DC"/>
    <w:rsid w:val="00FE04C2"/>
    <w:rsid w:val="00FE0509"/>
    <w:rsid w:val="00FE0E6C"/>
    <w:rsid w:val="00FE1A7F"/>
    <w:rsid w:val="00FE1CDC"/>
    <w:rsid w:val="00FE20BF"/>
    <w:rsid w:val="00FE29F7"/>
    <w:rsid w:val="00FE3070"/>
    <w:rsid w:val="00FE433E"/>
    <w:rsid w:val="00FE4E4A"/>
    <w:rsid w:val="00FE5602"/>
    <w:rsid w:val="00FE6378"/>
    <w:rsid w:val="00FE6D55"/>
    <w:rsid w:val="00FE70C3"/>
    <w:rsid w:val="00FE70FF"/>
    <w:rsid w:val="00FE7150"/>
    <w:rsid w:val="00FE7379"/>
    <w:rsid w:val="00FF0144"/>
    <w:rsid w:val="00FF0AEE"/>
    <w:rsid w:val="00FF1A8B"/>
    <w:rsid w:val="00FF1D6E"/>
    <w:rsid w:val="00FF22EE"/>
    <w:rsid w:val="00FF25A5"/>
    <w:rsid w:val="00FF2AD9"/>
    <w:rsid w:val="00FF3341"/>
    <w:rsid w:val="00FF359F"/>
    <w:rsid w:val="00FF35D4"/>
    <w:rsid w:val="00FF3D36"/>
    <w:rsid w:val="00FF3DCF"/>
    <w:rsid w:val="00FF3FE7"/>
    <w:rsid w:val="00FF492C"/>
    <w:rsid w:val="00FF4A21"/>
    <w:rsid w:val="00FF5AA3"/>
    <w:rsid w:val="00FF5AD8"/>
    <w:rsid w:val="00FF69DE"/>
    <w:rsid w:val="00FF6AF8"/>
    <w:rsid w:val="00FF73C6"/>
    <w:rsid w:val="00FF753D"/>
    <w:rsid w:val="00FF761B"/>
    <w:rsid w:val="00FF7CCE"/>
    <w:rsid w:val="010DF8FF"/>
    <w:rsid w:val="01DBBA89"/>
    <w:rsid w:val="020FBCAA"/>
    <w:rsid w:val="021090D2"/>
    <w:rsid w:val="0618A769"/>
    <w:rsid w:val="07CF7E66"/>
    <w:rsid w:val="0A4D028D"/>
    <w:rsid w:val="0B6BA60E"/>
    <w:rsid w:val="0B9FFD6D"/>
    <w:rsid w:val="0C036EF8"/>
    <w:rsid w:val="0C4486AA"/>
    <w:rsid w:val="0EB040AA"/>
    <w:rsid w:val="10A0A639"/>
    <w:rsid w:val="11D2B503"/>
    <w:rsid w:val="134A7879"/>
    <w:rsid w:val="13B397B1"/>
    <w:rsid w:val="146A11D4"/>
    <w:rsid w:val="15231C72"/>
    <w:rsid w:val="16F58C0D"/>
    <w:rsid w:val="182A4D54"/>
    <w:rsid w:val="190B64E4"/>
    <w:rsid w:val="1A884083"/>
    <w:rsid w:val="1BEC5918"/>
    <w:rsid w:val="1C412110"/>
    <w:rsid w:val="1F618A0D"/>
    <w:rsid w:val="1FA184A3"/>
    <w:rsid w:val="20500EA8"/>
    <w:rsid w:val="210F1E5D"/>
    <w:rsid w:val="21B05CFA"/>
    <w:rsid w:val="23FF3770"/>
    <w:rsid w:val="248647A4"/>
    <w:rsid w:val="276B89ED"/>
    <w:rsid w:val="27A761EC"/>
    <w:rsid w:val="27BB11A5"/>
    <w:rsid w:val="2C38196D"/>
    <w:rsid w:val="2D5E59CB"/>
    <w:rsid w:val="2EFD639F"/>
    <w:rsid w:val="2F777326"/>
    <w:rsid w:val="303FE9B5"/>
    <w:rsid w:val="30A17AF0"/>
    <w:rsid w:val="3114F8D8"/>
    <w:rsid w:val="31263CC6"/>
    <w:rsid w:val="31D01D40"/>
    <w:rsid w:val="31EDA4A3"/>
    <w:rsid w:val="332D191D"/>
    <w:rsid w:val="354C8CE2"/>
    <w:rsid w:val="355408E9"/>
    <w:rsid w:val="35CCB661"/>
    <w:rsid w:val="376D7153"/>
    <w:rsid w:val="38F3F295"/>
    <w:rsid w:val="3B93FE57"/>
    <w:rsid w:val="3DB8158F"/>
    <w:rsid w:val="3E834DFD"/>
    <w:rsid w:val="3ECDE408"/>
    <w:rsid w:val="41635117"/>
    <w:rsid w:val="4327352A"/>
    <w:rsid w:val="482AFB5B"/>
    <w:rsid w:val="48657F2C"/>
    <w:rsid w:val="4C16F353"/>
    <w:rsid w:val="4ED22A91"/>
    <w:rsid w:val="4FB432BF"/>
    <w:rsid w:val="508C47DE"/>
    <w:rsid w:val="514F25AE"/>
    <w:rsid w:val="5168D7FF"/>
    <w:rsid w:val="58ED3F2A"/>
    <w:rsid w:val="5AAD7DED"/>
    <w:rsid w:val="5BB2BE5C"/>
    <w:rsid w:val="5C82C3ED"/>
    <w:rsid w:val="5D412D6D"/>
    <w:rsid w:val="5E9797B6"/>
    <w:rsid w:val="5FDB1E0D"/>
    <w:rsid w:val="6059C0BC"/>
    <w:rsid w:val="634D5BE5"/>
    <w:rsid w:val="63FAFA67"/>
    <w:rsid w:val="64C26DB5"/>
    <w:rsid w:val="64CF3558"/>
    <w:rsid w:val="657A2560"/>
    <w:rsid w:val="65E509C3"/>
    <w:rsid w:val="666882FF"/>
    <w:rsid w:val="684D21CE"/>
    <w:rsid w:val="68BA5D4B"/>
    <w:rsid w:val="6ECF355A"/>
    <w:rsid w:val="70DA51E8"/>
    <w:rsid w:val="74F4A5C0"/>
    <w:rsid w:val="788FC952"/>
    <w:rsid w:val="7CAD8985"/>
    <w:rsid w:val="7CD56875"/>
    <w:rsid w:val="7E18DE56"/>
    <w:rsid w:val="7E75261C"/>
    <w:rsid w:val="7F099131"/>
    <w:rsid w:val="7F46FC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aption Char2 Char,Caption Char Char Char2,Caption Char1 Char Char Char1,Caption Char2 Char Char Char1 Char1,Caption Char Char1 Char Char Char1 Cha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Bayer Caption Char,IB Caption Char,Medical Caption Char,- H17 Char,Caption Char2 Char Char,Caption Char Char Char2 Char,Caption Char1 Char Char Char1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PBAC table,Table Grid nm,new style,HTAtableplain,Dossier table,Summary Table,MSD Table Grid,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E82B4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82B46"/>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paragraph" w:customStyle="1" w:styleId="TableLeft">
    <w:name w:val="Table Left"/>
    <w:basedOn w:val="Normal"/>
    <w:link w:val="TableLeftChar"/>
    <w:uiPriority w:val="99"/>
    <w:qFormat/>
    <w:rsid w:val="000C3D10"/>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0C3D10"/>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0C3D10"/>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C5ADB"/>
    <w:rPr>
      <w:color w:val="605E5C"/>
      <w:shd w:val="clear" w:color="auto" w:fill="E1DFDD"/>
    </w:rPr>
  </w:style>
  <w:style w:type="paragraph" w:styleId="FootnoteText">
    <w:name w:val="footnote text"/>
    <w:basedOn w:val="Normal"/>
    <w:link w:val="FootnoteTextChar"/>
    <w:semiHidden/>
    <w:unhideWhenUsed/>
    <w:rsid w:val="002B084E"/>
    <w:rPr>
      <w:sz w:val="20"/>
      <w:szCs w:val="20"/>
    </w:rPr>
  </w:style>
  <w:style w:type="character" w:customStyle="1" w:styleId="FootnoteTextChar">
    <w:name w:val="Footnote Text Char"/>
    <w:basedOn w:val="DefaultParagraphFont"/>
    <w:link w:val="FootnoteText"/>
    <w:semiHidden/>
    <w:rsid w:val="002B084E"/>
    <w:rPr>
      <w:rFonts w:ascii="Calibri" w:hAnsi="Calibri" w:cs="Arial"/>
    </w:rPr>
  </w:style>
  <w:style w:type="character" w:styleId="FootnoteReference">
    <w:name w:val="footnote reference"/>
    <w:basedOn w:val="DefaultParagraphFont"/>
    <w:unhideWhenUsed/>
    <w:rsid w:val="002B084E"/>
    <w:rPr>
      <w:vertAlign w:val="superscript"/>
    </w:rPr>
  </w:style>
  <w:style w:type="table" w:customStyle="1" w:styleId="Submissionstandard">
    <w:name w:val="Submission standard"/>
    <w:basedOn w:val="TableNormal"/>
    <w:uiPriority w:val="99"/>
    <w:qFormat/>
    <w:rsid w:val="00505BD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Sitka Small" w:hAnsi="Sitka Small"/>
        <w:b/>
        <w:sz w:val="20"/>
      </w:rPr>
      <w:tblPr/>
      <w:tcPr>
        <w:shd w:val="clear" w:color="auto" w:fill="BFBFBF"/>
      </w:tcPr>
    </w:tblStylePr>
  </w:style>
  <w:style w:type="table" w:customStyle="1" w:styleId="ASDTable1">
    <w:name w:val="ASD Table1"/>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05BD5"/>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2">
    <w:name w:val="ASD Table2"/>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3">
    <w:name w:val="ASD Table3"/>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4">
    <w:name w:val="ASD Table4"/>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5">
    <w:name w:val="ASD Table5"/>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6">
    <w:name w:val="ASD Table6"/>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7">
    <w:name w:val="ASD Table7"/>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8">
    <w:name w:val="ASD Table8"/>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9">
    <w:name w:val="ASD Table9"/>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0">
    <w:name w:val="ASD Table10"/>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1">
    <w:name w:val="ASD Table11"/>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2">
    <w:name w:val="ASD Table12"/>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3">
    <w:name w:val="ASD Table13"/>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4">
    <w:name w:val="ASD Table14"/>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5">
    <w:name w:val="ASD Table15"/>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missionstandard1">
    <w:name w:val="Submission standard1"/>
    <w:basedOn w:val="TableNormal"/>
    <w:uiPriority w:val="99"/>
    <w:qFormat/>
    <w:rsid w:val="00505BD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Bahnschrift SemiBold SemiConden" w:hAnsi="Bahnschrift SemiBold SemiConden"/>
        <w:b/>
        <w:sz w:val="20"/>
      </w:rPr>
      <w:tblPr/>
      <w:tcPr>
        <w:shd w:val="clear" w:color="auto" w:fill="BFBFBF"/>
      </w:tcPr>
    </w:tblStylePr>
  </w:style>
  <w:style w:type="table" w:customStyle="1" w:styleId="ASDTable16">
    <w:name w:val="ASD Table16"/>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7">
    <w:name w:val="ASD Table17"/>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8">
    <w:name w:val="ASD Table18"/>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19">
    <w:name w:val="ASD Table19"/>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20">
    <w:name w:val="ASD Table20"/>
    <w:basedOn w:val="TableNormal"/>
    <w:next w:val="TableGrid"/>
    <w:uiPriority w:val="39"/>
    <w:rsid w:val="00505BD5"/>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missionstandard2">
    <w:name w:val="Submission standard2"/>
    <w:basedOn w:val="TableNormal"/>
    <w:uiPriority w:val="99"/>
    <w:qFormat/>
    <w:rsid w:val="00505BD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Yu Gothic UI Light" w:hAnsi="Yu Gothic UI Light"/>
        <w:b/>
        <w:sz w:val="20"/>
      </w:rPr>
      <w:tblPr/>
      <w:tcPr>
        <w:shd w:val="clear" w:color="auto" w:fill="BFBFBF"/>
      </w:tcPr>
    </w:tblStylePr>
  </w:style>
  <w:style w:type="table" w:customStyle="1" w:styleId="TableGrid12">
    <w:name w:val="Table Grid12"/>
    <w:basedOn w:val="TableNormal"/>
    <w:next w:val="TableGrid"/>
    <w:uiPriority w:val="59"/>
    <w:rsid w:val="00F33752"/>
    <w:rPr>
      <w:rFonts w:eastAsia="Batang"/>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220548"/>
    <w:pPr>
      <w:jc w:val="center"/>
    </w:pPr>
    <w:rPr>
      <w:rFonts w:cs="Calibri"/>
      <w:noProof/>
    </w:rPr>
  </w:style>
  <w:style w:type="character" w:customStyle="1" w:styleId="EndNoteBibliographyTitleChar">
    <w:name w:val="EndNote Bibliography Title Char"/>
    <w:basedOn w:val="TableFigureFooterChar"/>
    <w:link w:val="EndNoteBibliographyTitle"/>
    <w:rsid w:val="00220548"/>
    <w:rPr>
      <w:rFonts w:ascii="Calibri" w:hAnsi="Calibri" w:cs="Calibri"/>
      <w:noProof/>
      <w:snapToGrid/>
      <w:sz w:val="24"/>
      <w:szCs w:val="24"/>
    </w:rPr>
  </w:style>
  <w:style w:type="paragraph" w:customStyle="1" w:styleId="EndNoteBibliography">
    <w:name w:val="EndNote Bibliography"/>
    <w:basedOn w:val="Normal"/>
    <w:link w:val="EndNoteBibliographyChar"/>
    <w:rsid w:val="00220548"/>
    <w:rPr>
      <w:rFonts w:cs="Calibri"/>
      <w:noProof/>
    </w:rPr>
  </w:style>
  <w:style w:type="character" w:customStyle="1" w:styleId="EndNoteBibliographyChar">
    <w:name w:val="EndNote Bibliography Char"/>
    <w:basedOn w:val="TableFigureFooterChar"/>
    <w:link w:val="EndNoteBibliography"/>
    <w:rsid w:val="00220548"/>
    <w:rPr>
      <w:rFonts w:ascii="Calibri" w:hAnsi="Calibri" w:cs="Calibri"/>
      <w:noProof/>
      <w:snapToGrid/>
      <w:sz w:val="24"/>
      <w:szCs w:val="24"/>
    </w:rPr>
  </w:style>
  <w:style w:type="paragraph" w:customStyle="1" w:styleId="3-SubsectionHeading">
    <w:name w:val="3-Subsection Heading"/>
    <w:basedOn w:val="Heading2"/>
    <w:next w:val="Normal"/>
    <w:link w:val="3-SubsectionHeadingChar"/>
    <w:qFormat/>
    <w:rsid w:val="004C045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C0453"/>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1E2E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60144914">
      <w:bodyDiv w:val="1"/>
      <w:marLeft w:val="0"/>
      <w:marRight w:val="0"/>
      <w:marTop w:val="0"/>
      <w:marBottom w:val="0"/>
      <w:divBdr>
        <w:top w:val="none" w:sz="0" w:space="0" w:color="auto"/>
        <w:left w:val="none" w:sz="0" w:space="0" w:color="auto"/>
        <w:bottom w:val="none" w:sz="0" w:space="0" w:color="auto"/>
        <w:right w:val="none" w:sz="0" w:space="0" w:color="auto"/>
      </w:divBdr>
    </w:div>
    <w:div w:id="1546020142">
      <w:bodyDiv w:val="1"/>
      <w:marLeft w:val="0"/>
      <w:marRight w:val="0"/>
      <w:marTop w:val="0"/>
      <w:marBottom w:val="0"/>
      <w:divBdr>
        <w:top w:val="none" w:sz="0" w:space="0" w:color="auto"/>
        <w:left w:val="none" w:sz="0" w:space="0" w:color="auto"/>
        <w:bottom w:val="none" w:sz="0" w:space="0" w:color="auto"/>
        <w:right w:val="none" w:sz="0" w:space="0" w:color="auto"/>
      </w:divBdr>
    </w:div>
    <w:div w:id="15603589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03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resources/artg/388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C16C0-1605-4C59-BB0C-3AE157770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691DDBE9-1C0E-4A41-8576-79A8AF30DBBF}">
  <ds:schemaRefs>
    <ds:schemaRef ds:uri="http://schemas.microsoft.com/office/2006/metadata/properties"/>
    <ds:schemaRef ds:uri="7f856f8d-13b3-495a-9a4b-41f8182eda4c"/>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72f95629-adac-4ec1-8738-e1cec852b92b"/>
    <ds:schemaRef ds:uri="http://purl.org/dc/dcmitype/"/>
  </ds:schemaRefs>
</ds:datastoreItem>
</file>

<file path=customXml/itemProps4.xml><?xml version="1.0" encoding="utf-8"?>
<ds:datastoreItem xmlns:ds="http://schemas.openxmlformats.org/officeDocument/2006/customXml" ds:itemID="{11C1FD0B-4963-4A97-B488-016A3D1CF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18250</Words>
  <Characters>104028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2025-10-23T22:01:00Z</dcterms:created>
  <dcterms:modified xsi:type="dcterms:W3CDTF">2025-10-30T03:37:00Z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18649453,37416a6e,55281958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62d056b6,1b9be466,455038eb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2025-10-23T22:01:45Z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b27e1023-4d64-4165-83aa-f21aa2c42010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