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CC14" w14:textId="2BC61CDE" w:rsidR="009905C4" w:rsidRPr="00007450" w:rsidRDefault="00691A20" w:rsidP="00864C4B">
      <w:pPr>
        <w:pStyle w:val="1-MainHeading"/>
      </w:pPr>
      <w:bookmarkStart w:id="0" w:name="_Toc198724430"/>
      <w:bookmarkStart w:id="1" w:name="_Toc380679747"/>
      <w:bookmarkStart w:id="2" w:name="_Toc380742604"/>
      <w:bookmarkStart w:id="3" w:name="_Toc380746171"/>
      <w:bookmarkStart w:id="4" w:name="_Toc380746294"/>
      <w:bookmarkStart w:id="5" w:name="_Toc380746578"/>
      <w:r w:rsidRPr="00007450">
        <w:t>6.09</w:t>
      </w:r>
      <w:r w:rsidR="009905C4" w:rsidRPr="00007450">
        <w:tab/>
        <w:t>RIBOCICLIB</w:t>
      </w:r>
      <w:r w:rsidR="009905C4" w:rsidRPr="00007450">
        <w:br/>
        <w:t>Tablet 200 mg,</w:t>
      </w:r>
      <w:r w:rsidR="009905C4" w:rsidRPr="00007450">
        <w:br/>
        <w:t>Kisqali</w:t>
      </w:r>
      <w:r w:rsidR="009905C4" w:rsidRPr="00007450">
        <w:rPr>
          <w:vertAlign w:val="superscript"/>
        </w:rPr>
        <w:t>®</w:t>
      </w:r>
      <w:r w:rsidR="009905C4" w:rsidRPr="00007450">
        <w:t>,</w:t>
      </w:r>
      <w:r w:rsidR="009905C4" w:rsidRPr="00007450">
        <w:br/>
        <w:t>NOVARTIS PHARMACEUTICALS AUSTRALIA PTY LIMITED.</w:t>
      </w:r>
      <w:bookmarkEnd w:id="0"/>
      <w:r w:rsidR="009905C4" w:rsidRPr="00007450">
        <w:t xml:space="preserve"> </w:t>
      </w:r>
    </w:p>
    <w:p w14:paraId="1F56FBD3" w14:textId="77777777" w:rsidR="009905C4" w:rsidRPr="00007450" w:rsidRDefault="009905C4" w:rsidP="00864C4B">
      <w:pPr>
        <w:pStyle w:val="2-SectionHeading"/>
        <w:numPr>
          <w:ilvl w:val="0"/>
          <w:numId w:val="1"/>
        </w:numPr>
      </w:pPr>
      <w:bookmarkStart w:id="6" w:name="_Toc198724432"/>
      <w:r w:rsidRPr="00007450">
        <w:t>Purpose of submission</w:t>
      </w:r>
      <w:bookmarkEnd w:id="6"/>
    </w:p>
    <w:p w14:paraId="67079E93" w14:textId="76BC8F4A" w:rsidR="009905C4" w:rsidRPr="00007450" w:rsidRDefault="009905C4" w:rsidP="00864C4B">
      <w:pPr>
        <w:pStyle w:val="3-BodyText"/>
        <w:numPr>
          <w:ilvl w:val="1"/>
          <w:numId w:val="1"/>
        </w:numPr>
      </w:pPr>
      <w:r w:rsidRPr="00007450">
        <w:t>The Category 2 submission requested a General Schedule</w:t>
      </w:r>
      <w:r w:rsidR="005F2095" w:rsidRPr="00007450">
        <w:t>,</w:t>
      </w:r>
      <w:r w:rsidRPr="00007450">
        <w:t xml:space="preserve"> Authority Required (telephone/online) listing for ribociclib</w:t>
      </w:r>
      <w:r w:rsidR="003D677A" w:rsidRPr="00007450">
        <w:t>,</w:t>
      </w:r>
      <w:r w:rsidRPr="00007450">
        <w:t xml:space="preserve"> in combination with adjuvant endocrine therapy (ET)</w:t>
      </w:r>
      <w:r w:rsidR="003D677A" w:rsidRPr="00007450">
        <w:t>,</w:t>
      </w:r>
      <w:r w:rsidRPr="00007450">
        <w:t xml:space="preserve"> for the treatment of hormone receptor</w:t>
      </w:r>
      <w:r w:rsidR="00C12F82" w:rsidRPr="00007450">
        <w:t xml:space="preserve"> </w:t>
      </w:r>
      <w:r w:rsidR="00E13AA3" w:rsidRPr="00007450">
        <w:t xml:space="preserve">positive </w:t>
      </w:r>
      <w:r w:rsidR="00C12F82" w:rsidRPr="00007450">
        <w:t>(HR</w:t>
      </w:r>
      <w:r w:rsidR="00E13AA3" w:rsidRPr="00007450">
        <w:t>+</w:t>
      </w:r>
      <w:r w:rsidR="00C12F82" w:rsidRPr="00007450">
        <w:t>)</w:t>
      </w:r>
      <w:r w:rsidRPr="00007450">
        <w:t xml:space="preserve">, human epidermal growth factor receptor 2 </w:t>
      </w:r>
      <w:r w:rsidR="00E13AA3" w:rsidRPr="00007450">
        <w:t xml:space="preserve">negative </w:t>
      </w:r>
      <w:r w:rsidRPr="00007450">
        <w:t>(HER2</w:t>
      </w:r>
      <w:r w:rsidR="00E13AA3" w:rsidRPr="00007450">
        <w:t>-</w:t>
      </w:r>
      <w:r w:rsidRPr="00007450">
        <w:t>)</w:t>
      </w:r>
      <w:r w:rsidR="003C1F75" w:rsidRPr="00007450">
        <w:t>, resected</w:t>
      </w:r>
      <w:r w:rsidRPr="00007450">
        <w:t xml:space="preserve"> early breast cancer (eBC) at high risk of disease </w:t>
      </w:r>
      <w:r w:rsidR="00F1685A" w:rsidRPr="00007450">
        <w:t>recurrence.</w:t>
      </w:r>
      <w:r w:rsidRPr="00007450">
        <w:rPr>
          <w:i/>
          <w:iCs/>
        </w:rPr>
        <w:t xml:space="preserve"> </w:t>
      </w:r>
      <w:r w:rsidR="00AF6F71">
        <w:t xml:space="preserve">Ribociclib was recommended for listing at the November 2024 PBAC meeting </w:t>
      </w:r>
      <w:r w:rsidR="00BB5572">
        <w:t xml:space="preserve">for patients with </w:t>
      </w:r>
      <w:r w:rsidR="00CD4128">
        <w:rPr>
          <w:rFonts w:cstheme="minorHAnsi"/>
        </w:rPr>
        <w:t>≥</w:t>
      </w:r>
      <w:r w:rsidR="00CD4128" w:rsidRPr="00007450">
        <w:t xml:space="preserve">4 positive axillary lymph nodes </w:t>
      </w:r>
      <w:r w:rsidR="00CD4128">
        <w:t>(</w:t>
      </w:r>
      <w:r w:rsidR="00CD4128" w:rsidRPr="00007450">
        <w:t>ALNs</w:t>
      </w:r>
      <w:r w:rsidR="00CD4128">
        <w:t>)</w:t>
      </w:r>
      <w:r w:rsidR="00CD4128" w:rsidRPr="00007450">
        <w:t>, or 1–3 positive ALNs and either grade 3 disease (on the Nottingham grading system) or tumour size ≥ 5 cm</w:t>
      </w:r>
      <w:r w:rsidR="00AB1FFE">
        <w:t xml:space="preserve">. This submission requested the listing be expanded to </w:t>
      </w:r>
      <w:r w:rsidR="004673D7">
        <w:t xml:space="preserve">include </w:t>
      </w:r>
      <w:r w:rsidR="00A51BDF">
        <w:t>the</w:t>
      </w:r>
      <w:r w:rsidR="00A51BDF" w:rsidRPr="00007450">
        <w:rPr>
          <w:rFonts w:ascii="Calibri" w:eastAsia="Times New Roman" w:hAnsi="Calibri" w:cs="Arial"/>
          <w:bCs/>
        </w:rPr>
        <w:t xml:space="preserve"> complement sub-group of high-risk eBC patients who were not included in the recommendation for ribociclib at the November 2024 PBAC </w:t>
      </w:r>
      <w:r w:rsidR="00A51BDF">
        <w:rPr>
          <w:rFonts w:ascii="Calibri" w:eastAsia="Times New Roman" w:hAnsi="Calibri" w:cs="Arial"/>
          <w:bCs/>
        </w:rPr>
        <w:t>m</w:t>
      </w:r>
      <w:r w:rsidR="00A51BDF" w:rsidRPr="00007450">
        <w:rPr>
          <w:rFonts w:ascii="Calibri" w:eastAsia="Times New Roman" w:hAnsi="Calibri" w:cs="Arial"/>
          <w:bCs/>
        </w:rPr>
        <w:t>eeting</w:t>
      </w:r>
      <w:r w:rsidR="00A51BDF">
        <w:rPr>
          <w:rFonts w:ascii="Calibri" w:eastAsia="Times New Roman" w:hAnsi="Calibri" w:cs="Arial"/>
          <w:bCs/>
        </w:rPr>
        <w:t>.</w:t>
      </w:r>
    </w:p>
    <w:p w14:paraId="2A5B4DD6" w14:textId="73CE2F6C" w:rsidR="009905C4" w:rsidRPr="00007450" w:rsidRDefault="009905C4" w:rsidP="00864C4B">
      <w:pPr>
        <w:pStyle w:val="3-BodyText"/>
        <w:numPr>
          <w:ilvl w:val="1"/>
          <w:numId w:val="1"/>
        </w:numPr>
      </w:pPr>
      <w:r w:rsidRPr="00007450">
        <w:t xml:space="preserve">Listing was requested on the basis of a cost-effectiveness analysis versus adjuvant ET alone. The key components of the clinical issue addressed by the submission are presented in </w:t>
      </w:r>
      <w:r w:rsidR="00F1685A" w:rsidRPr="00007450">
        <w:fldChar w:fldCharType="begin"/>
      </w:r>
      <w:r w:rsidR="00F1685A" w:rsidRPr="00007450">
        <w:instrText xml:space="preserve"> REF _Ref193809938 \h </w:instrText>
      </w:r>
      <w:r w:rsidR="00F1685A" w:rsidRPr="00007450">
        <w:fldChar w:fldCharType="separate"/>
      </w:r>
      <w:r w:rsidR="00B36442" w:rsidRPr="00007450">
        <w:t xml:space="preserve">Table </w:t>
      </w:r>
      <w:r w:rsidR="00B36442">
        <w:rPr>
          <w:noProof/>
        </w:rPr>
        <w:t>1</w:t>
      </w:r>
      <w:r w:rsidR="00F1685A" w:rsidRPr="00007450">
        <w:fldChar w:fldCharType="end"/>
      </w:r>
      <w:r w:rsidRPr="00007450">
        <w:t xml:space="preserve">. </w:t>
      </w:r>
    </w:p>
    <w:p w14:paraId="0BC5DBD1" w14:textId="17052EDE" w:rsidR="009905C4" w:rsidRPr="00007450" w:rsidRDefault="009905C4" w:rsidP="00864C4B">
      <w:pPr>
        <w:pStyle w:val="TableFigureHeading"/>
        <w:rPr>
          <w:rStyle w:val="CommentReference"/>
          <w:b/>
          <w:szCs w:val="24"/>
        </w:rPr>
      </w:pPr>
      <w:bookmarkStart w:id="7" w:name="_Ref193809938"/>
      <w:r w:rsidRPr="00007450">
        <w:t xml:space="preserve">Table </w:t>
      </w:r>
      <w:r w:rsidR="001C7776">
        <w:fldChar w:fldCharType="begin"/>
      </w:r>
      <w:r w:rsidR="001C7776">
        <w:instrText xml:space="preserve"> SEQ Table \* ARABIC </w:instrText>
      </w:r>
      <w:r w:rsidR="001C7776">
        <w:fldChar w:fldCharType="separate"/>
      </w:r>
      <w:r w:rsidR="00B36442">
        <w:rPr>
          <w:noProof/>
        </w:rPr>
        <w:t>1</w:t>
      </w:r>
      <w:r w:rsidR="001C7776">
        <w:rPr>
          <w:noProof/>
        </w:rPr>
        <w:fldChar w:fldCharType="end"/>
      </w:r>
      <w:bookmarkEnd w:id="7"/>
      <w:r w:rsidRPr="00007450">
        <w:t>:</w:t>
      </w:r>
      <w:r w:rsidRPr="0000745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9905C4" w:rsidRPr="00007450" w14:paraId="0C8D72CA" w14:textId="77777777">
        <w:trPr>
          <w:cantSplit/>
          <w:tblHeader/>
        </w:trPr>
        <w:tc>
          <w:tcPr>
            <w:tcW w:w="924" w:type="pct"/>
          </w:tcPr>
          <w:p w14:paraId="408EA8EF" w14:textId="77777777" w:rsidR="009905C4" w:rsidRPr="00007450" w:rsidRDefault="009905C4" w:rsidP="00864C4B">
            <w:pPr>
              <w:pStyle w:val="In-tableHeading"/>
              <w:rPr>
                <w:szCs w:val="20"/>
                <w:lang w:val="en-AU"/>
              </w:rPr>
            </w:pPr>
            <w:r w:rsidRPr="00007450">
              <w:rPr>
                <w:lang w:val="en-AU"/>
              </w:rPr>
              <w:t>Component</w:t>
            </w:r>
          </w:p>
        </w:tc>
        <w:tc>
          <w:tcPr>
            <w:tcW w:w="4076" w:type="pct"/>
          </w:tcPr>
          <w:p w14:paraId="3BF3A1A8" w14:textId="77777777" w:rsidR="009905C4" w:rsidRPr="00007450" w:rsidRDefault="009905C4" w:rsidP="00864C4B">
            <w:pPr>
              <w:pStyle w:val="In-tableHeading"/>
              <w:rPr>
                <w:lang w:val="en-AU"/>
              </w:rPr>
            </w:pPr>
            <w:r w:rsidRPr="00007450">
              <w:rPr>
                <w:lang w:val="en-AU"/>
              </w:rPr>
              <w:t>Description</w:t>
            </w:r>
          </w:p>
        </w:tc>
      </w:tr>
      <w:tr w:rsidR="009905C4" w:rsidRPr="00007450" w14:paraId="58CC98B9" w14:textId="77777777">
        <w:trPr>
          <w:cantSplit/>
        </w:trPr>
        <w:tc>
          <w:tcPr>
            <w:tcW w:w="924" w:type="pct"/>
          </w:tcPr>
          <w:p w14:paraId="2979712C" w14:textId="77777777" w:rsidR="009905C4" w:rsidRPr="00007450" w:rsidRDefault="009905C4" w:rsidP="00864C4B">
            <w:pPr>
              <w:pStyle w:val="TableText0"/>
            </w:pPr>
            <w:r w:rsidRPr="00007450">
              <w:t>Population</w:t>
            </w:r>
          </w:p>
        </w:tc>
        <w:tc>
          <w:tcPr>
            <w:tcW w:w="4076" w:type="pct"/>
          </w:tcPr>
          <w:p w14:paraId="32F76AE5" w14:textId="27330A81" w:rsidR="009905C4" w:rsidRPr="00007450" w:rsidRDefault="009905C4" w:rsidP="00864C4B">
            <w:pPr>
              <w:pStyle w:val="TableText0"/>
              <w:rPr>
                <w:szCs w:val="20"/>
              </w:rPr>
            </w:pPr>
            <w:r w:rsidRPr="00007450">
              <w:rPr>
                <w:iCs/>
              </w:rPr>
              <w:t>Adult patients with HR</w:t>
            </w:r>
            <w:r w:rsidR="008F2E04" w:rsidRPr="00007450">
              <w:rPr>
                <w:iCs/>
              </w:rPr>
              <w:t xml:space="preserve"> </w:t>
            </w:r>
            <w:r w:rsidRPr="00007450">
              <w:rPr>
                <w:iCs/>
              </w:rPr>
              <w:t>positive, HER2</w:t>
            </w:r>
            <w:r w:rsidR="008F2E04" w:rsidRPr="00007450">
              <w:rPr>
                <w:iCs/>
              </w:rPr>
              <w:t xml:space="preserve"> </w:t>
            </w:r>
            <w:r w:rsidRPr="00007450">
              <w:rPr>
                <w:iCs/>
              </w:rPr>
              <w:t>negative eBC with (a) stage II or III disease with</w:t>
            </w:r>
            <w:r w:rsidR="00BD766E" w:rsidRPr="00007450">
              <w:rPr>
                <w:iCs/>
              </w:rPr>
              <w:t xml:space="preserve"> </w:t>
            </w:r>
            <w:r w:rsidRPr="00007450">
              <w:rPr>
                <w:iCs/>
              </w:rPr>
              <w:t>1–3 positive ALNs with grade ≤ 2 histology and tumour size &lt; 5 cm, or (b) stage IIB or III node-negative disease, or (c) stage IIA node-negative disease with (i) histological grade 3 or (ii) histological grade 2 with a positive molecular diagnostic outcome.</w:t>
            </w:r>
          </w:p>
        </w:tc>
      </w:tr>
      <w:tr w:rsidR="009905C4" w:rsidRPr="00007450" w14:paraId="7929F5CE" w14:textId="77777777">
        <w:trPr>
          <w:cantSplit/>
        </w:trPr>
        <w:tc>
          <w:tcPr>
            <w:tcW w:w="924" w:type="pct"/>
          </w:tcPr>
          <w:p w14:paraId="3C0BE0A0" w14:textId="77777777" w:rsidR="009905C4" w:rsidRPr="00007450" w:rsidRDefault="009905C4" w:rsidP="00864C4B">
            <w:pPr>
              <w:pStyle w:val="TableText0"/>
            </w:pPr>
            <w:r w:rsidRPr="00007450">
              <w:t>Intervention</w:t>
            </w:r>
          </w:p>
        </w:tc>
        <w:tc>
          <w:tcPr>
            <w:tcW w:w="4076" w:type="pct"/>
          </w:tcPr>
          <w:p w14:paraId="2EB537C9" w14:textId="7E53D25C" w:rsidR="009905C4" w:rsidRPr="00007450" w:rsidRDefault="009905C4" w:rsidP="00864C4B">
            <w:pPr>
              <w:pStyle w:val="TableText0"/>
            </w:pPr>
            <w:r w:rsidRPr="00007450">
              <w:rPr>
                <w:iCs/>
              </w:rPr>
              <w:t xml:space="preserve">Ribociclib 400 mg orally, once daily on days 1–21 of each 28-day cycle for up to 3 years, </w:t>
            </w:r>
            <w:r w:rsidR="00DB75F8" w:rsidRPr="00007450">
              <w:rPr>
                <w:iCs/>
              </w:rPr>
              <w:t>plus</w:t>
            </w:r>
            <w:r w:rsidRPr="00007450">
              <w:rPr>
                <w:iCs/>
              </w:rPr>
              <w:t xml:space="preserve"> adjuvant ET</w:t>
            </w:r>
            <w:r w:rsidR="00CC40CB" w:rsidRPr="00007450">
              <w:rPr>
                <w:iCs/>
              </w:rPr>
              <w:t>.</w:t>
            </w:r>
          </w:p>
        </w:tc>
      </w:tr>
      <w:tr w:rsidR="009905C4" w:rsidRPr="00007450" w14:paraId="1E97042C" w14:textId="77777777">
        <w:trPr>
          <w:cantSplit/>
        </w:trPr>
        <w:tc>
          <w:tcPr>
            <w:tcW w:w="924" w:type="pct"/>
          </w:tcPr>
          <w:p w14:paraId="59C7CD3B" w14:textId="77777777" w:rsidR="009905C4" w:rsidRPr="00007450" w:rsidRDefault="009905C4" w:rsidP="00864C4B">
            <w:pPr>
              <w:pStyle w:val="TableText0"/>
            </w:pPr>
            <w:r w:rsidRPr="00007450">
              <w:t>Comparator</w:t>
            </w:r>
          </w:p>
        </w:tc>
        <w:tc>
          <w:tcPr>
            <w:tcW w:w="4076" w:type="pct"/>
          </w:tcPr>
          <w:p w14:paraId="611931C4" w14:textId="77777777" w:rsidR="009905C4" w:rsidRPr="00007450" w:rsidRDefault="009905C4" w:rsidP="00864C4B">
            <w:pPr>
              <w:pStyle w:val="TableText0"/>
            </w:pPr>
            <w:r w:rsidRPr="00007450">
              <w:rPr>
                <w:iCs/>
              </w:rPr>
              <w:t>Adjuvant ET alone as standard of care</w:t>
            </w:r>
          </w:p>
        </w:tc>
      </w:tr>
      <w:tr w:rsidR="009905C4" w:rsidRPr="00007450" w14:paraId="402BCB75" w14:textId="77777777">
        <w:trPr>
          <w:cantSplit/>
        </w:trPr>
        <w:tc>
          <w:tcPr>
            <w:tcW w:w="924" w:type="pct"/>
          </w:tcPr>
          <w:p w14:paraId="2287C8E7" w14:textId="77777777" w:rsidR="009905C4" w:rsidRPr="00007450" w:rsidRDefault="009905C4" w:rsidP="00864C4B">
            <w:pPr>
              <w:pStyle w:val="TableText0"/>
            </w:pPr>
            <w:r w:rsidRPr="00007450">
              <w:t>Outcomes</w:t>
            </w:r>
          </w:p>
        </w:tc>
        <w:tc>
          <w:tcPr>
            <w:tcW w:w="4076" w:type="pct"/>
          </w:tcPr>
          <w:p w14:paraId="4E33133E" w14:textId="77777777" w:rsidR="009905C4" w:rsidRPr="00007450" w:rsidRDefault="009905C4" w:rsidP="00864C4B">
            <w:pPr>
              <w:pStyle w:val="TableText0"/>
              <w:rPr>
                <w:iCs/>
              </w:rPr>
            </w:pPr>
            <w:r w:rsidRPr="00007450">
              <w:rPr>
                <w:iCs/>
              </w:rPr>
              <w:t>Primary efficacy outcome: iDFS</w:t>
            </w:r>
          </w:p>
          <w:p w14:paraId="18761CC0" w14:textId="77777777" w:rsidR="009905C4" w:rsidRPr="00007450" w:rsidRDefault="009905C4" w:rsidP="00864C4B">
            <w:pPr>
              <w:pStyle w:val="TableText0"/>
              <w:rPr>
                <w:iCs/>
              </w:rPr>
            </w:pPr>
            <w:r w:rsidRPr="00007450">
              <w:rPr>
                <w:iCs/>
              </w:rPr>
              <w:t>Patient-relevant secondary efficacy outcomes: RFS, DDFS, DRFS, OS and time to subsequent antineoplastic therapy</w:t>
            </w:r>
          </w:p>
          <w:p w14:paraId="0639A275" w14:textId="77777777" w:rsidR="009905C4" w:rsidRPr="00007450" w:rsidRDefault="009905C4" w:rsidP="00864C4B">
            <w:pPr>
              <w:pStyle w:val="TableText0"/>
              <w:rPr>
                <w:iCs/>
              </w:rPr>
            </w:pPr>
            <w:r w:rsidRPr="00007450">
              <w:rPr>
                <w:iCs/>
              </w:rPr>
              <w:t>HRQoL</w:t>
            </w:r>
          </w:p>
          <w:p w14:paraId="6C1A1886" w14:textId="77777777" w:rsidR="009905C4" w:rsidRPr="00007450" w:rsidRDefault="009905C4" w:rsidP="00864C4B">
            <w:pPr>
              <w:pStyle w:val="TableText0"/>
              <w:rPr>
                <w:iCs/>
              </w:rPr>
            </w:pPr>
            <w:r w:rsidRPr="00007450">
              <w:rPr>
                <w:iCs/>
              </w:rPr>
              <w:t>Safety</w:t>
            </w:r>
          </w:p>
        </w:tc>
      </w:tr>
      <w:tr w:rsidR="009905C4" w:rsidRPr="00007450" w14:paraId="06B4D851" w14:textId="77777777">
        <w:trPr>
          <w:cantSplit/>
        </w:trPr>
        <w:tc>
          <w:tcPr>
            <w:tcW w:w="924" w:type="pct"/>
          </w:tcPr>
          <w:p w14:paraId="6B292E3A" w14:textId="77777777" w:rsidR="009905C4" w:rsidRPr="00007450" w:rsidRDefault="009905C4" w:rsidP="00864C4B">
            <w:pPr>
              <w:pStyle w:val="TableText0"/>
            </w:pPr>
            <w:r w:rsidRPr="00007450">
              <w:t>Clinical claim</w:t>
            </w:r>
          </w:p>
        </w:tc>
        <w:tc>
          <w:tcPr>
            <w:tcW w:w="4076" w:type="pct"/>
          </w:tcPr>
          <w:p w14:paraId="25DF6866" w14:textId="4A7ED23A" w:rsidR="009905C4" w:rsidRPr="00007450" w:rsidRDefault="009905C4" w:rsidP="00864C4B">
            <w:pPr>
              <w:pStyle w:val="TableText0"/>
              <w:rPr>
                <w:iCs/>
              </w:rPr>
            </w:pPr>
            <w:r w:rsidRPr="00007450">
              <w:rPr>
                <w:iCs/>
              </w:rPr>
              <w:t>Ribociclib + adjuvant ET is superior to adjuvant ET alone with respect to efficacy and inferior with respect to safety</w:t>
            </w:r>
            <w:r w:rsidR="00CC40CB" w:rsidRPr="00007450">
              <w:rPr>
                <w:iCs/>
              </w:rPr>
              <w:t>.</w:t>
            </w:r>
          </w:p>
        </w:tc>
      </w:tr>
    </w:tbl>
    <w:p w14:paraId="31A680EA" w14:textId="4EFD52C8" w:rsidR="00381A8E" w:rsidRPr="00007450" w:rsidRDefault="00F11CFC" w:rsidP="00864C4B">
      <w:pPr>
        <w:pStyle w:val="TableFigureFooter"/>
      </w:pPr>
      <w:r w:rsidRPr="00007450">
        <w:t xml:space="preserve">Source: </w:t>
      </w:r>
      <w:r w:rsidR="00D13BE2" w:rsidRPr="00007450">
        <w:t xml:space="preserve">Section </w:t>
      </w:r>
      <w:r w:rsidRPr="00007450">
        <w:t>1.1, p3 of the submission.</w:t>
      </w:r>
    </w:p>
    <w:p w14:paraId="10F076CB" w14:textId="36C41943" w:rsidR="009905C4" w:rsidRPr="00007450" w:rsidRDefault="00C12F82" w:rsidP="00864C4B">
      <w:pPr>
        <w:pStyle w:val="TableFigureFooter"/>
      </w:pPr>
      <w:r w:rsidRPr="00007450">
        <w:t xml:space="preserve">ALNs = axillary lymph nodes; </w:t>
      </w:r>
      <w:r w:rsidR="009905C4" w:rsidRPr="00007450">
        <w:t>cm = centimetre;</w:t>
      </w:r>
      <w:r w:rsidRPr="00007450">
        <w:t xml:space="preserve"> DDFS = distant disease free-survival;</w:t>
      </w:r>
      <w:r w:rsidR="009905C4" w:rsidRPr="00007450">
        <w:t xml:space="preserve"> DRFS = distant recurrence-free survival; eBC = early breast cancer; ET = endocrine therapy; HER2 = human epidermal growth factor receptor 2; HR = hormone receptor; HRQoL = health-related quality of life; iDFS = invasive disease-free survival; mg = milligram; OS = overall survival; RFS = recurrence-free survival</w:t>
      </w:r>
    </w:p>
    <w:p w14:paraId="740A07C9" w14:textId="77777777" w:rsidR="009905C4" w:rsidRPr="00007450" w:rsidRDefault="009905C4" w:rsidP="00864C4B">
      <w:pPr>
        <w:pStyle w:val="2-SectionHeading"/>
        <w:numPr>
          <w:ilvl w:val="0"/>
          <w:numId w:val="1"/>
        </w:numPr>
      </w:pPr>
      <w:bookmarkStart w:id="8" w:name="_Toc198724433"/>
      <w:r w:rsidRPr="00007450">
        <w:lastRenderedPageBreak/>
        <w:t>Background</w:t>
      </w:r>
      <w:bookmarkEnd w:id="8"/>
    </w:p>
    <w:p w14:paraId="3FD99325" w14:textId="77777777" w:rsidR="009905C4" w:rsidRPr="00007450" w:rsidRDefault="009905C4" w:rsidP="00864C4B">
      <w:pPr>
        <w:pStyle w:val="4-SubsectionHeading"/>
      </w:pPr>
      <w:bookmarkStart w:id="9" w:name="_Toc22897638"/>
      <w:bookmarkStart w:id="10" w:name="_Toc198724434"/>
      <w:r w:rsidRPr="00007450">
        <w:t>Registration status</w:t>
      </w:r>
      <w:bookmarkEnd w:id="9"/>
      <w:bookmarkEnd w:id="10"/>
    </w:p>
    <w:p w14:paraId="38ADD83D" w14:textId="18903641" w:rsidR="00226491" w:rsidRPr="00007450" w:rsidRDefault="009905C4" w:rsidP="00864C4B">
      <w:pPr>
        <w:pStyle w:val="3-BodyText"/>
        <w:numPr>
          <w:ilvl w:val="1"/>
          <w:numId w:val="1"/>
        </w:numPr>
      </w:pPr>
      <w:r w:rsidRPr="00007450">
        <w:t>Ribociclib</w:t>
      </w:r>
      <w:r w:rsidR="003F48BF" w:rsidRPr="00007450">
        <w:t xml:space="preserve"> in combination with an aromatase inhibitor </w:t>
      </w:r>
      <w:r w:rsidR="008B362E" w:rsidRPr="00007450">
        <w:t xml:space="preserve">(AI) </w:t>
      </w:r>
      <w:r w:rsidR="003F48BF" w:rsidRPr="00007450">
        <w:t xml:space="preserve">received TGA registration in eBC </w:t>
      </w:r>
      <w:r w:rsidRPr="00007450">
        <w:t xml:space="preserve">on 7 March 2025 for </w:t>
      </w:r>
      <w:r w:rsidR="002913A2" w:rsidRPr="00007450">
        <w:t>the adjuvant treatment of patients with HR+, HER2-, stage II and III eBC at high risk of</w:t>
      </w:r>
      <w:r w:rsidR="002913A2" w:rsidRPr="00007450" w:rsidDel="003F48BF">
        <w:t xml:space="preserve"> </w:t>
      </w:r>
      <w:r w:rsidR="002913A2" w:rsidRPr="00007450">
        <w:t>recurrence.</w:t>
      </w:r>
    </w:p>
    <w:p w14:paraId="1B39C22D" w14:textId="77777777" w:rsidR="009905C4" w:rsidRPr="00007450" w:rsidRDefault="009905C4" w:rsidP="00864C4B">
      <w:pPr>
        <w:pStyle w:val="4-SubsectionHeading"/>
      </w:pPr>
      <w:bookmarkStart w:id="11" w:name="_Toc22897639"/>
      <w:bookmarkStart w:id="12" w:name="_Toc198724435"/>
      <w:r w:rsidRPr="00007450">
        <w:t>Previous PBAC consideration</w:t>
      </w:r>
      <w:bookmarkEnd w:id="11"/>
      <w:bookmarkEnd w:id="12"/>
    </w:p>
    <w:p w14:paraId="19EE68CA" w14:textId="0633C2D6" w:rsidR="009905C4" w:rsidRPr="00007450" w:rsidRDefault="00FC3758" w:rsidP="00864C4B">
      <w:pPr>
        <w:pStyle w:val="3-BodyText"/>
        <w:numPr>
          <w:ilvl w:val="1"/>
          <w:numId w:val="1"/>
        </w:numPr>
        <w:rPr>
          <w:color w:val="0066FF"/>
        </w:rPr>
      </w:pPr>
      <w:r>
        <w:t>At its November 2024 meeting, t</w:t>
      </w:r>
      <w:r w:rsidRPr="00007450">
        <w:t xml:space="preserve">he </w:t>
      </w:r>
      <w:r w:rsidR="009905C4" w:rsidRPr="00007450">
        <w:t xml:space="preserve">PBAC recommended the </w:t>
      </w:r>
      <w:r w:rsidR="00CA4C5B" w:rsidRPr="00007450">
        <w:t>PBS</w:t>
      </w:r>
      <w:r w:rsidR="009905C4" w:rsidRPr="00007450">
        <w:t xml:space="preserve"> listing of ribociclib, in combination with standard adjuvant ET, for the treatment of HR</w:t>
      </w:r>
      <w:r w:rsidR="00CA4C5B" w:rsidRPr="00007450">
        <w:t>+</w:t>
      </w:r>
      <w:r w:rsidR="009905C4" w:rsidRPr="00007450">
        <w:t>, HER2</w:t>
      </w:r>
      <w:r w:rsidR="00CA4C5B" w:rsidRPr="00007450">
        <w:t>-</w:t>
      </w:r>
      <w:r w:rsidR="009905C4" w:rsidRPr="00007450">
        <w:t xml:space="preserve">, lymph node positive, invasive, resected eBC at high risk of disease recurrence. This included patients with ≥ 4 positive ALNs, or 1–3 positive ALNs and either grade 3 disease (on the Nottingham grading system) or tumour size ≥ 5 cm. </w:t>
      </w:r>
      <w:r w:rsidR="002A5EF2">
        <w:t xml:space="preserve">Ribociclib was </w:t>
      </w:r>
      <w:r w:rsidR="00B44B6F">
        <w:t>PBS-</w:t>
      </w:r>
      <w:r w:rsidR="002A5EF2">
        <w:t xml:space="preserve">listed for this indication on 1 July 2025. </w:t>
      </w:r>
      <w:r w:rsidR="009905C4" w:rsidRPr="00007450">
        <w:t>The listing was recommended on the basis of a cost-minimisation analysis comparing ribociclib vers</w:t>
      </w:r>
      <w:r w:rsidR="00725309" w:rsidRPr="00007450">
        <w:t>u</w:t>
      </w:r>
      <w:r w:rsidR="009905C4" w:rsidRPr="00007450">
        <w:t>s abemaciclib (para</w:t>
      </w:r>
      <w:r w:rsidR="006F23C0" w:rsidRPr="00007450">
        <w:t>.</w:t>
      </w:r>
      <w:r w:rsidR="009905C4" w:rsidRPr="00007450">
        <w:t xml:space="preserve"> 7.1</w:t>
      </w:r>
      <w:r w:rsidR="003B61E3" w:rsidRPr="00007450">
        <w:t>,</w:t>
      </w:r>
      <w:r w:rsidR="009905C4" w:rsidRPr="00007450">
        <w:t xml:space="preserve"> </w:t>
      </w:r>
      <w:r w:rsidR="003B61E3" w:rsidRPr="00007450">
        <w:t>r</w:t>
      </w:r>
      <w:r w:rsidR="009905C4" w:rsidRPr="00007450">
        <w:t>ibociclib Public Summary Document [PSD]</w:t>
      </w:r>
      <w:r w:rsidR="00124DAE" w:rsidRPr="00007450">
        <w:t>,</w:t>
      </w:r>
      <w:r w:rsidR="009905C4" w:rsidRPr="00007450">
        <w:t xml:space="preserve"> November 2024). </w:t>
      </w:r>
      <w:r w:rsidR="00D125E0" w:rsidRPr="00007450">
        <w:rPr>
          <w:rFonts w:ascii="Calibri" w:eastAsia="Times New Roman" w:hAnsi="Calibri" w:cs="Arial"/>
          <w:bCs/>
        </w:rPr>
        <w:t xml:space="preserve">The proposed PBS population for the current </w:t>
      </w:r>
      <w:r w:rsidR="00323D61" w:rsidRPr="00007450">
        <w:rPr>
          <w:rFonts w:ascii="Calibri" w:eastAsia="Times New Roman" w:hAnsi="Calibri" w:cs="Arial"/>
          <w:bCs/>
        </w:rPr>
        <w:t>submission</w:t>
      </w:r>
      <w:r w:rsidR="00D125E0" w:rsidRPr="00007450">
        <w:rPr>
          <w:rFonts w:ascii="Calibri" w:eastAsia="Times New Roman" w:hAnsi="Calibri" w:cs="Arial"/>
          <w:bCs/>
        </w:rPr>
        <w:t xml:space="preserve"> corresponds to </w:t>
      </w:r>
      <w:r w:rsidR="00467134" w:rsidRPr="00007450">
        <w:rPr>
          <w:rFonts w:ascii="Calibri" w:eastAsia="Times New Roman" w:hAnsi="Calibri" w:cs="Arial"/>
          <w:bCs/>
        </w:rPr>
        <w:t>the complement</w:t>
      </w:r>
      <w:r w:rsidR="00D125E0" w:rsidRPr="00007450">
        <w:rPr>
          <w:rFonts w:ascii="Calibri" w:eastAsia="Times New Roman" w:hAnsi="Calibri" w:cs="Arial"/>
          <w:bCs/>
        </w:rPr>
        <w:t xml:space="preserve"> sub-group of high-risk eBC patients who were not included in the recommendation for ribociclib at the November 2024 PBAC </w:t>
      </w:r>
      <w:r w:rsidR="00A93383">
        <w:rPr>
          <w:rFonts w:ascii="Calibri" w:eastAsia="Times New Roman" w:hAnsi="Calibri" w:cs="Arial"/>
          <w:bCs/>
        </w:rPr>
        <w:t>m</w:t>
      </w:r>
      <w:r w:rsidR="00A93383" w:rsidRPr="00007450">
        <w:rPr>
          <w:rFonts w:ascii="Calibri" w:eastAsia="Times New Roman" w:hAnsi="Calibri" w:cs="Arial"/>
          <w:bCs/>
        </w:rPr>
        <w:t>eeting</w:t>
      </w:r>
      <w:r w:rsidR="00D125E0" w:rsidRPr="00007450">
        <w:rPr>
          <w:rFonts w:ascii="Calibri" w:eastAsia="Times New Roman" w:hAnsi="Calibri" w:cs="Arial"/>
          <w:bCs/>
        </w:rPr>
        <w:t>.</w:t>
      </w:r>
      <w:r w:rsidR="004050DE" w:rsidRPr="00007450">
        <w:rPr>
          <w:rFonts w:ascii="Calibri" w:eastAsia="Times New Roman" w:hAnsi="Calibri" w:cs="Arial"/>
          <w:bCs/>
        </w:rPr>
        <w:t xml:space="preserve"> The ESC noted the complement subgroup has a lower risk of disease recurrence.</w:t>
      </w:r>
      <w:r w:rsidR="00F66077">
        <w:rPr>
          <w:rFonts w:ascii="Calibri" w:eastAsia="Times New Roman" w:hAnsi="Calibri" w:cs="Arial"/>
          <w:bCs/>
        </w:rPr>
        <w:t xml:space="preserve"> </w:t>
      </w:r>
    </w:p>
    <w:p w14:paraId="6A36BFF5" w14:textId="392F233A" w:rsidR="009905C4" w:rsidRPr="00007450" w:rsidRDefault="009905C4" w:rsidP="00864C4B">
      <w:pPr>
        <w:pStyle w:val="3-BodyText"/>
        <w:numPr>
          <w:ilvl w:val="1"/>
          <w:numId w:val="1"/>
        </w:numPr>
      </w:pPr>
      <w:r w:rsidRPr="00007450">
        <w:t xml:space="preserve">Ribociclib is </w:t>
      </w:r>
      <w:r w:rsidR="001921C3">
        <w:t xml:space="preserve">also </w:t>
      </w:r>
      <w:r w:rsidRPr="00007450">
        <w:t xml:space="preserve">currently </w:t>
      </w:r>
      <w:r w:rsidR="00B44B6F" w:rsidRPr="00007450">
        <w:t>PBS</w:t>
      </w:r>
      <w:r w:rsidR="00B44B6F">
        <w:t>-</w:t>
      </w:r>
      <w:r w:rsidRPr="00007450">
        <w:t>listed for use in combination with either a non-steroidal aromatase inhibitor (AI) (if never treated with prior endocrine therapy) or fulvestrant (250 mg/5 mL injection) for the treatment of patients with HR</w:t>
      </w:r>
      <w:r w:rsidR="0036039E" w:rsidRPr="00007450">
        <w:t>+</w:t>
      </w:r>
      <w:r w:rsidRPr="00007450">
        <w:t>, HER2</w:t>
      </w:r>
      <w:r w:rsidR="0036039E" w:rsidRPr="00007450">
        <w:t>-</w:t>
      </w:r>
      <w:r w:rsidR="00C12F82" w:rsidRPr="00007450">
        <w:t xml:space="preserve"> </w:t>
      </w:r>
      <w:r w:rsidRPr="00007450">
        <w:t>advanced or metastatic breast cancer.</w:t>
      </w:r>
    </w:p>
    <w:p w14:paraId="516F0B25" w14:textId="77777777" w:rsidR="009905C4" w:rsidRPr="00007450" w:rsidRDefault="009905C4" w:rsidP="00864C4B">
      <w:pPr>
        <w:pStyle w:val="2-SectionHeading"/>
        <w:numPr>
          <w:ilvl w:val="0"/>
          <w:numId w:val="1"/>
        </w:numPr>
      </w:pPr>
      <w:bookmarkStart w:id="13" w:name="_Toc198724436"/>
      <w:r w:rsidRPr="00007450">
        <w:t>Requested listing</w:t>
      </w:r>
      <w:bookmarkEnd w:id="13"/>
    </w:p>
    <w:p w14:paraId="2C0B6EEC" w14:textId="47CBCD47" w:rsidR="009905C4" w:rsidRPr="00007450" w:rsidRDefault="009905C4" w:rsidP="00864C4B">
      <w:pPr>
        <w:pStyle w:val="3-BodyText"/>
        <w:numPr>
          <w:ilvl w:val="1"/>
          <w:numId w:val="1"/>
        </w:numPr>
      </w:pPr>
      <w:r w:rsidRPr="00007450">
        <w:t xml:space="preserve">The submission requested the following new listing. </w:t>
      </w:r>
      <w:r w:rsidR="00FE2619" w:rsidRPr="00007450">
        <w:t>Suggested additions are in italics and deletions are in strikethrough</w:t>
      </w:r>
      <w:r w:rsidR="00510AAE" w:rsidRPr="0000745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405"/>
        <w:gridCol w:w="2346"/>
        <w:gridCol w:w="812"/>
        <w:gridCol w:w="811"/>
        <w:gridCol w:w="812"/>
        <w:gridCol w:w="1831"/>
      </w:tblGrid>
      <w:tr w:rsidR="009905C4" w:rsidRPr="00007450" w14:paraId="6AE02E94" w14:textId="77777777">
        <w:trPr>
          <w:cantSplit/>
          <w:trHeight w:val="20"/>
        </w:trPr>
        <w:tc>
          <w:tcPr>
            <w:tcW w:w="2405" w:type="dxa"/>
            <w:vAlign w:val="center"/>
          </w:tcPr>
          <w:p w14:paraId="4DAB1D77" w14:textId="77777777" w:rsidR="009905C4" w:rsidRPr="00007450" w:rsidRDefault="009905C4" w:rsidP="00864C4B">
            <w:pPr>
              <w:pStyle w:val="In-tableHeading"/>
              <w:rPr>
                <w:lang w:val="en-AU"/>
              </w:rPr>
            </w:pPr>
            <w:bookmarkStart w:id="14" w:name="_Hlk104809055"/>
            <w:r w:rsidRPr="00007450">
              <w:rPr>
                <w:lang w:val="en-AU"/>
              </w:rPr>
              <w:lastRenderedPageBreak/>
              <w:t>MEDICINAL PRODUCT</w:t>
            </w:r>
          </w:p>
          <w:p w14:paraId="38962DE1" w14:textId="77777777" w:rsidR="009905C4" w:rsidRPr="00007450" w:rsidRDefault="009905C4" w:rsidP="00864C4B">
            <w:pPr>
              <w:pStyle w:val="In-tableHeading"/>
              <w:rPr>
                <w:lang w:val="en-AU"/>
              </w:rPr>
            </w:pPr>
            <w:r w:rsidRPr="00007450">
              <w:rPr>
                <w:lang w:val="en-AU"/>
              </w:rPr>
              <w:t>medicinal product pack</w:t>
            </w:r>
          </w:p>
        </w:tc>
        <w:tc>
          <w:tcPr>
            <w:tcW w:w="2346" w:type="dxa"/>
            <w:vAlign w:val="center"/>
          </w:tcPr>
          <w:p w14:paraId="746AEDCC" w14:textId="77777777" w:rsidR="009905C4" w:rsidRPr="00007450" w:rsidRDefault="009905C4" w:rsidP="00864C4B">
            <w:pPr>
              <w:pStyle w:val="In-tableHeading"/>
              <w:jc w:val="center"/>
              <w:rPr>
                <w:lang w:val="en-AU"/>
              </w:rPr>
            </w:pPr>
            <w:r w:rsidRPr="00007450">
              <w:rPr>
                <w:snapToGrid w:val="0"/>
                <w:lang w:val="en-AU"/>
              </w:rPr>
              <w:t>Dispensed Price for Max. Qty</w:t>
            </w:r>
          </w:p>
        </w:tc>
        <w:tc>
          <w:tcPr>
            <w:tcW w:w="812" w:type="dxa"/>
            <w:vAlign w:val="center"/>
          </w:tcPr>
          <w:p w14:paraId="45319BE0" w14:textId="77777777" w:rsidR="009905C4" w:rsidRPr="00007450" w:rsidRDefault="009905C4" w:rsidP="00864C4B">
            <w:pPr>
              <w:pStyle w:val="In-tableHeading"/>
              <w:jc w:val="center"/>
              <w:rPr>
                <w:lang w:val="en-AU"/>
              </w:rPr>
            </w:pPr>
            <w:r w:rsidRPr="00007450">
              <w:rPr>
                <w:lang w:val="en-AU"/>
              </w:rPr>
              <w:t>Max. qty packs</w:t>
            </w:r>
          </w:p>
        </w:tc>
        <w:tc>
          <w:tcPr>
            <w:tcW w:w="811" w:type="dxa"/>
            <w:vAlign w:val="center"/>
          </w:tcPr>
          <w:p w14:paraId="1B35C874" w14:textId="77777777" w:rsidR="009905C4" w:rsidRPr="00007450" w:rsidRDefault="009905C4" w:rsidP="00864C4B">
            <w:pPr>
              <w:pStyle w:val="In-tableHeading"/>
              <w:jc w:val="center"/>
              <w:rPr>
                <w:lang w:val="en-AU"/>
              </w:rPr>
            </w:pPr>
            <w:r w:rsidRPr="00007450">
              <w:rPr>
                <w:lang w:val="en-AU"/>
              </w:rPr>
              <w:t>Max. qty units</w:t>
            </w:r>
          </w:p>
        </w:tc>
        <w:tc>
          <w:tcPr>
            <w:tcW w:w="812" w:type="dxa"/>
            <w:vAlign w:val="center"/>
          </w:tcPr>
          <w:p w14:paraId="7957C914" w14:textId="77777777" w:rsidR="009905C4" w:rsidRPr="00007450" w:rsidRDefault="009905C4" w:rsidP="00864C4B">
            <w:pPr>
              <w:pStyle w:val="In-tableHeading"/>
              <w:jc w:val="center"/>
              <w:rPr>
                <w:lang w:val="en-AU"/>
              </w:rPr>
            </w:pPr>
            <w:r w:rsidRPr="00007450">
              <w:rPr>
                <w:lang w:val="en-AU"/>
              </w:rPr>
              <w:t>№.of</w:t>
            </w:r>
          </w:p>
          <w:p w14:paraId="37C9F449" w14:textId="77777777" w:rsidR="009905C4" w:rsidRPr="00007450" w:rsidRDefault="009905C4" w:rsidP="00864C4B">
            <w:pPr>
              <w:pStyle w:val="In-tableHeading"/>
              <w:jc w:val="center"/>
              <w:rPr>
                <w:lang w:val="en-AU"/>
              </w:rPr>
            </w:pPr>
            <w:r w:rsidRPr="00007450">
              <w:rPr>
                <w:lang w:val="en-AU"/>
              </w:rPr>
              <w:t>Rpts</w:t>
            </w:r>
          </w:p>
        </w:tc>
        <w:tc>
          <w:tcPr>
            <w:tcW w:w="1831" w:type="dxa"/>
            <w:vAlign w:val="center"/>
          </w:tcPr>
          <w:p w14:paraId="59AD5D46" w14:textId="77777777" w:rsidR="009905C4" w:rsidRPr="00007450" w:rsidRDefault="009905C4" w:rsidP="00864C4B">
            <w:pPr>
              <w:pStyle w:val="In-tableHeading"/>
              <w:jc w:val="center"/>
              <w:rPr>
                <w:lang w:val="en-AU"/>
              </w:rPr>
            </w:pPr>
            <w:r w:rsidRPr="00007450">
              <w:rPr>
                <w:lang w:val="en-AU"/>
              </w:rPr>
              <w:t>Available brands</w:t>
            </w:r>
          </w:p>
        </w:tc>
      </w:tr>
      <w:tr w:rsidR="009905C4" w:rsidRPr="00007450" w14:paraId="6AA4D53D" w14:textId="77777777">
        <w:trPr>
          <w:cantSplit/>
          <w:trHeight w:val="20"/>
        </w:trPr>
        <w:tc>
          <w:tcPr>
            <w:tcW w:w="9017" w:type="dxa"/>
            <w:gridSpan w:val="6"/>
            <w:vAlign w:val="center"/>
          </w:tcPr>
          <w:p w14:paraId="3567D00A" w14:textId="77777777" w:rsidR="009905C4" w:rsidRPr="00007450" w:rsidRDefault="009905C4" w:rsidP="00864C4B">
            <w:pPr>
              <w:pStyle w:val="TableText0"/>
              <w:rPr>
                <w:rFonts w:cs="Arial"/>
                <w:szCs w:val="20"/>
              </w:rPr>
            </w:pPr>
            <w:r w:rsidRPr="00007450">
              <w:t>RIBOCICLIB</w:t>
            </w:r>
          </w:p>
        </w:tc>
      </w:tr>
      <w:tr w:rsidR="00B47192" w:rsidRPr="00007450" w14:paraId="6D6B4436" w14:textId="77777777">
        <w:trPr>
          <w:cantSplit/>
          <w:trHeight w:val="20"/>
        </w:trPr>
        <w:tc>
          <w:tcPr>
            <w:tcW w:w="2405" w:type="dxa"/>
          </w:tcPr>
          <w:p w14:paraId="50957B8C" w14:textId="77777777" w:rsidR="00B47192" w:rsidRPr="00007450" w:rsidRDefault="00B47192" w:rsidP="00864C4B">
            <w:pPr>
              <w:pStyle w:val="TableText0"/>
              <w:rPr>
                <w:color w:val="0066FF"/>
                <w:szCs w:val="20"/>
              </w:rPr>
            </w:pPr>
            <w:r w:rsidRPr="00007450">
              <w:rPr>
                <w:rFonts w:eastAsia="Times New Roman"/>
              </w:rPr>
              <w:t>Ribociclib 200 mg tablet, 21</w:t>
            </w:r>
          </w:p>
        </w:tc>
        <w:tc>
          <w:tcPr>
            <w:tcW w:w="2346" w:type="dxa"/>
          </w:tcPr>
          <w:p w14:paraId="55C15FFB" w14:textId="77777777" w:rsidR="00B47192" w:rsidRPr="00007450" w:rsidRDefault="00B47192" w:rsidP="00864C4B">
            <w:pPr>
              <w:pStyle w:val="TableText0"/>
              <w:jc w:val="center"/>
            </w:pPr>
            <w:r w:rsidRPr="00CD010D">
              <w:t>$1,847.51 published</w:t>
            </w:r>
            <w:r w:rsidRPr="00007450">
              <w:t xml:space="preserve"> price</w:t>
            </w:r>
          </w:p>
          <w:p w14:paraId="620ABC37" w14:textId="34178AA8" w:rsidR="00B47192" w:rsidRPr="00007450" w:rsidRDefault="00B47192" w:rsidP="00864C4B">
            <w:pPr>
              <w:pStyle w:val="TableText0"/>
              <w:jc w:val="center"/>
              <w:rPr>
                <w:szCs w:val="20"/>
              </w:rPr>
            </w:pPr>
            <w:r w:rsidRPr="00007450">
              <w:t>$</w:t>
            </w:r>
            <w:r w:rsidR="00E44B9A" w:rsidRPr="00E44B9A">
              <w:rPr>
                <w:color w:val="000000"/>
                <w:spacing w:val="45"/>
                <w:shd w:val="solid" w:color="000000" w:fill="000000"/>
                <w:fitText w:val="330" w:id="-628909568"/>
                <w14:textFill>
                  <w14:solidFill>
                    <w14:srgbClr w14:val="000000">
                      <w14:alpha w14:val="100000"/>
                    </w14:srgbClr>
                  </w14:solidFill>
                </w14:textFill>
              </w:rPr>
              <w:t>|||</w:t>
            </w:r>
            <w:r w:rsidR="00E44B9A" w:rsidRPr="00E44B9A">
              <w:rPr>
                <w:color w:val="000000"/>
                <w:spacing w:val="15"/>
                <w:shd w:val="solid" w:color="000000" w:fill="000000"/>
                <w:fitText w:val="330" w:id="-628909568"/>
                <w14:textFill>
                  <w14:solidFill>
                    <w14:srgbClr w14:val="000000">
                      <w14:alpha w14:val="100000"/>
                    </w14:srgbClr>
                  </w14:solidFill>
                </w14:textFill>
              </w:rPr>
              <w:t>|</w:t>
            </w:r>
            <w:r w:rsidRPr="00007450">
              <w:t xml:space="preserve"> effective price</w:t>
            </w:r>
          </w:p>
        </w:tc>
        <w:tc>
          <w:tcPr>
            <w:tcW w:w="812" w:type="dxa"/>
            <w:vAlign w:val="center"/>
          </w:tcPr>
          <w:p w14:paraId="50E373DA" w14:textId="77777777" w:rsidR="00B47192" w:rsidRPr="00007450" w:rsidRDefault="00B47192" w:rsidP="00864C4B">
            <w:pPr>
              <w:pStyle w:val="TableText0"/>
              <w:jc w:val="center"/>
              <w:rPr>
                <w:szCs w:val="20"/>
              </w:rPr>
            </w:pPr>
            <w:r w:rsidRPr="00007450">
              <w:t>1</w:t>
            </w:r>
          </w:p>
        </w:tc>
        <w:tc>
          <w:tcPr>
            <w:tcW w:w="811" w:type="dxa"/>
            <w:vAlign w:val="center"/>
          </w:tcPr>
          <w:p w14:paraId="40E06549" w14:textId="77777777" w:rsidR="00B47192" w:rsidRPr="00007450" w:rsidRDefault="00B47192" w:rsidP="00864C4B">
            <w:pPr>
              <w:pStyle w:val="TableText0"/>
              <w:jc w:val="center"/>
              <w:rPr>
                <w:szCs w:val="20"/>
              </w:rPr>
            </w:pPr>
            <w:r w:rsidRPr="00007450">
              <w:t>21</w:t>
            </w:r>
          </w:p>
        </w:tc>
        <w:tc>
          <w:tcPr>
            <w:tcW w:w="812" w:type="dxa"/>
            <w:vAlign w:val="center"/>
          </w:tcPr>
          <w:p w14:paraId="7B9A7B5B" w14:textId="77777777" w:rsidR="00B47192" w:rsidRPr="00007450" w:rsidRDefault="00B47192" w:rsidP="00864C4B">
            <w:pPr>
              <w:pStyle w:val="TableText0"/>
              <w:jc w:val="center"/>
              <w:rPr>
                <w:szCs w:val="20"/>
              </w:rPr>
            </w:pPr>
            <w:r w:rsidRPr="00007450">
              <w:t>5</w:t>
            </w:r>
          </w:p>
        </w:tc>
        <w:tc>
          <w:tcPr>
            <w:tcW w:w="1831" w:type="dxa"/>
            <w:vMerge w:val="restart"/>
            <w:vAlign w:val="center"/>
          </w:tcPr>
          <w:p w14:paraId="707B4A17" w14:textId="77777777" w:rsidR="00B47192" w:rsidRPr="00007450" w:rsidRDefault="00B47192" w:rsidP="00864C4B">
            <w:pPr>
              <w:pStyle w:val="TableText0"/>
              <w:rPr>
                <w:szCs w:val="20"/>
              </w:rPr>
            </w:pPr>
            <w:r w:rsidRPr="00007450">
              <w:rPr>
                <w:szCs w:val="20"/>
              </w:rPr>
              <w:t xml:space="preserve">Kisqali </w:t>
            </w:r>
          </w:p>
          <w:p w14:paraId="44D65442" w14:textId="323FDCF7" w:rsidR="00B47192" w:rsidRPr="00007450" w:rsidRDefault="00B47192" w:rsidP="00864C4B">
            <w:pPr>
              <w:pStyle w:val="TableText0"/>
              <w:rPr>
                <w:color w:val="0066FF"/>
                <w:szCs w:val="20"/>
              </w:rPr>
            </w:pPr>
            <w:r w:rsidRPr="00007450">
              <w:rPr>
                <w:szCs w:val="20"/>
              </w:rPr>
              <w:t>Novartis Pharmaceuticals Australia Pty</w:t>
            </w:r>
            <w:r w:rsidR="003477AB" w:rsidRPr="00007450">
              <w:rPr>
                <w:szCs w:val="20"/>
              </w:rPr>
              <w:t>.</w:t>
            </w:r>
            <w:r w:rsidRPr="00007450">
              <w:rPr>
                <w:szCs w:val="20"/>
              </w:rPr>
              <w:t xml:space="preserve"> Ltd</w:t>
            </w:r>
            <w:r w:rsidR="003477AB" w:rsidRPr="00007450">
              <w:rPr>
                <w:szCs w:val="20"/>
              </w:rPr>
              <w:t>.</w:t>
            </w:r>
          </w:p>
        </w:tc>
      </w:tr>
      <w:tr w:rsidR="00B47192" w:rsidRPr="00007450" w14:paraId="7076BAB4" w14:textId="77777777">
        <w:trPr>
          <w:cantSplit/>
          <w:trHeight w:val="20"/>
        </w:trPr>
        <w:tc>
          <w:tcPr>
            <w:tcW w:w="2405" w:type="dxa"/>
          </w:tcPr>
          <w:p w14:paraId="4724BC76" w14:textId="77777777" w:rsidR="00B47192" w:rsidRPr="00007450" w:rsidRDefault="00B47192" w:rsidP="00864C4B">
            <w:pPr>
              <w:pStyle w:val="TableText0"/>
              <w:rPr>
                <w:color w:val="0066FF"/>
                <w:szCs w:val="20"/>
              </w:rPr>
            </w:pPr>
            <w:r w:rsidRPr="00007450">
              <w:rPr>
                <w:rFonts w:eastAsia="Times New Roman"/>
              </w:rPr>
              <w:t>Ribociclib 200 mg tablet, 42</w:t>
            </w:r>
          </w:p>
        </w:tc>
        <w:tc>
          <w:tcPr>
            <w:tcW w:w="2346" w:type="dxa"/>
          </w:tcPr>
          <w:p w14:paraId="7958C5F1" w14:textId="2DDE36D1" w:rsidR="00B47192" w:rsidRPr="00007450" w:rsidRDefault="00B47192" w:rsidP="00864C4B">
            <w:pPr>
              <w:pStyle w:val="TableText0"/>
              <w:jc w:val="center"/>
            </w:pPr>
            <w:r w:rsidRPr="00CD010D">
              <w:t>$3,557.28</w:t>
            </w:r>
            <w:r w:rsidR="009D16BC" w:rsidRPr="00CD010D">
              <w:t xml:space="preserve"> </w:t>
            </w:r>
            <w:r w:rsidRPr="00CD010D">
              <w:t>published price</w:t>
            </w:r>
          </w:p>
          <w:p w14:paraId="398392EA" w14:textId="522C7ED5" w:rsidR="00B47192" w:rsidRPr="00007450" w:rsidRDefault="00B47192" w:rsidP="00864C4B">
            <w:pPr>
              <w:pStyle w:val="TableText0"/>
              <w:jc w:val="center"/>
              <w:rPr>
                <w:szCs w:val="20"/>
              </w:rPr>
            </w:pPr>
            <w:r w:rsidRPr="00007450">
              <w:t>$</w:t>
            </w:r>
            <w:r w:rsidR="00E44B9A" w:rsidRPr="00E44B9A">
              <w:rPr>
                <w:color w:val="000000"/>
                <w:spacing w:val="45"/>
                <w:shd w:val="solid" w:color="000000" w:fill="000000"/>
                <w:fitText w:val="330" w:id="-628909567"/>
                <w14:textFill>
                  <w14:solidFill>
                    <w14:srgbClr w14:val="000000">
                      <w14:alpha w14:val="100000"/>
                    </w14:srgbClr>
                  </w14:solidFill>
                </w14:textFill>
              </w:rPr>
              <w:t>|||</w:t>
            </w:r>
            <w:r w:rsidR="00E44B9A" w:rsidRPr="00E44B9A">
              <w:rPr>
                <w:color w:val="000000"/>
                <w:spacing w:val="15"/>
                <w:shd w:val="solid" w:color="000000" w:fill="000000"/>
                <w:fitText w:val="330" w:id="-628909567"/>
                <w14:textFill>
                  <w14:solidFill>
                    <w14:srgbClr w14:val="000000">
                      <w14:alpha w14:val="100000"/>
                    </w14:srgbClr>
                  </w14:solidFill>
                </w14:textFill>
              </w:rPr>
              <w:t>|</w:t>
            </w:r>
            <w:r w:rsidR="009D16BC" w:rsidRPr="00007450">
              <w:t xml:space="preserve"> </w:t>
            </w:r>
            <w:r w:rsidRPr="00007450">
              <w:t>effective price</w:t>
            </w:r>
          </w:p>
        </w:tc>
        <w:tc>
          <w:tcPr>
            <w:tcW w:w="812" w:type="dxa"/>
            <w:vAlign w:val="center"/>
          </w:tcPr>
          <w:p w14:paraId="07A7E0EB" w14:textId="77777777" w:rsidR="00B47192" w:rsidRPr="00007450" w:rsidRDefault="00B47192" w:rsidP="00864C4B">
            <w:pPr>
              <w:pStyle w:val="TableText0"/>
              <w:jc w:val="center"/>
              <w:rPr>
                <w:szCs w:val="20"/>
              </w:rPr>
            </w:pPr>
            <w:r w:rsidRPr="00007450">
              <w:t>1</w:t>
            </w:r>
          </w:p>
        </w:tc>
        <w:tc>
          <w:tcPr>
            <w:tcW w:w="811" w:type="dxa"/>
            <w:vAlign w:val="center"/>
          </w:tcPr>
          <w:p w14:paraId="4E6C5CE7" w14:textId="77777777" w:rsidR="00B47192" w:rsidRPr="00007450" w:rsidRDefault="00B47192" w:rsidP="00864C4B">
            <w:pPr>
              <w:pStyle w:val="TableText0"/>
              <w:jc w:val="center"/>
              <w:rPr>
                <w:szCs w:val="20"/>
              </w:rPr>
            </w:pPr>
            <w:r w:rsidRPr="00007450">
              <w:t>42</w:t>
            </w:r>
          </w:p>
        </w:tc>
        <w:tc>
          <w:tcPr>
            <w:tcW w:w="812" w:type="dxa"/>
            <w:vAlign w:val="center"/>
          </w:tcPr>
          <w:p w14:paraId="2E34F956" w14:textId="77777777" w:rsidR="00B47192" w:rsidRPr="00007450" w:rsidRDefault="00B47192" w:rsidP="00864C4B">
            <w:pPr>
              <w:pStyle w:val="TableText0"/>
              <w:jc w:val="center"/>
              <w:rPr>
                <w:szCs w:val="20"/>
              </w:rPr>
            </w:pPr>
            <w:r w:rsidRPr="00007450">
              <w:t>5</w:t>
            </w:r>
          </w:p>
        </w:tc>
        <w:tc>
          <w:tcPr>
            <w:tcW w:w="1831" w:type="dxa"/>
            <w:vMerge/>
            <w:vAlign w:val="center"/>
          </w:tcPr>
          <w:p w14:paraId="414E35E7" w14:textId="77777777" w:rsidR="00B47192" w:rsidRPr="00007450" w:rsidRDefault="00B47192" w:rsidP="00864C4B">
            <w:pPr>
              <w:pStyle w:val="TableText0"/>
              <w:rPr>
                <w:color w:val="0066FF"/>
                <w:szCs w:val="20"/>
              </w:rPr>
            </w:pPr>
          </w:p>
        </w:tc>
      </w:tr>
      <w:tr w:rsidR="009905C4" w:rsidRPr="00007450" w14:paraId="7E7C8CA8" w14:textId="77777777">
        <w:tblPrEx>
          <w:tblCellMar>
            <w:top w:w="15" w:type="dxa"/>
            <w:bottom w:w="15" w:type="dxa"/>
          </w:tblCellMar>
          <w:tblLook w:val="04A0" w:firstRow="1" w:lastRow="0" w:firstColumn="1" w:lastColumn="0" w:noHBand="0" w:noVBand="1"/>
        </w:tblPrEx>
        <w:trPr>
          <w:cantSplit/>
        </w:trPr>
        <w:tc>
          <w:tcPr>
            <w:tcW w:w="9017" w:type="dxa"/>
            <w:gridSpan w:val="6"/>
          </w:tcPr>
          <w:p w14:paraId="1F57985B" w14:textId="77777777" w:rsidR="009905C4" w:rsidRPr="00007450" w:rsidRDefault="009905C4" w:rsidP="00864C4B">
            <w:pPr>
              <w:pStyle w:val="TableText0"/>
            </w:pPr>
            <w:bookmarkStart w:id="15" w:name="_Hlk104809470"/>
            <w:bookmarkEnd w:id="14"/>
            <w:r w:rsidRPr="00007450">
              <w:rPr>
                <w:b/>
              </w:rPr>
              <w:t xml:space="preserve">Category / Program: </w:t>
            </w:r>
            <w:r w:rsidRPr="00007450">
              <w:t>General Schedule (Code GE)</w:t>
            </w:r>
          </w:p>
        </w:tc>
      </w:tr>
      <w:tr w:rsidR="009905C4" w:rsidRPr="00007450" w14:paraId="5B32443F" w14:textId="77777777">
        <w:tblPrEx>
          <w:tblCellMar>
            <w:top w:w="15" w:type="dxa"/>
            <w:bottom w:w="15" w:type="dxa"/>
          </w:tblCellMar>
          <w:tblLook w:val="04A0" w:firstRow="1" w:lastRow="0" w:firstColumn="1" w:lastColumn="0" w:noHBand="0" w:noVBand="1"/>
        </w:tblPrEx>
        <w:trPr>
          <w:cantSplit/>
        </w:trPr>
        <w:tc>
          <w:tcPr>
            <w:tcW w:w="9017" w:type="dxa"/>
            <w:gridSpan w:val="6"/>
          </w:tcPr>
          <w:p w14:paraId="0B2D12AE" w14:textId="34E8F66F" w:rsidR="009905C4" w:rsidRPr="00007450" w:rsidRDefault="009905C4" w:rsidP="00864C4B">
            <w:pPr>
              <w:pStyle w:val="TableText0"/>
              <w:rPr>
                <w:b/>
              </w:rPr>
            </w:pPr>
            <w:r w:rsidRPr="00007450">
              <w:rPr>
                <w:b/>
              </w:rPr>
              <w:t>Prescriber type:</w:t>
            </w:r>
            <w:r w:rsidR="004A2F0E">
              <w:rPr>
                <w:b/>
              </w:rPr>
              <w:t xml:space="preserve"> </w:t>
            </w:r>
            <w:r w:rsidRPr="00007450">
              <w:fldChar w:fldCharType="begin">
                <w:ffData>
                  <w:name w:val=""/>
                  <w:enabled/>
                  <w:calcOnExit w:val="0"/>
                  <w:checkBox>
                    <w:sizeAuto/>
                    <w:default w:val="1"/>
                  </w:checkBox>
                </w:ffData>
              </w:fldChar>
            </w:r>
            <w:r w:rsidRPr="00007450">
              <w:instrText xml:space="preserve"> FORMCHECKBOX </w:instrText>
            </w:r>
            <w:r w:rsidRPr="00007450">
              <w:fldChar w:fldCharType="separate"/>
            </w:r>
            <w:r w:rsidRPr="00007450">
              <w:fldChar w:fldCharType="end"/>
            </w:r>
            <w:r w:rsidRPr="00007450">
              <w:t xml:space="preserve">Medical Practitioners </w:t>
            </w:r>
          </w:p>
        </w:tc>
      </w:tr>
      <w:tr w:rsidR="009905C4" w:rsidRPr="00007450" w14:paraId="378F2D36" w14:textId="77777777">
        <w:tblPrEx>
          <w:tblCellMar>
            <w:top w:w="15" w:type="dxa"/>
            <w:bottom w:w="15" w:type="dxa"/>
          </w:tblCellMar>
          <w:tblLook w:val="04A0" w:firstRow="1" w:lastRow="0" w:firstColumn="1" w:lastColumn="0" w:noHBand="0" w:noVBand="1"/>
        </w:tblPrEx>
        <w:trPr>
          <w:cantSplit/>
        </w:trPr>
        <w:tc>
          <w:tcPr>
            <w:tcW w:w="9017" w:type="dxa"/>
            <w:gridSpan w:val="6"/>
          </w:tcPr>
          <w:p w14:paraId="32711714" w14:textId="77777777" w:rsidR="009905C4" w:rsidRPr="00007450" w:rsidRDefault="009905C4" w:rsidP="00864C4B">
            <w:pPr>
              <w:pStyle w:val="TableText0"/>
              <w:rPr>
                <w:rFonts w:eastAsia="Times New Roman"/>
              </w:rPr>
            </w:pPr>
            <w:r w:rsidRPr="00007450">
              <w:rPr>
                <w:b/>
              </w:rPr>
              <w:t xml:space="preserve">Restriction type: </w:t>
            </w:r>
            <w:r w:rsidRPr="00007450">
              <w:rPr>
                <w:rFonts w:eastAsia="Times New Roman"/>
              </w:rPr>
              <w:fldChar w:fldCharType="begin">
                <w:ffData>
                  <w:name w:val="Check3"/>
                  <w:enabled/>
                  <w:calcOnExit w:val="0"/>
                  <w:checkBox>
                    <w:sizeAuto/>
                    <w:default w:val="1"/>
                  </w:checkBox>
                </w:ffData>
              </w:fldChar>
            </w:r>
            <w:r w:rsidRPr="00007450">
              <w:rPr>
                <w:rFonts w:eastAsia="Times New Roman"/>
              </w:rPr>
              <w:instrText xml:space="preserve"> FORMCHECKBOX </w:instrText>
            </w:r>
            <w:r w:rsidRPr="00007450">
              <w:rPr>
                <w:rFonts w:eastAsia="Times New Roman"/>
              </w:rPr>
            </w:r>
            <w:r w:rsidRPr="00007450">
              <w:rPr>
                <w:rFonts w:eastAsia="Times New Roman"/>
              </w:rPr>
              <w:fldChar w:fldCharType="separate"/>
            </w:r>
            <w:r w:rsidRPr="00007450">
              <w:rPr>
                <w:rFonts w:eastAsia="Times New Roman"/>
              </w:rPr>
              <w:fldChar w:fldCharType="end"/>
            </w:r>
            <w:r w:rsidRPr="00007450">
              <w:rPr>
                <w:rFonts w:eastAsia="Times New Roman"/>
              </w:rPr>
              <w:t xml:space="preserve">Authority Required (telephone/online PBS Authorities system) </w:t>
            </w:r>
          </w:p>
        </w:tc>
      </w:tr>
      <w:tr w:rsidR="009905C4" w:rsidRPr="00007450" w14:paraId="74935721" w14:textId="77777777">
        <w:tblPrEx>
          <w:tblCellMar>
            <w:top w:w="15" w:type="dxa"/>
            <w:bottom w:w="15" w:type="dxa"/>
          </w:tblCellMar>
          <w:tblLook w:val="04A0" w:firstRow="1" w:lastRow="0" w:firstColumn="1" w:lastColumn="0" w:noHBand="0" w:noVBand="1"/>
        </w:tblPrEx>
        <w:trPr>
          <w:cantSplit/>
        </w:trPr>
        <w:tc>
          <w:tcPr>
            <w:tcW w:w="9017" w:type="dxa"/>
            <w:gridSpan w:val="6"/>
          </w:tcPr>
          <w:p w14:paraId="0AC64D62" w14:textId="77777777" w:rsidR="009905C4" w:rsidRPr="00007450" w:rsidRDefault="009905C4" w:rsidP="00864C4B">
            <w:pPr>
              <w:pStyle w:val="TableText0"/>
              <w:rPr>
                <w:b/>
              </w:rPr>
            </w:pPr>
            <w:r w:rsidRPr="00007450">
              <w:rPr>
                <w:rFonts w:eastAsia="Times New Roman" w:cs="Open Sans"/>
                <w:b/>
                <w:bCs w:val="0"/>
                <w:snapToGrid w:val="0"/>
                <w:color w:val="333333"/>
                <w:kern w:val="2"/>
                <w:bdr w:val="none" w:sz="0" w:space="0" w:color="auto" w:frame="1"/>
                <w14:ligatures w14:val="standardContextual"/>
              </w:rPr>
              <w:t xml:space="preserve">Indication: </w:t>
            </w:r>
            <w:r w:rsidRPr="00007450">
              <w:rPr>
                <w:rFonts w:eastAsia="Times New Roman" w:cs="Open Sans"/>
                <w:snapToGrid w:val="0"/>
                <w:color w:val="333333"/>
                <w:kern w:val="2"/>
                <w:bdr w:val="none" w:sz="0" w:space="0" w:color="auto" w:frame="1"/>
                <w14:ligatures w14:val="standardContextual"/>
              </w:rPr>
              <w:t>Early breast cancer</w:t>
            </w:r>
          </w:p>
        </w:tc>
      </w:tr>
      <w:tr w:rsidR="00E56055" w:rsidRPr="00007450" w14:paraId="66ADFDDE" w14:textId="77777777">
        <w:tblPrEx>
          <w:tblCellMar>
            <w:top w:w="15" w:type="dxa"/>
            <w:bottom w:w="15" w:type="dxa"/>
          </w:tblCellMar>
          <w:tblLook w:val="04A0" w:firstRow="1" w:lastRow="0" w:firstColumn="1" w:lastColumn="0" w:noHBand="0" w:noVBand="1"/>
        </w:tblPrEx>
        <w:trPr>
          <w:cantSplit/>
        </w:trPr>
        <w:tc>
          <w:tcPr>
            <w:tcW w:w="9017" w:type="dxa"/>
            <w:gridSpan w:val="6"/>
          </w:tcPr>
          <w:p w14:paraId="680A1AAB" w14:textId="5DEBA324" w:rsidR="00E56055" w:rsidRPr="00007450" w:rsidRDefault="008148A6" w:rsidP="00864C4B">
            <w:pPr>
              <w:pStyle w:val="TableText0"/>
              <w:rPr>
                <w:rFonts w:eastAsia="Times New Roman" w:cs="Open Sans"/>
                <w:b/>
                <w:bCs w:val="0"/>
                <w:snapToGrid w:val="0"/>
                <w:color w:val="333333"/>
                <w:kern w:val="2"/>
                <w:bdr w:val="none" w:sz="0" w:space="0" w:color="auto" w:frame="1"/>
                <w14:ligatures w14:val="standardContextual"/>
              </w:rPr>
            </w:pPr>
            <w:r w:rsidRPr="00007450">
              <w:rPr>
                <w:b/>
                <w:color w:val="333333"/>
                <w:szCs w:val="20"/>
              </w:rPr>
              <w:t>Treatment Phase:</w:t>
            </w:r>
            <w:r w:rsidRPr="00007450">
              <w:rPr>
                <w:color w:val="FF0000"/>
                <w:szCs w:val="20"/>
              </w:rPr>
              <w:t xml:space="preserve"> </w:t>
            </w:r>
            <w:r w:rsidRPr="00007450">
              <w:rPr>
                <w:rFonts w:cs="Open Sans"/>
                <w:strike/>
                <w:snapToGrid w:val="0"/>
                <w:color w:val="333333"/>
                <w:kern w:val="2"/>
                <w:szCs w:val="20"/>
                <w:bdr w:val="none" w:sz="0" w:space="0" w:color="auto" w:frame="1"/>
                <w14:ligatures w14:val="standardContextual"/>
              </w:rPr>
              <w:t>Initial treatment</w:t>
            </w:r>
          </w:p>
        </w:tc>
      </w:tr>
      <w:tr w:rsidR="009905C4" w:rsidRPr="00007450" w14:paraId="4DB700AC"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7CCFA9C"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 xml:space="preserve">Clinical criteria: </w:t>
            </w:r>
          </w:p>
        </w:tc>
      </w:tr>
      <w:tr w:rsidR="009905C4" w:rsidRPr="00007450" w14:paraId="5411BC01"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0A1A3B3"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treatment must be adjuvant to surgical resection</w:t>
            </w:r>
          </w:p>
        </w:tc>
      </w:tr>
      <w:tr w:rsidR="009905C4" w:rsidRPr="00007450" w14:paraId="3B6959CF"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766521F"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523361E8"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53A73F47"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condition must not have been treated with adjuvant endocrine therapy for more than 12 months prior to commencing this drug</w:t>
            </w:r>
          </w:p>
        </w:tc>
      </w:tr>
      <w:tr w:rsidR="009905C4" w:rsidRPr="00007450" w14:paraId="640E0E35"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83FD654"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6E15AE3A"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A440237"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condition must be human epidermal growth factor receptor 2 (HER2) negative</w:t>
            </w:r>
          </w:p>
        </w:tc>
      </w:tr>
      <w:tr w:rsidR="009905C4" w:rsidRPr="00007450" w14:paraId="69E5DAC4"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50C9D464"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3CA6E6C3"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2067442"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condition must be hormone receptor positive</w:t>
            </w:r>
          </w:p>
        </w:tc>
      </w:tr>
      <w:tr w:rsidR="009905C4" w:rsidRPr="00007450" w14:paraId="27A973C2"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69EF980F"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398547AE"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ACA9A11"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Patient must have Stage II or III disease plus all of: (a) 1–3 positive axillary lymph nodes, (b) histological grade ≤ 2, (c) tumour size &lt; 5 cm; or</w:t>
            </w:r>
          </w:p>
        </w:tc>
      </w:tr>
      <w:tr w:rsidR="009905C4" w:rsidRPr="00007450" w14:paraId="48876FDA"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91BBF51"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Patient must have Stage IIB or III disease with no positive lymph nodes; or</w:t>
            </w:r>
          </w:p>
        </w:tc>
      </w:tr>
      <w:tr w:rsidR="009905C4" w:rsidRPr="00007450" w14:paraId="7A235F85"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EDAC77A"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Patient must have Stage IIA disease with no positive lymph nodes plus either: (a) grade 3 histology or (b) grade 2 histology with a positive molecular diagnostic outcome.</w:t>
            </w:r>
          </w:p>
        </w:tc>
      </w:tr>
      <w:tr w:rsidR="009905C4" w:rsidRPr="00007450" w14:paraId="3BC43EF7"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A14671B"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7372CF03"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72B0607F"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treatment must not be a PBS-subsidised benefit beyond whichever comes first: (i) a total of 3 years of active treatment (this includes any non-PBS subsidised supply if applicable), (ii) disease recurrence/progression</w:t>
            </w:r>
          </w:p>
        </w:tc>
      </w:tr>
      <w:tr w:rsidR="009905C4" w:rsidRPr="00007450" w14:paraId="43894516"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67C8F11"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2C355E19"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42C2288"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The treatment must not be in combination with any of the following: (i) abemaciclib, (ii) olaparib, (iii) pembrolizumab</w:t>
            </w:r>
          </w:p>
        </w:tc>
      </w:tr>
      <w:tr w:rsidR="009905C4" w:rsidRPr="00007450" w14:paraId="25A6CED0"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667C2BF"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AND</w:t>
            </w:r>
          </w:p>
        </w:tc>
      </w:tr>
      <w:tr w:rsidR="009905C4" w:rsidRPr="00007450" w14:paraId="6814508C"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B58C899" w14:textId="77777777" w:rsidR="009905C4" w:rsidRPr="00007450" w:rsidRDefault="009905C4" w:rsidP="00864C4B">
            <w:pPr>
              <w:pStyle w:val="TableText0"/>
              <w:rPr>
                <w:rFonts w:eastAsia="Times New Roman" w:cs="Open Sans"/>
                <w:b/>
                <w:bCs w:val="0"/>
                <w:snapToGrid w:val="0"/>
                <w:color w:val="333333"/>
                <w:kern w:val="2"/>
                <w:bdr w:val="none" w:sz="0" w:space="0" w:color="auto" w:frame="1"/>
                <w14:ligatures w14:val="standardContextual"/>
              </w:rPr>
            </w:pPr>
            <w:r w:rsidRPr="00007450">
              <w:rPr>
                <w:rFonts w:eastAsia="Times New Roman" w:cs="Open Sans"/>
                <w:b/>
                <w:bCs w:val="0"/>
                <w:snapToGrid w:val="0"/>
                <w:color w:val="333333"/>
                <w:kern w:val="2"/>
                <w:bdr w:val="none" w:sz="0" w:space="0" w:color="auto" w:frame="1"/>
                <w14:ligatures w14:val="standardContextual"/>
              </w:rPr>
              <w:t>Treatment criteria:</w:t>
            </w:r>
          </w:p>
        </w:tc>
      </w:tr>
      <w:tr w:rsidR="009905C4" w:rsidRPr="00007450" w14:paraId="686459B7"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6E630930" w14:textId="77777777" w:rsidR="009905C4" w:rsidRPr="00007450" w:rsidRDefault="009905C4" w:rsidP="00864C4B">
            <w:pPr>
              <w:pStyle w:val="TableText0"/>
              <w:rPr>
                <w:rFonts w:eastAsia="Times New Roman" w:cs="Open Sans"/>
                <w:snapToGrid w:val="0"/>
                <w:color w:val="333333"/>
                <w:kern w:val="2"/>
                <w:bdr w:val="none" w:sz="0" w:space="0" w:color="auto" w:frame="1"/>
                <w14:ligatures w14:val="standardContextual"/>
              </w:rPr>
            </w:pPr>
            <w:r w:rsidRPr="00007450">
              <w:rPr>
                <w:rFonts w:eastAsia="Times New Roman" w:cs="Open Sans"/>
                <w:snapToGrid w:val="0"/>
                <w:color w:val="333333"/>
                <w:kern w:val="2"/>
                <w:bdr w:val="none" w:sz="0" w:space="0" w:color="auto" w:frame="1"/>
                <w14:ligatures w14:val="standardContextual"/>
              </w:rPr>
              <w:t xml:space="preserve">Patient must be undergoing concurrent treatment with a non-steroidal aromatase inhibitor where this drug is being prescribed as a PBS-benefit </w:t>
            </w:r>
          </w:p>
        </w:tc>
      </w:tr>
      <w:tr w:rsidR="009905C4" w:rsidRPr="00007450" w14:paraId="6A7FFDB6" w14:textId="77777777">
        <w:tblPrEx>
          <w:tblCellMar>
            <w:top w:w="15" w:type="dxa"/>
            <w:bottom w:w="15" w:type="dxa"/>
          </w:tblCellMar>
          <w:tblLook w:val="04A0" w:firstRow="1" w:lastRow="0" w:firstColumn="1" w:lastColumn="0" w:noHBand="0" w:noVBand="1"/>
        </w:tblPrEx>
        <w:trPr>
          <w:cantSplit/>
        </w:trPr>
        <w:tc>
          <w:tcPr>
            <w:tcW w:w="9017" w:type="dxa"/>
            <w:gridSpan w:val="6"/>
          </w:tcPr>
          <w:p w14:paraId="6CD2B53E" w14:textId="77777777" w:rsidR="009905C4" w:rsidRPr="00007450" w:rsidRDefault="009905C4" w:rsidP="00864C4B">
            <w:pPr>
              <w:spacing w:line="254" w:lineRule="auto"/>
              <w:textAlignment w:val="baseline"/>
              <w:rPr>
                <w:b/>
              </w:rPr>
            </w:pPr>
            <w:r w:rsidRPr="00007450">
              <w:rPr>
                <w:rFonts w:ascii="Arial Narrow" w:hAnsi="Arial Narrow" w:cs="Open Sans"/>
                <w:b/>
                <w:bCs/>
                <w:snapToGrid w:val="0"/>
                <w:color w:val="333333"/>
                <w:kern w:val="2"/>
                <w:sz w:val="20"/>
                <w:bdr w:val="none" w:sz="0" w:space="0" w:color="auto" w:frame="1"/>
                <w14:ligatures w14:val="standardContextual"/>
              </w:rPr>
              <w:t xml:space="preserve">Administrative Advice: </w:t>
            </w:r>
            <w:r w:rsidRPr="00007450">
              <w:rPr>
                <w:rFonts w:ascii="Arial Narrow" w:hAnsi="Arial Narrow" w:cs="Open Sans"/>
                <w:snapToGrid w:val="0"/>
                <w:color w:val="333333"/>
                <w:kern w:val="2"/>
                <w:sz w:val="20"/>
                <w14:ligatures w14:val="standardContextual"/>
              </w:rPr>
              <w:t>Non-steroidal aromatase inhibitors for the purposes of this restriction are anastrozole and letrozole.</w:t>
            </w:r>
          </w:p>
        </w:tc>
      </w:tr>
      <w:tr w:rsidR="009905C4" w:rsidRPr="00007450" w14:paraId="515CBA5C"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4B35286D" w14:textId="77777777" w:rsidR="009905C4" w:rsidRPr="00007450" w:rsidRDefault="009905C4" w:rsidP="00864C4B">
            <w:pPr>
              <w:spacing w:line="256" w:lineRule="auto"/>
            </w:pPr>
            <w:r w:rsidRPr="00007450">
              <w:rPr>
                <w:rFonts w:ascii="Arial Narrow" w:hAnsi="Arial Narrow" w:cs="Times New Roman"/>
                <w:b/>
                <w:bCs/>
                <w:sz w:val="20"/>
              </w:rPr>
              <w:t xml:space="preserve">Administrative Advice: </w:t>
            </w:r>
            <w:r w:rsidRPr="00007450">
              <w:rPr>
                <w:rFonts w:ascii="Arial Narrow" w:hAnsi="Arial Narrow" w:cs="Times New Roman"/>
                <w:sz w:val="20"/>
              </w:rPr>
              <w:t>Cyclin-dependent kinase 4 and 6 (CDK4/6) inhibitors for the purposes of this restriction are abemaciclib, palbociclib and ribociclib.</w:t>
            </w:r>
          </w:p>
        </w:tc>
      </w:tr>
      <w:tr w:rsidR="009905C4" w:rsidRPr="00007450" w14:paraId="4E3C88B2"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6D663050" w14:textId="77777777" w:rsidR="009905C4" w:rsidRPr="00007450" w:rsidRDefault="009905C4" w:rsidP="00864C4B">
            <w:pPr>
              <w:spacing w:line="254" w:lineRule="auto"/>
              <w:textAlignment w:val="baseline"/>
              <w:rPr>
                <w:rFonts w:ascii="Arial Narrow" w:hAnsi="Arial Narrow" w:cs="Open Sans"/>
                <w:snapToGrid w:val="0"/>
                <w:color w:val="333333"/>
                <w:kern w:val="2"/>
                <w:sz w:val="20"/>
                <w14:ligatures w14:val="standardContextual"/>
              </w:rPr>
            </w:pPr>
            <w:r w:rsidRPr="00007450">
              <w:rPr>
                <w:rFonts w:ascii="Arial Narrow" w:hAnsi="Arial Narrow" w:cs="Open Sans"/>
                <w:b/>
                <w:bCs/>
                <w:snapToGrid w:val="0"/>
                <w:color w:val="333333"/>
                <w:kern w:val="2"/>
                <w:sz w:val="20"/>
                <w:bdr w:val="none" w:sz="0" w:space="0" w:color="auto" w:frame="1"/>
                <w14:ligatures w14:val="standardContextual"/>
              </w:rPr>
              <w:t xml:space="preserve">Administrative Advice: </w:t>
            </w:r>
            <w:r w:rsidRPr="00007450">
              <w:rPr>
                <w:rFonts w:ascii="Arial Narrow" w:hAnsi="Arial Narrow" w:cs="Open Sans"/>
                <w:snapToGrid w:val="0"/>
                <w:color w:val="333333"/>
                <w:kern w:val="2"/>
                <w:sz w:val="20"/>
                <w14:ligatures w14:val="standardContextual"/>
              </w:rPr>
              <w:t>The Nottingham grading system is the histologic grading system developed by Elston and Ellis as a modification of the Scarff-Bloom-Richardson grading system. See the following literature publication for details:</w:t>
            </w:r>
          </w:p>
          <w:p w14:paraId="0458658D" w14:textId="77777777" w:rsidR="009905C4" w:rsidRPr="00007450" w:rsidRDefault="009905C4" w:rsidP="00864C4B">
            <w:pPr>
              <w:pStyle w:val="TableText0"/>
            </w:pPr>
            <w:r w:rsidRPr="00007450">
              <w:rPr>
                <w:rFonts w:eastAsia="Times New Roman" w:cs="Open Sans"/>
                <w:color w:val="333333"/>
                <w:kern w:val="2"/>
                <w14:ligatures w14:val="standardContextual"/>
              </w:rPr>
              <w:t>Elston, CW, Ellis, IO. Pathological prognostic factors in breast cancer. The value of histological grade in breast cancer: experience from a large study with long-term follow-up. Histopathology. 1991 Nov;19(5):403-10.</w:t>
            </w:r>
          </w:p>
        </w:tc>
      </w:tr>
      <w:tr w:rsidR="009905C4" w:rsidRPr="00007450" w14:paraId="6C9C390A"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0354F088" w14:textId="77777777" w:rsidR="009905C4" w:rsidRPr="00007450" w:rsidRDefault="009905C4" w:rsidP="00864C4B">
            <w:pPr>
              <w:spacing w:line="254" w:lineRule="auto"/>
              <w:textAlignment w:val="baseline"/>
            </w:pPr>
            <w:r w:rsidRPr="00007450">
              <w:rPr>
                <w:rFonts w:ascii="Arial Narrow" w:hAnsi="Arial Narrow" w:cs="Open Sans"/>
                <w:b/>
                <w:bCs/>
                <w:snapToGrid w:val="0"/>
                <w:color w:val="333333"/>
                <w:kern w:val="2"/>
                <w:sz w:val="20"/>
                <w:bdr w:val="none" w:sz="0" w:space="0" w:color="auto" w:frame="1"/>
                <w14:ligatures w14:val="standardContextual"/>
              </w:rPr>
              <w:t xml:space="preserve">Administrative Advice: </w:t>
            </w:r>
            <w:r w:rsidRPr="00007450">
              <w:rPr>
                <w:rFonts w:ascii="Arial Narrow" w:hAnsi="Arial Narrow" w:cs="Open Sans"/>
                <w:color w:val="333333"/>
                <w:kern w:val="2"/>
                <w:sz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9905C4" w:rsidRPr="00007450" w14:paraId="3A8A38AC"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40453836" w14:textId="77777777" w:rsidR="009905C4" w:rsidRPr="00007450" w:rsidRDefault="009905C4" w:rsidP="00864C4B">
            <w:pPr>
              <w:spacing w:line="254" w:lineRule="auto"/>
              <w:textAlignment w:val="baseline"/>
            </w:pPr>
            <w:r w:rsidRPr="00007450">
              <w:rPr>
                <w:rFonts w:ascii="Arial Narrow" w:hAnsi="Arial Narrow" w:cs="Open Sans"/>
                <w:b/>
                <w:bCs/>
                <w:snapToGrid w:val="0"/>
                <w:color w:val="333333"/>
                <w:kern w:val="2"/>
                <w:sz w:val="20"/>
                <w:bdr w:val="none" w:sz="0" w:space="0" w:color="auto" w:frame="1"/>
                <w14:ligatures w14:val="standardContextual"/>
              </w:rPr>
              <w:t xml:space="preserve">Administrative Advice: </w:t>
            </w:r>
            <w:r w:rsidRPr="00007450">
              <w:rPr>
                <w:rFonts w:ascii="Arial Narrow" w:hAnsi="Arial Narrow" w:cs="Open Sans"/>
                <w:color w:val="333333"/>
                <w:kern w:val="2"/>
                <w:sz w:val="20"/>
                <w14:ligatures w14:val="standardContextual"/>
              </w:rPr>
              <w:t>No increase in the maximum quantity or number of units may be authorised.</w:t>
            </w:r>
          </w:p>
        </w:tc>
      </w:tr>
      <w:tr w:rsidR="009905C4" w:rsidRPr="00007450" w14:paraId="7E51F33A"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63ACFC25" w14:textId="77777777" w:rsidR="009905C4" w:rsidRPr="00007450" w:rsidRDefault="009905C4" w:rsidP="00864C4B">
            <w:pPr>
              <w:spacing w:line="254" w:lineRule="auto"/>
              <w:textAlignment w:val="baseline"/>
            </w:pPr>
            <w:r w:rsidRPr="00007450">
              <w:rPr>
                <w:rFonts w:ascii="Arial Narrow" w:hAnsi="Arial Narrow" w:cs="Open Sans"/>
                <w:b/>
                <w:bCs/>
                <w:snapToGrid w:val="0"/>
                <w:color w:val="333333"/>
                <w:kern w:val="2"/>
                <w:sz w:val="20"/>
                <w:bdr w:val="none" w:sz="0" w:space="0" w:color="auto" w:frame="1"/>
                <w14:ligatures w14:val="standardContextual"/>
              </w:rPr>
              <w:lastRenderedPageBreak/>
              <w:t xml:space="preserve">Administrative Advice: </w:t>
            </w:r>
            <w:r w:rsidRPr="00007450">
              <w:rPr>
                <w:rFonts w:ascii="Arial Narrow" w:hAnsi="Arial Narrow" w:cs="Open Sans"/>
                <w:color w:val="333333"/>
                <w:kern w:val="2"/>
                <w:sz w:val="20"/>
                <w14:ligatures w14:val="standardContextual"/>
              </w:rPr>
              <w:t>No increase in the maximum number of repeats may be authorised.</w:t>
            </w:r>
          </w:p>
        </w:tc>
      </w:tr>
      <w:tr w:rsidR="009905C4" w:rsidRPr="00007450" w14:paraId="232BE790" w14:textId="77777777">
        <w:tblPrEx>
          <w:tblCellMar>
            <w:top w:w="15" w:type="dxa"/>
            <w:bottom w:w="15" w:type="dxa"/>
          </w:tblCellMar>
          <w:tblLook w:val="04A0" w:firstRow="1" w:lastRow="0" w:firstColumn="1" w:lastColumn="0" w:noHBand="0" w:noVBand="1"/>
        </w:tblPrEx>
        <w:trPr>
          <w:cantSplit/>
        </w:trPr>
        <w:tc>
          <w:tcPr>
            <w:tcW w:w="9017" w:type="dxa"/>
            <w:gridSpan w:val="6"/>
            <w:hideMark/>
          </w:tcPr>
          <w:p w14:paraId="28ECE578" w14:textId="77777777" w:rsidR="009905C4" w:rsidRPr="00007450" w:rsidRDefault="009905C4" w:rsidP="00864C4B">
            <w:pPr>
              <w:spacing w:line="254" w:lineRule="auto"/>
              <w:textAlignment w:val="baseline"/>
            </w:pPr>
            <w:r w:rsidRPr="00007450">
              <w:rPr>
                <w:rFonts w:ascii="Arial Narrow" w:hAnsi="Arial Narrow" w:cs="Open Sans"/>
                <w:b/>
                <w:bCs/>
                <w:snapToGrid w:val="0"/>
                <w:color w:val="333333"/>
                <w:kern w:val="2"/>
                <w:sz w:val="20"/>
                <w:bdr w:val="none" w:sz="0" w:space="0" w:color="auto" w:frame="1"/>
                <w14:ligatures w14:val="standardContextual"/>
              </w:rPr>
              <w:t xml:space="preserve">Administrative Advice: </w:t>
            </w:r>
            <w:r w:rsidRPr="00007450">
              <w:rPr>
                <w:rFonts w:ascii="Arial Narrow" w:hAnsi="Arial Narrow" w:cs="Open Sans"/>
                <w:color w:val="333333"/>
                <w:kern w:val="2"/>
                <w:sz w:val="20"/>
                <w14:ligatures w14:val="standardContextual"/>
              </w:rPr>
              <w:t>Special Pricing Arrangements apply.</w:t>
            </w:r>
          </w:p>
        </w:tc>
      </w:tr>
      <w:bookmarkEnd w:id="15"/>
      <w:tr w:rsidR="009905C4" w:rsidRPr="00007450" w14:paraId="50619C4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hideMark/>
          </w:tcPr>
          <w:p w14:paraId="1DBC003B" w14:textId="77777777" w:rsidR="009905C4" w:rsidRPr="00007450" w:rsidRDefault="009905C4" w:rsidP="00864C4B">
            <w:pPr>
              <w:spacing w:line="256" w:lineRule="auto"/>
              <w:rPr>
                <w:rFonts w:ascii="Arial Narrow" w:hAnsi="Arial Narrow"/>
                <w:color w:val="333333"/>
                <w:sz w:val="20"/>
              </w:rPr>
            </w:pPr>
            <w:r w:rsidRPr="00007450">
              <w:rPr>
                <w:rFonts w:ascii="Arial Narrow" w:hAnsi="Arial Narrow"/>
                <w:b/>
                <w:bCs/>
                <w:color w:val="333333"/>
                <w:sz w:val="20"/>
              </w:rPr>
              <w:t>Prescribing Instructions:</w:t>
            </w:r>
            <w:r w:rsidRPr="00007450">
              <w:rPr>
                <w:rFonts w:ascii="Arial Narrow" w:hAnsi="Arial Narrow"/>
                <w:color w:val="333333"/>
                <w:sz w:val="20"/>
              </w:rPr>
              <w:t xml:space="preserve"> Retain all pathology imaging and investigative test results in the patient’s medical records.</w:t>
            </w:r>
          </w:p>
        </w:tc>
      </w:tr>
      <w:tr w:rsidR="009905C4" w:rsidRPr="00007450" w14:paraId="169F9974"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hideMark/>
          </w:tcPr>
          <w:p w14:paraId="4BB5C050" w14:textId="77777777" w:rsidR="009905C4" w:rsidRPr="00007450" w:rsidRDefault="009905C4" w:rsidP="00864C4B">
            <w:pPr>
              <w:spacing w:line="256" w:lineRule="auto"/>
              <w:rPr>
                <w:rFonts w:ascii="Arial Narrow" w:hAnsi="Arial Narrow"/>
                <w:b/>
                <w:bCs/>
                <w:color w:val="333333"/>
                <w:sz w:val="20"/>
              </w:rPr>
            </w:pPr>
            <w:r w:rsidRPr="00007450">
              <w:rPr>
                <w:rFonts w:ascii="Arial Narrow" w:hAnsi="Arial Narrow"/>
                <w:b/>
                <w:bCs/>
                <w:color w:val="333333"/>
                <w:sz w:val="20"/>
              </w:rPr>
              <w:t xml:space="preserve">Caution: </w:t>
            </w:r>
            <w:r w:rsidRPr="00007450">
              <w:rPr>
                <w:rFonts w:ascii="Arial Narrow" w:hAnsi="Arial Narrow"/>
                <w:color w:val="333333"/>
                <w:sz w:val="20"/>
              </w:rPr>
              <w:t>QT interval monitoring is required for patients treated with this drug.</w:t>
            </w:r>
          </w:p>
        </w:tc>
      </w:tr>
      <w:tr w:rsidR="00701307" w:rsidRPr="00007450" w14:paraId="3804E853"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38FF5FA4" w14:textId="77777777" w:rsidR="00701307" w:rsidRPr="00007450" w:rsidRDefault="00701307" w:rsidP="00864C4B">
            <w:pPr>
              <w:spacing w:line="256" w:lineRule="auto"/>
              <w:rPr>
                <w:rFonts w:ascii="Arial Narrow" w:hAnsi="Arial Narrow"/>
                <w:b/>
                <w:bCs/>
                <w:color w:val="333333"/>
                <w:sz w:val="20"/>
              </w:rPr>
            </w:pPr>
          </w:p>
        </w:tc>
      </w:tr>
      <w:tr w:rsidR="00701307" w:rsidRPr="00007450" w14:paraId="1218AFC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854A3B1" w14:textId="2D3AE73E" w:rsidR="00701307" w:rsidRPr="00007450" w:rsidRDefault="00BE4AF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Indication:</w:t>
            </w:r>
            <w:r w:rsidRPr="00007450">
              <w:rPr>
                <w:rFonts w:ascii="Arial Narrow" w:hAnsi="Arial Narrow"/>
                <w:color w:val="333333"/>
                <w:sz w:val="20"/>
                <w:szCs w:val="20"/>
              </w:rPr>
              <w:t xml:space="preserve"> Early breast cancer</w:t>
            </w:r>
          </w:p>
        </w:tc>
      </w:tr>
      <w:tr w:rsidR="00701307" w:rsidRPr="00007450" w14:paraId="667B6203"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312E22A" w14:textId="1CF80F9C" w:rsidR="00701307" w:rsidRPr="00007450" w:rsidRDefault="00F41B72" w:rsidP="00864C4B">
            <w:pPr>
              <w:spacing w:line="256" w:lineRule="auto"/>
              <w:rPr>
                <w:rFonts w:ascii="Arial Narrow" w:hAnsi="Arial Narrow"/>
                <w:b/>
                <w:bCs/>
                <w:color w:val="333333"/>
                <w:sz w:val="20"/>
              </w:rPr>
            </w:pPr>
            <w:r w:rsidRPr="00007450">
              <w:rPr>
                <w:rFonts w:ascii="Arial Narrow" w:hAnsi="Arial Narrow"/>
                <w:b/>
                <w:bCs/>
                <w:color w:val="333333"/>
                <w:sz w:val="20"/>
                <w:szCs w:val="20"/>
              </w:rPr>
              <w:t>Treatment Phase:</w:t>
            </w:r>
            <w:r w:rsidRPr="00007450">
              <w:rPr>
                <w:rFonts w:ascii="Arial Narrow" w:hAnsi="Arial Narrow"/>
                <w:color w:val="FF0000"/>
                <w:sz w:val="20"/>
                <w:szCs w:val="20"/>
              </w:rPr>
              <w:t xml:space="preserve"> </w:t>
            </w:r>
            <w:r w:rsidRPr="00007450">
              <w:rPr>
                <w:rFonts w:ascii="Arial Narrow" w:hAnsi="Arial Narrow" w:cs="Open Sans"/>
                <w:strike/>
                <w:snapToGrid w:val="0"/>
                <w:color w:val="333333"/>
                <w:kern w:val="2"/>
                <w:sz w:val="20"/>
                <w:szCs w:val="20"/>
                <w:bdr w:val="none" w:sz="0" w:space="0" w:color="auto" w:frame="1"/>
                <w14:ligatures w14:val="standardContextual"/>
              </w:rPr>
              <w:t xml:space="preserve">Grandfathered treatment </w:t>
            </w:r>
            <w:r w:rsidRPr="00007450">
              <w:rPr>
                <w:rFonts w:ascii="Arial Narrow" w:hAnsi="Arial Narrow" w:cs="Open Sans"/>
                <w:i/>
                <w:iCs/>
                <w:snapToGrid w:val="0"/>
                <w:color w:val="333333"/>
                <w:kern w:val="2"/>
                <w:sz w:val="20"/>
                <w:szCs w:val="20"/>
                <w:bdr w:val="none" w:sz="0" w:space="0" w:color="auto" w:frame="1"/>
                <w14:ligatures w14:val="standardContextual"/>
              </w:rPr>
              <w:t>Transitioning from non-PBS to PBS subsidised treatment – ‘Grandfather’ treatment</w:t>
            </w:r>
          </w:p>
        </w:tc>
      </w:tr>
      <w:tr w:rsidR="00B81A43" w:rsidRPr="00007450" w14:paraId="4E65FD94"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7024D8E" w14:textId="05D66FBE"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r w:rsidRPr="00007450">
              <w:rPr>
                <w:rFonts w:ascii="Arial Narrow" w:hAnsi="Arial Narrow"/>
                <w:color w:val="333333"/>
                <w:sz w:val="20"/>
                <w:szCs w:val="20"/>
              </w:rPr>
              <w:t xml:space="preserve"> </w:t>
            </w:r>
          </w:p>
        </w:tc>
      </w:tr>
      <w:tr w:rsidR="00B81A43" w:rsidRPr="00007450" w14:paraId="10E349A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45EF858D" w14:textId="0E89729D"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treatment must have been adjuvant to surgical resection prior to receiving non-PBS-subsidised therapy with this drug.</w:t>
            </w:r>
          </w:p>
        </w:tc>
      </w:tr>
      <w:tr w:rsidR="00B81A43" w:rsidRPr="00007450" w14:paraId="45B03180"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2E95D8F0" w14:textId="49FEB96A"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64D6C111"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0032CB4" w14:textId="4C1C032E"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428F296E"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384A3DC" w14:textId="69B2D639"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condition must not have been treated with adjuvant endocrine therapy for more than 12 months</w:t>
            </w:r>
            <w:r w:rsidRPr="00007450">
              <w:rPr>
                <w:rFonts w:ascii="Arial Narrow" w:hAnsi="Arial Narrow"/>
                <w:i/>
                <w:iCs/>
                <w:color w:val="333333"/>
                <w:sz w:val="20"/>
                <w:szCs w:val="20"/>
              </w:rPr>
              <w:t xml:space="preserve"> </w:t>
            </w:r>
            <w:r w:rsidRPr="00007450">
              <w:rPr>
                <w:rFonts w:ascii="Arial Narrow" w:hAnsi="Arial Narrow"/>
                <w:color w:val="333333"/>
                <w:sz w:val="20"/>
                <w:szCs w:val="20"/>
              </w:rPr>
              <w:t>prior to commencing this drug</w:t>
            </w:r>
          </w:p>
        </w:tc>
      </w:tr>
      <w:tr w:rsidR="00B81A43" w:rsidRPr="00007450" w14:paraId="4AC8C1B5"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A069D2E" w14:textId="0CD132BC"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3BF5D98A"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28B101C" w14:textId="50940A99"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237F88F8"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B75DBD6" w14:textId="5A67612D"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condition must be human epidermal growth factor receptor 2 (HER2) negative</w:t>
            </w:r>
          </w:p>
        </w:tc>
      </w:tr>
      <w:tr w:rsidR="00B81A43" w:rsidRPr="00007450" w14:paraId="0BC0997C"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56917BD" w14:textId="4B07F422"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40D711D7"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2E8BB622" w14:textId="0B2D8EB4"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0BF8B906"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094089F2" w14:textId="6DC83467"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condition must be hormone receptor positive</w:t>
            </w:r>
          </w:p>
        </w:tc>
      </w:tr>
      <w:tr w:rsidR="00B81A43" w:rsidRPr="00007450" w14:paraId="4738F06E"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F71AE4E" w14:textId="348F4948"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4BC3511A"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2FCEAAA" w14:textId="77FB1E5A"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5F15A36C"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0A0AE591" w14:textId="77C862AB"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Patient must have had, prior to receiving non-PBS-subsidised therapy with this drug, Stage II or III disease plus all of: (a) 1–3 positive axillary lymph nodes, (b) histological grade ≤ 2, (c) tumour size &lt; 5 cm; or</w:t>
            </w:r>
          </w:p>
        </w:tc>
      </w:tr>
      <w:tr w:rsidR="00B81A43" w:rsidRPr="00007450" w14:paraId="5312AAE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0314E144" w14:textId="5D7E439D"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Patient must have had, prior to receiving non-PBS-subsidised therapy with this drug, Stage IIB or III disease with no positive lymph nodes; or</w:t>
            </w:r>
          </w:p>
        </w:tc>
      </w:tr>
      <w:tr w:rsidR="00B81A43" w:rsidRPr="00007450" w14:paraId="34938428"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787ECC7" w14:textId="4FF4C3DD"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Patient must have had, prior to receiving non-PBS-subsidised therapy with this drug, Stage IIA disease with no positive lymph nodes plus either: (a) grade 3 histology or (b) grade 2 histology with a positive molecular diagnostic outcome.</w:t>
            </w:r>
          </w:p>
        </w:tc>
      </w:tr>
      <w:tr w:rsidR="00B81A43" w:rsidRPr="00007450" w14:paraId="323269FE"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7B1FC8C" w14:textId="7C0AC95A"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5D34D03D"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F6EEADB" w14:textId="44DB7A41"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005BFCE2"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335571F" w14:textId="32EDF37E"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treatment must not be a PBS-subsidised benefit beyond whichever comes first: (i) a total of 3 years of active treatment (this includes any non-PBS subsidised supply if applicable), (ii) disease recurrence/progression.</w:t>
            </w:r>
          </w:p>
        </w:tc>
      </w:tr>
      <w:tr w:rsidR="00B81A43" w:rsidRPr="00007450" w14:paraId="0189ED6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98AEBEF" w14:textId="6DA3077B"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AND</w:t>
            </w:r>
          </w:p>
        </w:tc>
      </w:tr>
      <w:tr w:rsidR="00B81A43" w:rsidRPr="00007450" w14:paraId="49282AF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67CB493" w14:textId="2262EA4E"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Clinical criteria:</w:t>
            </w:r>
          </w:p>
        </w:tc>
      </w:tr>
      <w:tr w:rsidR="00B81A43" w:rsidRPr="00007450" w14:paraId="702BC6CE"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56BB5D6" w14:textId="47C3661C" w:rsidR="00B81A43" w:rsidRPr="00007450" w:rsidRDefault="00B81A43" w:rsidP="00864C4B">
            <w:pPr>
              <w:spacing w:line="256" w:lineRule="auto"/>
              <w:rPr>
                <w:rFonts w:ascii="Arial Narrow" w:hAnsi="Arial Narrow"/>
                <w:b/>
                <w:bCs/>
                <w:color w:val="333333"/>
                <w:sz w:val="20"/>
              </w:rPr>
            </w:pPr>
            <w:r w:rsidRPr="00007450">
              <w:rPr>
                <w:rFonts w:ascii="Arial Narrow" w:hAnsi="Arial Narrow"/>
                <w:color w:val="333333"/>
                <w:sz w:val="20"/>
                <w:szCs w:val="20"/>
              </w:rPr>
              <w:t>The treatment must not be in combination with any of the following: (i) abemaciclib, (ii) olaparib, (iii) pembrolizumab</w:t>
            </w:r>
          </w:p>
        </w:tc>
      </w:tr>
      <w:tr w:rsidR="00B81A43" w:rsidRPr="00007450" w14:paraId="6300A97A"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6F8D499" w14:textId="2E312DB8"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color w:val="333333"/>
                <w:sz w:val="20"/>
                <w:szCs w:val="20"/>
              </w:rPr>
              <w:t>AND</w:t>
            </w:r>
          </w:p>
        </w:tc>
      </w:tr>
      <w:tr w:rsidR="00B81A43" w:rsidRPr="00007450" w14:paraId="4817A8D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69DA033" w14:textId="2FB3B4C0" w:rsidR="00B81A43" w:rsidRPr="00007450" w:rsidRDefault="00B81A43" w:rsidP="00864C4B">
            <w:pPr>
              <w:spacing w:line="256" w:lineRule="auto"/>
              <w:rPr>
                <w:rFonts w:ascii="Arial Narrow" w:hAnsi="Arial Narrow"/>
                <w:b/>
                <w:bCs/>
                <w:color w:val="333333"/>
                <w:sz w:val="20"/>
              </w:rPr>
            </w:pPr>
            <w:r w:rsidRPr="00007450">
              <w:rPr>
                <w:rFonts w:ascii="Arial Narrow" w:hAnsi="Arial Narrow"/>
                <w:b/>
                <w:bCs/>
                <w:color w:val="333333"/>
                <w:sz w:val="20"/>
                <w:szCs w:val="20"/>
              </w:rPr>
              <w:t>Treatment criteria:</w:t>
            </w:r>
          </w:p>
        </w:tc>
      </w:tr>
      <w:tr w:rsidR="00B81A43" w:rsidRPr="00007450" w14:paraId="6F929FD2"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2CEF335F" w14:textId="1C29F97A" w:rsidR="00B81A43" w:rsidRPr="00007450" w:rsidRDefault="00B81A43" w:rsidP="00864C4B">
            <w:pPr>
              <w:spacing w:line="256" w:lineRule="auto"/>
              <w:rPr>
                <w:rFonts w:ascii="Arial Narrow" w:hAnsi="Arial Narrow"/>
                <w:b/>
                <w:bCs/>
                <w:color w:val="333333"/>
                <w:sz w:val="20"/>
              </w:rPr>
            </w:pPr>
            <w:r w:rsidRPr="00007450">
              <w:rPr>
                <w:rFonts w:ascii="Arial Narrow" w:hAnsi="Arial Narrow" w:cs="Arial Narrow"/>
                <w:sz w:val="20"/>
                <w:szCs w:val="20"/>
              </w:rPr>
              <w:t>Patient must be undergoing concurrent treatment with a non-steroidal aromatase inhibitor where this drug is being prescribed as a PBS-benefit</w:t>
            </w:r>
          </w:p>
        </w:tc>
      </w:tr>
      <w:tr w:rsidR="00C00320" w:rsidRPr="00007450" w14:paraId="36F44669"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93E14FD"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t>Administrative Advice:</w:t>
            </w:r>
          </w:p>
          <w:p w14:paraId="7C006A20" w14:textId="2DB7F3E5"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snapToGrid w:val="0"/>
                <w:color w:val="333333"/>
                <w:kern w:val="2"/>
                <w:sz w:val="20"/>
                <w:szCs w:val="20"/>
                <w14:ligatures w14:val="standardContextual"/>
              </w:rPr>
              <w:t>Non-steroidal aromatase inhibitors for the purposes of this restriction are anastrozole and letrozole.</w:t>
            </w:r>
          </w:p>
        </w:tc>
      </w:tr>
      <w:tr w:rsidR="00C00320" w:rsidRPr="00007450" w14:paraId="14F95CA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51464B2" w14:textId="77777777" w:rsidR="00C00320" w:rsidRPr="00007450" w:rsidRDefault="00C00320" w:rsidP="00864C4B">
            <w:pPr>
              <w:rPr>
                <w:rFonts w:ascii="Arial Narrow" w:hAnsi="Arial Narrow"/>
                <w:b/>
                <w:bCs/>
                <w:sz w:val="20"/>
                <w:szCs w:val="20"/>
              </w:rPr>
            </w:pPr>
            <w:r w:rsidRPr="00007450">
              <w:rPr>
                <w:rFonts w:ascii="Arial Narrow" w:hAnsi="Arial Narrow"/>
                <w:b/>
                <w:bCs/>
                <w:sz w:val="20"/>
                <w:szCs w:val="20"/>
              </w:rPr>
              <w:t>Administrative Advice:</w:t>
            </w:r>
          </w:p>
          <w:p w14:paraId="690C3926" w14:textId="7A67C598"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sz w:val="20"/>
                <w:szCs w:val="20"/>
              </w:rPr>
              <w:t>Cyclin-dependent kinase 4 and 6 (CDK4/6) inhibitors for the purposes of this restriction are abemaciclib, palbociclib and ribociclib.</w:t>
            </w:r>
          </w:p>
        </w:tc>
      </w:tr>
      <w:tr w:rsidR="00C00320" w:rsidRPr="00007450" w14:paraId="4F0892A8"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7A145C9D"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lastRenderedPageBreak/>
              <w:t>Administrative Advice:</w:t>
            </w:r>
          </w:p>
          <w:p w14:paraId="7A31F1BC"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snapToGrid w:val="0"/>
                <w:color w:val="333333"/>
                <w:kern w:val="2"/>
                <w:sz w:val="20"/>
                <w:szCs w:val="20"/>
                <w14:ligatures w14:val="standardContextual"/>
              </w:rPr>
              <w:t>The Nottingham grading system is the histologic grading system developed by Elston and Ellis as a modification of the Scarff-Bloom-Richardson grading system. See the following literature publication for details:</w:t>
            </w:r>
          </w:p>
          <w:p w14:paraId="613BD288" w14:textId="6913BF7E"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color w:val="333333"/>
                <w:kern w:val="2"/>
                <w:sz w:val="20"/>
                <w:szCs w:val="20"/>
                <w14:ligatures w14:val="standardContextual"/>
              </w:rPr>
              <w:t>Elston, CW, Ellis, IO. Pathological prognostic factors in breast cancer. The value of histological grade in breast cancer: experience from a large study with long-term follow-up. Histopathology. 1991 Nov;19(5):403-10.</w:t>
            </w:r>
          </w:p>
        </w:tc>
      </w:tr>
      <w:tr w:rsidR="00C00320" w:rsidRPr="00007450" w14:paraId="1EBA2221"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5A62AE7"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t>Administrative Advice:</w:t>
            </w:r>
          </w:p>
          <w:p w14:paraId="6E21B8C4" w14:textId="42C8A97F"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color w:val="333333"/>
                <w:kern w:val="2"/>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C00320" w:rsidRPr="00007450" w14:paraId="3B6F00F0"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71B5537"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t>Administrative Advice:</w:t>
            </w:r>
          </w:p>
          <w:p w14:paraId="796F3C73" w14:textId="5EA0DDEB"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color w:val="333333"/>
                <w:kern w:val="2"/>
                <w:sz w:val="20"/>
                <w:szCs w:val="20"/>
                <w14:ligatures w14:val="standardContextual"/>
              </w:rPr>
              <w:t>No increase in the maximum quantity or number of units may be authorised.</w:t>
            </w:r>
          </w:p>
        </w:tc>
      </w:tr>
      <w:tr w:rsidR="00C00320" w:rsidRPr="00007450" w14:paraId="4DB67255"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5C6E7063"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t>Administrative Advice:</w:t>
            </w:r>
          </w:p>
          <w:p w14:paraId="56531E18" w14:textId="13DA7503"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color w:val="333333"/>
                <w:kern w:val="2"/>
                <w:sz w:val="20"/>
                <w:szCs w:val="20"/>
                <w14:ligatures w14:val="standardContextual"/>
              </w:rPr>
              <w:t>No increase in the maximum number of repeats may be authorised.</w:t>
            </w:r>
          </w:p>
        </w:tc>
      </w:tr>
      <w:tr w:rsidR="00C00320" w:rsidRPr="00007450" w14:paraId="70557438"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EC7AEE9" w14:textId="77777777" w:rsidR="00C00320" w:rsidRPr="00007450" w:rsidRDefault="00C00320" w:rsidP="00864C4B">
            <w:pPr>
              <w:textAlignment w:val="baseline"/>
              <w:rPr>
                <w:rFonts w:ascii="Arial Narrow" w:hAnsi="Arial Narrow" w:cs="Open Sans"/>
                <w:snapToGrid w:val="0"/>
                <w:color w:val="333333"/>
                <w:kern w:val="2"/>
                <w:sz w:val="20"/>
                <w:szCs w:val="20"/>
                <w14:ligatures w14:val="standardContextual"/>
              </w:rPr>
            </w:pPr>
            <w:r w:rsidRPr="00007450">
              <w:rPr>
                <w:rFonts w:ascii="Arial Narrow" w:hAnsi="Arial Narrow" w:cs="Open Sans"/>
                <w:b/>
                <w:bCs/>
                <w:snapToGrid w:val="0"/>
                <w:color w:val="333333"/>
                <w:kern w:val="2"/>
                <w:sz w:val="20"/>
                <w:szCs w:val="20"/>
                <w:bdr w:val="none" w:sz="0" w:space="0" w:color="auto" w:frame="1"/>
                <w14:ligatures w14:val="standardContextual"/>
              </w:rPr>
              <w:t>Administrative Advice:</w:t>
            </w:r>
          </w:p>
          <w:p w14:paraId="05B0F28B" w14:textId="0D8DEAAD" w:rsidR="00C00320" w:rsidRPr="00007450" w:rsidRDefault="00C00320" w:rsidP="00864C4B">
            <w:pPr>
              <w:spacing w:line="256" w:lineRule="auto"/>
              <w:rPr>
                <w:rFonts w:ascii="Arial Narrow" w:hAnsi="Arial Narrow" w:cs="Arial Narrow"/>
                <w:sz w:val="20"/>
                <w:szCs w:val="20"/>
              </w:rPr>
            </w:pPr>
            <w:r w:rsidRPr="00007450">
              <w:rPr>
                <w:rFonts w:ascii="Arial Narrow" w:hAnsi="Arial Narrow" w:cs="Open Sans"/>
                <w:color w:val="333333"/>
                <w:kern w:val="2"/>
                <w:sz w:val="20"/>
                <w:szCs w:val="20"/>
                <w14:ligatures w14:val="standardContextual"/>
              </w:rPr>
              <w:t>Special Pricing Arrangements apply.</w:t>
            </w:r>
          </w:p>
        </w:tc>
      </w:tr>
      <w:tr w:rsidR="00C00320" w:rsidRPr="00007450" w14:paraId="64FFD4EB"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0D573102" w14:textId="0887527B" w:rsidR="00C00320" w:rsidRPr="00007450" w:rsidRDefault="00C00320" w:rsidP="00864C4B">
            <w:pPr>
              <w:spacing w:line="256" w:lineRule="auto"/>
              <w:rPr>
                <w:rFonts w:ascii="Arial Narrow" w:hAnsi="Arial Narrow"/>
                <w:b/>
                <w:bCs/>
                <w:color w:val="333333"/>
                <w:sz w:val="20"/>
              </w:rPr>
            </w:pPr>
            <w:r w:rsidRPr="00007450">
              <w:rPr>
                <w:rFonts w:ascii="Arial Narrow" w:hAnsi="Arial Narrow"/>
                <w:b/>
                <w:bCs/>
                <w:color w:val="333333"/>
                <w:sz w:val="20"/>
                <w:szCs w:val="20"/>
              </w:rPr>
              <w:t>Prescribing Instructions:</w:t>
            </w:r>
            <w:r w:rsidRPr="00007450">
              <w:rPr>
                <w:rFonts w:ascii="Arial Narrow" w:hAnsi="Arial Narrow"/>
                <w:color w:val="333333"/>
                <w:sz w:val="20"/>
                <w:szCs w:val="20"/>
              </w:rPr>
              <w:t xml:space="preserve"> Retain all pathology imaging and investigative test results in the patient’s medical records.</w:t>
            </w:r>
          </w:p>
        </w:tc>
      </w:tr>
      <w:tr w:rsidR="00C00320" w:rsidRPr="00007450" w14:paraId="3B0020B3" w14:textId="77777777">
        <w:tblPrEx>
          <w:tblCellMar>
            <w:top w:w="15" w:type="dxa"/>
            <w:bottom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2FDBB1D" w14:textId="1FBE69CB" w:rsidR="00C00320" w:rsidRPr="00007450" w:rsidRDefault="00C00320" w:rsidP="00864C4B">
            <w:pPr>
              <w:spacing w:line="256" w:lineRule="auto"/>
              <w:rPr>
                <w:rFonts w:ascii="Arial Narrow" w:hAnsi="Arial Narrow"/>
                <w:b/>
                <w:bCs/>
                <w:color w:val="333333"/>
                <w:sz w:val="20"/>
              </w:rPr>
            </w:pPr>
            <w:r w:rsidRPr="00007450">
              <w:rPr>
                <w:rFonts w:ascii="Arial Narrow" w:hAnsi="Arial Narrow"/>
                <w:b/>
                <w:bCs/>
                <w:color w:val="333333"/>
                <w:sz w:val="20"/>
                <w:szCs w:val="20"/>
              </w:rPr>
              <w:t xml:space="preserve">Caution: </w:t>
            </w:r>
            <w:r w:rsidRPr="00007450">
              <w:rPr>
                <w:rFonts w:ascii="Arial Narrow" w:hAnsi="Arial Narrow"/>
                <w:color w:val="333333"/>
                <w:sz w:val="20"/>
                <w:szCs w:val="20"/>
              </w:rPr>
              <w:t>QT interval monitoring is required for patients treated with this drug.</w:t>
            </w:r>
          </w:p>
        </w:tc>
      </w:tr>
    </w:tbl>
    <w:p w14:paraId="750E2C33" w14:textId="7502D48A" w:rsidR="009905C4" w:rsidRPr="00007450" w:rsidRDefault="009905C4" w:rsidP="00864C4B">
      <w:pPr>
        <w:pStyle w:val="3-BodyText"/>
        <w:numPr>
          <w:ilvl w:val="1"/>
          <w:numId w:val="1"/>
        </w:numPr>
        <w:rPr>
          <w:rFonts w:cstheme="minorHAnsi"/>
          <w:szCs w:val="24"/>
        </w:rPr>
      </w:pPr>
      <w:r w:rsidRPr="00007450">
        <w:t xml:space="preserve">The submission proposed a published </w:t>
      </w:r>
      <w:r w:rsidR="00A464C2">
        <w:t>ex-manufacturer price</w:t>
      </w:r>
      <w:r w:rsidR="00E2619D">
        <w:t xml:space="preserve"> (EMP)</w:t>
      </w:r>
      <w:r w:rsidRPr="00007450">
        <w:t xml:space="preserve"> $</w:t>
      </w:r>
      <w:r w:rsidR="00E44B9A" w:rsidRPr="004A2F0E">
        <w:rPr>
          <w:color w:val="000000"/>
          <w:spacing w:val="6"/>
          <w:w w:val="61"/>
          <w:shd w:val="solid" w:color="000000" w:fill="000000"/>
          <w:fitText w:val="475" w:id="-628909566"/>
          <w14:textFill>
            <w14:solidFill>
              <w14:srgbClr w14:val="000000">
                <w14:alpha w14:val="100000"/>
              </w14:srgbClr>
            </w14:solidFill>
          </w14:textFill>
        </w:rPr>
        <w:t>|||</w:t>
      </w:r>
      <w:r w:rsidR="004A2F0E" w:rsidRPr="004A2F0E">
        <w:rPr>
          <w:color w:val="000000"/>
          <w:spacing w:val="6"/>
          <w:w w:val="61"/>
          <w:shd w:val="solid" w:color="000000" w:fill="000000"/>
          <w:fitText w:val="475" w:id="-628909566"/>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66"/>
          <w14:textFill>
            <w14:solidFill>
              <w14:srgbClr w14:val="000000">
                <w14:alpha w14:val="100000"/>
              </w14:srgbClr>
            </w14:solidFill>
          </w14:textFill>
        </w:rPr>
        <w:t>||</w:t>
      </w:r>
      <w:r w:rsidR="00E44B9A" w:rsidRPr="004A2F0E">
        <w:rPr>
          <w:color w:val="000000"/>
          <w:spacing w:val="3"/>
          <w:w w:val="61"/>
          <w:shd w:val="solid" w:color="000000" w:fill="000000"/>
          <w:fitText w:val="475" w:id="-628909566"/>
          <w14:textFill>
            <w14:solidFill>
              <w14:srgbClr w14:val="000000">
                <w14:alpha w14:val="100000"/>
              </w14:srgbClr>
            </w14:solidFill>
          </w14:textFill>
        </w:rPr>
        <w:t>|</w:t>
      </w:r>
      <w:r w:rsidRPr="00007450">
        <w:t xml:space="preserve"> per pack of 21 tablets, and $</w:t>
      </w:r>
      <w:r w:rsidR="00E44B9A" w:rsidRPr="004A2F0E">
        <w:rPr>
          <w:color w:val="000000"/>
          <w:spacing w:val="6"/>
          <w:w w:val="61"/>
          <w:shd w:val="solid" w:color="000000" w:fill="000000"/>
          <w:fitText w:val="475" w:id="-628909565"/>
          <w14:textFill>
            <w14:solidFill>
              <w14:srgbClr w14:val="000000">
                <w14:alpha w14:val="100000"/>
              </w14:srgbClr>
            </w14:solidFill>
          </w14:textFill>
        </w:rPr>
        <w:t>|||</w:t>
      </w:r>
      <w:r w:rsidR="004A2F0E" w:rsidRPr="004A2F0E">
        <w:rPr>
          <w:color w:val="000000"/>
          <w:spacing w:val="6"/>
          <w:w w:val="61"/>
          <w:shd w:val="solid" w:color="000000" w:fill="000000"/>
          <w:fitText w:val="475" w:id="-628909565"/>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65"/>
          <w14:textFill>
            <w14:solidFill>
              <w14:srgbClr w14:val="000000">
                <w14:alpha w14:val="100000"/>
              </w14:srgbClr>
            </w14:solidFill>
          </w14:textFill>
        </w:rPr>
        <w:t>||</w:t>
      </w:r>
      <w:r w:rsidR="00E44B9A" w:rsidRPr="004A2F0E">
        <w:rPr>
          <w:color w:val="000000"/>
          <w:spacing w:val="3"/>
          <w:w w:val="61"/>
          <w:shd w:val="solid" w:color="000000" w:fill="000000"/>
          <w:fitText w:val="475" w:id="-628909565"/>
          <w14:textFill>
            <w14:solidFill>
              <w14:srgbClr w14:val="000000">
                <w14:alpha w14:val="100000"/>
              </w14:srgbClr>
            </w14:solidFill>
          </w14:textFill>
        </w:rPr>
        <w:t>|</w:t>
      </w:r>
      <w:r w:rsidRPr="00007450">
        <w:t xml:space="preserve"> for </w:t>
      </w:r>
      <w:r w:rsidR="002F15D5" w:rsidRPr="00007450">
        <w:t>a</w:t>
      </w:r>
      <w:r w:rsidRPr="00007450">
        <w:t xml:space="preserve"> pack of 42 tablets. The submission requested a special pricing arrangement (SPA)</w:t>
      </w:r>
      <w:r w:rsidR="00BA02AB" w:rsidRPr="00007450">
        <w:t xml:space="preserve"> with effective </w:t>
      </w:r>
      <w:r w:rsidR="00A75601">
        <w:t>EMPs</w:t>
      </w:r>
      <w:r w:rsidR="00420C6E" w:rsidRPr="00007450">
        <w:t xml:space="preserve"> </w:t>
      </w:r>
      <w:r w:rsidR="00BA02AB" w:rsidRPr="00007450">
        <w:t xml:space="preserve">of </w:t>
      </w:r>
      <w:r w:rsidR="00360C2F" w:rsidRPr="00007450">
        <w:t>$</w:t>
      </w:r>
      <w:r w:rsidR="00E44B9A" w:rsidRPr="004A2F0E">
        <w:rPr>
          <w:color w:val="000000"/>
          <w:spacing w:val="6"/>
          <w:w w:val="59"/>
          <w:shd w:val="solid" w:color="000000" w:fill="000000"/>
          <w:fitText w:val="460" w:id="-628909564"/>
          <w14:textFill>
            <w14:solidFill>
              <w14:srgbClr w14:val="000000">
                <w14:alpha w14:val="100000"/>
              </w14:srgbClr>
            </w14:solidFill>
          </w14:textFill>
        </w:rPr>
        <w:t>|||</w:t>
      </w:r>
      <w:r w:rsidR="004A2F0E" w:rsidRPr="004A2F0E">
        <w:rPr>
          <w:color w:val="000000"/>
          <w:spacing w:val="6"/>
          <w:w w:val="59"/>
          <w:shd w:val="solid" w:color="000000" w:fill="000000"/>
          <w:fitText w:val="460" w:id="-628909564"/>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564"/>
          <w14:textFill>
            <w14:solidFill>
              <w14:srgbClr w14:val="000000">
                <w14:alpha w14:val="100000"/>
              </w14:srgbClr>
            </w14:solidFill>
          </w14:textFill>
        </w:rPr>
        <w:t>||</w:t>
      </w:r>
      <w:r w:rsidR="00E44B9A" w:rsidRPr="004A2F0E">
        <w:rPr>
          <w:color w:val="000000"/>
          <w:spacing w:val="2"/>
          <w:w w:val="59"/>
          <w:shd w:val="solid" w:color="000000" w:fill="000000"/>
          <w:fitText w:val="460" w:id="-628909564"/>
          <w14:textFill>
            <w14:solidFill>
              <w14:srgbClr w14:val="000000">
                <w14:alpha w14:val="100000"/>
              </w14:srgbClr>
            </w14:solidFill>
          </w14:textFill>
        </w:rPr>
        <w:t>|</w:t>
      </w:r>
      <w:r w:rsidR="008B35FC" w:rsidRPr="00007450">
        <w:t xml:space="preserve"> per pack of 21 tablets, and $</w:t>
      </w:r>
      <w:r w:rsidR="00E44B9A" w:rsidRPr="004A2F0E">
        <w:rPr>
          <w:color w:val="000000"/>
          <w:spacing w:val="6"/>
          <w:w w:val="61"/>
          <w:shd w:val="solid" w:color="000000" w:fill="000000"/>
          <w:fitText w:val="475" w:id="-628909563"/>
          <w14:textFill>
            <w14:solidFill>
              <w14:srgbClr w14:val="000000">
                <w14:alpha w14:val="100000"/>
              </w14:srgbClr>
            </w14:solidFill>
          </w14:textFill>
        </w:rPr>
        <w:t>|||</w:t>
      </w:r>
      <w:r w:rsidR="004A2F0E" w:rsidRPr="004A2F0E">
        <w:rPr>
          <w:color w:val="000000"/>
          <w:spacing w:val="6"/>
          <w:w w:val="61"/>
          <w:shd w:val="solid" w:color="000000" w:fill="000000"/>
          <w:fitText w:val="475" w:id="-628909563"/>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63"/>
          <w14:textFill>
            <w14:solidFill>
              <w14:srgbClr w14:val="000000">
                <w14:alpha w14:val="100000"/>
              </w14:srgbClr>
            </w14:solidFill>
          </w14:textFill>
        </w:rPr>
        <w:t>||</w:t>
      </w:r>
      <w:r w:rsidR="00E44B9A" w:rsidRPr="004A2F0E">
        <w:rPr>
          <w:color w:val="000000"/>
          <w:spacing w:val="3"/>
          <w:w w:val="61"/>
          <w:shd w:val="solid" w:color="000000" w:fill="000000"/>
          <w:fitText w:val="475" w:id="-628909563"/>
          <w14:textFill>
            <w14:solidFill>
              <w14:srgbClr w14:val="000000">
                <w14:alpha w14:val="100000"/>
              </w14:srgbClr>
            </w14:solidFill>
          </w14:textFill>
        </w:rPr>
        <w:t>|</w:t>
      </w:r>
      <w:r w:rsidR="008B35FC" w:rsidRPr="00007450">
        <w:t xml:space="preserve"> for </w:t>
      </w:r>
      <w:r w:rsidR="009B2720" w:rsidRPr="00007450">
        <w:t>a</w:t>
      </w:r>
      <w:r w:rsidR="008B35FC" w:rsidRPr="00007450">
        <w:t xml:space="preserve"> pack of 42 </w:t>
      </w:r>
      <w:r w:rsidR="008B35FC" w:rsidRPr="00007450">
        <w:rPr>
          <w:szCs w:val="24"/>
        </w:rPr>
        <w:t>tablets</w:t>
      </w:r>
      <w:r w:rsidR="00A27584" w:rsidRPr="00007450">
        <w:rPr>
          <w:szCs w:val="24"/>
        </w:rPr>
        <w:t>.</w:t>
      </w:r>
      <w:r w:rsidR="001C75D3" w:rsidRPr="00007450">
        <w:rPr>
          <w:szCs w:val="24"/>
        </w:rPr>
        <w:t xml:space="preserve"> </w:t>
      </w:r>
      <w:r w:rsidR="007070EA" w:rsidRPr="00007450">
        <w:rPr>
          <w:szCs w:val="24"/>
        </w:rPr>
        <w:t>These prices were higher than the</w:t>
      </w:r>
      <w:r w:rsidR="00761BA3" w:rsidRPr="00007450">
        <w:rPr>
          <w:szCs w:val="24"/>
        </w:rPr>
        <w:t xml:space="preserve"> </w:t>
      </w:r>
      <w:r w:rsidR="00952AFA" w:rsidRPr="00007450">
        <w:rPr>
          <w:rFonts w:cstheme="minorHAnsi"/>
          <w:szCs w:val="24"/>
        </w:rPr>
        <w:t xml:space="preserve">effective </w:t>
      </w:r>
      <w:r w:rsidR="00970A09" w:rsidRPr="00007450">
        <w:rPr>
          <w:rFonts w:cstheme="minorHAnsi"/>
          <w:szCs w:val="24"/>
        </w:rPr>
        <w:t xml:space="preserve">prices for </w:t>
      </w:r>
      <w:r w:rsidR="00FB732B" w:rsidRPr="00007450">
        <w:rPr>
          <w:rFonts w:cstheme="minorHAnsi"/>
          <w:szCs w:val="24"/>
        </w:rPr>
        <w:t xml:space="preserve">ribociclib in eBC from the </w:t>
      </w:r>
      <w:r w:rsidR="00952AFA" w:rsidRPr="00007450">
        <w:rPr>
          <w:rFonts w:cstheme="minorHAnsi"/>
          <w:szCs w:val="24"/>
        </w:rPr>
        <w:t>November 2024</w:t>
      </w:r>
      <w:r w:rsidR="00DB2051" w:rsidRPr="00007450">
        <w:rPr>
          <w:rFonts w:cstheme="minorHAnsi"/>
          <w:szCs w:val="24"/>
        </w:rPr>
        <w:t xml:space="preserve"> </w:t>
      </w:r>
      <w:r w:rsidR="00786299" w:rsidRPr="00007450">
        <w:rPr>
          <w:rFonts w:cstheme="minorHAnsi"/>
          <w:szCs w:val="24"/>
        </w:rPr>
        <w:t xml:space="preserve">consideration </w:t>
      </w:r>
      <w:r w:rsidR="00FB732B" w:rsidRPr="00007450">
        <w:rPr>
          <w:rFonts w:cstheme="minorHAnsi"/>
          <w:szCs w:val="24"/>
        </w:rPr>
        <w:t>(</w:t>
      </w:r>
      <w:r w:rsidR="007070EA" w:rsidRPr="00007450">
        <w:rPr>
          <w:rFonts w:cstheme="minorHAnsi"/>
          <w:szCs w:val="24"/>
        </w:rPr>
        <w:t xml:space="preserve">Table </w:t>
      </w:r>
      <w:r w:rsidR="007070EA" w:rsidRPr="00007450">
        <w:rPr>
          <w:rFonts w:cstheme="minorHAnsi"/>
          <w:noProof/>
          <w:szCs w:val="24"/>
        </w:rPr>
        <w:t>2)</w:t>
      </w:r>
      <w:r w:rsidR="00F674A9" w:rsidRPr="00007450">
        <w:rPr>
          <w:rFonts w:cstheme="minorHAnsi"/>
          <w:szCs w:val="24"/>
        </w:rPr>
        <w:t>.</w:t>
      </w:r>
      <w:r w:rsidR="00FB6CCB" w:rsidRPr="00007450">
        <w:rPr>
          <w:rFonts w:cstheme="minorHAnsi"/>
          <w:szCs w:val="24"/>
        </w:rPr>
        <w:t xml:space="preserve"> </w:t>
      </w:r>
      <w:r w:rsidR="00EF6A47" w:rsidRPr="00007450">
        <w:rPr>
          <w:rFonts w:cstheme="minorHAnsi"/>
          <w:szCs w:val="24"/>
        </w:rPr>
        <w:t>The ESC noted higher prices are inconsistent with a proposed listing for a low</w:t>
      </w:r>
      <w:r w:rsidR="00EC4368" w:rsidRPr="00007450">
        <w:rPr>
          <w:rFonts w:cstheme="minorHAnsi"/>
          <w:szCs w:val="24"/>
        </w:rPr>
        <w:t>er</w:t>
      </w:r>
      <w:r w:rsidR="00CD4407" w:rsidRPr="00007450">
        <w:rPr>
          <w:rFonts w:cstheme="minorHAnsi"/>
          <w:szCs w:val="24"/>
        </w:rPr>
        <w:t xml:space="preserve"> risk population for which use would be less cost-effective.</w:t>
      </w:r>
    </w:p>
    <w:p w14:paraId="7E4FC56D" w14:textId="3CA4CBD4" w:rsidR="00B8466A" w:rsidRPr="00007450" w:rsidRDefault="00B8466A" w:rsidP="00864C4B">
      <w:pPr>
        <w:pStyle w:val="PbacTableHeading"/>
        <w:rPr>
          <w:rFonts w:cs="Calibri"/>
          <w:color w:val="3366FF"/>
        </w:rPr>
      </w:pPr>
      <w:bookmarkStart w:id="16" w:name="_Ref198718667"/>
      <w:r w:rsidRPr="00007450">
        <w:t xml:space="preserve">Table </w:t>
      </w:r>
      <w:r w:rsidR="001C7776">
        <w:fldChar w:fldCharType="begin"/>
      </w:r>
      <w:r w:rsidR="001C7776">
        <w:instrText xml:space="preserve"> SEQ Table \* ARABIC </w:instrText>
      </w:r>
      <w:r w:rsidR="001C7776">
        <w:fldChar w:fldCharType="separate"/>
      </w:r>
      <w:r w:rsidR="00B36442">
        <w:rPr>
          <w:noProof/>
        </w:rPr>
        <w:t>2</w:t>
      </w:r>
      <w:r w:rsidR="001C7776">
        <w:rPr>
          <w:noProof/>
        </w:rPr>
        <w:fldChar w:fldCharType="end"/>
      </w:r>
      <w:bookmarkEnd w:id="16"/>
      <w:r w:rsidRPr="00007450">
        <w:t xml:space="preserve">: </w:t>
      </w:r>
      <w:r w:rsidR="002C38F8">
        <w:t>E</w:t>
      </w:r>
      <w:r w:rsidRPr="00007450">
        <w:t xml:space="preserve">ffective prices for ribociclib for treatment of early breast cancer (November 2024 </w:t>
      </w:r>
      <w:r w:rsidR="00786299" w:rsidRPr="00007450">
        <w:t>consideration</w:t>
      </w:r>
      <w:r w:rsidRPr="00007450">
        <w:t>)</w:t>
      </w:r>
    </w:p>
    <w:tbl>
      <w:tblPr>
        <w:tblStyle w:val="TableGrid"/>
        <w:tblW w:w="9067" w:type="dxa"/>
        <w:tblLook w:val="04A0" w:firstRow="1" w:lastRow="0" w:firstColumn="1" w:lastColumn="0" w:noHBand="0" w:noVBand="1"/>
        <w:tblCaption w:val="Table 2: Effective prices for ribociclib for treatment of early breast cancer (November 2024 consideration)"/>
      </w:tblPr>
      <w:tblGrid>
        <w:gridCol w:w="1129"/>
        <w:gridCol w:w="3402"/>
        <w:gridCol w:w="2268"/>
        <w:gridCol w:w="2268"/>
      </w:tblGrid>
      <w:tr w:rsidR="00B8466A" w:rsidRPr="00007450" w14:paraId="7D313145" w14:textId="77777777">
        <w:tc>
          <w:tcPr>
            <w:tcW w:w="1129" w:type="dxa"/>
          </w:tcPr>
          <w:p w14:paraId="5555DA36" w14:textId="77777777" w:rsidR="00B8466A" w:rsidRPr="00007450" w:rsidRDefault="00B8466A" w:rsidP="00864C4B">
            <w:pPr>
              <w:jc w:val="left"/>
              <w:rPr>
                <w:rFonts w:ascii="Arial Narrow" w:hAnsi="Arial Narrow" w:cs="Times New Roman"/>
                <w:b/>
                <w:bCs/>
                <w:snapToGrid w:val="0"/>
                <w:sz w:val="20"/>
              </w:rPr>
            </w:pPr>
          </w:p>
        </w:tc>
        <w:tc>
          <w:tcPr>
            <w:tcW w:w="3402" w:type="dxa"/>
          </w:tcPr>
          <w:p w14:paraId="59A12DF2" w14:textId="77777777" w:rsidR="00B8466A" w:rsidRPr="00007450" w:rsidRDefault="00B8466A" w:rsidP="00864C4B">
            <w:pPr>
              <w:jc w:val="left"/>
              <w:rPr>
                <w:rFonts w:ascii="Arial Narrow" w:hAnsi="Arial Narrow" w:cs="Times New Roman"/>
                <w:b/>
                <w:bCs/>
                <w:snapToGrid w:val="0"/>
                <w:sz w:val="20"/>
              </w:rPr>
            </w:pPr>
            <w:r w:rsidRPr="00007450">
              <w:rPr>
                <w:rFonts w:ascii="Arial Narrow" w:hAnsi="Arial Narrow" w:cs="Times New Roman"/>
                <w:b/>
                <w:bCs/>
                <w:snapToGrid w:val="0"/>
                <w:sz w:val="20"/>
              </w:rPr>
              <w:t xml:space="preserve">Pack size </w:t>
            </w:r>
          </w:p>
        </w:tc>
        <w:tc>
          <w:tcPr>
            <w:tcW w:w="2268" w:type="dxa"/>
          </w:tcPr>
          <w:p w14:paraId="176C7F13" w14:textId="77777777" w:rsidR="00B8466A" w:rsidRPr="00007450" w:rsidRDefault="00B8466A" w:rsidP="00864C4B">
            <w:pPr>
              <w:jc w:val="left"/>
              <w:rPr>
                <w:rFonts w:ascii="Arial Narrow" w:hAnsi="Arial Narrow" w:cs="Times New Roman"/>
                <w:b/>
                <w:bCs/>
                <w:snapToGrid w:val="0"/>
                <w:sz w:val="20"/>
              </w:rPr>
            </w:pPr>
            <w:r w:rsidRPr="00007450">
              <w:rPr>
                <w:rFonts w:ascii="Arial Narrow" w:hAnsi="Arial Narrow" w:cs="Times New Roman"/>
                <w:b/>
                <w:bCs/>
                <w:snapToGrid w:val="0"/>
                <w:sz w:val="20"/>
              </w:rPr>
              <w:t>Ex-manufacturer price</w:t>
            </w:r>
          </w:p>
        </w:tc>
        <w:tc>
          <w:tcPr>
            <w:tcW w:w="2268" w:type="dxa"/>
          </w:tcPr>
          <w:p w14:paraId="3853AD6E" w14:textId="1C3FBDEA" w:rsidR="00B8466A" w:rsidRPr="00007450" w:rsidRDefault="00B8466A" w:rsidP="00864C4B">
            <w:pPr>
              <w:jc w:val="left"/>
              <w:rPr>
                <w:rFonts w:ascii="Arial Narrow" w:hAnsi="Arial Narrow" w:cs="Times New Roman"/>
                <w:b/>
                <w:bCs/>
                <w:snapToGrid w:val="0"/>
                <w:sz w:val="20"/>
              </w:rPr>
            </w:pPr>
            <w:r w:rsidRPr="00007450">
              <w:rPr>
                <w:rFonts w:ascii="Arial Narrow" w:hAnsi="Arial Narrow" w:cs="Times New Roman"/>
                <w:b/>
                <w:bCs/>
                <w:snapToGrid w:val="0"/>
                <w:sz w:val="20"/>
              </w:rPr>
              <w:t>Dispensed price</w:t>
            </w:r>
            <w:r w:rsidR="00E22EFE">
              <w:rPr>
                <w:rFonts w:ascii="Arial Narrow" w:hAnsi="Arial Narrow" w:cs="Times New Roman"/>
                <w:b/>
                <w:bCs/>
                <w:snapToGrid w:val="0"/>
                <w:sz w:val="20"/>
              </w:rPr>
              <w:t xml:space="preserve"> for maximum quantity</w:t>
            </w:r>
          </w:p>
        </w:tc>
      </w:tr>
      <w:tr w:rsidR="00B8466A" w:rsidRPr="00007450" w14:paraId="1713C4E8" w14:textId="77777777">
        <w:tc>
          <w:tcPr>
            <w:tcW w:w="1129" w:type="dxa"/>
          </w:tcPr>
          <w:p w14:paraId="633C1BE0" w14:textId="77777777"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 xml:space="preserve">Ribociclib </w:t>
            </w:r>
          </w:p>
        </w:tc>
        <w:tc>
          <w:tcPr>
            <w:tcW w:w="3402" w:type="dxa"/>
          </w:tcPr>
          <w:p w14:paraId="14064B4D" w14:textId="41D7368E"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21 tablets</w:t>
            </w:r>
          </w:p>
        </w:tc>
        <w:tc>
          <w:tcPr>
            <w:tcW w:w="2268" w:type="dxa"/>
          </w:tcPr>
          <w:p w14:paraId="5083842A" w14:textId="4AC63F7A"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w:t>
            </w:r>
            <w:r w:rsidR="00E44B9A" w:rsidRPr="00E44B9A">
              <w:rPr>
                <w:rFonts w:ascii="Arial Narrow" w:hAnsi="Arial Narrow" w:cs="Times New Roman"/>
                <w:snapToGrid w:val="0"/>
                <w:color w:val="000000"/>
                <w:spacing w:val="53"/>
                <w:sz w:val="20"/>
                <w:shd w:val="solid" w:color="000000" w:fill="000000"/>
                <w:fitText w:val="330" w:id="-628909562"/>
                <w14:textFill>
                  <w14:solidFill>
                    <w14:srgbClr w14:val="000000">
                      <w14:alpha w14:val="100000"/>
                    </w14:srgbClr>
                  </w14:solidFill>
                </w14:textFill>
              </w:rPr>
              <w:t>|||</w:t>
            </w:r>
            <w:r w:rsidR="00E44B9A" w:rsidRPr="00E44B9A">
              <w:rPr>
                <w:rFonts w:ascii="Arial Narrow" w:hAnsi="Arial Narrow" w:cs="Times New Roman"/>
                <w:snapToGrid w:val="0"/>
                <w:color w:val="000000"/>
                <w:spacing w:val="1"/>
                <w:sz w:val="20"/>
                <w:shd w:val="solid" w:color="000000" w:fill="000000"/>
                <w:fitText w:val="330" w:id="-628909562"/>
                <w14:textFill>
                  <w14:solidFill>
                    <w14:srgbClr w14:val="000000">
                      <w14:alpha w14:val="100000"/>
                    </w14:srgbClr>
                  </w14:solidFill>
                </w14:textFill>
              </w:rPr>
              <w:t>|</w:t>
            </w:r>
          </w:p>
        </w:tc>
        <w:tc>
          <w:tcPr>
            <w:tcW w:w="2268" w:type="dxa"/>
          </w:tcPr>
          <w:p w14:paraId="60722C21" w14:textId="1F7734F8"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w:t>
            </w:r>
            <w:r w:rsidR="00E44B9A" w:rsidRPr="00E44B9A">
              <w:rPr>
                <w:rFonts w:ascii="Arial Narrow" w:hAnsi="Arial Narrow" w:cs="Times New Roman"/>
                <w:snapToGrid w:val="0"/>
                <w:color w:val="000000"/>
                <w:spacing w:val="53"/>
                <w:sz w:val="20"/>
                <w:shd w:val="solid" w:color="000000" w:fill="000000"/>
                <w:fitText w:val="330" w:id="-628909561"/>
                <w14:textFill>
                  <w14:solidFill>
                    <w14:srgbClr w14:val="000000">
                      <w14:alpha w14:val="100000"/>
                    </w14:srgbClr>
                  </w14:solidFill>
                </w14:textFill>
              </w:rPr>
              <w:t>|||</w:t>
            </w:r>
            <w:r w:rsidR="00E44B9A" w:rsidRPr="00E44B9A">
              <w:rPr>
                <w:rFonts w:ascii="Arial Narrow" w:hAnsi="Arial Narrow" w:cs="Times New Roman"/>
                <w:snapToGrid w:val="0"/>
                <w:color w:val="000000"/>
                <w:spacing w:val="1"/>
                <w:sz w:val="20"/>
                <w:shd w:val="solid" w:color="000000" w:fill="000000"/>
                <w:fitText w:val="330" w:id="-628909561"/>
                <w14:textFill>
                  <w14:solidFill>
                    <w14:srgbClr w14:val="000000">
                      <w14:alpha w14:val="100000"/>
                    </w14:srgbClr>
                  </w14:solidFill>
                </w14:textFill>
              </w:rPr>
              <w:t>|</w:t>
            </w:r>
          </w:p>
        </w:tc>
      </w:tr>
      <w:tr w:rsidR="00B8466A" w:rsidRPr="00007450" w14:paraId="3C7F2692" w14:textId="77777777">
        <w:tc>
          <w:tcPr>
            <w:tcW w:w="1129" w:type="dxa"/>
          </w:tcPr>
          <w:p w14:paraId="6C75C6BB" w14:textId="77777777"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Ribociclib</w:t>
            </w:r>
          </w:p>
        </w:tc>
        <w:tc>
          <w:tcPr>
            <w:tcW w:w="3402" w:type="dxa"/>
          </w:tcPr>
          <w:p w14:paraId="7D55D496" w14:textId="7854BB87"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42 tablets</w:t>
            </w:r>
          </w:p>
        </w:tc>
        <w:tc>
          <w:tcPr>
            <w:tcW w:w="2268" w:type="dxa"/>
          </w:tcPr>
          <w:p w14:paraId="60C98AFB" w14:textId="5EC1BD3E"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w:t>
            </w:r>
            <w:r w:rsidR="00E44B9A" w:rsidRPr="00E44B9A">
              <w:rPr>
                <w:rFonts w:ascii="Arial Narrow" w:hAnsi="Arial Narrow" w:cs="Times New Roman"/>
                <w:snapToGrid w:val="0"/>
                <w:color w:val="000000"/>
                <w:spacing w:val="53"/>
                <w:sz w:val="20"/>
                <w:shd w:val="solid" w:color="000000" w:fill="000000"/>
                <w:fitText w:val="330" w:id="-628909560"/>
                <w14:textFill>
                  <w14:solidFill>
                    <w14:srgbClr w14:val="000000">
                      <w14:alpha w14:val="100000"/>
                    </w14:srgbClr>
                  </w14:solidFill>
                </w14:textFill>
              </w:rPr>
              <w:t>|||</w:t>
            </w:r>
            <w:r w:rsidR="00E44B9A" w:rsidRPr="00E44B9A">
              <w:rPr>
                <w:rFonts w:ascii="Arial Narrow" w:hAnsi="Arial Narrow" w:cs="Times New Roman"/>
                <w:snapToGrid w:val="0"/>
                <w:color w:val="000000"/>
                <w:spacing w:val="1"/>
                <w:sz w:val="20"/>
                <w:shd w:val="solid" w:color="000000" w:fill="000000"/>
                <w:fitText w:val="330" w:id="-628909560"/>
                <w14:textFill>
                  <w14:solidFill>
                    <w14:srgbClr w14:val="000000">
                      <w14:alpha w14:val="100000"/>
                    </w14:srgbClr>
                  </w14:solidFill>
                </w14:textFill>
              </w:rPr>
              <w:t>|</w:t>
            </w:r>
          </w:p>
        </w:tc>
        <w:tc>
          <w:tcPr>
            <w:tcW w:w="2268" w:type="dxa"/>
          </w:tcPr>
          <w:p w14:paraId="2EE5AF34" w14:textId="45AC7D5C" w:rsidR="00B8466A" w:rsidRPr="00007450" w:rsidRDefault="00B8466A" w:rsidP="00864C4B">
            <w:pPr>
              <w:jc w:val="left"/>
              <w:rPr>
                <w:rFonts w:ascii="Arial Narrow" w:hAnsi="Arial Narrow" w:cs="Times New Roman"/>
                <w:snapToGrid w:val="0"/>
                <w:sz w:val="20"/>
              </w:rPr>
            </w:pPr>
            <w:r w:rsidRPr="00007450">
              <w:rPr>
                <w:rFonts w:ascii="Arial Narrow" w:hAnsi="Arial Narrow" w:cs="Times New Roman"/>
                <w:snapToGrid w:val="0"/>
                <w:sz w:val="20"/>
              </w:rPr>
              <w:t>$</w:t>
            </w:r>
            <w:r w:rsidR="00E44B9A">
              <w:rPr>
                <w:rFonts w:ascii="Arial Narrow" w:hAnsi="Arial Narrow" w:cs="Times New Roman"/>
                <w:snapToGrid w:val="0"/>
                <w:color w:val="000000"/>
                <w:spacing w:val="52"/>
                <w:sz w:val="20"/>
                <w:shd w:val="solid" w:color="000000" w:fill="000000"/>
                <w:fitText w:val="330" w:id="-628909559"/>
                <w14:textFill>
                  <w14:solidFill>
                    <w14:srgbClr w14:val="000000">
                      <w14:alpha w14:val="100000"/>
                    </w14:srgbClr>
                  </w14:solidFill>
                </w14:textFill>
              </w:rPr>
              <w:t>|||</w:t>
            </w:r>
            <w:r w:rsidR="00E44B9A">
              <w:rPr>
                <w:rFonts w:ascii="Arial Narrow" w:hAnsi="Arial Narrow" w:cs="Times New Roman"/>
                <w:snapToGrid w:val="0"/>
                <w:color w:val="000000"/>
                <w:spacing w:val="2"/>
                <w:sz w:val="20"/>
                <w:shd w:val="solid" w:color="000000" w:fill="000000"/>
                <w:fitText w:val="330" w:id="-628909559"/>
                <w14:textFill>
                  <w14:solidFill>
                    <w14:srgbClr w14:val="000000">
                      <w14:alpha w14:val="100000"/>
                    </w14:srgbClr>
                  </w14:solidFill>
                </w14:textFill>
              </w:rPr>
              <w:t>|</w:t>
            </w:r>
          </w:p>
        </w:tc>
      </w:tr>
    </w:tbl>
    <w:p w14:paraId="7D41EB31" w14:textId="163A1256" w:rsidR="001F0631" w:rsidRPr="00007450" w:rsidRDefault="009905C4" w:rsidP="00864C4B">
      <w:pPr>
        <w:pStyle w:val="3-BodyText"/>
        <w:numPr>
          <w:ilvl w:val="1"/>
          <w:numId w:val="1"/>
        </w:numPr>
      </w:pPr>
      <w:bookmarkStart w:id="17" w:name="_Ref205370135"/>
      <w:r w:rsidRPr="00007450">
        <w:rPr>
          <w:szCs w:val="24"/>
        </w:rPr>
        <w:t>The submission requested that patients be eligible for ribociclib if they</w:t>
      </w:r>
      <w:r w:rsidRPr="00007450">
        <w:t xml:space="preserve"> have initiated adjuvant ET no more than 12 months prior to initiation of ribociclib.</w:t>
      </w:r>
      <w:r w:rsidR="004A749A" w:rsidRPr="00007450">
        <w:t xml:space="preserve"> The submission stated there was a clinical need for flexibility in the timing of initiation of ribociclib, as there is a subset of patients who require additional time to recover from surgery and resolve existing infections prior to initiating ribociclib. It would also allow more time for clinicians to assess response to ET.</w:t>
      </w:r>
      <w:r w:rsidR="004A2F0E">
        <w:t xml:space="preserve"> </w:t>
      </w:r>
      <w:r w:rsidR="00E53589" w:rsidRPr="00007450">
        <w:t xml:space="preserve">For the </w:t>
      </w:r>
      <w:r w:rsidR="00A85240" w:rsidRPr="00007450">
        <w:t>ribociclib</w:t>
      </w:r>
      <w:r w:rsidR="00E53589" w:rsidRPr="00007450">
        <w:t xml:space="preserve"> population considered at the November 2024 PBAC meeting,</w:t>
      </w:r>
      <w:r w:rsidR="00E53589" w:rsidRPr="00007450">
        <w:rPr>
          <w:rFonts w:ascii="Calibri" w:eastAsia="Times New Roman" w:hAnsi="Calibri" w:cs="Arial"/>
          <w:bCs/>
        </w:rPr>
        <w:t xml:space="preserve"> </w:t>
      </w:r>
      <w:r w:rsidR="00E53589" w:rsidRPr="00007450">
        <w:t>t</w:t>
      </w:r>
      <w:r w:rsidR="001E5B2A" w:rsidRPr="00007450">
        <w:t xml:space="preserve">he </w:t>
      </w:r>
      <w:r w:rsidRPr="00007450">
        <w:t xml:space="preserve">PBAC </w:t>
      </w:r>
      <w:r w:rsidR="00EE0A82" w:rsidRPr="00007450">
        <w:t xml:space="preserve">considered </w:t>
      </w:r>
      <w:r w:rsidR="004A4F1E" w:rsidRPr="00007450">
        <w:t>that</w:t>
      </w:r>
      <w:r w:rsidR="00E53589" w:rsidRPr="00007450">
        <w:t xml:space="preserve"> a</w:t>
      </w:r>
      <w:r w:rsidR="008B642A" w:rsidRPr="00007450">
        <w:t>n interval of</w:t>
      </w:r>
      <w:r w:rsidR="008D7739" w:rsidRPr="00007450">
        <w:t xml:space="preserve"> up to</w:t>
      </w:r>
      <w:r w:rsidR="004A4F1E" w:rsidRPr="00007450">
        <w:t xml:space="preserve"> </w:t>
      </w:r>
      <w:r w:rsidRPr="00007450">
        <w:t>12 months between initiation of adjuvant ET and ribociclib</w:t>
      </w:r>
      <w:r w:rsidR="00FB41D0" w:rsidRPr="00007450">
        <w:t xml:space="preserve"> was not appropriate</w:t>
      </w:r>
      <w:r w:rsidR="00E53589" w:rsidRPr="00007450">
        <w:t xml:space="preserve"> given</w:t>
      </w:r>
      <w:r w:rsidR="004326E7" w:rsidRPr="00007450">
        <w:t xml:space="preserve"> that</w:t>
      </w:r>
      <w:r w:rsidRPr="00007450">
        <w:t>: (1) in the NATALEE trial, more patients commenced therapy ≤6 months (49.4%) after starting ET than &gt;</w:t>
      </w:r>
      <w:r w:rsidR="00550371">
        <w:t xml:space="preserve"> </w:t>
      </w:r>
      <w:r w:rsidRPr="00007450">
        <w:t>6 months (21.5%); (2) the mean time to initiate ribociclib treatment in the NATALEE trial was only 3.5 months; and (3) there is a clinical imperative to start timely therapy with a CDK4/6 inhibitor given patients have a high risk of BC recurrence</w:t>
      </w:r>
      <w:r w:rsidR="000B052B" w:rsidRPr="00007450">
        <w:t xml:space="preserve"> </w:t>
      </w:r>
      <w:r w:rsidR="000B052B" w:rsidRPr="00007450">
        <w:rPr>
          <w:rFonts w:ascii="Calibri" w:eastAsia="Times New Roman" w:hAnsi="Calibri" w:cs="Arial"/>
          <w:bCs/>
        </w:rPr>
        <w:t>(para 3.5, ribociclib PSD, November 2024)</w:t>
      </w:r>
      <w:r w:rsidRPr="00007450">
        <w:t>.</w:t>
      </w:r>
      <w:r w:rsidR="00D20E11" w:rsidRPr="00007450">
        <w:t xml:space="preserve"> </w:t>
      </w:r>
      <w:r w:rsidR="00136CD4" w:rsidRPr="00007450">
        <w:rPr>
          <w:rFonts w:ascii="Calibri" w:eastAsia="Times New Roman" w:hAnsi="Calibri" w:cs="Arial"/>
          <w:bCs/>
        </w:rPr>
        <w:t xml:space="preserve">The PBAC </w:t>
      </w:r>
      <w:r w:rsidR="00516C11">
        <w:rPr>
          <w:rFonts w:ascii="Calibri" w:eastAsia="Times New Roman" w:hAnsi="Calibri" w:cs="Arial"/>
          <w:bCs/>
        </w:rPr>
        <w:t xml:space="preserve">previously </w:t>
      </w:r>
      <w:r w:rsidR="00136CD4" w:rsidRPr="00007450">
        <w:rPr>
          <w:rFonts w:ascii="Calibri" w:eastAsia="Times New Roman" w:hAnsi="Calibri" w:cs="Arial"/>
          <w:bCs/>
        </w:rPr>
        <w:t xml:space="preserve">recommended the timeframe should match the current 6-month requirement for abemaciclib in eBC (para 7.4, ribociclib PSD, November 2024). </w:t>
      </w:r>
      <w:r w:rsidR="00DC1787" w:rsidRPr="00007450">
        <w:rPr>
          <w:szCs w:val="24"/>
        </w:rPr>
        <w:t xml:space="preserve">The </w:t>
      </w:r>
      <w:r w:rsidR="00453B35" w:rsidRPr="00007450">
        <w:rPr>
          <w:szCs w:val="24"/>
        </w:rPr>
        <w:t>Pre-Sub</w:t>
      </w:r>
      <w:r w:rsidR="005A355B" w:rsidRPr="00007450">
        <w:rPr>
          <w:szCs w:val="24"/>
        </w:rPr>
        <w:t xml:space="preserve"> </w:t>
      </w:r>
      <w:r w:rsidR="00453B35" w:rsidRPr="00007450">
        <w:rPr>
          <w:szCs w:val="24"/>
        </w:rPr>
        <w:t>Committee Response (</w:t>
      </w:r>
      <w:r w:rsidR="00DC1787" w:rsidRPr="00007450">
        <w:rPr>
          <w:szCs w:val="24"/>
        </w:rPr>
        <w:t>PSCR</w:t>
      </w:r>
      <w:r w:rsidR="00453B35" w:rsidRPr="00007450">
        <w:rPr>
          <w:szCs w:val="24"/>
        </w:rPr>
        <w:t>)</w:t>
      </w:r>
      <w:r w:rsidR="00EC426E" w:rsidRPr="00007450">
        <w:rPr>
          <w:szCs w:val="24"/>
        </w:rPr>
        <w:t xml:space="preserve"> </w:t>
      </w:r>
      <w:r w:rsidR="00C63B7D" w:rsidRPr="00007450">
        <w:rPr>
          <w:szCs w:val="24"/>
        </w:rPr>
        <w:t xml:space="preserve">maintained that a </w:t>
      </w:r>
      <w:r w:rsidR="008A6B4A" w:rsidRPr="00007450">
        <w:rPr>
          <w:szCs w:val="24"/>
        </w:rPr>
        <w:t>12-month</w:t>
      </w:r>
      <w:r w:rsidR="00923EC6" w:rsidRPr="00007450">
        <w:rPr>
          <w:szCs w:val="24"/>
        </w:rPr>
        <w:t xml:space="preserve"> initiation interval was appropriate and </w:t>
      </w:r>
      <w:r w:rsidR="00EF6BA8" w:rsidRPr="00007450">
        <w:rPr>
          <w:szCs w:val="24"/>
        </w:rPr>
        <w:t>stated that Australian medical oncologists report a need for greater flexibility to assess</w:t>
      </w:r>
      <w:r w:rsidR="003633AD" w:rsidRPr="00007450">
        <w:rPr>
          <w:szCs w:val="24"/>
        </w:rPr>
        <w:t xml:space="preserve"> </w:t>
      </w:r>
      <w:r w:rsidR="003633AD" w:rsidRPr="00007450">
        <w:rPr>
          <w:szCs w:val="24"/>
        </w:rPr>
        <w:lastRenderedPageBreak/>
        <w:t>a</w:t>
      </w:r>
      <w:r w:rsidR="00EF6BA8" w:rsidRPr="00007450">
        <w:rPr>
          <w:szCs w:val="24"/>
        </w:rPr>
        <w:t xml:space="preserve"> patient’s response to ET before introducing a CDK4/6 inhibitor</w:t>
      </w:r>
      <w:r w:rsidR="002D4A4E" w:rsidRPr="00007450">
        <w:rPr>
          <w:szCs w:val="24"/>
        </w:rPr>
        <w:t xml:space="preserve">. </w:t>
      </w:r>
      <w:r w:rsidR="00E66514" w:rsidRPr="00007450">
        <w:rPr>
          <w:szCs w:val="24"/>
        </w:rPr>
        <w:t>However, the</w:t>
      </w:r>
      <w:r w:rsidR="00964389" w:rsidRPr="00007450">
        <w:rPr>
          <w:szCs w:val="24"/>
        </w:rPr>
        <w:t xml:space="preserve"> ESC </w:t>
      </w:r>
      <w:r w:rsidR="00F8501A" w:rsidRPr="00007450">
        <w:rPr>
          <w:szCs w:val="24"/>
        </w:rPr>
        <w:t>considered</w:t>
      </w:r>
      <w:r w:rsidR="00D75654" w:rsidRPr="00007450">
        <w:rPr>
          <w:szCs w:val="24"/>
        </w:rPr>
        <w:t xml:space="preserve"> that the clinical imperative to start timely therapy with a CDK4/6 inhibitor was </w:t>
      </w:r>
      <w:r w:rsidR="002E6753" w:rsidRPr="00007450">
        <w:rPr>
          <w:szCs w:val="24"/>
        </w:rPr>
        <w:t xml:space="preserve">particularly </w:t>
      </w:r>
      <w:r w:rsidR="007424EA" w:rsidRPr="00007450">
        <w:rPr>
          <w:szCs w:val="24"/>
        </w:rPr>
        <w:t>relevant</w:t>
      </w:r>
      <w:r w:rsidR="002E6753" w:rsidRPr="00007450">
        <w:rPr>
          <w:szCs w:val="24"/>
        </w:rPr>
        <w:t xml:space="preserve"> </w:t>
      </w:r>
      <w:r w:rsidR="007424EA" w:rsidRPr="00007450">
        <w:rPr>
          <w:szCs w:val="24"/>
        </w:rPr>
        <w:t xml:space="preserve">to this </w:t>
      </w:r>
      <w:r w:rsidR="002E6753" w:rsidRPr="00007450">
        <w:rPr>
          <w:szCs w:val="24"/>
        </w:rPr>
        <w:t xml:space="preserve">subgroup of patients </w:t>
      </w:r>
      <w:r w:rsidR="00D362FC" w:rsidRPr="00007450">
        <w:rPr>
          <w:szCs w:val="24"/>
        </w:rPr>
        <w:t>who</w:t>
      </w:r>
      <w:r w:rsidR="00375855" w:rsidRPr="00007450">
        <w:rPr>
          <w:szCs w:val="24"/>
        </w:rPr>
        <w:t xml:space="preserve"> likely</w:t>
      </w:r>
      <w:r w:rsidR="00D362FC" w:rsidRPr="00007450">
        <w:rPr>
          <w:szCs w:val="24"/>
        </w:rPr>
        <w:t xml:space="preserve"> have a</w:t>
      </w:r>
      <w:r w:rsidR="002E6753" w:rsidRPr="00007450">
        <w:rPr>
          <w:szCs w:val="24"/>
        </w:rPr>
        <w:t xml:space="preserve"> lower </w:t>
      </w:r>
      <w:r w:rsidR="003A12A0" w:rsidRPr="00007450">
        <w:rPr>
          <w:szCs w:val="24"/>
        </w:rPr>
        <w:t>risk of disease recurrence</w:t>
      </w:r>
      <w:r w:rsidR="00816C07" w:rsidRPr="00007450">
        <w:rPr>
          <w:szCs w:val="24"/>
        </w:rPr>
        <w:t xml:space="preserve"> compared to the subgroup of patients considered </w:t>
      </w:r>
      <w:r w:rsidR="00B91550" w:rsidRPr="00007450">
        <w:rPr>
          <w:szCs w:val="24"/>
        </w:rPr>
        <w:t xml:space="preserve">for ribociclib </w:t>
      </w:r>
      <w:r w:rsidR="00816C07" w:rsidRPr="00007450">
        <w:rPr>
          <w:szCs w:val="24"/>
        </w:rPr>
        <w:t>in November 2024</w:t>
      </w:r>
      <w:r w:rsidR="00035CDF" w:rsidRPr="00007450">
        <w:rPr>
          <w:szCs w:val="24"/>
        </w:rPr>
        <w:t xml:space="preserve">. </w:t>
      </w:r>
      <w:r w:rsidR="00B35DDC" w:rsidRPr="00007450">
        <w:rPr>
          <w:rFonts w:ascii="Calibri" w:eastAsia="Times New Roman" w:hAnsi="Calibri" w:cs="Arial"/>
          <w:bCs/>
        </w:rPr>
        <w:t xml:space="preserve">The ESC considered that the timeframe should match the current 6-month requirement for </w:t>
      </w:r>
      <w:r w:rsidR="00375855" w:rsidRPr="00007450">
        <w:rPr>
          <w:rFonts w:ascii="Calibri" w:eastAsia="Times New Roman" w:hAnsi="Calibri" w:cs="Arial"/>
          <w:bCs/>
        </w:rPr>
        <w:t>abemaciclib</w:t>
      </w:r>
      <w:r w:rsidR="00B35DDC" w:rsidRPr="00007450">
        <w:rPr>
          <w:rFonts w:ascii="Calibri" w:eastAsia="Times New Roman" w:hAnsi="Calibri" w:cs="Arial"/>
          <w:bCs/>
        </w:rPr>
        <w:t xml:space="preserve"> in eBC</w:t>
      </w:r>
      <w:r w:rsidR="00375855" w:rsidRPr="00007450">
        <w:rPr>
          <w:rFonts w:ascii="Calibri" w:eastAsia="Times New Roman" w:hAnsi="Calibri" w:cs="Arial"/>
          <w:bCs/>
        </w:rPr>
        <w:t>.</w:t>
      </w:r>
      <w:r w:rsidR="00293B12" w:rsidRPr="00007450">
        <w:rPr>
          <w:rFonts w:ascii="Calibri" w:eastAsia="Times New Roman" w:hAnsi="Calibri" w:cs="Arial"/>
          <w:bCs/>
        </w:rPr>
        <w:t xml:space="preserve"> The Pre-PBAC Response </w:t>
      </w:r>
      <w:r w:rsidR="00BA2953" w:rsidRPr="00007450">
        <w:rPr>
          <w:rFonts w:ascii="Calibri" w:eastAsia="Times New Roman" w:hAnsi="Calibri" w:cs="Arial"/>
          <w:bCs/>
        </w:rPr>
        <w:t xml:space="preserve">argued this </w:t>
      </w:r>
      <w:r w:rsidR="00946BAE" w:rsidRPr="00007450">
        <w:rPr>
          <w:rFonts w:ascii="Calibri" w:eastAsia="Times New Roman" w:hAnsi="Calibri" w:cs="Arial"/>
          <w:bCs/>
        </w:rPr>
        <w:t>requirement was arbitrary and inconsistent with the evidence in the NATALEE trial that allowed ribociclib to commence within 12 months of starting ET</w:t>
      </w:r>
      <w:r w:rsidR="00BE75B2" w:rsidRPr="00007450">
        <w:rPr>
          <w:rFonts w:ascii="Calibri" w:eastAsia="Times New Roman" w:hAnsi="Calibri" w:cs="Arial"/>
          <w:bCs/>
        </w:rPr>
        <w:t xml:space="preserve"> and maintain</w:t>
      </w:r>
      <w:r w:rsidR="000403D8">
        <w:rPr>
          <w:rFonts w:ascii="Calibri" w:eastAsia="Times New Roman" w:hAnsi="Calibri" w:cs="Arial"/>
          <w:bCs/>
        </w:rPr>
        <w:t>ed</w:t>
      </w:r>
      <w:r w:rsidR="00BE75B2" w:rsidRPr="00007450">
        <w:rPr>
          <w:rFonts w:ascii="Calibri" w:eastAsia="Times New Roman" w:hAnsi="Calibri" w:cs="Arial"/>
          <w:bCs/>
        </w:rPr>
        <w:t xml:space="preserve"> that</w:t>
      </w:r>
      <w:r w:rsidR="000403D8">
        <w:rPr>
          <w:rFonts w:ascii="Calibri" w:eastAsia="Times New Roman" w:hAnsi="Calibri" w:cs="Arial"/>
          <w:bCs/>
        </w:rPr>
        <w:t xml:space="preserve"> the</w:t>
      </w:r>
      <w:r w:rsidR="00BE75B2" w:rsidRPr="00007450">
        <w:rPr>
          <w:rFonts w:ascii="Calibri" w:eastAsia="Times New Roman" w:hAnsi="Calibri" w:cs="Arial"/>
          <w:bCs/>
        </w:rPr>
        <w:t xml:space="preserve"> requirement creates inequities for patients who may require </w:t>
      </w:r>
      <w:r w:rsidR="008D78AE">
        <w:rPr>
          <w:rFonts w:ascii="Calibri" w:eastAsia="Times New Roman" w:hAnsi="Calibri" w:cs="Arial"/>
          <w:bCs/>
        </w:rPr>
        <w:t xml:space="preserve">a longer </w:t>
      </w:r>
      <w:r w:rsidR="0000186E">
        <w:rPr>
          <w:rFonts w:ascii="Calibri" w:eastAsia="Times New Roman" w:hAnsi="Calibri" w:cs="Arial"/>
          <w:bCs/>
        </w:rPr>
        <w:t>period</w:t>
      </w:r>
      <w:r w:rsidR="00BE75B2" w:rsidRPr="00007450">
        <w:rPr>
          <w:rFonts w:ascii="Calibri" w:eastAsia="Times New Roman" w:hAnsi="Calibri" w:cs="Arial"/>
          <w:bCs/>
        </w:rPr>
        <w:t xml:space="preserve"> due to reasons such as complications, surgery</w:t>
      </w:r>
      <w:r w:rsidR="00853954">
        <w:rPr>
          <w:rFonts w:ascii="Calibri" w:eastAsia="Times New Roman" w:hAnsi="Calibri" w:cs="Arial"/>
          <w:bCs/>
        </w:rPr>
        <w:t>,</w:t>
      </w:r>
      <w:r w:rsidR="00BE75B2" w:rsidRPr="00007450">
        <w:rPr>
          <w:rFonts w:ascii="Calibri" w:eastAsia="Times New Roman" w:hAnsi="Calibri" w:cs="Arial"/>
          <w:bCs/>
        </w:rPr>
        <w:t xml:space="preserve"> or fertility planning.</w:t>
      </w:r>
      <w:bookmarkEnd w:id="17"/>
      <w:r w:rsidR="00BE75B2" w:rsidRPr="00007450">
        <w:rPr>
          <w:rFonts w:ascii="Calibri" w:eastAsia="Times New Roman" w:hAnsi="Calibri" w:cs="Arial"/>
          <w:bCs/>
        </w:rPr>
        <w:t xml:space="preserve"> </w:t>
      </w:r>
    </w:p>
    <w:p w14:paraId="5CB75B39" w14:textId="02A80CDA" w:rsidR="00660D40" w:rsidRPr="00007450" w:rsidRDefault="009905C4" w:rsidP="00864C4B">
      <w:pPr>
        <w:pStyle w:val="3-BodyText"/>
        <w:numPr>
          <w:ilvl w:val="1"/>
          <w:numId w:val="1"/>
        </w:numPr>
      </w:pPr>
      <w:bookmarkStart w:id="18" w:name="_Ref205370413"/>
      <w:r w:rsidRPr="00007450">
        <w:t>The submission also proposed an amendment to the PBS restriction criteria for ribociclib in HR</w:t>
      </w:r>
      <w:r w:rsidR="00B65752" w:rsidRPr="00007450">
        <w:t>+</w:t>
      </w:r>
      <w:r w:rsidRPr="00007450">
        <w:t>, HER2</w:t>
      </w:r>
      <w:r w:rsidR="00B65752" w:rsidRPr="00007450">
        <w:t>-</w:t>
      </w:r>
      <w:r w:rsidRPr="00007450">
        <w:t>, inoperable, locally advanced or metastatic breast cancer to allow for retreatment with ribociclib or other CDK4/6 inhibitor</w:t>
      </w:r>
      <w:r w:rsidR="00B37735" w:rsidRPr="00007450">
        <w:t>s</w:t>
      </w:r>
      <w:r w:rsidRPr="00007450">
        <w:t xml:space="preserve">, if the relapse occurred at least 12 months after completing adjuvant treatment. This was proposed to replace the lifetime restriction of a single line of CDK4/6 therapy. The submission referred to the postMONARCH trial to support its request. The PBAC previously considered this request </w:t>
      </w:r>
      <w:r w:rsidR="00C85F2A" w:rsidRPr="00007450">
        <w:t xml:space="preserve">at its November 2024 meeting </w:t>
      </w:r>
      <w:r w:rsidRPr="00007450">
        <w:t>and did not support the removal of the lifetime restriction</w:t>
      </w:r>
      <w:r w:rsidR="000A0370" w:rsidRPr="00007450">
        <w:t xml:space="preserve"> of</w:t>
      </w:r>
      <w:r w:rsidRPr="00007450">
        <w:t xml:space="preserve"> a single line of CDK4/6 therapy. The PBAC considered that the postMONARCH trial did not provide evidence to support</w:t>
      </w:r>
      <w:r w:rsidR="001E5C3B" w:rsidRPr="00007450">
        <w:t xml:space="preserve"> </w:t>
      </w:r>
      <w:r w:rsidRPr="00007450">
        <w:t>removal of this condition, noting that only 1% of the metastatic BC patients had received prior adjuvant CDK4/6 inhibitor treatment and the trial did not have a suitable design to allow conclusions with respect to retreatment (para</w:t>
      </w:r>
      <w:r w:rsidR="006F23C0" w:rsidRPr="00007450">
        <w:t>.</w:t>
      </w:r>
      <w:r w:rsidRPr="00007450">
        <w:t xml:space="preserve"> 7.4 </w:t>
      </w:r>
      <w:r w:rsidR="007847AC" w:rsidRPr="00007450">
        <w:t>r</w:t>
      </w:r>
      <w:r w:rsidRPr="00007450">
        <w:t>ibociclib PSD</w:t>
      </w:r>
      <w:r w:rsidR="0010472F" w:rsidRPr="00007450">
        <w:t>,</w:t>
      </w:r>
      <w:r w:rsidRPr="00007450">
        <w:t xml:space="preserve"> November 2024).</w:t>
      </w:r>
      <w:r w:rsidR="004A2F0E">
        <w:t xml:space="preserve"> </w:t>
      </w:r>
      <w:r w:rsidR="009C2B3A" w:rsidRPr="00007450">
        <w:t xml:space="preserve">The </w:t>
      </w:r>
      <w:r w:rsidR="00647816" w:rsidRPr="00007450">
        <w:t xml:space="preserve">ESC </w:t>
      </w:r>
      <w:r w:rsidR="00F214AF" w:rsidRPr="00007450">
        <w:t xml:space="preserve">noted that the </w:t>
      </w:r>
      <w:r w:rsidR="009C2B3A" w:rsidRPr="00007450">
        <w:t>evidence presented in the submission to justify the request was not substantially different to the previous submission</w:t>
      </w:r>
      <w:r w:rsidR="00455CCF" w:rsidRPr="00007450">
        <w:t xml:space="preserve"> and did not address the PBAC</w:t>
      </w:r>
      <w:r w:rsidR="00731B88" w:rsidRPr="00007450">
        <w:t>’</w:t>
      </w:r>
      <w:r w:rsidR="00455CCF" w:rsidRPr="00007450">
        <w:t xml:space="preserve">s </w:t>
      </w:r>
      <w:r w:rsidR="00C85ED3" w:rsidRPr="00007450">
        <w:t xml:space="preserve">previous </w:t>
      </w:r>
      <w:r w:rsidR="00455CCF" w:rsidRPr="00007450">
        <w:t>concerns</w:t>
      </w:r>
      <w:r w:rsidR="009C2B3A" w:rsidRPr="00007450">
        <w:t>.</w:t>
      </w:r>
      <w:r w:rsidR="00F214AF" w:rsidRPr="00007450">
        <w:t xml:space="preserve"> For this reason, the ESC considered that the removal of the lifetime restriction of a single line of CDK4/6 therapy was likely not appropriate</w:t>
      </w:r>
      <w:r w:rsidR="00421ED0" w:rsidRPr="00007450">
        <w:t>.</w:t>
      </w:r>
      <w:r w:rsidR="0044291D" w:rsidRPr="00007450">
        <w:t xml:space="preserve"> The </w:t>
      </w:r>
      <w:r w:rsidR="00B53DFC">
        <w:t xml:space="preserve">impact of the </w:t>
      </w:r>
      <w:r w:rsidR="0044291D" w:rsidRPr="00007450">
        <w:t xml:space="preserve">proposed restriction </w:t>
      </w:r>
      <w:r w:rsidR="00B53DFC">
        <w:t>change</w:t>
      </w:r>
      <w:r w:rsidR="0044291D" w:rsidRPr="00007450">
        <w:t xml:space="preserve"> was also not </w:t>
      </w:r>
      <w:r w:rsidR="00B53DFC">
        <w:t>addressed</w:t>
      </w:r>
      <w:r w:rsidR="0044291D" w:rsidRPr="00007450">
        <w:t xml:space="preserve"> in the economic or financial analyses.</w:t>
      </w:r>
      <w:bookmarkEnd w:id="18"/>
    </w:p>
    <w:p w14:paraId="146D2C66" w14:textId="5B50346B" w:rsidR="00B320C0" w:rsidRPr="00007450" w:rsidRDefault="00D91651" w:rsidP="00864C4B">
      <w:pPr>
        <w:pStyle w:val="3-BodyText"/>
        <w:numPr>
          <w:ilvl w:val="1"/>
          <w:numId w:val="1"/>
        </w:numPr>
      </w:pPr>
      <w:bookmarkStart w:id="19" w:name="_Ref206130533"/>
      <w:r w:rsidRPr="00007450">
        <w:t xml:space="preserve">The proposed restriction does not define </w:t>
      </w:r>
      <w:r w:rsidR="002B6DED">
        <w:t>‘</w:t>
      </w:r>
      <w:r w:rsidRPr="00007450">
        <w:t>positive molecular diagnostic outcome</w:t>
      </w:r>
      <w:r w:rsidR="002B6DED">
        <w:t>’</w:t>
      </w:r>
      <w:r w:rsidRPr="00007450">
        <w:t xml:space="preserve"> for the subgroup of patients with grade 2 histology eligible for ribociclib treatment. In the NATALEE trial, this was defined as Ki67 ≥ 20% or high-risk </w:t>
      </w:r>
      <w:r w:rsidR="009E7F5B" w:rsidRPr="00007450">
        <w:t xml:space="preserve">categorisation </w:t>
      </w:r>
      <w:r w:rsidRPr="00007450">
        <w:t xml:space="preserve">by a gene expression profiling test (e.g. Oncotype DX score ≥26 or Prosigna, MammaPrint or EndoPredict high-risk). </w:t>
      </w:r>
      <w:r w:rsidR="00A74ABE" w:rsidRPr="00007450">
        <w:t>At the March 2022 PBAC meeting,</w:t>
      </w:r>
      <w:r w:rsidR="00ED00E9" w:rsidRPr="00007450">
        <w:t xml:space="preserve"> </w:t>
      </w:r>
      <w:r w:rsidR="00A74ABE" w:rsidRPr="00007450">
        <w:t>t</w:t>
      </w:r>
      <w:r w:rsidRPr="00007450">
        <w:t>he PBAC considered that Ki67 may not be adequately validated in Australia for use in a PBS restriction (para</w:t>
      </w:r>
      <w:r w:rsidR="006F23C0" w:rsidRPr="00007450">
        <w:t>.</w:t>
      </w:r>
      <w:r w:rsidRPr="00007450">
        <w:t xml:space="preserve"> 3.5, abemaciclib PSD, March 2022 PBAC meeting). One gene expression profiling test is available on the MBS (EndoPredict, MBS item 73306). However, the item descriptor specifies that the service is not administered for the purpose of altering treatment decisions (such as determining access to ribociclib treatment); EndoPredict or other gene expression profiling may alternately be privately funded ($3,300–$6,150 per test).</w:t>
      </w:r>
      <w:r w:rsidR="00AF77E5" w:rsidRPr="00007450">
        <w:t xml:space="preserve"> </w:t>
      </w:r>
      <w:r w:rsidR="00B320C0" w:rsidRPr="00007450">
        <w:t>The PSCR</w:t>
      </w:r>
      <w:r w:rsidR="009621C2" w:rsidRPr="00007450">
        <w:t xml:space="preserve"> </w:t>
      </w:r>
      <w:r w:rsidR="00E76E4D" w:rsidRPr="00007450">
        <w:t>stated that</w:t>
      </w:r>
      <w:r w:rsidR="00D03081" w:rsidRPr="00007450">
        <w:t xml:space="preserve"> </w:t>
      </w:r>
      <w:r w:rsidR="008C0DBC" w:rsidRPr="00007450">
        <w:t xml:space="preserve">molecular diagnostic testing is routinely performed as part of </w:t>
      </w:r>
      <w:r w:rsidR="00BA3642" w:rsidRPr="00007450">
        <w:t>a</w:t>
      </w:r>
      <w:r w:rsidR="008C0DBC" w:rsidRPr="00007450">
        <w:t xml:space="preserve"> patient’s standard prognostic </w:t>
      </w:r>
      <w:r w:rsidR="000B3888" w:rsidRPr="00007450">
        <w:t>evaluation,</w:t>
      </w:r>
      <w:r w:rsidR="008C0DBC" w:rsidRPr="00007450">
        <w:t xml:space="preserve"> and that clinicians </w:t>
      </w:r>
      <w:r w:rsidR="00B57307" w:rsidRPr="00007450">
        <w:t xml:space="preserve">are able </w:t>
      </w:r>
      <w:r w:rsidR="00A71D03" w:rsidRPr="00007450">
        <w:t>to interpret the meaning of a</w:t>
      </w:r>
      <w:r w:rsidR="008C0DBC" w:rsidRPr="00007450">
        <w:t xml:space="preserve"> ‘positive molecular diagnostic outcome’ in relation to the patient’s future risk of disease</w:t>
      </w:r>
      <w:r w:rsidR="006B66BE" w:rsidRPr="00007450">
        <w:t>.</w:t>
      </w:r>
      <w:r w:rsidR="00722BF8" w:rsidRPr="00007450">
        <w:t xml:space="preserve"> The ESC </w:t>
      </w:r>
      <w:r w:rsidR="007C43ED" w:rsidRPr="00007450">
        <w:t>considered</w:t>
      </w:r>
      <w:r w:rsidR="00697353" w:rsidRPr="00007450">
        <w:t xml:space="preserve"> that</w:t>
      </w:r>
      <w:r w:rsidR="00DA02F0" w:rsidRPr="00007450">
        <w:t xml:space="preserve"> </w:t>
      </w:r>
      <w:r w:rsidR="00A6382F" w:rsidRPr="00007450">
        <w:t xml:space="preserve">the proposed wording </w:t>
      </w:r>
      <w:r w:rsidR="00567F7E" w:rsidRPr="00007450">
        <w:t xml:space="preserve">could be </w:t>
      </w:r>
      <w:r w:rsidR="00567F7E" w:rsidRPr="00007450">
        <w:lastRenderedPageBreak/>
        <w:t xml:space="preserve">interpreted in </w:t>
      </w:r>
      <w:r w:rsidR="00EA1F46" w:rsidRPr="00007450">
        <w:t xml:space="preserve">a number of </w:t>
      </w:r>
      <w:r w:rsidR="00567F7E" w:rsidRPr="00007450">
        <w:t>way</w:t>
      </w:r>
      <w:r w:rsidR="00A6382F" w:rsidRPr="00007450">
        <w:t>s</w:t>
      </w:r>
      <w:r w:rsidR="00567F7E" w:rsidRPr="00007450">
        <w:t xml:space="preserve"> and considered that </w:t>
      </w:r>
      <w:r w:rsidR="00A6382F" w:rsidRPr="00007450">
        <w:t xml:space="preserve">this </w:t>
      </w:r>
      <w:r w:rsidR="00B25A25" w:rsidRPr="00007450">
        <w:t xml:space="preserve">may allow </w:t>
      </w:r>
      <w:r w:rsidR="00ED5005" w:rsidRPr="00007450">
        <w:t xml:space="preserve">ribociclib </w:t>
      </w:r>
      <w:r w:rsidR="00DA02F0" w:rsidRPr="00007450">
        <w:t>to be used outside of the intended patient population.</w:t>
      </w:r>
      <w:r w:rsidR="00567F7E" w:rsidRPr="00007450">
        <w:t xml:space="preserve"> However, due to the lack of a standardised and subsidised test, the ESC did </w:t>
      </w:r>
      <w:r w:rsidR="00375905" w:rsidRPr="00007450">
        <w:t>not consider that a specific test or result should be included in the proposed PBS restriction.</w:t>
      </w:r>
      <w:bookmarkEnd w:id="19"/>
    </w:p>
    <w:p w14:paraId="13D795D4" w14:textId="16E69BFE" w:rsidR="00FA035A" w:rsidRPr="00007450" w:rsidRDefault="00FA035A" w:rsidP="00864C4B">
      <w:pPr>
        <w:pStyle w:val="3-BodyText"/>
      </w:pPr>
      <w:r w:rsidRPr="00007450">
        <w:t>The submission also requested a grandfathered listing for patients who are current</w:t>
      </w:r>
      <w:r w:rsidR="005D6DB1" w:rsidRPr="00007450">
        <w:t>ly</w:t>
      </w:r>
      <w:r w:rsidRPr="00007450">
        <w:t xml:space="preserve"> receiving ribociclib through a Novartis funded access program. The proposed grandfathered listing was aligned with the proposed PBS listing.</w:t>
      </w:r>
      <w:r w:rsidR="00321068" w:rsidRPr="00007450">
        <w:t xml:space="preserve"> </w:t>
      </w:r>
    </w:p>
    <w:p w14:paraId="21B92F45" w14:textId="07E6E041" w:rsidR="00321068" w:rsidRPr="00007450" w:rsidRDefault="00321068" w:rsidP="00864C4B">
      <w:pPr>
        <w:ind w:firstLine="709"/>
        <w:rPr>
          <w:rFonts w:asciiTheme="minorHAnsi" w:hAnsiTheme="minorHAnsi"/>
          <w:i/>
        </w:rPr>
      </w:pPr>
      <w:bookmarkStart w:id="20" w:name="_Hlk76375324"/>
      <w:r w:rsidRPr="00007450">
        <w:rPr>
          <w:rFonts w:asciiTheme="minorHAnsi" w:hAnsiTheme="minorHAnsi"/>
          <w:i/>
        </w:rPr>
        <w:t>For more detail on PBAC’s view, see section 7 PBAC outcome.</w:t>
      </w:r>
      <w:bookmarkEnd w:id="20"/>
    </w:p>
    <w:p w14:paraId="5B4E9EF7" w14:textId="4A9D540B" w:rsidR="009905C4" w:rsidRPr="00007450" w:rsidDel="00195452" w:rsidRDefault="009905C4" w:rsidP="00864C4B">
      <w:pPr>
        <w:pStyle w:val="2-SectionHeading"/>
        <w:numPr>
          <w:ilvl w:val="0"/>
          <w:numId w:val="1"/>
        </w:numPr>
      </w:pPr>
      <w:bookmarkStart w:id="21" w:name="_Toc198724437"/>
      <w:r w:rsidRPr="00007450" w:rsidDel="00195452">
        <w:t>Population and disease</w:t>
      </w:r>
      <w:bookmarkEnd w:id="21"/>
    </w:p>
    <w:p w14:paraId="7235594C" w14:textId="62030BCE" w:rsidR="009905C4" w:rsidRPr="00007450" w:rsidDel="00195452" w:rsidRDefault="009905C4" w:rsidP="00864C4B">
      <w:pPr>
        <w:pStyle w:val="3-BodyText"/>
        <w:numPr>
          <w:ilvl w:val="1"/>
          <w:numId w:val="1"/>
        </w:numPr>
        <w:rPr>
          <w:color w:val="0066FF"/>
        </w:rPr>
      </w:pPr>
      <w:r w:rsidRPr="00007450">
        <w:t>Breast cancer is the most commonly diagnosed cancer among women in Australia, with over 20,000 new cases expected annually</w:t>
      </w:r>
      <w:r w:rsidR="0058183B" w:rsidRPr="00007450">
        <w:t>.</w:t>
      </w:r>
      <w:r w:rsidR="00F312FE" w:rsidRPr="00007450">
        <w:rPr>
          <w:rStyle w:val="FootnoteReference"/>
        </w:rPr>
        <w:footnoteReference w:id="2"/>
      </w:r>
      <w:r w:rsidRPr="00007450">
        <w:t xml:space="preserve"> Screening programs such as BreastScreen Australia have significantly improved early detection rates, meaning most cases are diagnosed at stage I or II, when the cancer is still confined to the breast and regional lymph nodes</w:t>
      </w:r>
      <w:r w:rsidR="0058183B" w:rsidRPr="00007450">
        <w:t>.</w:t>
      </w:r>
      <w:r w:rsidR="00F312FE" w:rsidRPr="00007450">
        <w:rPr>
          <w:rStyle w:val="FootnoteReference"/>
        </w:rPr>
        <w:footnoteReference w:id="3"/>
      </w:r>
      <w:r w:rsidRPr="00007450" w:rsidDel="00195452">
        <w:t xml:space="preserve"> </w:t>
      </w:r>
      <w:r w:rsidRPr="00007450">
        <w:t>In Australia, approximately 70 to 75 percent of early breast cancers are HR</w:t>
      </w:r>
      <w:r w:rsidR="00B637C9" w:rsidRPr="00007450">
        <w:t xml:space="preserve">+ </w:t>
      </w:r>
      <w:r w:rsidRPr="00007450">
        <w:t>and HER2</w:t>
      </w:r>
      <w:r w:rsidR="00B637C9" w:rsidRPr="00007450">
        <w:t>-</w:t>
      </w:r>
      <w:r w:rsidR="0058183B" w:rsidRPr="00007450">
        <w:t>.</w:t>
      </w:r>
      <w:r w:rsidR="00F312FE" w:rsidRPr="00007450">
        <w:rPr>
          <w:rStyle w:val="FootnoteReference"/>
        </w:rPr>
        <w:footnoteReference w:id="4"/>
      </w:r>
      <w:r w:rsidRPr="00007450">
        <w:t xml:space="preserve"> The primary treatment for this population is surgery with intent to cure. Despite a generally favourable prognosis, </w:t>
      </w:r>
      <w:r w:rsidR="00C20805">
        <w:t xml:space="preserve">patients with </w:t>
      </w:r>
      <w:r w:rsidRPr="00007450">
        <w:t>HR</w:t>
      </w:r>
      <w:r w:rsidR="00DF0D1C" w:rsidRPr="00007450">
        <w:t>+</w:t>
      </w:r>
      <w:r w:rsidRPr="00007450">
        <w:t>, HER2</w:t>
      </w:r>
      <w:r w:rsidR="00DF0D1C" w:rsidRPr="00007450">
        <w:t>-</w:t>
      </w:r>
      <w:r w:rsidR="00B70A53">
        <w:t xml:space="preserve"> </w:t>
      </w:r>
      <w:r w:rsidRPr="00007450">
        <w:t>early breast cancer</w:t>
      </w:r>
      <w:r w:rsidR="00C20805">
        <w:t xml:space="preserve"> may experience recurrence</w:t>
      </w:r>
      <w:r w:rsidR="005154D1">
        <w:t>.</w:t>
      </w:r>
      <w:r w:rsidRPr="00007450" w:rsidDel="00195452">
        <w:rPr>
          <w:color w:val="0066FF"/>
        </w:rPr>
        <w:t xml:space="preserve"> </w:t>
      </w:r>
    </w:p>
    <w:p w14:paraId="03AFA436" w14:textId="5348F44D" w:rsidR="009905C4" w:rsidRPr="00007450" w:rsidRDefault="009905C4" w:rsidP="00864C4B">
      <w:pPr>
        <w:pStyle w:val="3-BodyText"/>
        <w:numPr>
          <w:ilvl w:val="1"/>
          <w:numId w:val="1"/>
        </w:numPr>
      </w:pPr>
      <w:r w:rsidRPr="00007450">
        <w:t xml:space="preserve">The ribociclib submission considered by </w:t>
      </w:r>
      <w:r w:rsidR="00E066D0">
        <w:t xml:space="preserve">the </w:t>
      </w:r>
      <w:r w:rsidRPr="00007450">
        <w:t xml:space="preserve">PBAC in November 2024 included a sub-population of the NATALEE trial that aligned with the </w:t>
      </w:r>
      <w:r w:rsidR="002D2A2E" w:rsidRPr="00007450">
        <w:t xml:space="preserve">eBC </w:t>
      </w:r>
      <w:r w:rsidRPr="00007450">
        <w:t>PBS population for abemaciclib. The proposed PBS population includes the complement of the subgroup considered in November 2024, i.e. the remainder of the NATALEE trial population</w:t>
      </w:r>
      <w:r w:rsidR="002011A2">
        <w:t xml:space="preserve"> with a lower risk of recurrence</w:t>
      </w:r>
      <w:r w:rsidRPr="00007450">
        <w:t>.</w:t>
      </w:r>
      <w:r w:rsidR="004A2F0E">
        <w:t xml:space="preserve"> </w:t>
      </w:r>
    </w:p>
    <w:p w14:paraId="043B58CE" w14:textId="4FDAFA86" w:rsidR="009905C4" w:rsidRPr="00007450" w:rsidRDefault="009905C4" w:rsidP="00864C4B">
      <w:pPr>
        <w:pStyle w:val="3-BodyText"/>
        <w:numPr>
          <w:ilvl w:val="1"/>
          <w:numId w:val="1"/>
        </w:numPr>
      </w:pPr>
      <w:r w:rsidRPr="00007450">
        <w:t>Ribociclib is an orally bioavailable and highly selective small molecule inhibitor of the CDK 4/6 enzyme complex, which directly targets the retinoblastoma protein to block cell cycle progression and cancer cell proliferation</w:t>
      </w:r>
      <w:r w:rsidR="0058183B" w:rsidRPr="00007450">
        <w:t>.</w:t>
      </w:r>
      <w:r w:rsidR="00F312FE" w:rsidRPr="00007450">
        <w:rPr>
          <w:rStyle w:val="FootnoteReference"/>
        </w:rPr>
        <w:footnoteReference w:id="5"/>
      </w:r>
    </w:p>
    <w:p w14:paraId="39742FE7" w14:textId="60A34F83" w:rsidR="009905C4" w:rsidRPr="00007450" w:rsidRDefault="009905C4" w:rsidP="00864C4B">
      <w:pPr>
        <w:pStyle w:val="3-BodyText"/>
        <w:numPr>
          <w:ilvl w:val="1"/>
          <w:numId w:val="1"/>
        </w:numPr>
        <w:rPr>
          <w:i/>
          <w:iCs/>
        </w:rPr>
      </w:pPr>
      <w:r w:rsidRPr="00007450">
        <w:t xml:space="preserve">The proposed use of ribociclib is in combination with ET. The proposed TGA </w:t>
      </w:r>
      <w:r w:rsidR="00323C08" w:rsidRPr="00007450">
        <w:t>Product Information (</w:t>
      </w:r>
      <w:r w:rsidRPr="00007450">
        <w:t>PI</w:t>
      </w:r>
      <w:r w:rsidR="00323C08" w:rsidRPr="00007450">
        <w:t>)</w:t>
      </w:r>
      <w:r w:rsidRPr="00007450">
        <w:t xml:space="preserve"> does not specify which non-steroidal aromatase inhibitor (NSAI) must be used with ribociclib, however the NATALEE trial used either letrozole or anastrozole. In men and pre-menopausal women, ET is ineffective unless administered with ovarian suppression (e.g. goserelin or triptorelin); in the NATALEE trial, patients were given goserelin, administered as a 3.6 mg subcutaneous implant once every 28 days. Patients may have had neoadjuvant or adjuvant radiotherapy and/or chemotherapy prior to ribociclib plus adjuvant ET.</w:t>
      </w:r>
      <w:r w:rsidR="004A2F0E">
        <w:t xml:space="preserve"> </w:t>
      </w:r>
    </w:p>
    <w:p w14:paraId="3107231F" w14:textId="121DA89E" w:rsidR="00BE6AA0" w:rsidRPr="00007450" w:rsidRDefault="00BE6AA0" w:rsidP="00864C4B">
      <w:pPr>
        <w:pStyle w:val="3-BodyText"/>
        <w:numPr>
          <w:ilvl w:val="1"/>
          <w:numId w:val="1"/>
        </w:numPr>
      </w:pPr>
      <w:r w:rsidRPr="00007450">
        <w:lastRenderedPageBreak/>
        <w:t>Ribociclib is also listed for the treatment of HR</w:t>
      </w:r>
      <w:r w:rsidR="008F70C1" w:rsidRPr="00007450">
        <w:t>+</w:t>
      </w:r>
      <w:r w:rsidRPr="00007450">
        <w:t>, HER2</w:t>
      </w:r>
      <w:r w:rsidR="008F70C1" w:rsidRPr="00007450">
        <w:t>-</w:t>
      </w:r>
      <w:r w:rsidRPr="00007450">
        <w:t xml:space="preserve">, locally advanced or metastatic breast cancer. The PBS listing states </w:t>
      </w:r>
      <w:r w:rsidR="00836BE8">
        <w:t>‘</w:t>
      </w:r>
      <w:r w:rsidRPr="00007450">
        <w:t>PBS-subsidised treatment with CDK 4/6 inhibitors is restricted to one line of therapy at any disease staging for breast cancer (i.e. if therapy has been prescribed for early disease, subsidy under locally advanced or metastatic disease is no longer available).</w:t>
      </w:r>
      <w:r w:rsidR="00836BE8">
        <w:t>’</w:t>
      </w:r>
      <w:r w:rsidRPr="00007450">
        <w:t xml:space="preserve"> </w:t>
      </w:r>
    </w:p>
    <w:p w14:paraId="6E0C9AD7" w14:textId="34D4516F" w:rsidR="00321068" w:rsidRPr="00007450" w:rsidRDefault="00321068" w:rsidP="00864C4B">
      <w:pPr>
        <w:ind w:firstLine="709"/>
        <w:rPr>
          <w:rFonts w:asciiTheme="minorHAnsi" w:hAnsiTheme="minorHAnsi"/>
          <w:i/>
        </w:rPr>
      </w:pPr>
      <w:r w:rsidRPr="00007450">
        <w:rPr>
          <w:rFonts w:asciiTheme="minorHAnsi" w:hAnsiTheme="minorHAnsi"/>
          <w:i/>
        </w:rPr>
        <w:t>For more detail on PBAC’s view, see section 7 PBAC outcome.</w:t>
      </w:r>
    </w:p>
    <w:p w14:paraId="395E861D" w14:textId="77777777" w:rsidR="009905C4" w:rsidRPr="00007450" w:rsidRDefault="009905C4" w:rsidP="00864C4B">
      <w:pPr>
        <w:pStyle w:val="2-SectionHeading"/>
        <w:numPr>
          <w:ilvl w:val="0"/>
          <w:numId w:val="1"/>
        </w:numPr>
      </w:pPr>
      <w:bookmarkStart w:id="22" w:name="_Toc198724438"/>
      <w:r w:rsidRPr="00007450">
        <w:t>Comparator</w:t>
      </w:r>
      <w:bookmarkEnd w:id="22"/>
    </w:p>
    <w:p w14:paraId="7A4BCE2A" w14:textId="01C3C02D" w:rsidR="009905C4" w:rsidRPr="00007450" w:rsidRDefault="009905C4" w:rsidP="00864C4B">
      <w:pPr>
        <w:pStyle w:val="3-BodyText"/>
        <w:numPr>
          <w:ilvl w:val="1"/>
          <w:numId w:val="1"/>
        </w:numPr>
      </w:pPr>
      <w:r w:rsidRPr="00007450">
        <w:t>The submission nominated adjuvant ET alone as the comparator</w:t>
      </w:r>
      <w:r w:rsidR="00EB6D83" w:rsidRPr="00007450">
        <w:t>.</w:t>
      </w:r>
      <w:r w:rsidR="00AF755E" w:rsidRPr="00007450">
        <w:t xml:space="preserve"> This was appropriate as</w:t>
      </w:r>
      <w:r w:rsidR="00EB6D83" w:rsidRPr="00007450">
        <w:t xml:space="preserve"> </w:t>
      </w:r>
      <w:r w:rsidRPr="00007450">
        <w:t xml:space="preserve">ET alone is the current standard of care (SoC) for the nominated population. For the purposes of the submission, ET </w:t>
      </w:r>
      <w:r w:rsidR="00C44C4D" w:rsidRPr="00007450">
        <w:t xml:space="preserve">was assumed to be </w:t>
      </w:r>
      <w:r w:rsidR="00B746E4" w:rsidRPr="00007450">
        <w:t>treatment with</w:t>
      </w:r>
      <w:r w:rsidR="00E06B7C" w:rsidRPr="00007450">
        <w:t xml:space="preserve"> </w:t>
      </w:r>
      <w:r w:rsidR="00E65992" w:rsidRPr="00007450">
        <w:t>an AI (</w:t>
      </w:r>
      <w:r w:rsidR="00E06B7C" w:rsidRPr="00007450">
        <w:t>either</w:t>
      </w:r>
      <w:r w:rsidRPr="00007450">
        <w:t xml:space="preserve"> letrozole or anastrozole</w:t>
      </w:r>
      <w:r w:rsidR="00E65992" w:rsidRPr="00007450">
        <w:t>)</w:t>
      </w:r>
      <w:r w:rsidR="00441346" w:rsidRPr="00007450">
        <w:t>. T</w:t>
      </w:r>
      <w:r w:rsidR="00085952" w:rsidRPr="00007450">
        <w:t xml:space="preserve">he submission </w:t>
      </w:r>
      <w:r w:rsidR="001331DA" w:rsidRPr="00007450">
        <w:t xml:space="preserve">did not </w:t>
      </w:r>
      <w:r w:rsidR="004F13BA" w:rsidRPr="00007450">
        <w:t>consider</w:t>
      </w:r>
      <w:r w:rsidR="009E4A58" w:rsidRPr="00007450">
        <w:t xml:space="preserve"> an</w:t>
      </w:r>
      <w:r w:rsidR="009B17C5" w:rsidRPr="00007450">
        <w:t xml:space="preserve"> oestrogen receptor modulator</w:t>
      </w:r>
      <w:r w:rsidR="00DC2525" w:rsidRPr="00007450">
        <w:t xml:space="preserve"> </w:t>
      </w:r>
      <w:r w:rsidR="004B7A89" w:rsidRPr="00007450">
        <w:t>(</w:t>
      </w:r>
      <w:r w:rsidR="00085952" w:rsidRPr="00007450">
        <w:t>t</w:t>
      </w:r>
      <w:r w:rsidRPr="00007450">
        <w:t>amoxifen</w:t>
      </w:r>
      <w:r w:rsidR="004B7A89" w:rsidRPr="00007450">
        <w:t>)</w:t>
      </w:r>
      <w:r w:rsidR="00532D9C" w:rsidRPr="00007450">
        <w:t xml:space="preserve"> as </w:t>
      </w:r>
      <w:r w:rsidR="00E71950" w:rsidRPr="00007450">
        <w:t xml:space="preserve">part of </w:t>
      </w:r>
      <w:r w:rsidR="00AF3D6B" w:rsidRPr="00007450">
        <w:t>the</w:t>
      </w:r>
      <w:r w:rsidR="00532D9C" w:rsidRPr="00007450">
        <w:t xml:space="preserve"> comparator</w:t>
      </w:r>
      <w:r w:rsidR="00B9517C" w:rsidRPr="00007450">
        <w:t>. Th</w:t>
      </w:r>
      <w:r w:rsidR="005B408B" w:rsidRPr="00007450">
        <w:t>e submission stated that</w:t>
      </w:r>
      <w:r w:rsidRPr="00007450">
        <w:t xml:space="preserve"> this was consistent with the pivotal NATALEE trial, and ribociclib may not be used with tamoxifen. </w:t>
      </w:r>
    </w:p>
    <w:p w14:paraId="45CAF4FE" w14:textId="3BB95811" w:rsidR="00321068" w:rsidRPr="00007450" w:rsidRDefault="00321068" w:rsidP="00864C4B">
      <w:pPr>
        <w:ind w:firstLine="709"/>
        <w:rPr>
          <w:rFonts w:asciiTheme="minorHAnsi" w:hAnsiTheme="minorHAnsi"/>
          <w:i/>
        </w:rPr>
      </w:pPr>
      <w:r w:rsidRPr="00007450">
        <w:rPr>
          <w:rFonts w:asciiTheme="minorHAnsi" w:hAnsiTheme="minorHAnsi"/>
          <w:i/>
        </w:rPr>
        <w:t>For more detail on PBAC’s view, see section 7 PBAC outcome.</w:t>
      </w:r>
    </w:p>
    <w:p w14:paraId="7AD814E4" w14:textId="77777777" w:rsidR="009905C4" w:rsidRPr="00007450" w:rsidRDefault="009905C4" w:rsidP="00864C4B">
      <w:pPr>
        <w:pStyle w:val="2-SectionHeading"/>
        <w:numPr>
          <w:ilvl w:val="0"/>
          <w:numId w:val="1"/>
        </w:numPr>
      </w:pPr>
      <w:bookmarkStart w:id="23" w:name="_Toc198724439"/>
      <w:bookmarkStart w:id="24" w:name="_Toc22897640"/>
      <w:r w:rsidRPr="00007450">
        <w:t>Consideration of the evidence</w:t>
      </w:r>
      <w:bookmarkEnd w:id="23"/>
    </w:p>
    <w:p w14:paraId="52AB086E" w14:textId="77777777" w:rsidR="00E34B2E" w:rsidRPr="00007450" w:rsidRDefault="00E34B2E" w:rsidP="00864C4B">
      <w:pPr>
        <w:pStyle w:val="3-SubsectionHeading"/>
        <w:outlineLvl w:val="1"/>
        <w:rPr>
          <w:lang w:eastAsia="en-AU"/>
        </w:rPr>
      </w:pPr>
      <w:bookmarkStart w:id="25" w:name="_Hlk76375935"/>
      <w:bookmarkStart w:id="26" w:name="_Toc198724440"/>
      <w:r w:rsidRPr="00007450">
        <w:rPr>
          <w:lang w:eastAsia="en-AU"/>
        </w:rPr>
        <w:t>Sponsor hearing</w:t>
      </w:r>
    </w:p>
    <w:p w14:paraId="5E3DE75B" w14:textId="6A5EC862" w:rsidR="00464ABF" w:rsidRDefault="00F42016" w:rsidP="00864C4B">
      <w:pPr>
        <w:pStyle w:val="3-BodyText"/>
        <w:rPr>
          <w:rFonts w:eastAsia="Times New Roman" w:cs="Arial"/>
          <w:bCs/>
          <w:snapToGrid w:val="0"/>
          <w:szCs w:val="24"/>
        </w:rPr>
      </w:pPr>
      <w:r w:rsidRPr="00007450">
        <w:rPr>
          <w:rFonts w:eastAsia="Times New Roman" w:cs="Arial"/>
          <w:bCs/>
          <w:snapToGrid w:val="0"/>
          <w:szCs w:val="24"/>
        </w:rPr>
        <w:t xml:space="preserve">The Sponsor requested a hearing for this item. </w:t>
      </w:r>
      <w:r w:rsidR="00066BF5">
        <w:rPr>
          <w:rFonts w:eastAsia="Times New Roman" w:cs="Arial"/>
          <w:bCs/>
          <w:snapToGrid w:val="0"/>
          <w:szCs w:val="24"/>
        </w:rPr>
        <w:t xml:space="preserve">The clinician was supportive of the </w:t>
      </w:r>
      <w:r w:rsidR="000F3983">
        <w:rPr>
          <w:rFonts w:eastAsia="Times New Roman" w:cs="Arial"/>
          <w:bCs/>
          <w:snapToGrid w:val="0"/>
          <w:szCs w:val="24"/>
        </w:rPr>
        <w:t xml:space="preserve">proposed PBS listing </w:t>
      </w:r>
      <w:r w:rsidR="00066BF5">
        <w:rPr>
          <w:rFonts w:eastAsia="Times New Roman" w:cs="Arial"/>
          <w:bCs/>
          <w:snapToGrid w:val="0"/>
          <w:szCs w:val="24"/>
        </w:rPr>
        <w:t>of ribociclib</w:t>
      </w:r>
      <w:r w:rsidR="006160A9">
        <w:rPr>
          <w:rFonts w:eastAsia="Times New Roman" w:cs="Arial"/>
          <w:bCs/>
          <w:snapToGrid w:val="0"/>
          <w:szCs w:val="24"/>
        </w:rPr>
        <w:t>, noting</w:t>
      </w:r>
      <w:r w:rsidR="00066BF5">
        <w:rPr>
          <w:rFonts w:eastAsia="Times New Roman" w:cs="Arial"/>
          <w:bCs/>
          <w:snapToGrid w:val="0"/>
          <w:szCs w:val="24"/>
        </w:rPr>
        <w:t xml:space="preserve"> the </w:t>
      </w:r>
      <w:r w:rsidR="00066BF5" w:rsidRPr="00E44D06">
        <w:rPr>
          <w:rFonts w:eastAsia="Times New Roman" w:cs="Arial"/>
          <w:bCs/>
          <w:snapToGrid w:val="0"/>
          <w:szCs w:val="24"/>
        </w:rPr>
        <w:t xml:space="preserve">positive results </w:t>
      </w:r>
      <w:r w:rsidR="00451709">
        <w:rPr>
          <w:rFonts w:eastAsia="Times New Roman" w:cs="Arial"/>
          <w:bCs/>
          <w:snapToGrid w:val="0"/>
          <w:szCs w:val="24"/>
        </w:rPr>
        <w:t>of</w:t>
      </w:r>
      <w:r w:rsidR="00066BF5" w:rsidRPr="00E44D06">
        <w:rPr>
          <w:rFonts w:eastAsia="Times New Roman" w:cs="Arial"/>
          <w:bCs/>
          <w:snapToGrid w:val="0"/>
          <w:szCs w:val="24"/>
        </w:rPr>
        <w:t xml:space="preserve"> the clinical trial</w:t>
      </w:r>
      <w:r w:rsidR="005F615E">
        <w:rPr>
          <w:rFonts w:eastAsia="Times New Roman" w:cs="Arial"/>
          <w:bCs/>
          <w:snapToGrid w:val="0"/>
          <w:szCs w:val="24"/>
        </w:rPr>
        <w:t xml:space="preserve"> </w:t>
      </w:r>
      <w:r w:rsidR="00591CE5">
        <w:rPr>
          <w:rFonts w:eastAsia="Times New Roman" w:cs="Arial"/>
          <w:bCs/>
          <w:snapToGrid w:val="0"/>
          <w:szCs w:val="24"/>
        </w:rPr>
        <w:t>among a</w:t>
      </w:r>
      <w:r w:rsidR="00566C46">
        <w:rPr>
          <w:rFonts w:eastAsia="Times New Roman" w:cs="Arial"/>
          <w:bCs/>
          <w:snapToGrid w:val="0"/>
          <w:szCs w:val="24"/>
        </w:rPr>
        <w:t xml:space="preserve"> </w:t>
      </w:r>
      <w:r w:rsidR="00D74AAC">
        <w:rPr>
          <w:rFonts w:eastAsia="Times New Roman" w:cs="Arial"/>
          <w:bCs/>
          <w:snapToGrid w:val="0"/>
          <w:szCs w:val="24"/>
        </w:rPr>
        <w:t>patient</w:t>
      </w:r>
      <w:r w:rsidR="00421C9B">
        <w:rPr>
          <w:rFonts w:eastAsia="Times New Roman" w:cs="Arial"/>
          <w:bCs/>
          <w:snapToGrid w:val="0"/>
          <w:szCs w:val="24"/>
        </w:rPr>
        <w:t xml:space="preserve"> group </w:t>
      </w:r>
      <w:r w:rsidR="003C1E60">
        <w:rPr>
          <w:rFonts w:eastAsia="Times New Roman" w:cs="Arial"/>
          <w:bCs/>
          <w:snapToGrid w:val="0"/>
          <w:szCs w:val="24"/>
        </w:rPr>
        <w:t>classified as having a</w:t>
      </w:r>
      <w:r w:rsidR="00421C9B">
        <w:rPr>
          <w:rFonts w:eastAsia="Times New Roman" w:cs="Arial"/>
          <w:bCs/>
          <w:snapToGrid w:val="0"/>
          <w:szCs w:val="24"/>
        </w:rPr>
        <w:t xml:space="preserve"> high risk of recurrence.</w:t>
      </w:r>
      <w:r w:rsidR="00B2474C">
        <w:rPr>
          <w:rFonts w:eastAsia="Times New Roman" w:cs="Arial"/>
          <w:bCs/>
          <w:snapToGrid w:val="0"/>
          <w:szCs w:val="24"/>
        </w:rPr>
        <w:t xml:space="preserve"> </w:t>
      </w:r>
      <w:r w:rsidR="00C259EE" w:rsidRPr="00B2474C">
        <w:rPr>
          <w:rFonts w:eastAsia="Times New Roman" w:cs="Arial"/>
          <w:bCs/>
          <w:snapToGrid w:val="0"/>
          <w:szCs w:val="24"/>
        </w:rPr>
        <w:t xml:space="preserve">The clinician discussed </w:t>
      </w:r>
      <w:r w:rsidR="005E0F9D" w:rsidRPr="00B2474C">
        <w:rPr>
          <w:rFonts w:eastAsia="Times New Roman" w:cs="Arial"/>
          <w:bCs/>
          <w:snapToGrid w:val="0"/>
          <w:szCs w:val="24"/>
        </w:rPr>
        <w:t>how</w:t>
      </w:r>
      <w:r w:rsidR="008C141C" w:rsidRPr="00B2474C">
        <w:rPr>
          <w:rFonts w:eastAsia="Times New Roman" w:cs="Arial"/>
          <w:bCs/>
          <w:snapToGrid w:val="0"/>
          <w:szCs w:val="24"/>
        </w:rPr>
        <w:t xml:space="preserve"> </w:t>
      </w:r>
      <w:r w:rsidR="0093568D" w:rsidRPr="00B2474C">
        <w:rPr>
          <w:rFonts w:eastAsia="Times New Roman" w:cs="Arial"/>
          <w:bCs/>
          <w:snapToGrid w:val="0"/>
          <w:szCs w:val="24"/>
        </w:rPr>
        <w:t xml:space="preserve">high risk of recurrence </w:t>
      </w:r>
      <w:r w:rsidR="00C81AFE" w:rsidRPr="00B2474C">
        <w:rPr>
          <w:rFonts w:eastAsia="Times New Roman" w:cs="Arial"/>
          <w:bCs/>
          <w:snapToGrid w:val="0"/>
          <w:szCs w:val="24"/>
        </w:rPr>
        <w:t>was</w:t>
      </w:r>
      <w:r w:rsidR="0093568D" w:rsidRPr="00B2474C">
        <w:rPr>
          <w:rFonts w:eastAsia="Times New Roman" w:cs="Arial"/>
          <w:bCs/>
          <w:snapToGrid w:val="0"/>
          <w:szCs w:val="24"/>
        </w:rPr>
        <w:t xml:space="preserve"> </w:t>
      </w:r>
      <w:r w:rsidR="008C141C" w:rsidRPr="00B2474C">
        <w:rPr>
          <w:rFonts w:eastAsia="Times New Roman" w:cs="Arial"/>
          <w:bCs/>
          <w:snapToGrid w:val="0"/>
          <w:szCs w:val="24"/>
        </w:rPr>
        <w:t xml:space="preserve">typically </w:t>
      </w:r>
      <w:r w:rsidR="0093568D" w:rsidRPr="00B2474C">
        <w:rPr>
          <w:rFonts w:eastAsia="Times New Roman" w:cs="Arial"/>
          <w:bCs/>
          <w:snapToGrid w:val="0"/>
          <w:szCs w:val="24"/>
        </w:rPr>
        <w:t xml:space="preserve">determined </w:t>
      </w:r>
      <w:r w:rsidR="00C32021" w:rsidRPr="00B2474C">
        <w:rPr>
          <w:rFonts w:eastAsia="Times New Roman" w:cs="Arial"/>
          <w:bCs/>
          <w:snapToGrid w:val="0"/>
          <w:szCs w:val="24"/>
        </w:rPr>
        <w:t>in practi</w:t>
      </w:r>
      <w:r w:rsidR="005F632F" w:rsidRPr="00B2474C">
        <w:rPr>
          <w:rFonts w:eastAsia="Times New Roman" w:cs="Arial"/>
          <w:bCs/>
          <w:snapToGrid w:val="0"/>
          <w:szCs w:val="24"/>
        </w:rPr>
        <w:t>c</w:t>
      </w:r>
      <w:r w:rsidR="00C32021" w:rsidRPr="00B2474C">
        <w:rPr>
          <w:rFonts w:eastAsia="Times New Roman" w:cs="Arial"/>
          <w:bCs/>
          <w:snapToGrid w:val="0"/>
          <w:szCs w:val="24"/>
        </w:rPr>
        <w:t>e</w:t>
      </w:r>
      <w:r w:rsidR="005E0F9D" w:rsidRPr="00B2474C">
        <w:rPr>
          <w:rFonts w:eastAsia="Times New Roman" w:cs="Arial"/>
          <w:bCs/>
          <w:snapToGrid w:val="0"/>
          <w:szCs w:val="24"/>
        </w:rPr>
        <w:t>, stating that it was primarily</w:t>
      </w:r>
      <w:r w:rsidR="00C81AFE" w:rsidRPr="00B2474C">
        <w:rPr>
          <w:rFonts w:eastAsia="Times New Roman" w:cs="Arial"/>
          <w:bCs/>
          <w:snapToGrid w:val="0"/>
          <w:szCs w:val="24"/>
        </w:rPr>
        <w:t xml:space="preserve"> </w:t>
      </w:r>
      <w:r w:rsidR="005E0F9D" w:rsidRPr="00B2474C">
        <w:rPr>
          <w:rFonts w:eastAsia="Times New Roman" w:cs="Arial"/>
          <w:bCs/>
          <w:snapToGrid w:val="0"/>
          <w:szCs w:val="24"/>
        </w:rPr>
        <w:t>based on</w:t>
      </w:r>
      <w:r w:rsidR="00C81AFE" w:rsidRPr="00B2474C">
        <w:rPr>
          <w:rFonts w:eastAsia="Times New Roman" w:cs="Arial"/>
          <w:bCs/>
          <w:snapToGrid w:val="0"/>
          <w:szCs w:val="24"/>
        </w:rPr>
        <w:t xml:space="preserve"> </w:t>
      </w:r>
      <w:r w:rsidR="008C141C" w:rsidRPr="00B2474C">
        <w:rPr>
          <w:rFonts w:eastAsia="Times New Roman" w:cs="Arial"/>
          <w:bCs/>
          <w:snapToGrid w:val="0"/>
          <w:szCs w:val="24"/>
        </w:rPr>
        <w:t>size and nodal status</w:t>
      </w:r>
      <w:r w:rsidR="00C81AFE" w:rsidRPr="00B2474C">
        <w:rPr>
          <w:rFonts w:eastAsia="Times New Roman" w:cs="Arial"/>
          <w:bCs/>
          <w:snapToGrid w:val="0"/>
          <w:szCs w:val="24"/>
        </w:rPr>
        <w:t xml:space="preserve">. </w:t>
      </w:r>
      <w:r w:rsidR="00E65284" w:rsidRPr="00B2474C">
        <w:rPr>
          <w:rFonts w:eastAsia="Times New Roman" w:cs="Arial"/>
          <w:bCs/>
          <w:snapToGrid w:val="0"/>
          <w:szCs w:val="24"/>
        </w:rPr>
        <w:t>The clinician also</w:t>
      </w:r>
      <w:r w:rsidR="008C141C" w:rsidRPr="00B2474C">
        <w:rPr>
          <w:rFonts w:eastAsia="Times New Roman" w:cs="Arial"/>
          <w:bCs/>
          <w:snapToGrid w:val="0"/>
          <w:szCs w:val="24"/>
        </w:rPr>
        <w:t xml:space="preserve"> considered </w:t>
      </w:r>
      <w:r w:rsidR="0071744D" w:rsidRPr="00B2474C">
        <w:rPr>
          <w:rFonts w:eastAsia="Times New Roman" w:cs="Arial"/>
          <w:bCs/>
          <w:snapToGrid w:val="0"/>
          <w:szCs w:val="24"/>
        </w:rPr>
        <w:t xml:space="preserve">that </w:t>
      </w:r>
      <w:r w:rsidR="00034A79" w:rsidRPr="00B2474C">
        <w:rPr>
          <w:rFonts w:eastAsia="Times New Roman" w:cs="Arial"/>
          <w:bCs/>
          <w:snapToGrid w:val="0"/>
          <w:szCs w:val="24"/>
        </w:rPr>
        <w:t>biological</w:t>
      </w:r>
      <w:r w:rsidR="0071744D" w:rsidRPr="00B2474C">
        <w:rPr>
          <w:rFonts w:eastAsia="Times New Roman" w:cs="Arial"/>
          <w:bCs/>
          <w:snapToGrid w:val="0"/>
          <w:szCs w:val="24"/>
        </w:rPr>
        <w:t xml:space="preserve"> </w:t>
      </w:r>
      <w:r w:rsidR="00034A79" w:rsidRPr="00B2474C">
        <w:rPr>
          <w:rFonts w:eastAsia="Times New Roman" w:cs="Arial"/>
          <w:bCs/>
          <w:snapToGrid w:val="0"/>
          <w:szCs w:val="24"/>
        </w:rPr>
        <w:t>characteristics,</w:t>
      </w:r>
      <w:r w:rsidR="00384E29" w:rsidRPr="00B2474C">
        <w:rPr>
          <w:rFonts w:eastAsia="Times New Roman" w:cs="Arial"/>
          <w:bCs/>
          <w:snapToGrid w:val="0"/>
          <w:szCs w:val="24"/>
        </w:rPr>
        <w:t xml:space="preserve"> such as the grade of the tumour and the percentage of cells that are Ki-67 positive</w:t>
      </w:r>
      <w:r w:rsidR="00E65284" w:rsidRPr="00B2474C">
        <w:rPr>
          <w:rFonts w:eastAsia="Times New Roman" w:cs="Arial"/>
          <w:bCs/>
          <w:snapToGrid w:val="0"/>
          <w:szCs w:val="24"/>
        </w:rPr>
        <w:t>, were key determinants</w:t>
      </w:r>
      <w:r w:rsidR="00384E29" w:rsidRPr="00B2474C">
        <w:rPr>
          <w:rFonts w:eastAsia="Times New Roman" w:cs="Arial"/>
          <w:bCs/>
          <w:snapToGrid w:val="0"/>
          <w:szCs w:val="24"/>
        </w:rPr>
        <w:t xml:space="preserve">. </w:t>
      </w:r>
      <w:r w:rsidR="00BB110E" w:rsidRPr="00B2474C">
        <w:rPr>
          <w:rFonts w:eastAsia="Times New Roman" w:cs="Arial"/>
          <w:bCs/>
          <w:snapToGrid w:val="0"/>
          <w:szCs w:val="24"/>
        </w:rPr>
        <w:t xml:space="preserve">The clinician also </w:t>
      </w:r>
      <w:r w:rsidR="005948F4" w:rsidRPr="00B2474C">
        <w:rPr>
          <w:rFonts w:eastAsia="Times New Roman" w:cs="Arial"/>
          <w:bCs/>
          <w:snapToGrid w:val="0"/>
          <w:szCs w:val="24"/>
        </w:rPr>
        <w:t>considered that</w:t>
      </w:r>
      <w:r w:rsidR="00BB110E" w:rsidRPr="00B2474C">
        <w:rPr>
          <w:rFonts w:eastAsia="Times New Roman" w:cs="Arial"/>
          <w:bCs/>
          <w:snapToGrid w:val="0"/>
          <w:szCs w:val="24"/>
        </w:rPr>
        <w:t xml:space="preserve"> genomic testing </w:t>
      </w:r>
      <w:r w:rsidR="0011682D" w:rsidRPr="00B2474C">
        <w:rPr>
          <w:rFonts w:eastAsia="Times New Roman" w:cs="Arial"/>
          <w:bCs/>
          <w:snapToGrid w:val="0"/>
          <w:szCs w:val="24"/>
        </w:rPr>
        <w:t>was useful to help inform the decision to use</w:t>
      </w:r>
      <w:r w:rsidR="007D46DF" w:rsidRPr="00B2474C">
        <w:rPr>
          <w:rFonts w:eastAsia="Times New Roman" w:cs="Arial"/>
          <w:bCs/>
          <w:snapToGrid w:val="0"/>
          <w:szCs w:val="24"/>
        </w:rPr>
        <w:t xml:space="preserve"> chemotherapy.</w:t>
      </w:r>
      <w:r w:rsidR="00482C6B" w:rsidRPr="00B2474C">
        <w:rPr>
          <w:rFonts w:eastAsia="Times New Roman" w:cs="Arial"/>
          <w:bCs/>
          <w:snapToGrid w:val="0"/>
          <w:szCs w:val="24"/>
        </w:rPr>
        <w:t xml:space="preserve"> </w:t>
      </w:r>
    </w:p>
    <w:p w14:paraId="7D8DCE67" w14:textId="535AD22D" w:rsidR="00126D49" w:rsidRPr="000D146F" w:rsidRDefault="00126D49" w:rsidP="00864C4B">
      <w:pPr>
        <w:pStyle w:val="3-BodyText"/>
        <w:rPr>
          <w:rFonts w:eastAsia="Times New Roman" w:cs="Arial"/>
          <w:bCs/>
          <w:snapToGrid w:val="0"/>
          <w:szCs w:val="24"/>
        </w:rPr>
      </w:pPr>
      <w:r w:rsidRPr="00B2474C">
        <w:rPr>
          <w:rFonts w:eastAsia="Times New Roman" w:cs="Arial"/>
          <w:bCs/>
          <w:snapToGrid w:val="0"/>
          <w:szCs w:val="24"/>
        </w:rPr>
        <w:t xml:space="preserve">The clinician </w:t>
      </w:r>
      <w:r w:rsidR="00147630" w:rsidRPr="000D146F">
        <w:rPr>
          <w:rFonts w:eastAsia="Times New Roman" w:cs="Arial"/>
          <w:bCs/>
          <w:snapToGrid w:val="0"/>
          <w:szCs w:val="24"/>
        </w:rPr>
        <w:t>noted</w:t>
      </w:r>
      <w:r w:rsidR="00011DB1" w:rsidRPr="000D146F">
        <w:rPr>
          <w:rFonts w:eastAsia="Times New Roman" w:cs="Arial"/>
          <w:bCs/>
          <w:snapToGrid w:val="0"/>
          <w:szCs w:val="24"/>
        </w:rPr>
        <w:t xml:space="preserve"> </w:t>
      </w:r>
      <w:r w:rsidR="00D851DE" w:rsidRPr="000D146F">
        <w:rPr>
          <w:rFonts w:eastAsia="Times New Roman" w:cs="Arial"/>
          <w:bCs/>
          <w:snapToGrid w:val="0"/>
          <w:szCs w:val="24"/>
        </w:rPr>
        <w:t xml:space="preserve">that a 12-month </w:t>
      </w:r>
      <w:r w:rsidR="00BA3C4B" w:rsidRPr="000D146F">
        <w:rPr>
          <w:rFonts w:eastAsia="Times New Roman" w:cs="Arial"/>
          <w:bCs/>
          <w:snapToGrid w:val="0"/>
          <w:szCs w:val="24"/>
        </w:rPr>
        <w:t xml:space="preserve">initiation </w:t>
      </w:r>
      <w:r w:rsidR="00D851DE" w:rsidRPr="000D146F">
        <w:rPr>
          <w:rFonts w:eastAsia="Times New Roman" w:cs="Arial"/>
          <w:bCs/>
          <w:snapToGrid w:val="0"/>
          <w:szCs w:val="24"/>
        </w:rPr>
        <w:t xml:space="preserve">window </w:t>
      </w:r>
      <w:r w:rsidR="002A7C92" w:rsidRPr="000D146F">
        <w:rPr>
          <w:rFonts w:eastAsia="Times New Roman" w:cs="Arial"/>
          <w:bCs/>
          <w:snapToGrid w:val="0"/>
          <w:szCs w:val="24"/>
        </w:rPr>
        <w:t xml:space="preserve">for ribociclib </w:t>
      </w:r>
      <w:r w:rsidR="00730D34" w:rsidRPr="000D146F">
        <w:rPr>
          <w:rFonts w:eastAsia="Times New Roman" w:cs="Arial"/>
          <w:bCs/>
          <w:snapToGrid w:val="0"/>
          <w:szCs w:val="24"/>
        </w:rPr>
        <w:t>following the</w:t>
      </w:r>
      <w:r w:rsidR="00BA3C4B" w:rsidRPr="000D146F">
        <w:rPr>
          <w:rFonts w:eastAsia="Times New Roman" w:cs="Arial"/>
          <w:bCs/>
          <w:snapToGrid w:val="0"/>
          <w:szCs w:val="24"/>
        </w:rPr>
        <w:t xml:space="preserve"> </w:t>
      </w:r>
      <w:r w:rsidR="00730D34" w:rsidRPr="000D146F">
        <w:rPr>
          <w:rFonts w:eastAsia="Times New Roman" w:cs="Arial"/>
          <w:bCs/>
          <w:snapToGrid w:val="0"/>
          <w:szCs w:val="24"/>
        </w:rPr>
        <w:t>introduction</w:t>
      </w:r>
      <w:r w:rsidR="00E44D06" w:rsidRPr="000D146F">
        <w:rPr>
          <w:rFonts w:eastAsia="Times New Roman" w:cs="Arial"/>
          <w:bCs/>
          <w:snapToGrid w:val="0"/>
          <w:szCs w:val="24"/>
        </w:rPr>
        <w:t xml:space="preserve"> of ET was </w:t>
      </w:r>
      <w:r w:rsidR="00730D34" w:rsidRPr="000D146F">
        <w:rPr>
          <w:rFonts w:eastAsia="Times New Roman" w:cs="Arial"/>
          <w:bCs/>
          <w:snapToGrid w:val="0"/>
          <w:szCs w:val="24"/>
        </w:rPr>
        <w:t>consistent</w:t>
      </w:r>
      <w:r w:rsidR="00E44D06" w:rsidRPr="000D146F">
        <w:rPr>
          <w:rFonts w:eastAsia="Times New Roman" w:cs="Arial"/>
          <w:bCs/>
          <w:snapToGrid w:val="0"/>
          <w:szCs w:val="24"/>
        </w:rPr>
        <w:t xml:space="preserve"> with the NATALEE trial and discussed </w:t>
      </w:r>
      <w:r w:rsidRPr="000D146F">
        <w:rPr>
          <w:rFonts w:eastAsia="Times New Roman" w:cs="Arial"/>
          <w:bCs/>
          <w:snapToGrid w:val="0"/>
          <w:szCs w:val="24"/>
        </w:rPr>
        <w:t xml:space="preserve">the benefits that a </w:t>
      </w:r>
      <w:r w:rsidR="00E44D06" w:rsidRPr="000D146F">
        <w:rPr>
          <w:rFonts w:eastAsia="Times New Roman" w:cs="Arial"/>
          <w:bCs/>
          <w:snapToGrid w:val="0"/>
          <w:szCs w:val="24"/>
        </w:rPr>
        <w:t>longer</w:t>
      </w:r>
      <w:r w:rsidRPr="000D146F">
        <w:rPr>
          <w:rFonts w:eastAsia="Times New Roman" w:cs="Arial"/>
          <w:bCs/>
          <w:snapToGrid w:val="0"/>
          <w:szCs w:val="24"/>
        </w:rPr>
        <w:t xml:space="preserve"> window would have for patients, allowing them to adjust to changing treatments, including managing the side effects associated with ET.</w:t>
      </w:r>
    </w:p>
    <w:p w14:paraId="733E432E" w14:textId="63E69BBC" w:rsidR="00E34B2E" w:rsidRPr="00E838E0" w:rsidRDefault="00F42016" w:rsidP="00864C4B">
      <w:pPr>
        <w:pStyle w:val="3-BodyText"/>
        <w:rPr>
          <w:rFonts w:eastAsia="Times New Roman" w:cs="Arial"/>
          <w:bCs/>
          <w:snapToGrid w:val="0"/>
          <w:szCs w:val="24"/>
        </w:rPr>
      </w:pPr>
      <w:r w:rsidRPr="00E44D06">
        <w:rPr>
          <w:rFonts w:eastAsia="Times New Roman" w:cs="Arial"/>
          <w:bCs/>
          <w:snapToGrid w:val="0"/>
          <w:szCs w:val="24"/>
        </w:rPr>
        <w:t>The clinician</w:t>
      </w:r>
      <w:r w:rsidR="008D6CD7" w:rsidRPr="00E44D06">
        <w:rPr>
          <w:rFonts w:eastAsia="Times New Roman" w:cs="Arial"/>
          <w:bCs/>
          <w:snapToGrid w:val="0"/>
          <w:szCs w:val="24"/>
        </w:rPr>
        <w:t xml:space="preserve"> discussed the importance of effective cure and prevention of</w:t>
      </w:r>
      <w:r w:rsidR="00E00910" w:rsidRPr="00E44D06">
        <w:rPr>
          <w:rFonts w:eastAsia="Times New Roman" w:cs="Arial"/>
          <w:bCs/>
          <w:snapToGrid w:val="0"/>
          <w:szCs w:val="24"/>
        </w:rPr>
        <w:t xml:space="preserve"> cancer</w:t>
      </w:r>
      <w:r w:rsidR="008D6CD7" w:rsidRPr="00E44D06">
        <w:rPr>
          <w:rFonts w:eastAsia="Times New Roman" w:cs="Arial"/>
          <w:bCs/>
          <w:snapToGrid w:val="0"/>
          <w:szCs w:val="24"/>
        </w:rPr>
        <w:t xml:space="preserve"> recurrence</w:t>
      </w:r>
      <w:r w:rsidR="00E00910" w:rsidRPr="00E44D06">
        <w:rPr>
          <w:rFonts w:eastAsia="Times New Roman" w:cs="Arial"/>
          <w:bCs/>
          <w:snapToGrid w:val="0"/>
          <w:szCs w:val="24"/>
        </w:rPr>
        <w:t xml:space="preserve"> to patients and</w:t>
      </w:r>
      <w:r w:rsidRPr="00E44D06">
        <w:rPr>
          <w:rFonts w:eastAsia="Times New Roman" w:cs="Arial"/>
          <w:bCs/>
          <w:snapToGrid w:val="0"/>
          <w:szCs w:val="24"/>
        </w:rPr>
        <w:t xml:space="preserve"> discussed the positive results of the clinical trial</w:t>
      </w:r>
      <w:r w:rsidR="007848AF" w:rsidRPr="00E44D06">
        <w:rPr>
          <w:rFonts w:eastAsia="Times New Roman" w:cs="Arial"/>
          <w:bCs/>
          <w:snapToGrid w:val="0"/>
          <w:szCs w:val="24"/>
        </w:rPr>
        <w:t xml:space="preserve">, highlighting </w:t>
      </w:r>
      <w:r w:rsidRPr="00E44D06">
        <w:rPr>
          <w:rFonts w:eastAsia="Times New Roman" w:cs="Arial"/>
          <w:bCs/>
          <w:snapToGrid w:val="0"/>
          <w:szCs w:val="24"/>
        </w:rPr>
        <w:t>that while longer-term data continues to be collected for CDK4/</w:t>
      </w:r>
      <w:r w:rsidR="005C4F73">
        <w:rPr>
          <w:rFonts w:eastAsia="Times New Roman" w:cs="Arial"/>
          <w:bCs/>
          <w:snapToGrid w:val="0"/>
          <w:szCs w:val="24"/>
        </w:rPr>
        <w:t>6</w:t>
      </w:r>
      <w:r w:rsidRPr="00E44D06">
        <w:rPr>
          <w:rFonts w:eastAsia="Times New Roman" w:cs="Arial"/>
          <w:bCs/>
          <w:snapToGrid w:val="0"/>
          <w:szCs w:val="24"/>
        </w:rPr>
        <w:t xml:space="preserve"> inhibitors</w:t>
      </w:r>
      <w:r w:rsidR="00624C76">
        <w:rPr>
          <w:rFonts w:eastAsia="Times New Roman" w:cs="Arial"/>
          <w:bCs/>
          <w:snapToGrid w:val="0"/>
          <w:szCs w:val="24"/>
        </w:rPr>
        <w:t>,</w:t>
      </w:r>
      <w:r w:rsidRPr="00E44D06">
        <w:rPr>
          <w:rFonts w:eastAsia="Times New Roman" w:cs="Arial"/>
          <w:bCs/>
          <w:snapToGrid w:val="0"/>
          <w:szCs w:val="24"/>
        </w:rPr>
        <w:t xml:space="preserve"> the currently available data continues to show a benefit over ET alone. </w:t>
      </w:r>
      <w:r w:rsidR="00C30262" w:rsidRPr="00E44D06">
        <w:rPr>
          <w:rFonts w:eastAsia="Times New Roman" w:cs="Arial"/>
          <w:bCs/>
          <w:snapToGrid w:val="0"/>
          <w:szCs w:val="24"/>
        </w:rPr>
        <w:t>In addition, the clinician highlighted the anxiety and fear associated with</w:t>
      </w:r>
      <w:r w:rsidR="00A1586C">
        <w:rPr>
          <w:rFonts w:eastAsia="Times New Roman" w:cs="Arial"/>
          <w:bCs/>
          <w:snapToGrid w:val="0"/>
          <w:szCs w:val="24"/>
        </w:rPr>
        <w:t xml:space="preserve"> the</w:t>
      </w:r>
      <w:r w:rsidR="00C30262" w:rsidRPr="00E44D06">
        <w:rPr>
          <w:rFonts w:eastAsia="Times New Roman" w:cs="Arial"/>
          <w:bCs/>
          <w:snapToGrid w:val="0"/>
          <w:szCs w:val="24"/>
        </w:rPr>
        <w:t xml:space="preserve"> risk of recurrence experience</w:t>
      </w:r>
      <w:r w:rsidR="00816177">
        <w:rPr>
          <w:rFonts w:eastAsia="Times New Roman" w:cs="Arial"/>
          <w:bCs/>
          <w:snapToGrid w:val="0"/>
          <w:szCs w:val="24"/>
        </w:rPr>
        <w:t>d by</w:t>
      </w:r>
      <w:r w:rsidR="00AC0DCC">
        <w:rPr>
          <w:rFonts w:eastAsia="Times New Roman" w:cs="Arial"/>
          <w:bCs/>
          <w:snapToGrid w:val="0"/>
          <w:szCs w:val="24"/>
        </w:rPr>
        <w:t xml:space="preserve"> </w:t>
      </w:r>
      <w:r w:rsidR="00816177">
        <w:rPr>
          <w:rFonts w:eastAsia="Times New Roman" w:cs="Arial"/>
          <w:bCs/>
          <w:snapToGrid w:val="0"/>
          <w:szCs w:val="24"/>
        </w:rPr>
        <w:t>patients</w:t>
      </w:r>
      <w:r w:rsidR="00C30BBF">
        <w:rPr>
          <w:rFonts w:eastAsia="Times New Roman" w:cs="Arial"/>
          <w:bCs/>
          <w:snapToGrid w:val="0"/>
          <w:szCs w:val="24"/>
        </w:rPr>
        <w:t xml:space="preserve"> and </w:t>
      </w:r>
      <w:r w:rsidR="00D5148C">
        <w:rPr>
          <w:rFonts w:eastAsia="Times New Roman" w:cs="Arial"/>
          <w:bCs/>
          <w:snapToGrid w:val="0"/>
          <w:szCs w:val="24"/>
        </w:rPr>
        <w:t>noted that</w:t>
      </w:r>
      <w:r w:rsidR="005C4F73">
        <w:rPr>
          <w:rFonts w:eastAsia="Times New Roman" w:cs="Arial"/>
          <w:bCs/>
          <w:snapToGrid w:val="0"/>
          <w:szCs w:val="24"/>
        </w:rPr>
        <w:t xml:space="preserve"> most patients</w:t>
      </w:r>
      <w:r w:rsidR="00BD03F2">
        <w:rPr>
          <w:rFonts w:eastAsia="Times New Roman" w:cs="Arial"/>
          <w:bCs/>
          <w:snapToGrid w:val="0"/>
          <w:szCs w:val="24"/>
        </w:rPr>
        <w:t>,</w:t>
      </w:r>
      <w:r w:rsidR="00C62CA1">
        <w:rPr>
          <w:rFonts w:eastAsia="Times New Roman" w:cs="Arial"/>
          <w:bCs/>
          <w:snapToGrid w:val="0"/>
          <w:szCs w:val="24"/>
        </w:rPr>
        <w:t xml:space="preserve"> post</w:t>
      </w:r>
      <w:r w:rsidR="00082E0D">
        <w:rPr>
          <w:rFonts w:eastAsia="Times New Roman" w:cs="Arial"/>
          <w:bCs/>
          <w:snapToGrid w:val="0"/>
          <w:szCs w:val="24"/>
        </w:rPr>
        <w:t>-</w:t>
      </w:r>
      <w:r w:rsidR="00C62CA1">
        <w:rPr>
          <w:rFonts w:eastAsia="Times New Roman" w:cs="Arial"/>
          <w:bCs/>
          <w:snapToGrid w:val="0"/>
          <w:szCs w:val="24"/>
        </w:rPr>
        <w:t>surgery</w:t>
      </w:r>
      <w:r w:rsidR="005C4F73">
        <w:rPr>
          <w:rFonts w:eastAsia="Times New Roman" w:cs="Arial"/>
          <w:bCs/>
          <w:snapToGrid w:val="0"/>
          <w:szCs w:val="24"/>
        </w:rPr>
        <w:t xml:space="preserve"> consider self</w:t>
      </w:r>
      <w:r w:rsidR="00A1586C">
        <w:rPr>
          <w:rFonts w:eastAsia="Times New Roman" w:cs="Arial"/>
          <w:bCs/>
          <w:snapToGrid w:val="0"/>
          <w:szCs w:val="24"/>
        </w:rPr>
        <w:t>-</w:t>
      </w:r>
      <w:r w:rsidR="005C4F73">
        <w:rPr>
          <w:rFonts w:eastAsia="Times New Roman" w:cs="Arial"/>
          <w:bCs/>
          <w:snapToGrid w:val="0"/>
          <w:szCs w:val="24"/>
        </w:rPr>
        <w:t xml:space="preserve">funding </w:t>
      </w:r>
      <w:r w:rsidR="00BA11F8">
        <w:rPr>
          <w:rFonts w:eastAsia="Times New Roman" w:cs="Arial"/>
          <w:bCs/>
          <w:snapToGrid w:val="0"/>
          <w:szCs w:val="24"/>
        </w:rPr>
        <w:t xml:space="preserve">treatment with </w:t>
      </w:r>
      <w:r w:rsidR="005D4D2D">
        <w:rPr>
          <w:rFonts w:eastAsia="Times New Roman" w:cs="Arial"/>
          <w:bCs/>
          <w:snapToGrid w:val="0"/>
          <w:szCs w:val="24"/>
        </w:rPr>
        <w:t xml:space="preserve">a </w:t>
      </w:r>
      <w:r w:rsidR="005C4F73">
        <w:rPr>
          <w:rFonts w:eastAsia="Times New Roman" w:cs="Arial"/>
          <w:bCs/>
          <w:snapToGrid w:val="0"/>
          <w:szCs w:val="24"/>
        </w:rPr>
        <w:t>CDK4/6 inhibitor</w:t>
      </w:r>
      <w:r w:rsidR="00A1586C">
        <w:rPr>
          <w:rFonts w:eastAsia="Times New Roman" w:cs="Arial"/>
          <w:bCs/>
          <w:snapToGrid w:val="0"/>
          <w:szCs w:val="24"/>
        </w:rPr>
        <w:t xml:space="preserve">, but </w:t>
      </w:r>
      <w:r w:rsidR="002F1A8D" w:rsidRPr="00A1586C">
        <w:rPr>
          <w:rFonts w:eastAsia="Times New Roman" w:cs="Arial"/>
          <w:bCs/>
          <w:snapToGrid w:val="0"/>
          <w:szCs w:val="24"/>
        </w:rPr>
        <w:t>noted that the</w:t>
      </w:r>
      <w:r w:rsidR="00F3031B">
        <w:rPr>
          <w:rFonts w:eastAsia="Times New Roman" w:cs="Arial"/>
          <w:bCs/>
          <w:snapToGrid w:val="0"/>
          <w:szCs w:val="24"/>
        </w:rPr>
        <w:t>ir</w:t>
      </w:r>
      <w:r w:rsidR="002F1A8D" w:rsidRPr="00A1586C">
        <w:rPr>
          <w:rFonts w:eastAsia="Times New Roman" w:cs="Arial"/>
          <w:bCs/>
          <w:snapToGrid w:val="0"/>
          <w:szCs w:val="24"/>
        </w:rPr>
        <w:t xml:space="preserve"> current cost was a</w:t>
      </w:r>
      <w:r w:rsidR="002967D5" w:rsidRPr="00A1586C">
        <w:rPr>
          <w:rFonts w:eastAsia="Times New Roman" w:cs="Arial"/>
          <w:bCs/>
          <w:snapToGrid w:val="0"/>
          <w:szCs w:val="24"/>
        </w:rPr>
        <w:t xml:space="preserve"> significant</w:t>
      </w:r>
      <w:r w:rsidR="002F1A8D" w:rsidRPr="00A1586C">
        <w:rPr>
          <w:rFonts w:eastAsia="Times New Roman" w:cs="Arial"/>
          <w:bCs/>
          <w:snapToGrid w:val="0"/>
          <w:szCs w:val="24"/>
        </w:rPr>
        <w:t xml:space="preserve"> barrier to treatment. </w:t>
      </w:r>
    </w:p>
    <w:p w14:paraId="51A1BF89" w14:textId="77777777" w:rsidR="00E34B2E" w:rsidRPr="00007450" w:rsidRDefault="00E34B2E" w:rsidP="00864C4B">
      <w:pPr>
        <w:pStyle w:val="3-SubsectionHeading"/>
        <w:outlineLvl w:val="1"/>
        <w:rPr>
          <w:lang w:eastAsia="en-AU"/>
        </w:rPr>
      </w:pPr>
      <w:r w:rsidRPr="00007450">
        <w:rPr>
          <w:lang w:eastAsia="en-AU"/>
        </w:rPr>
        <w:lastRenderedPageBreak/>
        <w:t>Consumer comments</w:t>
      </w:r>
    </w:p>
    <w:p w14:paraId="57A6E03E" w14:textId="51090C62" w:rsidR="008F123B" w:rsidRPr="00007450" w:rsidRDefault="008F123B" w:rsidP="00864C4B">
      <w:pPr>
        <w:numPr>
          <w:ilvl w:val="1"/>
          <w:numId w:val="1"/>
        </w:numPr>
        <w:spacing w:after="120"/>
        <w:rPr>
          <w:bCs/>
          <w:snapToGrid w:val="0"/>
        </w:rPr>
      </w:pPr>
      <w:bookmarkStart w:id="27" w:name="_Hlk76382618"/>
      <w:r w:rsidRPr="00007450">
        <w:rPr>
          <w:bCs/>
          <w:snapToGrid w:val="0"/>
        </w:rPr>
        <w:t xml:space="preserve">The PBAC noted and welcomed the input from health professionals (3), </w:t>
      </w:r>
      <w:r w:rsidR="00F97923">
        <w:rPr>
          <w:bCs/>
          <w:snapToGrid w:val="0"/>
        </w:rPr>
        <w:t>individuals who would like access</w:t>
      </w:r>
      <w:r w:rsidR="008A6ECD">
        <w:rPr>
          <w:bCs/>
          <w:snapToGrid w:val="0"/>
        </w:rPr>
        <w:t xml:space="preserve"> to ribociclib </w:t>
      </w:r>
      <w:r w:rsidRPr="00007450">
        <w:rPr>
          <w:bCs/>
          <w:snapToGrid w:val="0"/>
        </w:rPr>
        <w:t>(3), the Medical Oncology Group Australia (MOGA) and consumer organisations</w:t>
      </w:r>
      <w:r w:rsidR="00016C4C">
        <w:rPr>
          <w:bCs/>
          <w:snapToGrid w:val="0"/>
        </w:rPr>
        <w:t xml:space="preserve"> </w:t>
      </w:r>
      <w:r w:rsidR="00016C4C" w:rsidRPr="00007450">
        <w:rPr>
          <w:bCs/>
          <w:snapToGrid w:val="0"/>
        </w:rPr>
        <w:t>(4)</w:t>
      </w:r>
      <w:r w:rsidRPr="00007450">
        <w:rPr>
          <w:bCs/>
          <w:snapToGrid w:val="0"/>
        </w:rPr>
        <w:t xml:space="preserve">, including Rare Cancers Australia, Breast Cancer Network Australia (BCNA), So Brave and Inherited Cancers Australia. </w:t>
      </w:r>
    </w:p>
    <w:p w14:paraId="60DDF5B7" w14:textId="35767B51" w:rsidR="008F123B" w:rsidRPr="00007450" w:rsidRDefault="008F123B" w:rsidP="00864C4B">
      <w:pPr>
        <w:numPr>
          <w:ilvl w:val="1"/>
          <w:numId w:val="1"/>
        </w:numPr>
        <w:spacing w:after="120"/>
        <w:rPr>
          <w:bCs/>
          <w:snapToGrid w:val="0"/>
        </w:rPr>
      </w:pPr>
      <w:r w:rsidRPr="00007450">
        <w:rPr>
          <w:bCs/>
          <w:snapToGrid w:val="0"/>
        </w:rPr>
        <w:t>The PBAC acknowledged the input from health professionals discussed the treatment of early breast cancer, which aims to reduce the risk of recurrence and increase the proportion of cured individuals</w:t>
      </w:r>
      <w:r w:rsidR="0089533D">
        <w:rPr>
          <w:bCs/>
          <w:snapToGrid w:val="0"/>
        </w:rPr>
        <w:t>. Th</w:t>
      </w:r>
      <w:r w:rsidR="00A272E7">
        <w:rPr>
          <w:bCs/>
          <w:snapToGrid w:val="0"/>
        </w:rPr>
        <w:t>e</w:t>
      </w:r>
      <w:r w:rsidR="0089533D">
        <w:rPr>
          <w:bCs/>
          <w:snapToGrid w:val="0"/>
        </w:rPr>
        <w:t xml:space="preserve"> input </w:t>
      </w:r>
      <w:r w:rsidR="005E70AB">
        <w:rPr>
          <w:bCs/>
          <w:snapToGrid w:val="0"/>
        </w:rPr>
        <w:t xml:space="preserve">also </w:t>
      </w:r>
      <w:r w:rsidR="0089533D">
        <w:rPr>
          <w:bCs/>
          <w:snapToGrid w:val="0"/>
        </w:rPr>
        <w:t xml:space="preserve">noted </w:t>
      </w:r>
      <w:r w:rsidRPr="00007450">
        <w:rPr>
          <w:bCs/>
          <w:snapToGrid w:val="0"/>
        </w:rPr>
        <w:t>the importance of ribociclib as an additional treatment option to redu</w:t>
      </w:r>
      <w:r w:rsidR="004042B4">
        <w:rPr>
          <w:bCs/>
          <w:snapToGrid w:val="0"/>
        </w:rPr>
        <w:t xml:space="preserve">ce </w:t>
      </w:r>
      <w:r w:rsidRPr="00007450">
        <w:rPr>
          <w:bCs/>
          <w:snapToGrid w:val="0"/>
        </w:rPr>
        <w:t>recurrence</w:t>
      </w:r>
      <w:r w:rsidR="004042B4">
        <w:rPr>
          <w:bCs/>
          <w:snapToGrid w:val="0"/>
        </w:rPr>
        <w:t xml:space="preserve"> rates</w:t>
      </w:r>
      <w:r w:rsidRPr="00007450">
        <w:rPr>
          <w:bCs/>
          <w:snapToGrid w:val="0"/>
        </w:rPr>
        <w:t>, whilst noting that ribociclib ha</w:t>
      </w:r>
      <w:r w:rsidR="001B065A">
        <w:rPr>
          <w:bCs/>
          <w:snapToGrid w:val="0"/>
        </w:rPr>
        <w:t xml:space="preserve">d </w:t>
      </w:r>
      <w:r w:rsidRPr="00007450">
        <w:rPr>
          <w:bCs/>
          <w:snapToGrid w:val="0"/>
        </w:rPr>
        <w:t xml:space="preserve">side effects, but </w:t>
      </w:r>
      <w:r w:rsidR="00A272E7">
        <w:rPr>
          <w:bCs/>
          <w:snapToGrid w:val="0"/>
        </w:rPr>
        <w:t>that they</w:t>
      </w:r>
      <w:r w:rsidRPr="00007450">
        <w:rPr>
          <w:bCs/>
          <w:snapToGrid w:val="0"/>
        </w:rPr>
        <w:t xml:space="preserve"> </w:t>
      </w:r>
      <w:r w:rsidR="00A272E7">
        <w:rPr>
          <w:bCs/>
          <w:snapToGrid w:val="0"/>
        </w:rPr>
        <w:t>were</w:t>
      </w:r>
      <w:r w:rsidRPr="00007450">
        <w:rPr>
          <w:bCs/>
          <w:snapToGrid w:val="0"/>
        </w:rPr>
        <w:t xml:space="preserve"> usually able to be managed. </w:t>
      </w:r>
      <w:r w:rsidR="00200165">
        <w:rPr>
          <w:bCs/>
          <w:snapToGrid w:val="0"/>
        </w:rPr>
        <w:t xml:space="preserve">The input </w:t>
      </w:r>
      <w:r w:rsidR="008B413F">
        <w:rPr>
          <w:bCs/>
          <w:snapToGrid w:val="0"/>
        </w:rPr>
        <w:t xml:space="preserve">also </w:t>
      </w:r>
      <w:r w:rsidR="00200165">
        <w:rPr>
          <w:bCs/>
          <w:snapToGrid w:val="0"/>
        </w:rPr>
        <w:t xml:space="preserve">noted that the current cost of ribociclib was </w:t>
      </w:r>
      <w:r w:rsidR="00F562EA">
        <w:rPr>
          <w:bCs/>
          <w:snapToGrid w:val="0"/>
        </w:rPr>
        <w:t xml:space="preserve">a barrier to treatment. </w:t>
      </w:r>
    </w:p>
    <w:p w14:paraId="2B6FD903" w14:textId="1972DACE" w:rsidR="008F123B" w:rsidRPr="00007450" w:rsidRDefault="008F123B" w:rsidP="00864C4B">
      <w:pPr>
        <w:numPr>
          <w:ilvl w:val="1"/>
          <w:numId w:val="1"/>
        </w:numPr>
        <w:spacing w:after="120"/>
        <w:rPr>
          <w:bCs/>
          <w:snapToGrid w:val="0"/>
        </w:rPr>
      </w:pPr>
      <w:r w:rsidRPr="00007450">
        <w:rPr>
          <w:bCs/>
          <w:snapToGrid w:val="0"/>
        </w:rPr>
        <w:t xml:space="preserve">The PBAC also </w:t>
      </w:r>
      <w:r w:rsidR="003451CF">
        <w:rPr>
          <w:bCs/>
          <w:snapToGrid w:val="0"/>
        </w:rPr>
        <w:t>acknowle</w:t>
      </w:r>
      <w:r w:rsidR="006C3A01">
        <w:rPr>
          <w:bCs/>
          <w:snapToGrid w:val="0"/>
        </w:rPr>
        <w:t>dged</w:t>
      </w:r>
      <w:r w:rsidR="003451CF" w:rsidRPr="00007450">
        <w:rPr>
          <w:bCs/>
          <w:snapToGrid w:val="0"/>
        </w:rPr>
        <w:t xml:space="preserve"> </w:t>
      </w:r>
      <w:r w:rsidRPr="00007450">
        <w:rPr>
          <w:bCs/>
          <w:snapToGrid w:val="0"/>
        </w:rPr>
        <w:t>the input from individuals</w:t>
      </w:r>
      <w:r w:rsidR="00C04A98">
        <w:rPr>
          <w:bCs/>
          <w:snapToGrid w:val="0"/>
        </w:rPr>
        <w:t xml:space="preserve"> who would like access to ribociclib but have not</w:t>
      </w:r>
      <w:r w:rsidR="00F971BC">
        <w:rPr>
          <w:bCs/>
          <w:snapToGrid w:val="0"/>
        </w:rPr>
        <w:t xml:space="preserve"> </w:t>
      </w:r>
      <w:r w:rsidR="00C04A98">
        <w:rPr>
          <w:bCs/>
          <w:snapToGrid w:val="0"/>
        </w:rPr>
        <w:t>used the medicine. The input</w:t>
      </w:r>
      <w:r w:rsidRPr="00007450">
        <w:rPr>
          <w:bCs/>
          <w:snapToGrid w:val="0"/>
        </w:rPr>
        <w:t xml:space="preserve"> </w:t>
      </w:r>
      <w:r w:rsidR="00B77BD9" w:rsidRPr="00007450">
        <w:rPr>
          <w:bCs/>
          <w:snapToGrid w:val="0"/>
        </w:rPr>
        <w:t>discus</w:t>
      </w:r>
      <w:r w:rsidR="00C04A98">
        <w:rPr>
          <w:bCs/>
          <w:snapToGrid w:val="0"/>
        </w:rPr>
        <w:t>sed</w:t>
      </w:r>
      <w:r w:rsidRPr="00007450">
        <w:rPr>
          <w:bCs/>
          <w:snapToGrid w:val="0"/>
        </w:rPr>
        <w:t xml:space="preserve"> the devastating impact of a breast cancer diagnosis and the </w:t>
      </w:r>
      <w:r w:rsidR="00E3193F" w:rsidRPr="00007450">
        <w:rPr>
          <w:bCs/>
          <w:snapToGrid w:val="0"/>
        </w:rPr>
        <w:t>difficult</w:t>
      </w:r>
      <w:r w:rsidRPr="00007450">
        <w:rPr>
          <w:bCs/>
          <w:snapToGrid w:val="0"/>
        </w:rPr>
        <w:t xml:space="preserve"> side effects </w:t>
      </w:r>
      <w:r w:rsidR="00E3193F">
        <w:rPr>
          <w:bCs/>
          <w:snapToGrid w:val="0"/>
        </w:rPr>
        <w:t>associated with current</w:t>
      </w:r>
      <w:r w:rsidR="00E3193F" w:rsidRPr="00007450">
        <w:rPr>
          <w:bCs/>
          <w:snapToGrid w:val="0"/>
        </w:rPr>
        <w:t xml:space="preserve"> </w:t>
      </w:r>
      <w:r w:rsidRPr="00007450">
        <w:rPr>
          <w:bCs/>
          <w:snapToGrid w:val="0"/>
        </w:rPr>
        <w:t>treatment</w:t>
      </w:r>
      <w:r w:rsidR="00E3193F">
        <w:rPr>
          <w:bCs/>
          <w:snapToGrid w:val="0"/>
        </w:rPr>
        <w:t>s,</w:t>
      </w:r>
      <w:r w:rsidRPr="00007450">
        <w:rPr>
          <w:bCs/>
          <w:snapToGrid w:val="0"/>
        </w:rPr>
        <w:t xml:space="preserve"> including fatigue, pain, brain fog, mobility issues and </w:t>
      </w:r>
      <w:r w:rsidR="00D03363">
        <w:rPr>
          <w:bCs/>
          <w:snapToGrid w:val="0"/>
        </w:rPr>
        <w:t xml:space="preserve">significant </w:t>
      </w:r>
      <w:r w:rsidRPr="00007450">
        <w:rPr>
          <w:bCs/>
          <w:snapToGrid w:val="0"/>
        </w:rPr>
        <w:t>emotional impacts</w:t>
      </w:r>
      <w:r w:rsidR="003C4327">
        <w:rPr>
          <w:bCs/>
          <w:snapToGrid w:val="0"/>
        </w:rPr>
        <w:t xml:space="preserve">. The input also </w:t>
      </w:r>
      <w:r w:rsidRPr="00007450">
        <w:rPr>
          <w:bCs/>
          <w:snapToGrid w:val="0"/>
        </w:rPr>
        <w:t xml:space="preserve">described the fear and anxiety </w:t>
      </w:r>
      <w:r w:rsidR="00CA56E5">
        <w:rPr>
          <w:bCs/>
          <w:snapToGrid w:val="0"/>
        </w:rPr>
        <w:t xml:space="preserve">related to the risk of </w:t>
      </w:r>
      <w:r w:rsidRPr="00007450">
        <w:rPr>
          <w:bCs/>
          <w:snapToGrid w:val="0"/>
        </w:rPr>
        <w:t xml:space="preserve">recurrence. The Committee noted the comments from individuals </w:t>
      </w:r>
      <w:r w:rsidR="002A2C7B">
        <w:rPr>
          <w:bCs/>
          <w:snapToGrid w:val="0"/>
        </w:rPr>
        <w:t>regarding</w:t>
      </w:r>
      <w:r w:rsidR="002A2C7B" w:rsidRPr="00007450">
        <w:rPr>
          <w:bCs/>
          <w:snapToGrid w:val="0"/>
        </w:rPr>
        <w:t xml:space="preserve"> </w:t>
      </w:r>
      <w:r w:rsidRPr="00007450">
        <w:rPr>
          <w:bCs/>
          <w:snapToGrid w:val="0"/>
        </w:rPr>
        <w:t xml:space="preserve">the peace of mind that would be offered by additional treatment options and called for broader access for patients. </w:t>
      </w:r>
    </w:p>
    <w:p w14:paraId="7C454549" w14:textId="14D9FEC4" w:rsidR="008F123B" w:rsidRPr="00007450" w:rsidRDefault="008F123B" w:rsidP="00864C4B">
      <w:pPr>
        <w:numPr>
          <w:ilvl w:val="1"/>
          <w:numId w:val="1"/>
        </w:numPr>
        <w:spacing w:after="120"/>
        <w:rPr>
          <w:bCs/>
          <w:snapToGrid w:val="0"/>
        </w:rPr>
      </w:pPr>
      <w:r w:rsidRPr="00007450">
        <w:rPr>
          <w:bCs/>
          <w:snapToGrid w:val="0"/>
        </w:rPr>
        <w:t xml:space="preserve">The PBAC noted the input from Rare Cancers Australia discussed the devastating impacts of a diagnosis of this form of breast cancer on patients and their loved ones, with many undergoing mastectomies and facing ongoing physical and mental health challenges, as well as facing loss of income and inability to work, further compounding these issues. The Committee also noted the input discussed the side effects of current treatments and the appeal of a simpler tablet treatment that could provide reassurance and maintain good quality of life. </w:t>
      </w:r>
    </w:p>
    <w:p w14:paraId="324D6244" w14:textId="046A2EDC" w:rsidR="008F123B" w:rsidRPr="00007450" w:rsidRDefault="008F123B" w:rsidP="00864C4B">
      <w:pPr>
        <w:numPr>
          <w:ilvl w:val="1"/>
          <w:numId w:val="1"/>
        </w:numPr>
        <w:spacing w:after="120"/>
        <w:rPr>
          <w:bCs/>
          <w:snapToGrid w:val="0"/>
        </w:rPr>
      </w:pPr>
      <w:r w:rsidRPr="00007450">
        <w:rPr>
          <w:bCs/>
          <w:snapToGrid w:val="0"/>
        </w:rPr>
        <w:t xml:space="preserve">The PBAC noted the input from BCNA supporting the requested listing, which highlighted the positive results of the NATALEE trial showing an </w:t>
      </w:r>
      <w:r w:rsidR="00B77BD9" w:rsidRPr="00007450">
        <w:rPr>
          <w:bCs/>
          <w:snapToGrid w:val="0"/>
        </w:rPr>
        <w:t>invasive</w:t>
      </w:r>
      <w:r w:rsidRPr="00007450">
        <w:rPr>
          <w:bCs/>
          <w:snapToGrid w:val="0"/>
        </w:rPr>
        <w:t xml:space="preserve"> disease-free survival benefit for the node-negative cohort, and stated that adding ribociclib to standard hormone therapy offers a new treatment option that may better prevent cancer recurrence in people at moderate-high risk who are not eligible for abemaciclib</w:t>
      </w:r>
      <w:r w:rsidR="001B36D6">
        <w:rPr>
          <w:bCs/>
          <w:snapToGrid w:val="0"/>
        </w:rPr>
        <w:t xml:space="preserve">. </w:t>
      </w:r>
      <w:r w:rsidRPr="00007450">
        <w:rPr>
          <w:bCs/>
          <w:snapToGrid w:val="0"/>
        </w:rPr>
        <w:t>The input also highlighted the psycho-social impacts of having more treatments that improve disease-free survival and reduce the risk of recurrence</w:t>
      </w:r>
      <w:r w:rsidR="004636A6">
        <w:rPr>
          <w:bCs/>
          <w:snapToGrid w:val="0"/>
        </w:rPr>
        <w:t xml:space="preserve"> and considered that ribociclib would likely provide</w:t>
      </w:r>
      <w:r w:rsidR="002C14BD">
        <w:rPr>
          <w:bCs/>
          <w:snapToGrid w:val="0"/>
        </w:rPr>
        <w:t xml:space="preserve"> patients with</w:t>
      </w:r>
      <w:r w:rsidR="00376D68">
        <w:rPr>
          <w:bCs/>
          <w:snapToGrid w:val="0"/>
        </w:rPr>
        <w:t xml:space="preserve"> greater confidence and peace of mind</w:t>
      </w:r>
      <w:r w:rsidR="002C14BD">
        <w:rPr>
          <w:bCs/>
          <w:snapToGrid w:val="0"/>
        </w:rPr>
        <w:t xml:space="preserve"> </w:t>
      </w:r>
      <w:r w:rsidR="00376D68">
        <w:rPr>
          <w:bCs/>
          <w:snapToGrid w:val="0"/>
        </w:rPr>
        <w:t>about their long-term outlook</w:t>
      </w:r>
      <w:r w:rsidRPr="00007450">
        <w:rPr>
          <w:bCs/>
          <w:snapToGrid w:val="0"/>
        </w:rPr>
        <w:t xml:space="preserve">. </w:t>
      </w:r>
    </w:p>
    <w:p w14:paraId="18E4FF07" w14:textId="1AE0B35F" w:rsidR="008F123B" w:rsidRPr="00007450" w:rsidRDefault="008F123B" w:rsidP="00864C4B">
      <w:pPr>
        <w:numPr>
          <w:ilvl w:val="1"/>
          <w:numId w:val="1"/>
        </w:numPr>
        <w:spacing w:after="120"/>
        <w:rPr>
          <w:bCs/>
          <w:snapToGrid w:val="0"/>
        </w:rPr>
      </w:pPr>
      <w:r w:rsidRPr="00007450">
        <w:rPr>
          <w:bCs/>
          <w:snapToGrid w:val="0"/>
        </w:rPr>
        <w:t xml:space="preserve">The PBAC noted the input from So Brave focusing on the impacts of HR+, HER2- breast cancer on young women, and highlighted the importance of issues </w:t>
      </w:r>
      <w:r w:rsidR="00DE101A">
        <w:rPr>
          <w:bCs/>
          <w:snapToGrid w:val="0"/>
        </w:rPr>
        <w:t>related to a</w:t>
      </w:r>
      <w:r w:rsidR="00DE101A" w:rsidRPr="00007450">
        <w:rPr>
          <w:bCs/>
          <w:snapToGrid w:val="0"/>
        </w:rPr>
        <w:t xml:space="preserve"> </w:t>
      </w:r>
      <w:r w:rsidRPr="00007450">
        <w:rPr>
          <w:bCs/>
          <w:snapToGrid w:val="0"/>
        </w:rPr>
        <w:t xml:space="preserve">delayed diagnosis, fertility preservation treatment delays, financial impact, risk of recurrence and personalised medicine to patients. The input also outlined that young women </w:t>
      </w:r>
      <w:r w:rsidR="00984460" w:rsidRPr="00007450">
        <w:rPr>
          <w:bCs/>
          <w:snapToGrid w:val="0"/>
        </w:rPr>
        <w:t>diagnosed</w:t>
      </w:r>
      <w:r w:rsidRPr="00007450">
        <w:rPr>
          <w:bCs/>
          <w:snapToGrid w:val="0"/>
        </w:rPr>
        <w:t xml:space="preserve"> with breast cancer in Australia are health literate and confident in their ability to understand and participate in their healthcare decision-making, </w:t>
      </w:r>
      <w:r w:rsidRPr="00007450">
        <w:rPr>
          <w:bCs/>
          <w:snapToGrid w:val="0"/>
        </w:rPr>
        <w:lastRenderedPageBreak/>
        <w:t xml:space="preserve">deserve all available treatment options to be presented, </w:t>
      </w:r>
      <w:r w:rsidR="00453A48">
        <w:rPr>
          <w:bCs/>
          <w:snapToGrid w:val="0"/>
        </w:rPr>
        <w:t>count on</w:t>
      </w:r>
      <w:r w:rsidR="00EB2A51" w:rsidRPr="00007450">
        <w:rPr>
          <w:bCs/>
          <w:snapToGrid w:val="0"/>
        </w:rPr>
        <w:t xml:space="preserve"> </w:t>
      </w:r>
      <w:r w:rsidRPr="00007450">
        <w:rPr>
          <w:bCs/>
          <w:snapToGrid w:val="0"/>
        </w:rPr>
        <w:t xml:space="preserve">a good quality of life and </w:t>
      </w:r>
      <w:r w:rsidR="00453A48">
        <w:rPr>
          <w:bCs/>
          <w:snapToGrid w:val="0"/>
        </w:rPr>
        <w:t xml:space="preserve">the </w:t>
      </w:r>
      <w:r w:rsidRPr="00007450">
        <w:rPr>
          <w:bCs/>
          <w:snapToGrid w:val="0"/>
        </w:rPr>
        <w:t xml:space="preserve">best possible health outcomes, and deserve equitable and affordable access to breast cancer treatments. </w:t>
      </w:r>
      <w:r w:rsidR="00261DA0">
        <w:rPr>
          <w:bCs/>
          <w:snapToGrid w:val="0"/>
        </w:rPr>
        <w:t xml:space="preserve">A letter from </w:t>
      </w:r>
      <w:r w:rsidR="00806318">
        <w:rPr>
          <w:bCs/>
          <w:snapToGrid w:val="0"/>
        </w:rPr>
        <w:t>a</w:t>
      </w:r>
      <w:r w:rsidR="00261DA0">
        <w:rPr>
          <w:bCs/>
          <w:snapToGrid w:val="0"/>
        </w:rPr>
        <w:t xml:space="preserve"> Patient </w:t>
      </w:r>
      <w:r w:rsidR="00FB20FE">
        <w:rPr>
          <w:bCs/>
          <w:snapToGrid w:val="0"/>
        </w:rPr>
        <w:t>Advisory</w:t>
      </w:r>
      <w:r w:rsidR="00261DA0">
        <w:rPr>
          <w:bCs/>
          <w:snapToGrid w:val="0"/>
        </w:rPr>
        <w:t xml:space="preserve"> Committee member accompani</w:t>
      </w:r>
      <w:r w:rsidR="00806318">
        <w:rPr>
          <w:bCs/>
          <w:snapToGrid w:val="0"/>
        </w:rPr>
        <w:t>ed</w:t>
      </w:r>
      <w:r w:rsidR="00261DA0">
        <w:rPr>
          <w:bCs/>
          <w:snapToGrid w:val="0"/>
        </w:rPr>
        <w:t xml:space="preserve"> the </w:t>
      </w:r>
      <w:r w:rsidR="00FB20FE">
        <w:rPr>
          <w:bCs/>
          <w:snapToGrid w:val="0"/>
        </w:rPr>
        <w:t>So Brave input</w:t>
      </w:r>
      <w:r w:rsidR="00DE6F3E">
        <w:rPr>
          <w:bCs/>
          <w:snapToGrid w:val="0"/>
        </w:rPr>
        <w:t>. The</w:t>
      </w:r>
      <w:r w:rsidR="00FB20FE">
        <w:rPr>
          <w:bCs/>
          <w:snapToGrid w:val="0"/>
        </w:rPr>
        <w:t xml:space="preserve"> individual</w:t>
      </w:r>
      <w:r w:rsidR="00640E63">
        <w:rPr>
          <w:bCs/>
          <w:snapToGrid w:val="0"/>
        </w:rPr>
        <w:t xml:space="preserve"> </w:t>
      </w:r>
      <w:r w:rsidR="00DE6F3E">
        <w:rPr>
          <w:bCs/>
          <w:snapToGrid w:val="0"/>
        </w:rPr>
        <w:t xml:space="preserve">was </w:t>
      </w:r>
      <w:r w:rsidR="00FB20FE">
        <w:rPr>
          <w:bCs/>
          <w:snapToGrid w:val="0"/>
        </w:rPr>
        <w:t>diagnosed with HR+, HER</w:t>
      </w:r>
      <w:r w:rsidR="002D13C6">
        <w:rPr>
          <w:bCs/>
          <w:snapToGrid w:val="0"/>
        </w:rPr>
        <w:t>2- Stage II breast cancer</w:t>
      </w:r>
      <w:r w:rsidR="00DE6F3E">
        <w:rPr>
          <w:bCs/>
          <w:snapToGrid w:val="0"/>
        </w:rPr>
        <w:t xml:space="preserve"> and discussed</w:t>
      </w:r>
      <w:r w:rsidR="002D13C6">
        <w:rPr>
          <w:bCs/>
          <w:snapToGrid w:val="0"/>
        </w:rPr>
        <w:t xml:space="preserve"> </w:t>
      </w:r>
      <w:r w:rsidR="00E008A8">
        <w:rPr>
          <w:bCs/>
          <w:snapToGrid w:val="0"/>
        </w:rPr>
        <w:t xml:space="preserve">the </w:t>
      </w:r>
      <w:r w:rsidR="007733FB">
        <w:rPr>
          <w:bCs/>
          <w:snapToGrid w:val="0"/>
        </w:rPr>
        <w:t>back</w:t>
      </w:r>
      <w:r w:rsidR="00DE6F3E">
        <w:rPr>
          <w:bCs/>
          <w:snapToGrid w:val="0"/>
        </w:rPr>
        <w:t>-</w:t>
      </w:r>
      <w:r w:rsidR="007733FB">
        <w:rPr>
          <w:bCs/>
          <w:snapToGrid w:val="0"/>
        </w:rPr>
        <w:t>to</w:t>
      </w:r>
      <w:r w:rsidR="00DE6F3E">
        <w:rPr>
          <w:bCs/>
          <w:snapToGrid w:val="0"/>
        </w:rPr>
        <w:t>-</w:t>
      </w:r>
      <w:r w:rsidR="007733FB">
        <w:rPr>
          <w:bCs/>
          <w:snapToGrid w:val="0"/>
        </w:rPr>
        <w:t xml:space="preserve">back </w:t>
      </w:r>
      <w:r w:rsidR="00DE6F3E">
        <w:rPr>
          <w:bCs/>
          <w:snapToGrid w:val="0"/>
        </w:rPr>
        <w:t>procedures</w:t>
      </w:r>
      <w:r w:rsidR="007733FB">
        <w:rPr>
          <w:bCs/>
          <w:snapToGrid w:val="0"/>
        </w:rPr>
        <w:t xml:space="preserve"> and </w:t>
      </w:r>
      <w:r w:rsidR="00DE6F3E">
        <w:rPr>
          <w:bCs/>
          <w:snapToGrid w:val="0"/>
        </w:rPr>
        <w:t xml:space="preserve">treatments </w:t>
      </w:r>
      <w:r w:rsidR="000D0AEA">
        <w:rPr>
          <w:bCs/>
          <w:snapToGrid w:val="0"/>
        </w:rPr>
        <w:t>they</w:t>
      </w:r>
      <w:r w:rsidR="00DE6F3E">
        <w:rPr>
          <w:bCs/>
          <w:snapToGrid w:val="0"/>
        </w:rPr>
        <w:t xml:space="preserve"> had undergone. </w:t>
      </w:r>
      <w:r w:rsidR="00C04CC4">
        <w:rPr>
          <w:bCs/>
          <w:snapToGrid w:val="0"/>
        </w:rPr>
        <w:t>The individual emphasised the distress</w:t>
      </w:r>
      <w:r w:rsidR="0046163B">
        <w:rPr>
          <w:bCs/>
          <w:snapToGrid w:val="0"/>
        </w:rPr>
        <w:t xml:space="preserve"> caused</w:t>
      </w:r>
      <w:r w:rsidR="00C04CC4">
        <w:rPr>
          <w:bCs/>
          <w:snapToGrid w:val="0"/>
        </w:rPr>
        <w:t xml:space="preserve"> </w:t>
      </w:r>
      <w:r w:rsidR="001A15CE">
        <w:rPr>
          <w:bCs/>
          <w:snapToGrid w:val="0"/>
        </w:rPr>
        <w:t xml:space="preserve">by the potential failure to meet the </w:t>
      </w:r>
      <w:r w:rsidR="0046163B">
        <w:rPr>
          <w:bCs/>
          <w:snapToGrid w:val="0"/>
        </w:rPr>
        <w:t xml:space="preserve">PBS </w:t>
      </w:r>
      <w:r w:rsidR="006B7EF5">
        <w:rPr>
          <w:bCs/>
          <w:snapToGrid w:val="0"/>
        </w:rPr>
        <w:t xml:space="preserve">restriction criterion for </w:t>
      </w:r>
      <w:r w:rsidR="00DE6F3E">
        <w:rPr>
          <w:bCs/>
          <w:snapToGrid w:val="0"/>
        </w:rPr>
        <w:t>initiat</w:t>
      </w:r>
      <w:r w:rsidR="001A15CE">
        <w:rPr>
          <w:bCs/>
          <w:snapToGrid w:val="0"/>
        </w:rPr>
        <w:t>ing</w:t>
      </w:r>
      <w:r w:rsidR="00DE6F3E">
        <w:rPr>
          <w:bCs/>
          <w:snapToGrid w:val="0"/>
        </w:rPr>
        <w:t xml:space="preserve"> </w:t>
      </w:r>
      <w:r w:rsidR="00375B56">
        <w:rPr>
          <w:bCs/>
          <w:snapToGrid w:val="0"/>
        </w:rPr>
        <w:t>treatment with a CDK4/6 inhibito</w:t>
      </w:r>
      <w:r w:rsidR="005912B6">
        <w:rPr>
          <w:bCs/>
          <w:snapToGrid w:val="0"/>
        </w:rPr>
        <w:t>r</w:t>
      </w:r>
      <w:r w:rsidR="001A15CE">
        <w:rPr>
          <w:bCs/>
          <w:snapToGrid w:val="0"/>
        </w:rPr>
        <w:t>,</w:t>
      </w:r>
      <w:r w:rsidR="00375B56">
        <w:rPr>
          <w:bCs/>
          <w:snapToGrid w:val="0"/>
        </w:rPr>
        <w:t xml:space="preserve"> due to </w:t>
      </w:r>
      <w:r w:rsidR="001A15CE">
        <w:rPr>
          <w:bCs/>
          <w:snapToGrid w:val="0"/>
        </w:rPr>
        <w:t xml:space="preserve">the delays associated with fertility preservation. </w:t>
      </w:r>
      <w:r w:rsidR="00024060">
        <w:rPr>
          <w:bCs/>
          <w:snapToGrid w:val="0"/>
        </w:rPr>
        <w:t>The individual noted</w:t>
      </w:r>
      <w:r w:rsidR="00265D2D">
        <w:rPr>
          <w:bCs/>
          <w:snapToGrid w:val="0"/>
        </w:rPr>
        <w:t xml:space="preserve"> that</w:t>
      </w:r>
      <w:r w:rsidR="00024060">
        <w:rPr>
          <w:bCs/>
          <w:snapToGrid w:val="0"/>
        </w:rPr>
        <w:t xml:space="preserve"> </w:t>
      </w:r>
      <w:r w:rsidR="00A637BE">
        <w:rPr>
          <w:bCs/>
          <w:snapToGrid w:val="0"/>
        </w:rPr>
        <w:t xml:space="preserve">without PBS reimbursement, the cost of CDK4/6 </w:t>
      </w:r>
      <w:r w:rsidR="00640B17">
        <w:rPr>
          <w:bCs/>
          <w:snapToGrid w:val="0"/>
        </w:rPr>
        <w:t xml:space="preserve">inhibitor </w:t>
      </w:r>
      <w:r w:rsidR="00A637BE">
        <w:rPr>
          <w:bCs/>
          <w:snapToGrid w:val="0"/>
        </w:rPr>
        <w:t>medicines would be unaffordable</w:t>
      </w:r>
      <w:r w:rsidR="009B0E33">
        <w:rPr>
          <w:bCs/>
          <w:snapToGrid w:val="0"/>
        </w:rPr>
        <w:t>.</w:t>
      </w:r>
    </w:p>
    <w:p w14:paraId="535DF70D" w14:textId="2A5B3D65" w:rsidR="008F123B" w:rsidRPr="00007450" w:rsidRDefault="008F123B" w:rsidP="00864C4B">
      <w:pPr>
        <w:pStyle w:val="3-BodyText"/>
        <w:rPr>
          <w:bCs/>
          <w:snapToGrid w:val="0"/>
        </w:rPr>
      </w:pPr>
      <w:r w:rsidRPr="00007450">
        <w:rPr>
          <w:rFonts w:eastAsia="Times New Roman" w:cs="Arial"/>
          <w:bCs/>
          <w:snapToGrid w:val="0"/>
          <w:szCs w:val="24"/>
        </w:rPr>
        <w:t xml:space="preserve">The PBAC noted the input from Inherited Cancers Australia discussed the population requested for listing in the current submission (lower lymph node involvement) and highlighted the fear of recurrence experienced by these patients, who still remain at a high risk. The input also discussed the Project Shirley study that investigated the experiences of women with early-stage breast cancer and their psychosocial needs, which found that 97% of patients </w:t>
      </w:r>
      <w:r w:rsidR="00982281" w:rsidRPr="00007450">
        <w:rPr>
          <w:rFonts w:eastAsia="Times New Roman" w:cs="Arial"/>
          <w:bCs/>
          <w:snapToGrid w:val="0"/>
          <w:szCs w:val="24"/>
        </w:rPr>
        <w:t>reported</w:t>
      </w:r>
      <w:r w:rsidRPr="00007450">
        <w:rPr>
          <w:rFonts w:eastAsia="Times New Roman" w:cs="Arial"/>
          <w:bCs/>
          <w:snapToGrid w:val="0"/>
          <w:szCs w:val="24"/>
        </w:rPr>
        <w:t xml:space="preserve"> their breast cancer diagnosis had a negative effect on their ability to plan for the future, with </w:t>
      </w:r>
      <w:r w:rsidR="00FC7357">
        <w:rPr>
          <w:rFonts w:eastAsia="Times New Roman" w:cs="Arial"/>
          <w:bCs/>
          <w:snapToGrid w:val="0"/>
          <w:szCs w:val="24"/>
        </w:rPr>
        <w:t xml:space="preserve">more than </w:t>
      </w:r>
      <w:r w:rsidRPr="00007450">
        <w:rPr>
          <w:rFonts w:eastAsia="Times New Roman" w:cs="Arial"/>
          <w:bCs/>
          <w:snapToGrid w:val="0"/>
          <w:szCs w:val="24"/>
        </w:rPr>
        <w:t xml:space="preserve">80% reporting a negative impact on family and social </w:t>
      </w:r>
      <w:r w:rsidR="00982281" w:rsidRPr="00007450">
        <w:rPr>
          <w:rFonts w:eastAsia="Times New Roman" w:cs="Arial"/>
          <w:bCs/>
          <w:snapToGrid w:val="0"/>
          <w:szCs w:val="24"/>
        </w:rPr>
        <w:t>relationships</w:t>
      </w:r>
      <w:r w:rsidRPr="00007450">
        <w:rPr>
          <w:rFonts w:eastAsia="Times New Roman" w:cs="Arial"/>
          <w:bCs/>
          <w:snapToGrid w:val="0"/>
          <w:szCs w:val="24"/>
        </w:rPr>
        <w:t>, with ongoing fear of recurrence a major factor. The input also discussed the results of the NATALEE trial showing a benefit in disease-free survival and highlighted the positive impact expanded access to this treatment would</w:t>
      </w:r>
      <w:r w:rsidR="008644D7">
        <w:rPr>
          <w:rFonts w:eastAsia="Times New Roman" w:cs="Arial"/>
          <w:bCs/>
          <w:snapToGrid w:val="0"/>
          <w:szCs w:val="24"/>
        </w:rPr>
        <w:t xml:space="preserve"> likely</w:t>
      </w:r>
      <w:r w:rsidRPr="00007450">
        <w:rPr>
          <w:rFonts w:eastAsia="Times New Roman" w:cs="Arial"/>
          <w:bCs/>
          <w:snapToGrid w:val="0"/>
          <w:szCs w:val="24"/>
        </w:rPr>
        <w:t xml:space="preserve"> have to a broader community of breast cancer patients.</w:t>
      </w:r>
    </w:p>
    <w:p w14:paraId="5208031B" w14:textId="14F0BC48" w:rsidR="007D196C" w:rsidRPr="00007450" w:rsidRDefault="007D196C" w:rsidP="00864C4B">
      <w:pPr>
        <w:pStyle w:val="3-BodyText"/>
        <w:rPr>
          <w:rFonts w:eastAsia="Times New Roman" w:cs="Arial"/>
          <w:bCs/>
          <w:snapToGrid w:val="0"/>
          <w:szCs w:val="24"/>
        </w:rPr>
      </w:pPr>
      <w:r w:rsidRPr="00007450">
        <w:rPr>
          <w:snapToGrid w:val="0"/>
        </w:rPr>
        <w:t>The Medical Oncology Group of Australia (MOGA) also expressed its strong support for the ribociclib submission, categorising it as one of the therapies of “highest priority for PBS listing” on the basis of the</w:t>
      </w:r>
      <w:r w:rsidR="007A5B28" w:rsidRPr="00007450">
        <w:rPr>
          <w:snapToGrid w:val="0"/>
        </w:rPr>
        <w:t xml:space="preserve"> full population</w:t>
      </w:r>
      <w:r w:rsidRPr="00007450">
        <w:rPr>
          <w:snapToGrid w:val="0"/>
        </w:rPr>
        <w:t xml:space="preserve"> </w:t>
      </w:r>
      <w:r w:rsidR="009A494C" w:rsidRPr="00007450">
        <w:rPr>
          <w:snapToGrid w:val="0"/>
        </w:rPr>
        <w:t>NATALEE</w:t>
      </w:r>
      <w:r w:rsidRPr="00007450">
        <w:rPr>
          <w:snapToGrid w:val="0"/>
        </w:rPr>
        <w:t xml:space="preserve"> trial. </w:t>
      </w:r>
      <w:r w:rsidR="008B6445" w:rsidRPr="00007450">
        <w:rPr>
          <w:rFonts w:eastAsia="Times New Roman" w:cs="Arial"/>
          <w:bCs/>
          <w:snapToGrid w:val="0"/>
          <w:szCs w:val="24"/>
        </w:rPr>
        <w:t>The PBAC noted that the MOGA presented a European Society for Medical Oncology Magnitude of Clinical Benefit Scale (ESMO-MCBS) for ribociclib</w:t>
      </w:r>
      <w:r w:rsidR="00982281" w:rsidRPr="00007450">
        <w:rPr>
          <w:rFonts w:eastAsia="Times New Roman" w:cs="Arial"/>
          <w:bCs/>
          <w:snapToGrid w:val="0"/>
          <w:szCs w:val="24"/>
        </w:rPr>
        <w:t xml:space="preserve"> </w:t>
      </w:r>
      <w:r w:rsidR="008B6445" w:rsidRPr="00007450">
        <w:rPr>
          <w:rFonts w:eastAsia="Times New Roman" w:cs="Arial"/>
          <w:bCs/>
          <w:snapToGrid w:val="0"/>
          <w:szCs w:val="24"/>
        </w:rPr>
        <w:t>the highest grade ‘A’, categorising it as a treatment with substantial benefit in the</w:t>
      </w:r>
      <w:r w:rsidR="000A5B50" w:rsidRPr="00007450">
        <w:rPr>
          <w:rFonts w:eastAsia="Times New Roman" w:cs="Arial"/>
          <w:bCs/>
          <w:snapToGrid w:val="0"/>
          <w:szCs w:val="24"/>
        </w:rPr>
        <w:t xml:space="preserve"> </w:t>
      </w:r>
      <w:r w:rsidR="008B6445" w:rsidRPr="00007450">
        <w:rPr>
          <w:rFonts w:eastAsia="Times New Roman" w:cs="Arial"/>
          <w:bCs/>
          <w:snapToGrid w:val="0"/>
          <w:szCs w:val="24"/>
        </w:rPr>
        <w:t>curative setting</w:t>
      </w:r>
      <w:r w:rsidR="000A5B50" w:rsidRPr="00007450">
        <w:rPr>
          <w:rStyle w:val="FootnoteReference"/>
          <w:rFonts w:eastAsia="Times New Roman" w:cs="Arial"/>
          <w:bCs/>
          <w:snapToGrid w:val="0"/>
          <w:szCs w:val="24"/>
        </w:rPr>
        <w:footnoteReference w:id="6"/>
      </w:r>
      <w:r w:rsidR="00416E46">
        <w:rPr>
          <w:rFonts w:eastAsia="Times New Roman" w:cs="Arial"/>
          <w:bCs/>
          <w:snapToGrid w:val="0"/>
          <w:szCs w:val="24"/>
        </w:rPr>
        <w:t xml:space="preserve">. </w:t>
      </w:r>
      <w:r w:rsidR="00032D73">
        <w:rPr>
          <w:rFonts w:eastAsia="Times New Roman" w:cs="Arial"/>
          <w:bCs/>
          <w:snapToGrid w:val="0"/>
          <w:szCs w:val="24"/>
        </w:rPr>
        <w:t>While</w:t>
      </w:r>
      <w:r w:rsidR="00416E46">
        <w:rPr>
          <w:rFonts w:eastAsia="Times New Roman" w:cs="Arial"/>
          <w:bCs/>
          <w:snapToGrid w:val="0"/>
          <w:szCs w:val="24"/>
        </w:rPr>
        <w:t xml:space="preserve"> </w:t>
      </w:r>
      <w:r w:rsidR="007A5B28" w:rsidRPr="00007450">
        <w:rPr>
          <w:rFonts w:eastAsia="Times New Roman" w:cs="Arial"/>
          <w:bCs/>
          <w:snapToGrid w:val="0"/>
          <w:szCs w:val="24"/>
        </w:rPr>
        <w:t xml:space="preserve">this input was based on the </w:t>
      </w:r>
      <w:r w:rsidR="00305F1F">
        <w:rPr>
          <w:rFonts w:eastAsia="Times New Roman" w:cs="Arial"/>
          <w:bCs/>
          <w:snapToGrid w:val="0"/>
          <w:szCs w:val="24"/>
        </w:rPr>
        <w:t>intention-to-treat (</w:t>
      </w:r>
      <w:r w:rsidR="007A5B28" w:rsidRPr="00007450">
        <w:rPr>
          <w:rFonts w:eastAsia="Times New Roman" w:cs="Arial"/>
          <w:bCs/>
          <w:snapToGrid w:val="0"/>
          <w:szCs w:val="24"/>
        </w:rPr>
        <w:t>ITT</w:t>
      </w:r>
      <w:r w:rsidR="00305F1F">
        <w:rPr>
          <w:rFonts w:eastAsia="Times New Roman" w:cs="Arial"/>
          <w:bCs/>
          <w:snapToGrid w:val="0"/>
          <w:szCs w:val="24"/>
        </w:rPr>
        <w:t>)</w:t>
      </w:r>
      <w:r w:rsidR="007A5B28" w:rsidRPr="00007450">
        <w:rPr>
          <w:rFonts w:eastAsia="Times New Roman" w:cs="Arial"/>
          <w:bCs/>
          <w:snapToGrid w:val="0"/>
          <w:szCs w:val="24"/>
        </w:rPr>
        <w:t xml:space="preserve"> population of the trial</w:t>
      </w:r>
      <w:r w:rsidR="00416E46">
        <w:rPr>
          <w:rFonts w:eastAsia="Times New Roman" w:cs="Arial"/>
          <w:bCs/>
          <w:snapToGrid w:val="0"/>
          <w:szCs w:val="24"/>
        </w:rPr>
        <w:t xml:space="preserve">, </w:t>
      </w:r>
      <w:r w:rsidR="00032D73">
        <w:rPr>
          <w:rFonts w:eastAsia="Times New Roman" w:cs="Arial"/>
          <w:bCs/>
          <w:snapToGrid w:val="0"/>
          <w:szCs w:val="24"/>
        </w:rPr>
        <w:t>the PBAC noted that</w:t>
      </w:r>
      <w:r w:rsidR="00B24A00">
        <w:rPr>
          <w:rFonts w:eastAsia="Times New Roman" w:cs="Arial"/>
          <w:bCs/>
          <w:snapToGrid w:val="0"/>
          <w:szCs w:val="24"/>
        </w:rPr>
        <w:t xml:space="preserve"> it</w:t>
      </w:r>
      <w:r w:rsidR="008E3F25">
        <w:rPr>
          <w:rFonts w:eastAsia="Times New Roman" w:cs="Arial"/>
          <w:bCs/>
          <w:snapToGrid w:val="0"/>
          <w:szCs w:val="24"/>
        </w:rPr>
        <w:t xml:space="preserve"> also included </w:t>
      </w:r>
      <w:r w:rsidR="00056E3C">
        <w:rPr>
          <w:rFonts w:eastAsia="Times New Roman" w:cs="Arial"/>
          <w:bCs/>
          <w:snapToGrid w:val="0"/>
          <w:szCs w:val="24"/>
        </w:rPr>
        <w:t xml:space="preserve">data </w:t>
      </w:r>
      <w:r w:rsidR="00E60DBB">
        <w:rPr>
          <w:rFonts w:eastAsia="Times New Roman" w:cs="Arial"/>
          <w:bCs/>
          <w:snapToGrid w:val="0"/>
          <w:szCs w:val="24"/>
        </w:rPr>
        <w:t>which</w:t>
      </w:r>
      <w:r w:rsidR="0072001F">
        <w:rPr>
          <w:rFonts w:eastAsia="Times New Roman" w:cs="Arial"/>
          <w:bCs/>
          <w:snapToGrid w:val="0"/>
          <w:szCs w:val="24"/>
        </w:rPr>
        <w:t xml:space="preserve"> appeared </w:t>
      </w:r>
      <w:r w:rsidR="007A5B28" w:rsidRPr="00007450">
        <w:rPr>
          <w:rFonts w:eastAsia="Times New Roman" w:cs="Arial"/>
          <w:bCs/>
          <w:snapToGrid w:val="0"/>
          <w:szCs w:val="24"/>
        </w:rPr>
        <w:t xml:space="preserve">specific </w:t>
      </w:r>
      <w:r w:rsidR="00E60DBB">
        <w:rPr>
          <w:rFonts w:eastAsia="Times New Roman" w:cs="Arial"/>
          <w:bCs/>
          <w:snapToGrid w:val="0"/>
          <w:szCs w:val="24"/>
        </w:rPr>
        <w:t>to</w:t>
      </w:r>
      <w:r w:rsidR="00982281" w:rsidRPr="00007450">
        <w:rPr>
          <w:rFonts w:eastAsia="Times New Roman" w:cs="Arial"/>
          <w:bCs/>
          <w:snapToGrid w:val="0"/>
          <w:szCs w:val="24"/>
        </w:rPr>
        <w:t xml:space="preserve"> the subgroup requested in the current submission</w:t>
      </w:r>
      <w:r w:rsidR="000A5B50" w:rsidRPr="00007450">
        <w:rPr>
          <w:snapToGrid w:val="0"/>
        </w:rPr>
        <w:t>.</w:t>
      </w:r>
    </w:p>
    <w:bookmarkEnd w:id="25"/>
    <w:bookmarkEnd w:id="27"/>
    <w:p w14:paraId="4EA65C13" w14:textId="77777777" w:rsidR="009905C4" w:rsidRPr="00007450" w:rsidRDefault="009905C4" w:rsidP="00864C4B">
      <w:pPr>
        <w:pStyle w:val="4-SubsectionHeading"/>
      </w:pPr>
      <w:r w:rsidRPr="00007450">
        <w:t>Clinical trials</w:t>
      </w:r>
      <w:bookmarkEnd w:id="24"/>
      <w:bookmarkEnd w:id="26"/>
    </w:p>
    <w:p w14:paraId="5F271872" w14:textId="6F80EBAA" w:rsidR="009905C4" w:rsidRPr="00007450" w:rsidRDefault="009905C4" w:rsidP="00864C4B">
      <w:pPr>
        <w:pStyle w:val="3-BodyText"/>
        <w:numPr>
          <w:ilvl w:val="1"/>
          <w:numId w:val="1"/>
        </w:numPr>
        <w:rPr>
          <w:color w:val="0066FF"/>
        </w:rPr>
      </w:pPr>
      <w:r w:rsidRPr="00007450">
        <w:t xml:space="preserve">The submission </w:t>
      </w:r>
      <w:r w:rsidR="00E56D0E" w:rsidRPr="00007450">
        <w:t>was based on</w:t>
      </w:r>
      <w:r w:rsidRPr="00007450">
        <w:t xml:space="preserve"> a subgroup of patients (n=1</w:t>
      </w:r>
      <w:r w:rsidR="00F731A2" w:rsidRPr="00007450">
        <w:t>,</w:t>
      </w:r>
      <w:r w:rsidRPr="00007450">
        <w:t xml:space="preserve">794) </w:t>
      </w:r>
      <w:r w:rsidR="0083429A" w:rsidRPr="00007450">
        <w:t>from</w:t>
      </w:r>
      <w:r w:rsidRPr="00007450">
        <w:t xml:space="preserve"> </w:t>
      </w:r>
      <w:r w:rsidR="007F4CB6" w:rsidRPr="00007450">
        <w:t xml:space="preserve">a </w:t>
      </w:r>
      <w:r w:rsidR="0082733A" w:rsidRPr="00007450">
        <w:t xml:space="preserve">randomised </w:t>
      </w:r>
      <w:r w:rsidRPr="00007450">
        <w:t xml:space="preserve">trial comparing ribociclib + ET to ET alone (NATALEE) </w:t>
      </w:r>
      <w:r w:rsidR="0082733A" w:rsidRPr="00007450">
        <w:t>(N=5,101</w:t>
      </w:r>
      <w:r w:rsidR="0082733A" w:rsidRPr="00007450" w:rsidDel="003F4186">
        <w:t>)</w:t>
      </w:r>
      <w:r w:rsidR="0082733A" w:rsidRPr="00007450">
        <w:t xml:space="preserve"> </w:t>
      </w:r>
      <w:r w:rsidRPr="00007450">
        <w:t>(hereafter referred to as ‘the PBS subgroup’</w:t>
      </w:r>
      <w:r w:rsidR="000A516E" w:rsidRPr="00007450">
        <w:t>)</w:t>
      </w:r>
      <w:r w:rsidRPr="00007450">
        <w:t xml:space="preserve">. </w:t>
      </w:r>
      <w:r w:rsidR="00C16598" w:rsidRPr="00007450">
        <w:t xml:space="preserve">The </w:t>
      </w:r>
      <w:r w:rsidRPr="00007450">
        <w:t xml:space="preserve">PBAC </w:t>
      </w:r>
      <w:r w:rsidR="00EB7978" w:rsidRPr="00007450">
        <w:t xml:space="preserve">previously </w:t>
      </w:r>
      <w:r w:rsidRPr="00007450">
        <w:t>considered the complement subgroup of the NATALEE trial in November 2024 (</w:t>
      </w:r>
      <w:r w:rsidR="00B81775" w:rsidRPr="00007450">
        <w:t xml:space="preserve">patients </w:t>
      </w:r>
      <w:r w:rsidR="00B81775" w:rsidRPr="00007450">
        <w:rPr>
          <w:rFonts w:ascii="Calibri" w:eastAsia="Times New Roman" w:hAnsi="Calibri" w:cs="Arial"/>
          <w:bCs/>
        </w:rPr>
        <w:t>with ≥ 4 positive ALNs, or 1–3 positive ALNs and histological grade 3 disease and/or tumour size ≥ 5 cm</w:t>
      </w:r>
      <w:r w:rsidRPr="00007450">
        <w:t xml:space="preserve">). </w:t>
      </w:r>
    </w:p>
    <w:p w14:paraId="63E5373C" w14:textId="01CA802E" w:rsidR="009905C4" w:rsidRPr="00007450" w:rsidRDefault="009905C4" w:rsidP="00864C4B">
      <w:pPr>
        <w:pStyle w:val="3-BodyText"/>
        <w:numPr>
          <w:ilvl w:val="1"/>
          <w:numId w:val="1"/>
        </w:numPr>
      </w:pPr>
      <w:r w:rsidRPr="00007450">
        <w:t>Details of the NATALEE trial</w:t>
      </w:r>
      <w:r w:rsidR="00F63BB2" w:rsidRPr="00007450">
        <w:t xml:space="preserve"> and associated reports</w:t>
      </w:r>
      <w:r w:rsidRPr="00007450">
        <w:t xml:space="preserve"> presented in the submission are provided in </w:t>
      </w:r>
      <w:r w:rsidRPr="00007450">
        <w:fldChar w:fldCharType="begin"/>
      </w:r>
      <w:r w:rsidRPr="00007450">
        <w:instrText xml:space="preserve"> REF _Ref104803956 \h </w:instrText>
      </w:r>
      <w:r w:rsidRPr="00007450">
        <w:fldChar w:fldCharType="separate"/>
      </w:r>
      <w:r w:rsidR="00B36442" w:rsidRPr="00007450">
        <w:t xml:space="preserve">Table </w:t>
      </w:r>
      <w:r w:rsidR="00B36442">
        <w:rPr>
          <w:noProof/>
        </w:rPr>
        <w:t>3</w:t>
      </w:r>
      <w:r w:rsidRPr="00007450">
        <w:fldChar w:fldCharType="end"/>
      </w:r>
      <w:r w:rsidRPr="00007450">
        <w:t xml:space="preserve">. </w:t>
      </w:r>
    </w:p>
    <w:p w14:paraId="6B84F45A" w14:textId="2D8BD115" w:rsidR="009905C4" w:rsidRPr="00007450" w:rsidRDefault="009905C4" w:rsidP="00864C4B">
      <w:pPr>
        <w:pStyle w:val="TableFigureHeading"/>
        <w:rPr>
          <w:rStyle w:val="CommentReference"/>
          <w:b/>
          <w:szCs w:val="24"/>
        </w:rPr>
      </w:pPr>
      <w:bookmarkStart w:id="28" w:name="_Ref104803956"/>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3</w:t>
      </w:r>
      <w:r w:rsidR="001C7776">
        <w:rPr>
          <w:noProof/>
        </w:rPr>
        <w:fldChar w:fldCharType="end"/>
      </w:r>
      <w:bookmarkEnd w:id="28"/>
      <w:r w:rsidRPr="00007450">
        <w:t>:</w:t>
      </w:r>
      <w:r w:rsidRPr="00007450">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 and associated reports presented in the submission"/>
      </w:tblPr>
      <w:tblGrid>
        <w:gridCol w:w="1571"/>
        <w:gridCol w:w="4986"/>
        <w:gridCol w:w="2460"/>
      </w:tblGrid>
      <w:tr w:rsidR="009905C4" w:rsidRPr="00007450" w14:paraId="6D1E6EF8" w14:textId="77777777">
        <w:trPr>
          <w:cantSplit/>
          <w:tblHeader/>
        </w:trPr>
        <w:tc>
          <w:tcPr>
            <w:tcW w:w="871" w:type="pct"/>
            <w:vAlign w:val="center"/>
          </w:tcPr>
          <w:p w14:paraId="669F0EB0" w14:textId="77777777" w:rsidR="009905C4" w:rsidRPr="00007450" w:rsidRDefault="009905C4" w:rsidP="00864C4B">
            <w:pPr>
              <w:pStyle w:val="In-tableHeading"/>
              <w:jc w:val="center"/>
              <w:rPr>
                <w:lang w:val="en-AU"/>
              </w:rPr>
            </w:pPr>
            <w:r w:rsidRPr="00007450">
              <w:rPr>
                <w:lang w:val="en-AU"/>
              </w:rPr>
              <w:t>Trial ID</w:t>
            </w:r>
          </w:p>
        </w:tc>
        <w:tc>
          <w:tcPr>
            <w:tcW w:w="2765" w:type="pct"/>
            <w:vAlign w:val="center"/>
          </w:tcPr>
          <w:p w14:paraId="7F0368A6" w14:textId="77777777" w:rsidR="009905C4" w:rsidRPr="00007450" w:rsidRDefault="009905C4" w:rsidP="00864C4B">
            <w:pPr>
              <w:pStyle w:val="In-tableHeading"/>
              <w:rPr>
                <w:lang w:val="en-AU"/>
              </w:rPr>
            </w:pPr>
            <w:r w:rsidRPr="00007450">
              <w:rPr>
                <w:lang w:val="en-AU"/>
              </w:rPr>
              <w:t>Protocol title/ Publication title</w:t>
            </w:r>
          </w:p>
        </w:tc>
        <w:tc>
          <w:tcPr>
            <w:tcW w:w="1364" w:type="pct"/>
            <w:vAlign w:val="center"/>
          </w:tcPr>
          <w:p w14:paraId="40D2AC07" w14:textId="77777777" w:rsidR="009905C4" w:rsidRPr="00007450" w:rsidRDefault="009905C4" w:rsidP="00864C4B">
            <w:pPr>
              <w:pStyle w:val="In-tableHeading"/>
              <w:rPr>
                <w:lang w:val="en-AU"/>
              </w:rPr>
            </w:pPr>
            <w:r w:rsidRPr="00007450">
              <w:rPr>
                <w:lang w:val="en-AU"/>
              </w:rPr>
              <w:t>Publication citation</w:t>
            </w:r>
          </w:p>
        </w:tc>
      </w:tr>
      <w:tr w:rsidR="009905C4" w:rsidRPr="00007450" w14:paraId="63E07E6A" w14:textId="77777777">
        <w:trPr>
          <w:cantSplit/>
        </w:trPr>
        <w:tc>
          <w:tcPr>
            <w:tcW w:w="871" w:type="pct"/>
            <w:vMerge w:val="restart"/>
            <w:vAlign w:val="center"/>
          </w:tcPr>
          <w:p w14:paraId="4394058C" w14:textId="77777777" w:rsidR="009905C4" w:rsidRPr="00007450" w:rsidRDefault="009905C4" w:rsidP="00864C4B">
            <w:pPr>
              <w:pStyle w:val="TableText0"/>
            </w:pPr>
            <w:r w:rsidRPr="00007450">
              <w:t>NATALEE</w:t>
            </w:r>
          </w:p>
          <w:p w14:paraId="20A5A39A" w14:textId="77777777" w:rsidR="009905C4" w:rsidRPr="00007450" w:rsidRDefault="009905C4" w:rsidP="00864C4B">
            <w:pPr>
              <w:pStyle w:val="TableText0"/>
              <w:rPr>
                <w:szCs w:val="20"/>
              </w:rPr>
            </w:pPr>
            <w:r w:rsidRPr="00007450">
              <w:rPr>
                <w:szCs w:val="20"/>
              </w:rPr>
              <w:t>NCT03701334</w:t>
            </w:r>
          </w:p>
        </w:tc>
        <w:tc>
          <w:tcPr>
            <w:tcW w:w="2765" w:type="pct"/>
            <w:tcBorders>
              <w:bottom w:val="nil"/>
            </w:tcBorders>
            <w:vAlign w:val="center"/>
          </w:tcPr>
          <w:p w14:paraId="0D821953" w14:textId="08C1DBA6" w:rsidR="009905C4" w:rsidRPr="00007450" w:rsidRDefault="009905C4" w:rsidP="00864C4B">
            <w:pPr>
              <w:pStyle w:val="TableText0"/>
            </w:pPr>
            <w:r w:rsidRPr="00007450">
              <w:t>A phase III, multicenter, randomised, open-label trial to evaluate efficacy and safety of Ribociclib with endocrine therapy as an adjuvant treatment in patients with hormone receptor-positive, HER2-negative, early breast cancer (New Adjuvant TriAl with Ribociclib [LEE011]: NATALEE)</w:t>
            </w:r>
            <w:r w:rsidR="008F70C1" w:rsidRPr="00007450">
              <w:t>.</w:t>
            </w:r>
          </w:p>
        </w:tc>
        <w:tc>
          <w:tcPr>
            <w:tcW w:w="1364" w:type="pct"/>
            <w:tcBorders>
              <w:bottom w:val="nil"/>
            </w:tcBorders>
            <w:vAlign w:val="center"/>
          </w:tcPr>
          <w:p w14:paraId="5312387A" w14:textId="77777777" w:rsidR="009905C4" w:rsidRPr="00007450" w:rsidRDefault="009905C4" w:rsidP="00864C4B">
            <w:pPr>
              <w:pStyle w:val="TableText0"/>
            </w:pPr>
            <w:r w:rsidRPr="00007450">
              <w:t>CSR</w:t>
            </w:r>
          </w:p>
          <w:p w14:paraId="7D0D8A6A" w14:textId="77777777" w:rsidR="009905C4" w:rsidRPr="00007450" w:rsidRDefault="009905C4" w:rsidP="00864C4B">
            <w:pPr>
              <w:pStyle w:val="TableText0"/>
            </w:pPr>
            <w:r w:rsidRPr="00007450">
              <w:t>Data cut-off date: 11 January 2023</w:t>
            </w:r>
          </w:p>
          <w:p w14:paraId="0B840C82" w14:textId="77777777" w:rsidR="009905C4" w:rsidRPr="00007450" w:rsidRDefault="009905C4" w:rsidP="00864C4B">
            <w:pPr>
              <w:pStyle w:val="TableText0"/>
            </w:pPr>
            <w:r w:rsidRPr="00007450">
              <w:t xml:space="preserve">Report date: 2 August 2023 </w:t>
            </w:r>
          </w:p>
        </w:tc>
      </w:tr>
      <w:tr w:rsidR="009905C4" w:rsidRPr="00007450" w14:paraId="52EDB0FD" w14:textId="77777777">
        <w:trPr>
          <w:cantSplit/>
        </w:trPr>
        <w:tc>
          <w:tcPr>
            <w:tcW w:w="871" w:type="pct"/>
            <w:vMerge/>
            <w:vAlign w:val="center"/>
          </w:tcPr>
          <w:p w14:paraId="365E8246" w14:textId="77777777" w:rsidR="009905C4" w:rsidRPr="00007450" w:rsidRDefault="009905C4" w:rsidP="00864C4B">
            <w:pPr>
              <w:pStyle w:val="TableText0"/>
            </w:pPr>
          </w:p>
        </w:tc>
        <w:tc>
          <w:tcPr>
            <w:tcW w:w="2765" w:type="pct"/>
            <w:tcBorders>
              <w:top w:val="nil"/>
              <w:bottom w:val="nil"/>
            </w:tcBorders>
            <w:vAlign w:val="center"/>
          </w:tcPr>
          <w:p w14:paraId="62B88222" w14:textId="5D1D8EAA" w:rsidR="009905C4" w:rsidRPr="00007450" w:rsidRDefault="009905C4" w:rsidP="00864C4B">
            <w:pPr>
              <w:pStyle w:val="TableText0"/>
            </w:pPr>
            <w:r w:rsidRPr="00007450">
              <w:t>A phase III, multicenter, randomised, open-label trial to evaluate efficacy and safety of Ribociclib with endocrine therapy as an adjuvant treatment in patients with hormone receptor-positive, HER2-negative, early breast cancer: efficacy analysis and safety update Final iDFS Analysis</w:t>
            </w:r>
            <w:r w:rsidR="008F70C1" w:rsidRPr="00007450">
              <w:t>.</w:t>
            </w:r>
          </w:p>
        </w:tc>
        <w:tc>
          <w:tcPr>
            <w:tcW w:w="1364" w:type="pct"/>
            <w:tcBorders>
              <w:top w:val="nil"/>
              <w:bottom w:val="nil"/>
            </w:tcBorders>
            <w:vAlign w:val="center"/>
          </w:tcPr>
          <w:p w14:paraId="5B652FDC" w14:textId="77777777" w:rsidR="009905C4" w:rsidRPr="00007450" w:rsidRDefault="009905C4" w:rsidP="00864C4B">
            <w:pPr>
              <w:pStyle w:val="TableText0"/>
            </w:pPr>
            <w:r w:rsidRPr="00007450">
              <w:t>Data cut-off date: 21 July 2023</w:t>
            </w:r>
          </w:p>
          <w:p w14:paraId="53E9FF22" w14:textId="77777777" w:rsidR="009905C4" w:rsidRPr="00007450" w:rsidRDefault="009905C4" w:rsidP="00864C4B">
            <w:pPr>
              <w:pStyle w:val="TableText0"/>
            </w:pPr>
            <w:r w:rsidRPr="00007450">
              <w:t>Report date: 23 November 2023</w:t>
            </w:r>
          </w:p>
        </w:tc>
      </w:tr>
      <w:tr w:rsidR="009905C4" w:rsidRPr="00007450" w14:paraId="6162E587" w14:textId="77777777">
        <w:trPr>
          <w:cantSplit/>
        </w:trPr>
        <w:tc>
          <w:tcPr>
            <w:tcW w:w="871" w:type="pct"/>
            <w:vMerge/>
            <w:vAlign w:val="center"/>
          </w:tcPr>
          <w:p w14:paraId="03ABBA7F" w14:textId="77777777" w:rsidR="009905C4" w:rsidRPr="00007450" w:rsidRDefault="009905C4" w:rsidP="00864C4B">
            <w:pPr>
              <w:pStyle w:val="TableText0"/>
            </w:pPr>
          </w:p>
        </w:tc>
        <w:tc>
          <w:tcPr>
            <w:tcW w:w="2765" w:type="pct"/>
            <w:tcBorders>
              <w:top w:val="nil"/>
              <w:bottom w:val="nil"/>
            </w:tcBorders>
            <w:vAlign w:val="center"/>
          </w:tcPr>
          <w:p w14:paraId="6E1E52C8" w14:textId="394DC8E1" w:rsidR="009905C4" w:rsidRPr="00007450" w:rsidRDefault="009905C4" w:rsidP="00864C4B">
            <w:pPr>
              <w:pStyle w:val="TableText0"/>
            </w:pPr>
            <w:r w:rsidRPr="00007450">
              <w:t>A phase III, multicenter, randomized, open-label trial to evaluate efficacy and safety of ribociclib with endocrine therapy as an adjuvant treatment in patients with hormone receptor-positive, HER2-negative, early breast cancer: End of Ribociclib Analysis Report</w:t>
            </w:r>
            <w:r w:rsidR="008F70C1" w:rsidRPr="00007450">
              <w:t>.</w:t>
            </w:r>
          </w:p>
        </w:tc>
        <w:tc>
          <w:tcPr>
            <w:tcW w:w="1364" w:type="pct"/>
            <w:tcBorders>
              <w:top w:val="nil"/>
              <w:bottom w:val="nil"/>
            </w:tcBorders>
            <w:vAlign w:val="center"/>
          </w:tcPr>
          <w:p w14:paraId="1C5AA8C9" w14:textId="77777777" w:rsidR="009905C4" w:rsidRPr="00007450" w:rsidRDefault="009905C4" w:rsidP="00864C4B">
            <w:pPr>
              <w:pStyle w:val="TableText0"/>
            </w:pPr>
            <w:r w:rsidRPr="00007450">
              <w:t>Data cut-off date: 29 April 2024</w:t>
            </w:r>
          </w:p>
          <w:p w14:paraId="5D09F0AC" w14:textId="77777777" w:rsidR="009905C4" w:rsidRPr="00007450" w:rsidRDefault="009905C4" w:rsidP="00864C4B">
            <w:pPr>
              <w:pStyle w:val="TableText0"/>
            </w:pPr>
            <w:r w:rsidRPr="00007450">
              <w:t>Report date: 12 September 2024</w:t>
            </w:r>
          </w:p>
        </w:tc>
      </w:tr>
      <w:tr w:rsidR="009905C4" w:rsidRPr="00007450" w14:paraId="4B49BC5E" w14:textId="77777777">
        <w:trPr>
          <w:cantSplit/>
        </w:trPr>
        <w:tc>
          <w:tcPr>
            <w:tcW w:w="871" w:type="pct"/>
            <w:vMerge/>
            <w:vAlign w:val="center"/>
          </w:tcPr>
          <w:p w14:paraId="2A0C4D3A" w14:textId="77777777" w:rsidR="009905C4" w:rsidRPr="00007450" w:rsidRDefault="009905C4" w:rsidP="00864C4B">
            <w:pPr>
              <w:pStyle w:val="TableText0"/>
            </w:pPr>
          </w:p>
        </w:tc>
        <w:tc>
          <w:tcPr>
            <w:tcW w:w="2765" w:type="pct"/>
            <w:tcBorders>
              <w:bottom w:val="single" w:sz="4" w:space="0" w:color="auto"/>
            </w:tcBorders>
            <w:vAlign w:val="center"/>
          </w:tcPr>
          <w:p w14:paraId="34FB741A" w14:textId="577EFF57" w:rsidR="009905C4" w:rsidRPr="00007450" w:rsidRDefault="009905C4" w:rsidP="00864C4B">
            <w:pPr>
              <w:pStyle w:val="TableText0"/>
            </w:pPr>
            <w:r w:rsidRPr="00007450">
              <w:t>A phase III, multicenter, randomized, open-label trial to evaluate efficacy and safety of ribociclib with endocrine therapy as an adjuvant treatment in patients with hormone receptor-positive, HER2-negative, early breast cancer (New Adjuvant TriAl with Ribociclib [LEE011]: NATALEE).</w:t>
            </w:r>
          </w:p>
        </w:tc>
        <w:tc>
          <w:tcPr>
            <w:tcW w:w="1364" w:type="pct"/>
            <w:tcBorders>
              <w:bottom w:val="single" w:sz="4" w:space="0" w:color="auto"/>
            </w:tcBorders>
            <w:vAlign w:val="center"/>
          </w:tcPr>
          <w:p w14:paraId="2DA1CE9B" w14:textId="77777777" w:rsidR="009905C4" w:rsidRPr="00007450" w:rsidRDefault="009905C4" w:rsidP="00864C4B">
            <w:pPr>
              <w:pStyle w:val="PBACTableText"/>
            </w:pPr>
            <w:r w:rsidRPr="00007450">
              <w:t>Clinical Trial Protocol</w:t>
            </w:r>
          </w:p>
          <w:p w14:paraId="337FDCE3" w14:textId="77777777" w:rsidR="009905C4" w:rsidRPr="00007450" w:rsidRDefault="009905C4" w:rsidP="00864C4B">
            <w:pPr>
              <w:pStyle w:val="PBACTableText"/>
            </w:pPr>
            <w:r w:rsidRPr="00007450">
              <w:t>Version 3.0, 23 January 2020</w:t>
            </w:r>
          </w:p>
        </w:tc>
      </w:tr>
      <w:tr w:rsidR="009905C4" w:rsidRPr="00007450" w14:paraId="37DB5FBF" w14:textId="77777777">
        <w:trPr>
          <w:cantSplit/>
        </w:trPr>
        <w:tc>
          <w:tcPr>
            <w:tcW w:w="871" w:type="pct"/>
            <w:vMerge/>
            <w:vAlign w:val="center"/>
          </w:tcPr>
          <w:p w14:paraId="66CC3C0F" w14:textId="77777777" w:rsidR="009905C4" w:rsidRPr="00007450" w:rsidRDefault="009905C4" w:rsidP="00864C4B">
            <w:pPr>
              <w:pStyle w:val="TableText0"/>
            </w:pPr>
          </w:p>
        </w:tc>
        <w:tc>
          <w:tcPr>
            <w:tcW w:w="2765" w:type="pct"/>
            <w:tcBorders>
              <w:top w:val="single" w:sz="4" w:space="0" w:color="auto"/>
              <w:bottom w:val="nil"/>
            </w:tcBorders>
            <w:vAlign w:val="center"/>
          </w:tcPr>
          <w:p w14:paraId="44290A74" w14:textId="4BDBF5F6" w:rsidR="009905C4" w:rsidRPr="00007450" w:rsidRDefault="00D8157D" w:rsidP="00864C4B">
            <w:pPr>
              <w:pStyle w:val="TableText0"/>
            </w:pPr>
            <w:r w:rsidRPr="00007450">
              <w:t xml:space="preserve">Hortogagyi G.N., Lacko A., </w:t>
            </w:r>
            <w:r w:rsidRPr="00007450">
              <w:rPr>
                <w:i/>
                <w:iCs/>
              </w:rPr>
              <w:t>et al</w:t>
            </w:r>
            <w:r w:rsidR="009905C4" w:rsidRPr="00007450">
              <w:t>. A phase III trial of adjuvant ribociclib plus endocrine therapy versus endocrine therapy alone in patients with HR-positive/HER2-negative early breast cancer: final invasive disease-free survival from the NATALEE trial.</w:t>
            </w:r>
          </w:p>
        </w:tc>
        <w:tc>
          <w:tcPr>
            <w:tcW w:w="1364" w:type="pct"/>
            <w:tcBorders>
              <w:top w:val="single" w:sz="4" w:space="0" w:color="auto"/>
              <w:bottom w:val="nil"/>
            </w:tcBorders>
            <w:vAlign w:val="center"/>
          </w:tcPr>
          <w:p w14:paraId="7582D968" w14:textId="77777777" w:rsidR="009905C4" w:rsidRPr="00007450" w:rsidRDefault="009905C4" w:rsidP="00864C4B">
            <w:pPr>
              <w:pStyle w:val="TableText0"/>
            </w:pPr>
            <w:r w:rsidRPr="00007450">
              <w:rPr>
                <w:i/>
              </w:rPr>
              <w:t xml:space="preserve">Ann Oncol </w:t>
            </w:r>
            <w:r w:rsidRPr="00007450">
              <w:rPr>
                <w:iCs/>
              </w:rPr>
              <w:t>2025, 36, 149-157</w:t>
            </w:r>
            <w:r w:rsidRPr="00007450">
              <w:t xml:space="preserve"> </w:t>
            </w:r>
          </w:p>
        </w:tc>
      </w:tr>
      <w:tr w:rsidR="009905C4" w:rsidRPr="00007450" w14:paraId="2110294A" w14:textId="77777777">
        <w:trPr>
          <w:cantSplit/>
        </w:trPr>
        <w:tc>
          <w:tcPr>
            <w:tcW w:w="871" w:type="pct"/>
            <w:vMerge/>
            <w:vAlign w:val="center"/>
          </w:tcPr>
          <w:p w14:paraId="75F4EAB1" w14:textId="77777777" w:rsidR="009905C4" w:rsidRPr="00007450" w:rsidRDefault="009905C4" w:rsidP="00864C4B">
            <w:pPr>
              <w:pStyle w:val="TableText0"/>
            </w:pPr>
          </w:p>
        </w:tc>
        <w:tc>
          <w:tcPr>
            <w:tcW w:w="2765" w:type="pct"/>
            <w:tcBorders>
              <w:top w:val="nil"/>
              <w:bottom w:val="nil"/>
            </w:tcBorders>
            <w:vAlign w:val="center"/>
          </w:tcPr>
          <w:p w14:paraId="4FDC6D01" w14:textId="6B59ECC0" w:rsidR="009905C4" w:rsidRPr="00007450" w:rsidRDefault="00D8157D" w:rsidP="00864C4B">
            <w:pPr>
              <w:pStyle w:val="TableText0"/>
            </w:pPr>
            <w:r w:rsidRPr="00007450">
              <w:t xml:space="preserve">Slamon D., Lipatov O., </w:t>
            </w:r>
            <w:r w:rsidRPr="00007450">
              <w:rPr>
                <w:i/>
                <w:iCs/>
              </w:rPr>
              <w:t xml:space="preserve">et al. </w:t>
            </w:r>
            <w:r w:rsidR="009905C4" w:rsidRPr="00007450">
              <w:t xml:space="preserve">Ribociclib plus Endocrine Therapy in Early Breast Cancer. </w:t>
            </w:r>
          </w:p>
        </w:tc>
        <w:tc>
          <w:tcPr>
            <w:tcW w:w="1364" w:type="pct"/>
            <w:tcBorders>
              <w:top w:val="nil"/>
              <w:bottom w:val="nil"/>
            </w:tcBorders>
            <w:vAlign w:val="center"/>
          </w:tcPr>
          <w:p w14:paraId="564E9DFF" w14:textId="77777777" w:rsidR="009905C4" w:rsidRPr="00007450" w:rsidRDefault="009905C4" w:rsidP="00864C4B">
            <w:pPr>
              <w:pStyle w:val="TableText0"/>
              <w:rPr>
                <w:i/>
              </w:rPr>
            </w:pPr>
            <w:r w:rsidRPr="00007450">
              <w:rPr>
                <w:i/>
                <w:iCs/>
              </w:rPr>
              <w:t>N Engl J Med</w:t>
            </w:r>
            <w:r w:rsidRPr="00007450">
              <w:t>, 2024, 390, 1080-1091</w:t>
            </w:r>
          </w:p>
        </w:tc>
      </w:tr>
      <w:tr w:rsidR="009905C4" w:rsidRPr="00007450" w14:paraId="43312828" w14:textId="77777777">
        <w:trPr>
          <w:cantSplit/>
        </w:trPr>
        <w:tc>
          <w:tcPr>
            <w:tcW w:w="871" w:type="pct"/>
            <w:vMerge/>
            <w:tcBorders>
              <w:bottom w:val="single" w:sz="4" w:space="0" w:color="auto"/>
            </w:tcBorders>
            <w:vAlign w:val="center"/>
          </w:tcPr>
          <w:p w14:paraId="040CB3B5" w14:textId="77777777" w:rsidR="009905C4" w:rsidRPr="00007450" w:rsidRDefault="009905C4" w:rsidP="00864C4B">
            <w:pPr>
              <w:pStyle w:val="TableText0"/>
            </w:pPr>
          </w:p>
        </w:tc>
        <w:tc>
          <w:tcPr>
            <w:tcW w:w="2765" w:type="pct"/>
            <w:tcBorders>
              <w:top w:val="nil"/>
              <w:bottom w:val="single" w:sz="4" w:space="0" w:color="auto"/>
            </w:tcBorders>
            <w:vAlign w:val="center"/>
          </w:tcPr>
          <w:p w14:paraId="7ED925C3" w14:textId="7DC6BA09" w:rsidR="009905C4" w:rsidRPr="00007450" w:rsidRDefault="00D8157D" w:rsidP="00864C4B">
            <w:pPr>
              <w:pStyle w:val="TableText0"/>
            </w:pPr>
            <w:r w:rsidRPr="00007450">
              <w:t xml:space="preserve">Slamon D.J., Fasching P.A., </w:t>
            </w:r>
            <w:r w:rsidRPr="00007450">
              <w:rPr>
                <w:i/>
                <w:iCs/>
              </w:rPr>
              <w:t xml:space="preserve">et al. </w:t>
            </w:r>
            <w:r w:rsidR="009905C4" w:rsidRPr="00007450">
              <w:t>Rationale and trial design of NATALEE: a Phase III trial of adjuvant ribociclib</w:t>
            </w:r>
            <w:r w:rsidR="009905C4" w:rsidRPr="00007450">
              <w:rPr>
                <w:rFonts w:ascii="Arial" w:hAnsi="Arial" w:cs="Arial"/>
              </w:rPr>
              <w:t> </w:t>
            </w:r>
            <w:r w:rsidR="009905C4" w:rsidRPr="00007450">
              <w:t>+</w:t>
            </w:r>
            <w:r w:rsidR="009905C4" w:rsidRPr="00007450">
              <w:rPr>
                <w:rFonts w:ascii="Arial" w:hAnsi="Arial" w:cs="Arial"/>
              </w:rPr>
              <w:t> </w:t>
            </w:r>
            <w:r w:rsidR="009905C4" w:rsidRPr="00007450">
              <w:t xml:space="preserve">endocrine therapy versus endocrine therapy alone in patients with HR+/HER2- early breast cancer. </w:t>
            </w:r>
          </w:p>
        </w:tc>
        <w:tc>
          <w:tcPr>
            <w:tcW w:w="1364" w:type="pct"/>
            <w:tcBorders>
              <w:top w:val="nil"/>
              <w:bottom w:val="single" w:sz="4" w:space="0" w:color="auto"/>
            </w:tcBorders>
            <w:vAlign w:val="center"/>
          </w:tcPr>
          <w:p w14:paraId="6B8AB43B" w14:textId="77777777" w:rsidR="009905C4" w:rsidRPr="00007450" w:rsidRDefault="009905C4" w:rsidP="00864C4B">
            <w:pPr>
              <w:pStyle w:val="TableText0"/>
              <w:rPr>
                <w:i/>
                <w:iCs/>
              </w:rPr>
            </w:pPr>
            <w:r w:rsidRPr="00007450">
              <w:rPr>
                <w:i/>
                <w:iCs/>
              </w:rPr>
              <w:t>Ther Adv Med Oncol</w:t>
            </w:r>
            <w:r w:rsidRPr="00007450">
              <w:t>, 2023, 15</w:t>
            </w:r>
          </w:p>
        </w:tc>
      </w:tr>
    </w:tbl>
    <w:p w14:paraId="31EB9FDA" w14:textId="77777777" w:rsidR="00381A8E" w:rsidRPr="00007450" w:rsidRDefault="00F11CFC" w:rsidP="00864C4B">
      <w:pPr>
        <w:pStyle w:val="TableFigureFooter"/>
      </w:pPr>
      <w:r w:rsidRPr="00007450">
        <w:t>Source: Table 2.3, pp44-45 of the submission.</w:t>
      </w:r>
    </w:p>
    <w:p w14:paraId="1EA00B28" w14:textId="091594AE" w:rsidR="009905C4" w:rsidRPr="00007450" w:rsidRDefault="009905C4" w:rsidP="00864C4B">
      <w:pPr>
        <w:pStyle w:val="TableFigureFooter"/>
      </w:pPr>
      <w:r w:rsidRPr="00007450">
        <w:t>CSR = clinical study report; HER2 = human epidermal growth factor receptor 2; HR = hormone receptor; ID = Identifier; iDFS = invasive disease-free survival</w:t>
      </w:r>
    </w:p>
    <w:p w14:paraId="7CD8B2F4" w14:textId="4F2850AE" w:rsidR="009905C4" w:rsidRPr="00007450" w:rsidRDefault="009905C4" w:rsidP="00864C4B">
      <w:pPr>
        <w:pStyle w:val="3-BodyText"/>
        <w:numPr>
          <w:ilvl w:val="1"/>
          <w:numId w:val="1"/>
        </w:numPr>
      </w:pPr>
      <w:r w:rsidRPr="00007450">
        <w:t xml:space="preserve">The key features of the NATALEE trial are summarised in </w:t>
      </w:r>
      <w:r w:rsidRPr="00007450">
        <w:fldChar w:fldCharType="begin"/>
      </w:r>
      <w:r w:rsidRPr="00007450">
        <w:instrText xml:space="preserve"> REF _Ref176858514 \h  \* MERGEFORMAT </w:instrText>
      </w:r>
      <w:r w:rsidRPr="00007450">
        <w:fldChar w:fldCharType="separate"/>
      </w:r>
      <w:r w:rsidR="00B36442" w:rsidRPr="00B36442">
        <w:t>Table 4</w:t>
      </w:r>
      <w:r w:rsidRPr="00007450">
        <w:fldChar w:fldCharType="end"/>
      </w:r>
      <w:r w:rsidRPr="00007450">
        <w:t xml:space="preserve">. By the April 2024 cut-off, all patients in the ribociclib arm had either completed treatment or had discontinued ribociclib. </w:t>
      </w:r>
    </w:p>
    <w:p w14:paraId="244AC29A" w14:textId="2870933E" w:rsidR="009905C4" w:rsidRPr="00007450" w:rsidRDefault="009905C4" w:rsidP="00864C4B">
      <w:pPr>
        <w:pStyle w:val="TableFigureHeading"/>
        <w:rPr>
          <w:rStyle w:val="CommentReference"/>
          <w:b/>
          <w:szCs w:val="24"/>
        </w:rPr>
      </w:pPr>
      <w:bookmarkStart w:id="29" w:name="_Ref176858514"/>
      <w:r w:rsidRPr="00007450">
        <w:rPr>
          <w:rStyle w:val="CommentReference"/>
          <w:b/>
          <w:szCs w:val="24"/>
        </w:rPr>
        <w:t xml:space="preserve">Table </w:t>
      </w:r>
      <w:r w:rsidRPr="00007450">
        <w:rPr>
          <w:rStyle w:val="CommentReference"/>
          <w:b/>
          <w:szCs w:val="24"/>
        </w:rPr>
        <w:fldChar w:fldCharType="begin"/>
      </w:r>
      <w:r w:rsidRPr="00007450">
        <w:rPr>
          <w:rStyle w:val="CommentReference"/>
          <w:b/>
          <w:szCs w:val="24"/>
        </w:rPr>
        <w:instrText xml:space="preserve"> SEQ Table \* ARABIC </w:instrText>
      </w:r>
      <w:r w:rsidRPr="00007450">
        <w:rPr>
          <w:rStyle w:val="CommentReference"/>
          <w:b/>
          <w:szCs w:val="24"/>
        </w:rPr>
        <w:fldChar w:fldCharType="separate"/>
      </w:r>
      <w:r w:rsidR="00B36442">
        <w:rPr>
          <w:rStyle w:val="CommentReference"/>
          <w:b/>
          <w:noProof/>
          <w:szCs w:val="24"/>
        </w:rPr>
        <w:t>4</w:t>
      </w:r>
      <w:r w:rsidRPr="00007450">
        <w:rPr>
          <w:rStyle w:val="CommentReference"/>
          <w:b/>
          <w:szCs w:val="24"/>
        </w:rPr>
        <w:fldChar w:fldCharType="end"/>
      </w:r>
      <w:bookmarkEnd w:id="29"/>
      <w:r w:rsidRPr="00007450">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9"/>
        <w:gridCol w:w="1417"/>
        <w:gridCol w:w="1558"/>
        <w:gridCol w:w="1134"/>
        <w:gridCol w:w="2099"/>
        <w:gridCol w:w="1820"/>
      </w:tblGrid>
      <w:tr w:rsidR="009905C4" w:rsidRPr="00007450" w14:paraId="3FF476C1" w14:textId="77777777" w:rsidTr="00184536">
        <w:trPr>
          <w:cantSplit/>
          <w:tblHeader/>
        </w:trPr>
        <w:tc>
          <w:tcPr>
            <w:tcW w:w="548" w:type="pct"/>
            <w:tcBorders>
              <w:top w:val="single" w:sz="4" w:space="0" w:color="auto"/>
              <w:left w:val="single" w:sz="4" w:space="0" w:color="auto"/>
              <w:bottom w:val="single" w:sz="4" w:space="0" w:color="auto"/>
              <w:right w:val="single" w:sz="4" w:space="0" w:color="auto"/>
            </w:tcBorders>
            <w:vAlign w:val="center"/>
            <w:hideMark/>
          </w:tcPr>
          <w:p w14:paraId="631865E9" w14:textId="77777777" w:rsidR="009905C4" w:rsidRPr="00007450" w:rsidRDefault="009905C4" w:rsidP="00864C4B">
            <w:pPr>
              <w:pStyle w:val="In-tableHeading"/>
              <w:rPr>
                <w:lang w:val="en-AU"/>
              </w:rPr>
            </w:pPr>
            <w:r w:rsidRPr="00007450">
              <w:rPr>
                <w:lang w:val="en-AU"/>
              </w:rPr>
              <w:t>Trial</w:t>
            </w:r>
          </w:p>
        </w:tc>
        <w:tc>
          <w:tcPr>
            <w:tcW w:w="786" w:type="pct"/>
            <w:tcBorders>
              <w:top w:val="single" w:sz="4" w:space="0" w:color="auto"/>
              <w:left w:val="single" w:sz="4" w:space="0" w:color="auto"/>
              <w:bottom w:val="single" w:sz="4" w:space="0" w:color="auto"/>
              <w:right w:val="single" w:sz="4" w:space="0" w:color="auto"/>
            </w:tcBorders>
            <w:vAlign w:val="center"/>
            <w:hideMark/>
          </w:tcPr>
          <w:p w14:paraId="3A0A7EED" w14:textId="77777777" w:rsidR="009905C4" w:rsidRPr="00007450" w:rsidRDefault="009905C4" w:rsidP="00864C4B">
            <w:pPr>
              <w:pStyle w:val="In-tableHeading"/>
              <w:rPr>
                <w:lang w:val="en-AU"/>
              </w:rPr>
            </w:pPr>
            <w:r w:rsidRPr="00007450">
              <w:rPr>
                <w:lang w:val="en-AU"/>
              </w:rPr>
              <w:t>N</w:t>
            </w:r>
          </w:p>
        </w:tc>
        <w:tc>
          <w:tcPr>
            <w:tcW w:w="864" w:type="pct"/>
            <w:tcBorders>
              <w:top w:val="single" w:sz="4" w:space="0" w:color="auto"/>
              <w:left w:val="single" w:sz="4" w:space="0" w:color="auto"/>
              <w:bottom w:val="single" w:sz="4" w:space="0" w:color="auto"/>
              <w:right w:val="single" w:sz="4" w:space="0" w:color="auto"/>
            </w:tcBorders>
            <w:vAlign w:val="center"/>
            <w:hideMark/>
          </w:tcPr>
          <w:p w14:paraId="3FB4176D" w14:textId="77777777" w:rsidR="009905C4" w:rsidRPr="00007450" w:rsidRDefault="009905C4" w:rsidP="00864C4B">
            <w:pPr>
              <w:pStyle w:val="In-tableHeading"/>
              <w:rPr>
                <w:lang w:val="en-AU"/>
              </w:rPr>
            </w:pPr>
            <w:r w:rsidRPr="00007450">
              <w:rPr>
                <w:lang w:val="en-AU"/>
              </w:rPr>
              <w:t>Design/ duration</w:t>
            </w:r>
          </w:p>
        </w:tc>
        <w:tc>
          <w:tcPr>
            <w:tcW w:w="629" w:type="pct"/>
            <w:tcBorders>
              <w:top w:val="single" w:sz="4" w:space="0" w:color="auto"/>
              <w:left w:val="single" w:sz="4" w:space="0" w:color="auto"/>
              <w:bottom w:val="single" w:sz="4" w:space="0" w:color="auto"/>
              <w:right w:val="single" w:sz="4" w:space="0" w:color="auto"/>
            </w:tcBorders>
            <w:vAlign w:val="center"/>
            <w:hideMark/>
          </w:tcPr>
          <w:p w14:paraId="7AF37574" w14:textId="77777777" w:rsidR="009905C4" w:rsidRPr="00007450" w:rsidRDefault="009905C4" w:rsidP="00864C4B">
            <w:pPr>
              <w:pStyle w:val="In-tableHeading"/>
              <w:rPr>
                <w:lang w:val="en-AU"/>
              </w:rPr>
            </w:pPr>
            <w:r w:rsidRPr="00007450">
              <w:rPr>
                <w:lang w:val="en-AU"/>
              </w:rPr>
              <w:t>Risk of bias</w:t>
            </w:r>
          </w:p>
        </w:tc>
        <w:tc>
          <w:tcPr>
            <w:tcW w:w="1164" w:type="pct"/>
            <w:tcBorders>
              <w:top w:val="single" w:sz="4" w:space="0" w:color="auto"/>
              <w:left w:val="single" w:sz="4" w:space="0" w:color="auto"/>
              <w:bottom w:val="single" w:sz="4" w:space="0" w:color="auto"/>
              <w:right w:val="single" w:sz="4" w:space="0" w:color="auto"/>
            </w:tcBorders>
            <w:vAlign w:val="center"/>
            <w:hideMark/>
          </w:tcPr>
          <w:p w14:paraId="68EDE092" w14:textId="77777777" w:rsidR="009905C4" w:rsidRPr="00007450" w:rsidRDefault="009905C4" w:rsidP="00864C4B">
            <w:pPr>
              <w:pStyle w:val="In-tableHeading"/>
              <w:rPr>
                <w:lang w:val="en-AU"/>
              </w:rPr>
            </w:pPr>
            <w:r w:rsidRPr="00007450">
              <w:rPr>
                <w:lang w:val="en-AU"/>
              </w:rPr>
              <w:t>Patient population</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8CD1D94" w14:textId="77777777" w:rsidR="009905C4" w:rsidRPr="00007450" w:rsidRDefault="009905C4" w:rsidP="00864C4B">
            <w:pPr>
              <w:pStyle w:val="In-tableHeading"/>
              <w:rPr>
                <w:lang w:val="en-AU"/>
              </w:rPr>
            </w:pPr>
            <w:r w:rsidRPr="00007450">
              <w:rPr>
                <w:lang w:val="en-AU"/>
              </w:rPr>
              <w:t>Outcomes</w:t>
            </w:r>
          </w:p>
        </w:tc>
      </w:tr>
      <w:tr w:rsidR="009905C4" w:rsidRPr="00007450" w14:paraId="695CD14B" w14:textId="77777777">
        <w:trPr>
          <w:cantSpli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07CA89A" w14:textId="77777777" w:rsidR="009905C4" w:rsidRPr="00007450" w:rsidRDefault="009905C4" w:rsidP="00864C4B">
            <w:pPr>
              <w:pStyle w:val="In-tableHeading"/>
              <w:rPr>
                <w:lang w:val="en-AU"/>
              </w:rPr>
            </w:pPr>
            <w:r w:rsidRPr="00007450">
              <w:rPr>
                <w:lang w:val="en-AU"/>
              </w:rPr>
              <w:t>Ribociclib plus adjuvant ET vs ET alone</w:t>
            </w:r>
          </w:p>
        </w:tc>
      </w:tr>
      <w:tr w:rsidR="009905C4" w:rsidRPr="00007450" w14:paraId="752909D4" w14:textId="77777777" w:rsidTr="00184536">
        <w:trPr>
          <w:cantSplit/>
        </w:trPr>
        <w:tc>
          <w:tcPr>
            <w:tcW w:w="548" w:type="pct"/>
            <w:tcBorders>
              <w:top w:val="single" w:sz="4" w:space="0" w:color="auto"/>
              <w:left w:val="single" w:sz="4" w:space="0" w:color="auto"/>
              <w:bottom w:val="single" w:sz="4" w:space="0" w:color="auto"/>
              <w:right w:val="single" w:sz="4" w:space="0" w:color="auto"/>
            </w:tcBorders>
            <w:vAlign w:val="center"/>
            <w:hideMark/>
          </w:tcPr>
          <w:p w14:paraId="28D610AD" w14:textId="77777777" w:rsidR="009905C4" w:rsidRPr="00007450" w:rsidRDefault="009905C4" w:rsidP="00864C4B">
            <w:pPr>
              <w:pStyle w:val="TableText0"/>
            </w:pPr>
            <w:r w:rsidRPr="00007450">
              <w:t>NATALEE</w:t>
            </w:r>
          </w:p>
        </w:tc>
        <w:tc>
          <w:tcPr>
            <w:tcW w:w="786" w:type="pct"/>
            <w:tcBorders>
              <w:top w:val="single" w:sz="4" w:space="0" w:color="auto"/>
              <w:left w:val="single" w:sz="4" w:space="0" w:color="auto"/>
              <w:bottom w:val="single" w:sz="4" w:space="0" w:color="auto"/>
              <w:right w:val="single" w:sz="4" w:space="0" w:color="auto"/>
            </w:tcBorders>
            <w:vAlign w:val="center"/>
            <w:hideMark/>
          </w:tcPr>
          <w:p w14:paraId="374A7BF0" w14:textId="58CEBA60" w:rsidR="009905C4" w:rsidRPr="00007450" w:rsidRDefault="009905C4" w:rsidP="00864C4B">
            <w:pPr>
              <w:pStyle w:val="TableText0"/>
            </w:pPr>
            <w:r w:rsidRPr="00007450">
              <w:t>ITT</w:t>
            </w:r>
            <w:r w:rsidR="00184536">
              <w:t xml:space="preserve"> = </w:t>
            </w:r>
            <w:r w:rsidRPr="00007450">
              <w:t>5101</w:t>
            </w:r>
          </w:p>
          <w:p w14:paraId="3F817DC7" w14:textId="0DD0E100" w:rsidR="009905C4" w:rsidRPr="00007450" w:rsidRDefault="009905C4" w:rsidP="00864C4B">
            <w:pPr>
              <w:pStyle w:val="TableText0"/>
            </w:pPr>
            <w:r w:rsidRPr="00007450">
              <w:t>Proposed PBS subgroup</w:t>
            </w:r>
            <w:r w:rsidR="00184536">
              <w:t xml:space="preserve"> =</w:t>
            </w:r>
            <w:r w:rsidRPr="00007450">
              <w:t xml:space="preserve"> 1794 </w:t>
            </w:r>
          </w:p>
        </w:tc>
        <w:tc>
          <w:tcPr>
            <w:tcW w:w="864" w:type="pct"/>
            <w:tcBorders>
              <w:top w:val="single" w:sz="4" w:space="0" w:color="auto"/>
              <w:left w:val="single" w:sz="4" w:space="0" w:color="auto"/>
              <w:bottom w:val="single" w:sz="4" w:space="0" w:color="auto"/>
              <w:right w:val="single" w:sz="4" w:space="0" w:color="auto"/>
            </w:tcBorders>
            <w:vAlign w:val="center"/>
          </w:tcPr>
          <w:p w14:paraId="65C32218" w14:textId="77777777" w:rsidR="009905C4" w:rsidRPr="00007450" w:rsidRDefault="009905C4" w:rsidP="00864C4B">
            <w:pPr>
              <w:pStyle w:val="TableText0"/>
            </w:pPr>
            <w:r w:rsidRPr="00007450">
              <w:t>R, OL, MC</w:t>
            </w:r>
          </w:p>
          <w:p w14:paraId="09FFD4A7" w14:textId="77777777" w:rsidR="009905C4" w:rsidRPr="00007450" w:rsidRDefault="009905C4" w:rsidP="00864C4B">
            <w:pPr>
              <w:pStyle w:val="TableText0"/>
            </w:pPr>
          </w:p>
          <w:p w14:paraId="368DCDA8" w14:textId="77777777" w:rsidR="009905C4" w:rsidRPr="00007450" w:rsidRDefault="009905C4" w:rsidP="00864C4B">
            <w:pPr>
              <w:pStyle w:val="TableText0"/>
            </w:pPr>
            <w:r w:rsidRPr="00007450">
              <w:t>DCO April 2024: 49.6 months</w:t>
            </w:r>
          </w:p>
        </w:tc>
        <w:tc>
          <w:tcPr>
            <w:tcW w:w="629" w:type="pct"/>
            <w:tcBorders>
              <w:top w:val="single" w:sz="4" w:space="0" w:color="auto"/>
              <w:left w:val="single" w:sz="4" w:space="0" w:color="auto"/>
              <w:bottom w:val="single" w:sz="4" w:space="0" w:color="auto"/>
              <w:right w:val="single" w:sz="4" w:space="0" w:color="auto"/>
            </w:tcBorders>
            <w:vAlign w:val="center"/>
            <w:hideMark/>
          </w:tcPr>
          <w:p w14:paraId="79176857" w14:textId="77777777" w:rsidR="009905C4" w:rsidRPr="00007450" w:rsidRDefault="009905C4" w:rsidP="00864C4B">
            <w:pPr>
              <w:pStyle w:val="TableText0"/>
              <w:rPr>
                <w:i/>
              </w:rPr>
            </w:pPr>
            <w:r w:rsidRPr="00007450">
              <w:rPr>
                <w:i/>
              </w:rPr>
              <w:t>Low</w:t>
            </w:r>
          </w:p>
        </w:tc>
        <w:tc>
          <w:tcPr>
            <w:tcW w:w="1164" w:type="pct"/>
            <w:tcBorders>
              <w:top w:val="single" w:sz="4" w:space="0" w:color="auto"/>
              <w:left w:val="single" w:sz="4" w:space="0" w:color="auto"/>
              <w:bottom w:val="single" w:sz="4" w:space="0" w:color="auto"/>
              <w:right w:val="single" w:sz="4" w:space="0" w:color="auto"/>
            </w:tcBorders>
            <w:vAlign w:val="center"/>
            <w:hideMark/>
          </w:tcPr>
          <w:p w14:paraId="120AC84C" w14:textId="6A853411" w:rsidR="009905C4" w:rsidRPr="00007450" w:rsidRDefault="009905C4" w:rsidP="00864C4B">
            <w:pPr>
              <w:pStyle w:val="Default"/>
              <w:rPr>
                <w:rFonts w:ascii="Arial Narrow" w:hAnsi="Arial Narrow"/>
                <w:sz w:val="20"/>
                <w:szCs w:val="20"/>
              </w:rPr>
            </w:pPr>
            <w:r w:rsidRPr="00007450">
              <w:rPr>
                <w:rFonts w:ascii="Arial Narrow" w:hAnsi="Arial Narrow"/>
                <w:sz w:val="20"/>
                <w:szCs w:val="20"/>
              </w:rPr>
              <w:t>HR</w:t>
            </w:r>
            <w:r w:rsidR="00D1538E" w:rsidRPr="00007450">
              <w:rPr>
                <w:rFonts w:ascii="Arial Narrow" w:hAnsi="Arial Narrow"/>
                <w:sz w:val="20"/>
                <w:szCs w:val="20"/>
              </w:rPr>
              <w:t>+</w:t>
            </w:r>
            <w:r w:rsidRPr="00007450">
              <w:rPr>
                <w:rFonts w:ascii="Arial Narrow" w:hAnsi="Arial Narrow"/>
                <w:sz w:val="20"/>
                <w:szCs w:val="20"/>
              </w:rPr>
              <w:t>, HER2</w:t>
            </w:r>
            <w:r w:rsidR="00D1538E" w:rsidRPr="00007450">
              <w:rPr>
                <w:rFonts w:ascii="Arial Narrow" w:hAnsi="Arial Narrow"/>
                <w:sz w:val="20"/>
                <w:szCs w:val="20"/>
              </w:rPr>
              <w:t>-,</w:t>
            </w:r>
            <w:r w:rsidR="008F2E04" w:rsidRPr="00007450">
              <w:rPr>
                <w:rFonts w:ascii="Arial Narrow" w:hAnsi="Arial Narrow"/>
                <w:sz w:val="20"/>
                <w:szCs w:val="20"/>
              </w:rPr>
              <w:t xml:space="preserve"> </w:t>
            </w:r>
            <w:r w:rsidRPr="00007450">
              <w:rPr>
                <w:rFonts w:ascii="Arial Narrow" w:hAnsi="Arial Narrow"/>
                <w:sz w:val="20"/>
                <w:szCs w:val="20"/>
              </w:rPr>
              <w:t>resected eBC,</w:t>
            </w:r>
          </w:p>
          <w:p w14:paraId="42B2B44C" w14:textId="77777777" w:rsidR="009905C4" w:rsidRPr="00007450" w:rsidRDefault="009905C4" w:rsidP="00864C4B">
            <w:pPr>
              <w:pStyle w:val="Default"/>
              <w:rPr>
                <w:rFonts w:ascii="Arial Narrow" w:hAnsi="Arial Narrow"/>
                <w:sz w:val="20"/>
                <w:szCs w:val="20"/>
              </w:rPr>
            </w:pPr>
            <w:r w:rsidRPr="00007450">
              <w:rPr>
                <w:rFonts w:ascii="Arial Narrow" w:hAnsi="Arial Narrow"/>
                <w:sz w:val="20"/>
                <w:szCs w:val="20"/>
              </w:rPr>
              <w:t>Stage II or III</w:t>
            </w:r>
          </w:p>
          <w:p w14:paraId="5CBB9349" w14:textId="77777777" w:rsidR="009905C4" w:rsidRPr="00007450" w:rsidRDefault="009905C4" w:rsidP="00864C4B">
            <w:pPr>
              <w:pStyle w:val="TableText0"/>
            </w:pPr>
            <w:r w:rsidRPr="00007450">
              <w:t>Regardless of nodal disease</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30E42E5" w14:textId="77777777" w:rsidR="009905C4" w:rsidRPr="00007450" w:rsidRDefault="009905C4" w:rsidP="00864C4B">
            <w:pPr>
              <w:pStyle w:val="TableText0"/>
            </w:pPr>
            <w:r w:rsidRPr="00007450">
              <w:t>iDFS, DRFS, OS, DDFS, RFS, PROs, safety</w:t>
            </w:r>
          </w:p>
        </w:tc>
      </w:tr>
    </w:tbl>
    <w:p w14:paraId="37604D6E" w14:textId="77777777" w:rsidR="00381A8E" w:rsidRPr="00007450" w:rsidRDefault="00F11CFC" w:rsidP="00864C4B">
      <w:pPr>
        <w:pStyle w:val="TableFigureFooter"/>
      </w:pPr>
      <w:r w:rsidRPr="00007450">
        <w:t xml:space="preserve">Source: Compiled during evaluation </w:t>
      </w:r>
    </w:p>
    <w:p w14:paraId="426B0486" w14:textId="2FDF69DA" w:rsidR="009905C4" w:rsidRPr="00007450" w:rsidRDefault="009905C4" w:rsidP="00864C4B">
      <w:pPr>
        <w:pStyle w:val="TableFigureFooter"/>
      </w:pPr>
      <w:r w:rsidRPr="00007450">
        <w:t>DCO = data cut-off; DRFS = distant recurrence-free survival; eBC = early breast cancer; ET = endocrine therapy; HER2</w:t>
      </w:r>
      <w:r w:rsidR="008D0BA0" w:rsidRPr="00007450">
        <w:t>-</w:t>
      </w:r>
      <w:r w:rsidRPr="00007450">
        <w:t xml:space="preserve"> = human epidermal growth factor receptor 2</w:t>
      </w:r>
      <w:r w:rsidR="008D0BA0" w:rsidRPr="00007450">
        <w:t xml:space="preserve"> negative</w:t>
      </w:r>
      <w:r w:rsidRPr="00007450">
        <w:t>; HR</w:t>
      </w:r>
      <w:r w:rsidR="008D0BA0" w:rsidRPr="00007450">
        <w:t>+</w:t>
      </w:r>
      <w:r w:rsidRPr="00007450">
        <w:t xml:space="preserve"> = hormone receptor</w:t>
      </w:r>
      <w:r w:rsidR="008D0BA0" w:rsidRPr="00007450">
        <w:t xml:space="preserve"> positive</w:t>
      </w:r>
      <w:r w:rsidRPr="00007450">
        <w:t>; iDFS = invasive disease-free survival; ITT = intention-to-treat; OS = overall survival; PBS = Pharmaceutical Benefits Scheme; RFS = recurrence-free survival</w:t>
      </w:r>
      <w:r w:rsidR="002F7DEF" w:rsidRPr="00007450">
        <w:t>.</w:t>
      </w:r>
    </w:p>
    <w:p w14:paraId="7D4E5B05" w14:textId="208D48ED" w:rsidR="009905C4" w:rsidRPr="00007450" w:rsidRDefault="009905C4" w:rsidP="00864C4B">
      <w:pPr>
        <w:pStyle w:val="3-BodyText"/>
        <w:numPr>
          <w:ilvl w:val="1"/>
          <w:numId w:val="1"/>
        </w:numPr>
        <w:rPr>
          <w:color w:val="0066FF"/>
        </w:rPr>
      </w:pPr>
      <w:r w:rsidRPr="00007450">
        <w:lastRenderedPageBreak/>
        <w:t>The PBAC previously considered the NATALEE trial (</w:t>
      </w:r>
      <w:r w:rsidR="008F70C1" w:rsidRPr="00007450">
        <w:t xml:space="preserve">ribociclib </w:t>
      </w:r>
      <w:r w:rsidR="0061693A">
        <w:t>Public Summary Document [</w:t>
      </w:r>
      <w:r w:rsidR="008F70C1" w:rsidRPr="00007450">
        <w:t>PSD</w:t>
      </w:r>
      <w:r w:rsidR="0061693A">
        <w:t>]</w:t>
      </w:r>
      <w:r w:rsidR="008F70C1" w:rsidRPr="00007450">
        <w:t xml:space="preserve">, </w:t>
      </w:r>
      <w:r w:rsidRPr="00007450">
        <w:t>November 2024 PBAC Meeting). The</w:t>
      </w:r>
      <w:r w:rsidR="0023286D" w:rsidRPr="00007450">
        <w:t xml:space="preserve"> </w:t>
      </w:r>
      <w:r w:rsidRPr="00007450">
        <w:t xml:space="preserve">subgroup of the NATALEE trial that aligned with the proposed PBS population had similar baseline characteristics across treatment arms. </w:t>
      </w:r>
      <w:r w:rsidR="00021ED1" w:rsidRPr="00007450">
        <w:t>T</w:t>
      </w:r>
      <w:r w:rsidR="00EE5212" w:rsidRPr="00007450">
        <w:t>he evaluation considered that it was</w:t>
      </w:r>
      <w:r w:rsidRPr="00007450">
        <w:t xml:space="preserve"> reasonable that the risk of bias for the proposed PBS subgroup </w:t>
      </w:r>
      <w:r w:rsidR="00EE5212" w:rsidRPr="00007450">
        <w:t>would be</w:t>
      </w:r>
      <w:r w:rsidRPr="00007450">
        <w:t xml:space="preserve"> considered the same as for the overall NATALEE trial.</w:t>
      </w:r>
      <w:r w:rsidR="0023286D" w:rsidRPr="00007450">
        <w:t xml:space="preserve"> </w:t>
      </w:r>
      <w:r w:rsidR="00EE5212" w:rsidRPr="00007450">
        <w:t>However, the</w:t>
      </w:r>
      <w:r w:rsidR="0064269F" w:rsidRPr="00007450">
        <w:t xml:space="preserve"> ESC </w:t>
      </w:r>
      <w:r w:rsidR="0023286D" w:rsidRPr="00007450">
        <w:t>noted that the subgroup was not prespecified in the NATALEE trial.</w:t>
      </w:r>
      <w:r w:rsidRPr="00007450">
        <w:t xml:space="preserve"> </w:t>
      </w:r>
    </w:p>
    <w:p w14:paraId="4206C92D" w14:textId="77777777" w:rsidR="009905C4" w:rsidRPr="00007450" w:rsidRDefault="009905C4" w:rsidP="00864C4B">
      <w:pPr>
        <w:pStyle w:val="4-SubsectionHeading"/>
      </w:pPr>
      <w:bookmarkStart w:id="30" w:name="_Toc22897641"/>
      <w:bookmarkStart w:id="31" w:name="_Toc198724441"/>
      <w:r w:rsidRPr="00007450">
        <w:t>Comparative effectiveness</w:t>
      </w:r>
      <w:bookmarkEnd w:id="30"/>
      <w:bookmarkEnd w:id="31"/>
    </w:p>
    <w:p w14:paraId="245C9788" w14:textId="3CF5A416" w:rsidR="00FB19D4" w:rsidRPr="00007450" w:rsidRDefault="009905C4" w:rsidP="00864C4B">
      <w:pPr>
        <w:pStyle w:val="3-BodyText"/>
        <w:numPr>
          <w:ilvl w:val="1"/>
          <w:numId w:val="1"/>
        </w:numPr>
      </w:pPr>
      <w:r w:rsidRPr="00007450">
        <w:rPr>
          <w:rFonts w:cstheme="minorHAnsi"/>
          <w:b/>
          <w:szCs w:val="24"/>
        </w:rPr>
        <w:fldChar w:fldCharType="begin"/>
      </w:r>
      <w:r w:rsidRPr="00007450">
        <w:rPr>
          <w:rFonts w:cstheme="minorHAnsi"/>
          <w:b/>
          <w:szCs w:val="24"/>
        </w:rPr>
        <w:instrText xml:space="preserve"> REF _Ref176773437 \h  \* MERGEFORMAT </w:instrText>
      </w:r>
      <w:r w:rsidRPr="00007450">
        <w:rPr>
          <w:rFonts w:cstheme="minorHAnsi"/>
          <w:b/>
          <w:szCs w:val="24"/>
        </w:rPr>
      </w:r>
      <w:r w:rsidRPr="00007450">
        <w:rPr>
          <w:rFonts w:cstheme="minorHAnsi"/>
          <w:b/>
          <w:szCs w:val="24"/>
        </w:rPr>
        <w:fldChar w:fldCharType="separate"/>
      </w:r>
      <w:r w:rsidR="00B36442" w:rsidRPr="00B36442">
        <w:rPr>
          <w:rStyle w:val="CommentReference"/>
          <w:rFonts w:asciiTheme="minorHAnsi" w:hAnsiTheme="minorHAnsi" w:cstheme="minorHAnsi"/>
          <w:b w:val="0"/>
          <w:bCs/>
          <w:sz w:val="24"/>
          <w:szCs w:val="24"/>
        </w:rPr>
        <w:t>Table</w:t>
      </w:r>
      <w:r w:rsidR="00B36442" w:rsidRPr="00B36442">
        <w:rPr>
          <w:rStyle w:val="CommentReference"/>
          <w:rFonts w:asciiTheme="minorHAnsi" w:hAnsiTheme="minorHAnsi" w:cstheme="minorHAnsi"/>
          <w:sz w:val="24"/>
          <w:szCs w:val="24"/>
        </w:rPr>
        <w:t xml:space="preserve"> </w:t>
      </w:r>
      <w:r w:rsidR="00B36442" w:rsidRPr="00B36442">
        <w:rPr>
          <w:rStyle w:val="CommentReference"/>
          <w:rFonts w:asciiTheme="minorHAnsi" w:hAnsiTheme="minorHAnsi" w:cstheme="minorHAnsi"/>
          <w:b w:val="0"/>
          <w:bCs/>
          <w:noProof/>
          <w:sz w:val="24"/>
          <w:szCs w:val="24"/>
        </w:rPr>
        <w:t>5</w:t>
      </w:r>
      <w:r w:rsidRPr="00007450">
        <w:rPr>
          <w:rFonts w:cstheme="minorHAnsi"/>
          <w:b/>
          <w:szCs w:val="24"/>
        </w:rPr>
        <w:fldChar w:fldCharType="end"/>
      </w:r>
      <w:r w:rsidRPr="00007450">
        <w:rPr>
          <w:rFonts w:cstheme="minorHAnsi"/>
          <w:b/>
          <w:szCs w:val="24"/>
        </w:rPr>
        <w:t xml:space="preserve"> </w:t>
      </w:r>
      <w:r w:rsidRPr="00007450">
        <w:rPr>
          <w:rFonts w:cstheme="minorHAnsi"/>
          <w:bCs/>
          <w:szCs w:val="24"/>
        </w:rPr>
        <w:t>summarises</w:t>
      </w:r>
      <w:r w:rsidRPr="00007450">
        <w:t xml:space="preserve"> the results for</w:t>
      </w:r>
      <w:r w:rsidR="00913B2B" w:rsidRPr="00007450">
        <w:t xml:space="preserve"> invasive disease-free survival</w:t>
      </w:r>
      <w:r w:rsidRPr="00007450">
        <w:t xml:space="preserve"> </w:t>
      </w:r>
      <w:r w:rsidR="00913B2B" w:rsidRPr="00007450">
        <w:t>(</w:t>
      </w:r>
      <w:r w:rsidRPr="00007450">
        <w:t>iDFS</w:t>
      </w:r>
      <w:r w:rsidR="00913B2B" w:rsidRPr="00007450">
        <w:t>)</w:t>
      </w:r>
      <w:r w:rsidRPr="00007450">
        <w:t xml:space="preserve">, </w:t>
      </w:r>
      <w:r w:rsidR="00913B2B" w:rsidRPr="00007450">
        <w:t>distant recurrent-free survival (</w:t>
      </w:r>
      <w:r w:rsidRPr="00007450">
        <w:t>DRFS</w:t>
      </w:r>
      <w:r w:rsidR="00913B2B" w:rsidRPr="00007450">
        <w:t>)</w:t>
      </w:r>
      <w:r w:rsidRPr="00007450">
        <w:t xml:space="preserve"> and</w:t>
      </w:r>
      <w:r w:rsidR="00913B2B" w:rsidRPr="00007450">
        <w:t xml:space="preserve"> overall survival</w:t>
      </w:r>
      <w:r w:rsidRPr="00007450">
        <w:t xml:space="preserve"> </w:t>
      </w:r>
      <w:r w:rsidR="00913B2B" w:rsidRPr="00007450">
        <w:t>(</w:t>
      </w:r>
      <w:r w:rsidRPr="00007450">
        <w:t>OS</w:t>
      </w:r>
      <w:r w:rsidR="00913B2B" w:rsidRPr="00007450">
        <w:t>)</w:t>
      </w:r>
      <w:r w:rsidRPr="00007450">
        <w:t xml:space="preserve"> </w:t>
      </w:r>
      <w:r w:rsidR="00FA4311" w:rsidRPr="00007450">
        <w:t xml:space="preserve">from the </w:t>
      </w:r>
      <w:r w:rsidRPr="00007450">
        <w:t xml:space="preserve">NATALEE </w:t>
      </w:r>
      <w:r w:rsidR="00FA4311" w:rsidRPr="00007450">
        <w:t xml:space="preserve">trial </w:t>
      </w:r>
      <w:r w:rsidRPr="00007450">
        <w:t>(ITT</w:t>
      </w:r>
      <w:r w:rsidR="007966B6">
        <w:t>,</w:t>
      </w:r>
      <w:r w:rsidRPr="00007450">
        <w:t xml:space="preserve"> proposed PBS subgroup</w:t>
      </w:r>
      <w:r w:rsidR="00EF1A6B">
        <w:t xml:space="preserve"> and </w:t>
      </w:r>
      <w:r w:rsidR="00592AA5">
        <w:t xml:space="preserve">currently </w:t>
      </w:r>
      <w:r w:rsidR="00982224">
        <w:t xml:space="preserve">PBS </w:t>
      </w:r>
      <w:r w:rsidR="00592AA5">
        <w:t>listed population [calc</w:t>
      </w:r>
      <w:r w:rsidR="008D463D">
        <w:t xml:space="preserve">ulated as the difference between the ITT </w:t>
      </w:r>
      <w:r w:rsidR="005A5A6E">
        <w:t xml:space="preserve">population and </w:t>
      </w:r>
      <w:r w:rsidR="00D449D3">
        <w:t>proposed PBS subgroup</w:t>
      </w:r>
      <w:r w:rsidR="0059030C">
        <w:t>]</w:t>
      </w:r>
      <w:r w:rsidRPr="00007450">
        <w:t xml:space="preserve">). The results for the key outcomes of iDFS and DRFS indicate </w:t>
      </w:r>
      <w:r w:rsidR="00760CC2" w:rsidRPr="00007450">
        <w:t xml:space="preserve">a </w:t>
      </w:r>
      <w:r w:rsidRPr="00007450">
        <w:t xml:space="preserve">statistically significant benefit for ribociclib plus adjuvant ET compared to ET alone in the ITT population and proposed PBS subgroup. </w:t>
      </w:r>
    </w:p>
    <w:p w14:paraId="284D6533" w14:textId="757551AC" w:rsidR="009905C4" w:rsidRPr="00007450" w:rsidRDefault="009905C4" w:rsidP="00864C4B">
      <w:pPr>
        <w:pStyle w:val="TableFigureHeading"/>
        <w:rPr>
          <w:rStyle w:val="CommentReference"/>
          <w:b/>
          <w:bCs w:val="0"/>
        </w:rPr>
      </w:pPr>
      <w:bookmarkStart w:id="32" w:name="_Ref176773437"/>
      <w:r w:rsidRPr="00007450">
        <w:rPr>
          <w:rStyle w:val="CommentReference"/>
          <w:b/>
          <w:bCs w:val="0"/>
        </w:rPr>
        <w:t xml:space="preserve">Table </w:t>
      </w:r>
      <w:r w:rsidRPr="00007450">
        <w:rPr>
          <w:rStyle w:val="CommentReference"/>
          <w:b/>
          <w:bCs w:val="0"/>
        </w:rPr>
        <w:fldChar w:fldCharType="begin"/>
      </w:r>
      <w:r w:rsidRPr="00007450">
        <w:rPr>
          <w:rStyle w:val="CommentReference"/>
          <w:b/>
          <w:bCs w:val="0"/>
        </w:rPr>
        <w:instrText xml:space="preserve"> SEQ Table \* ARABIC </w:instrText>
      </w:r>
      <w:r w:rsidRPr="00007450">
        <w:rPr>
          <w:rStyle w:val="CommentReference"/>
          <w:b/>
          <w:bCs w:val="0"/>
        </w:rPr>
        <w:fldChar w:fldCharType="separate"/>
      </w:r>
      <w:r w:rsidR="00B36442">
        <w:rPr>
          <w:rStyle w:val="CommentReference"/>
          <w:b/>
          <w:bCs w:val="0"/>
          <w:noProof/>
        </w:rPr>
        <w:t>5</w:t>
      </w:r>
      <w:r w:rsidRPr="00007450">
        <w:rPr>
          <w:rStyle w:val="CommentReference"/>
          <w:b/>
          <w:bCs w:val="0"/>
        </w:rPr>
        <w:fldChar w:fldCharType="end"/>
      </w:r>
      <w:bookmarkEnd w:id="32"/>
      <w:r w:rsidRPr="00007450">
        <w:rPr>
          <w:rStyle w:val="CommentReference"/>
          <w:b/>
          <w:bCs w:val="0"/>
        </w:rPr>
        <w:t>: Summary of survival outcomes in NATALEE (ITT and PBS subgroup, DCO April 2024</w:t>
      </w:r>
      <w:r w:rsidR="0059030C">
        <w:rPr>
          <w:rStyle w:val="CommentReference"/>
          <w:b/>
          <w:bCs w:val="0"/>
        </w:rPr>
        <w:t xml:space="preserve">; </w:t>
      </w:r>
      <w:r w:rsidR="00982224">
        <w:rPr>
          <w:rStyle w:val="CommentReference"/>
          <w:b/>
          <w:bCs w:val="0"/>
        </w:rPr>
        <w:t xml:space="preserve">currently listed PBS </w:t>
      </w:r>
      <w:r w:rsidR="00944649">
        <w:rPr>
          <w:rStyle w:val="CommentReference"/>
          <w:b/>
          <w:bCs w:val="0"/>
        </w:rPr>
        <w:t>subg</w:t>
      </w:r>
      <w:r w:rsidR="003F5E6E">
        <w:rPr>
          <w:rStyle w:val="CommentReference"/>
          <w:b/>
          <w:bCs w:val="0"/>
        </w:rPr>
        <w:t>ro</w:t>
      </w:r>
      <w:r w:rsidR="00944649">
        <w:rPr>
          <w:rStyle w:val="CommentReference"/>
          <w:b/>
          <w:bCs w:val="0"/>
        </w:rPr>
        <w:t>up</w:t>
      </w:r>
      <w:r w:rsidR="008F2E04" w:rsidRPr="00007450">
        <w:rPr>
          <w:rStyle w:val="CommentReference"/>
          <w:b/>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survival outcomes in NATALEE (ITT and PBS subgroup, DCO April 2024; currently listed PBS subgroup)"/>
      </w:tblPr>
      <w:tblGrid>
        <w:gridCol w:w="2234"/>
        <w:gridCol w:w="2256"/>
        <w:gridCol w:w="1964"/>
        <w:gridCol w:w="2563"/>
      </w:tblGrid>
      <w:tr w:rsidR="009905C4" w:rsidRPr="00007450" w14:paraId="4A2FC3F8" w14:textId="77777777">
        <w:trPr>
          <w:trHeight w:val="454"/>
        </w:trPr>
        <w:tc>
          <w:tcPr>
            <w:tcW w:w="1239" w:type="pct"/>
            <w:tcBorders>
              <w:top w:val="single" w:sz="4" w:space="0" w:color="auto"/>
              <w:left w:val="single" w:sz="4" w:space="0" w:color="auto"/>
              <w:bottom w:val="single" w:sz="4" w:space="0" w:color="auto"/>
              <w:right w:val="single" w:sz="4" w:space="0" w:color="auto"/>
            </w:tcBorders>
            <w:vAlign w:val="center"/>
            <w:hideMark/>
          </w:tcPr>
          <w:p w14:paraId="3C3028C6"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Outcome</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E990634"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Ribociclib plus adjuvant ET n/N (%)</w:t>
            </w:r>
          </w:p>
        </w:tc>
        <w:tc>
          <w:tcPr>
            <w:tcW w:w="1089" w:type="pct"/>
            <w:tcBorders>
              <w:top w:val="single" w:sz="4" w:space="0" w:color="auto"/>
              <w:left w:val="single" w:sz="4" w:space="0" w:color="auto"/>
              <w:bottom w:val="single" w:sz="4" w:space="0" w:color="auto"/>
              <w:right w:val="single" w:sz="4" w:space="0" w:color="auto"/>
            </w:tcBorders>
            <w:vAlign w:val="center"/>
            <w:hideMark/>
          </w:tcPr>
          <w:p w14:paraId="6F8FBD4C"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ET alone n/N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785E0697"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Hazard Ratio (95% CI)</w:t>
            </w:r>
          </w:p>
        </w:tc>
      </w:tr>
      <w:tr w:rsidR="009905C4" w:rsidRPr="00007450" w14:paraId="67BADAB4" w14:textId="77777777">
        <w:trPr>
          <w:trHeight w:val="5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57DD757"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iDFS</w:t>
            </w:r>
          </w:p>
        </w:tc>
      </w:tr>
      <w:tr w:rsidR="009905C4" w:rsidRPr="00007450" w14:paraId="5DA8E197" w14:textId="77777777">
        <w:trPr>
          <w:trHeight w:val="197"/>
        </w:trPr>
        <w:tc>
          <w:tcPr>
            <w:tcW w:w="1239" w:type="pct"/>
            <w:tcBorders>
              <w:top w:val="single" w:sz="4" w:space="0" w:color="auto"/>
              <w:left w:val="single" w:sz="4" w:space="0" w:color="auto"/>
              <w:bottom w:val="single" w:sz="4" w:space="0" w:color="auto"/>
              <w:right w:val="single" w:sz="4" w:space="0" w:color="auto"/>
            </w:tcBorders>
            <w:vAlign w:val="center"/>
            <w:hideMark/>
          </w:tcPr>
          <w:p w14:paraId="06650AC7"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ITT</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D5B3088"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263/2549 (10.3%)</w:t>
            </w:r>
          </w:p>
        </w:tc>
        <w:tc>
          <w:tcPr>
            <w:tcW w:w="1089" w:type="pct"/>
            <w:tcBorders>
              <w:top w:val="single" w:sz="4" w:space="0" w:color="auto"/>
              <w:left w:val="single" w:sz="4" w:space="0" w:color="auto"/>
              <w:bottom w:val="single" w:sz="4" w:space="0" w:color="auto"/>
              <w:right w:val="single" w:sz="4" w:space="0" w:color="auto"/>
            </w:tcBorders>
            <w:vAlign w:val="center"/>
            <w:hideMark/>
          </w:tcPr>
          <w:p w14:paraId="5E61D31B"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340/2552 (13.3%)</w:t>
            </w:r>
          </w:p>
        </w:tc>
        <w:tc>
          <w:tcPr>
            <w:tcW w:w="1421" w:type="pct"/>
            <w:tcBorders>
              <w:top w:val="single" w:sz="4" w:space="0" w:color="auto"/>
              <w:left w:val="single" w:sz="4" w:space="0" w:color="auto"/>
              <w:bottom w:val="single" w:sz="4" w:space="0" w:color="auto"/>
              <w:right w:val="single" w:sz="4" w:space="0" w:color="auto"/>
            </w:tcBorders>
            <w:vAlign w:val="center"/>
            <w:hideMark/>
          </w:tcPr>
          <w:p w14:paraId="69EC9CD4" w14:textId="77777777" w:rsidR="009905C4" w:rsidRPr="00007450" w:rsidRDefault="009905C4" w:rsidP="00864C4B">
            <w:pPr>
              <w:keepNext/>
              <w:keepLines/>
              <w:jc w:val="left"/>
              <w:rPr>
                <w:rFonts w:ascii="Arial Narrow" w:eastAsia="MS Gothic" w:hAnsi="Arial Narrow" w:cs="Times New Roman"/>
                <w:b/>
                <w:bCs/>
                <w:sz w:val="20"/>
                <w:szCs w:val="20"/>
              </w:rPr>
            </w:pPr>
            <w:r w:rsidRPr="00007450">
              <w:rPr>
                <w:rFonts w:ascii="Arial Narrow" w:eastAsia="MS Gothic" w:hAnsi="Arial Narrow" w:cs="Times New Roman"/>
                <w:b/>
                <w:bCs/>
                <w:sz w:val="20"/>
                <w:szCs w:val="20"/>
              </w:rPr>
              <w:t xml:space="preserve">0.715 (0.609, 0.840) </w:t>
            </w:r>
          </w:p>
          <w:p w14:paraId="3549720B"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
                <w:bCs/>
                <w:sz w:val="20"/>
                <w:szCs w:val="20"/>
              </w:rPr>
              <w:t>p &lt; 0.0001</w:t>
            </w:r>
          </w:p>
        </w:tc>
      </w:tr>
      <w:tr w:rsidR="009905C4" w:rsidRPr="00007450" w14:paraId="30960D07" w14:textId="77777777" w:rsidTr="00094BAC">
        <w:trPr>
          <w:trHeight w:val="233"/>
        </w:trPr>
        <w:tc>
          <w:tcPr>
            <w:tcW w:w="1239" w:type="pct"/>
            <w:tcBorders>
              <w:top w:val="single" w:sz="4" w:space="0" w:color="auto"/>
              <w:left w:val="single" w:sz="4" w:space="0" w:color="auto"/>
              <w:bottom w:val="single" w:sz="4" w:space="0" w:color="auto"/>
              <w:right w:val="single" w:sz="4" w:space="0" w:color="auto"/>
            </w:tcBorders>
            <w:vAlign w:val="center"/>
            <w:hideMark/>
          </w:tcPr>
          <w:p w14:paraId="32E356A4" w14:textId="29279F60" w:rsidR="009905C4" w:rsidRPr="00007450" w:rsidRDefault="00793D77"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P</w:t>
            </w:r>
            <w:r w:rsidRPr="00094BAC">
              <w:rPr>
                <w:rFonts w:ascii="Arial Narrow" w:eastAsia="MS Gothic" w:hAnsi="Arial Narrow" w:cs="Times New Roman"/>
                <w:bCs/>
                <w:sz w:val="20"/>
              </w:rPr>
              <w:t xml:space="preserve">roposed </w:t>
            </w:r>
            <w:r w:rsidR="009905C4" w:rsidRPr="00007450">
              <w:rPr>
                <w:rFonts w:ascii="Arial Narrow" w:eastAsia="MS Gothic" w:hAnsi="Arial Narrow" w:cs="Times New Roman"/>
                <w:bCs/>
                <w:sz w:val="20"/>
              </w:rPr>
              <w:t>PBS subgroup</w:t>
            </w:r>
          </w:p>
        </w:tc>
        <w:tc>
          <w:tcPr>
            <w:tcW w:w="1251" w:type="pct"/>
            <w:tcBorders>
              <w:top w:val="single" w:sz="4" w:space="0" w:color="auto"/>
              <w:left w:val="single" w:sz="4" w:space="0" w:color="auto"/>
              <w:bottom w:val="single" w:sz="4" w:space="0" w:color="auto"/>
              <w:right w:val="single" w:sz="4" w:space="0" w:color="auto"/>
            </w:tcBorders>
            <w:vAlign w:val="center"/>
          </w:tcPr>
          <w:p w14:paraId="567FA3EC"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55/891 (6.2%)</w:t>
            </w:r>
          </w:p>
        </w:tc>
        <w:tc>
          <w:tcPr>
            <w:tcW w:w="1089" w:type="pct"/>
            <w:tcBorders>
              <w:top w:val="single" w:sz="4" w:space="0" w:color="auto"/>
              <w:left w:val="single" w:sz="4" w:space="0" w:color="auto"/>
              <w:bottom w:val="single" w:sz="4" w:space="0" w:color="auto"/>
              <w:right w:val="single" w:sz="4" w:space="0" w:color="auto"/>
            </w:tcBorders>
            <w:vAlign w:val="center"/>
          </w:tcPr>
          <w:p w14:paraId="79C08679" w14:textId="4208BCED"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78/903 (8.6%)</w:t>
            </w:r>
          </w:p>
        </w:tc>
        <w:tc>
          <w:tcPr>
            <w:tcW w:w="1421" w:type="pct"/>
            <w:tcBorders>
              <w:top w:val="single" w:sz="4" w:space="0" w:color="auto"/>
              <w:left w:val="single" w:sz="4" w:space="0" w:color="auto"/>
              <w:bottom w:val="single" w:sz="4" w:space="0" w:color="auto"/>
              <w:right w:val="single" w:sz="4" w:space="0" w:color="auto"/>
            </w:tcBorders>
            <w:vAlign w:val="center"/>
          </w:tcPr>
          <w:p w14:paraId="69F3C5D1" w14:textId="77777777" w:rsidR="009905C4" w:rsidRPr="00007450" w:rsidRDefault="009905C4" w:rsidP="00864C4B">
            <w:pPr>
              <w:keepNext/>
              <w:keepLines/>
              <w:jc w:val="left"/>
              <w:rPr>
                <w:rFonts w:ascii="Arial Narrow" w:eastAsia="MS Gothic" w:hAnsi="Arial Narrow" w:cs="Times New Roman"/>
                <w:b/>
                <w:bCs/>
                <w:sz w:val="20"/>
                <w:szCs w:val="20"/>
              </w:rPr>
            </w:pPr>
            <w:r w:rsidRPr="00007450">
              <w:rPr>
                <w:rFonts w:ascii="Arial Narrow" w:eastAsia="MS Gothic" w:hAnsi="Arial Narrow" w:cs="Times New Roman"/>
                <w:b/>
                <w:bCs/>
                <w:sz w:val="20"/>
                <w:szCs w:val="20"/>
              </w:rPr>
              <w:t>0.665 (0.469, 0.944)</w:t>
            </w:r>
          </w:p>
          <w:p w14:paraId="47F8D87D" w14:textId="77777777" w:rsidR="009905C4" w:rsidRPr="00007450" w:rsidRDefault="009905C4" w:rsidP="00864C4B">
            <w:pPr>
              <w:keepNext/>
              <w:keepLines/>
              <w:jc w:val="left"/>
              <w:rPr>
                <w:rFonts w:ascii="Arial Narrow" w:eastAsia="MS Gothic" w:hAnsi="Arial Narrow" w:cs="Times New Roman"/>
                <w:b/>
                <w:bCs/>
                <w:sz w:val="20"/>
                <w:szCs w:val="20"/>
              </w:rPr>
            </w:pPr>
            <w:r w:rsidRPr="00007450">
              <w:rPr>
                <w:rFonts w:ascii="Arial Narrow" w:eastAsia="MS Gothic" w:hAnsi="Arial Narrow" w:cs="Times New Roman"/>
                <w:b/>
                <w:bCs/>
                <w:sz w:val="20"/>
                <w:szCs w:val="20"/>
              </w:rPr>
              <w:t>p = 0.011</w:t>
            </w:r>
          </w:p>
        </w:tc>
      </w:tr>
      <w:tr w:rsidR="00392936" w:rsidRPr="00007450" w14:paraId="5A468E93" w14:textId="77777777">
        <w:trPr>
          <w:trHeight w:val="233"/>
        </w:trPr>
        <w:tc>
          <w:tcPr>
            <w:tcW w:w="1239" w:type="pct"/>
            <w:tcBorders>
              <w:top w:val="single" w:sz="4" w:space="0" w:color="auto"/>
              <w:left w:val="single" w:sz="4" w:space="0" w:color="auto"/>
              <w:bottom w:val="single" w:sz="4" w:space="0" w:color="auto"/>
              <w:right w:val="single" w:sz="4" w:space="0" w:color="auto"/>
            </w:tcBorders>
            <w:vAlign w:val="center"/>
          </w:tcPr>
          <w:p w14:paraId="6008D27A" w14:textId="2AA3127C" w:rsidR="00392936" w:rsidRPr="00007450" w:rsidRDefault="003B52DD"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Li</w:t>
            </w:r>
            <w:r w:rsidRPr="00094BAC">
              <w:rPr>
                <w:rFonts w:ascii="Arial Narrow" w:eastAsia="MS Gothic" w:hAnsi="Arial Narrow" w:cs="Times New Roman"/>
                <w:bCs/>
                <w:sz w:val="20"/>
              </w:rPr>
              <w:t>sted PBS subgroup</w:t>
            </w:r>
          </w:p>
        </w:tc>
        <w:tc>
          <w:tcPr>
            <w:tcW w:w="1251" w:type="pct"/>
            <w:tcBorders>
              <w:top w:val="single" w:sz="4" w:space="0" w:color="auto"/>
              <w:left w:val="single" w:sz="4" w:space="0" w:color="auto"/>
              <w:bottom w:val="single" w:sz="4" w:space="0" w:color="auto"/>
              <w:right w:val="single" w:sz="4" w:space="0" w:color="auto"/>
            </w:tcBorders>
          </w:tcPr>
          <w:p w14:paraId="4D7F6B7C" w14:textId="4C1AAA82" w:rsidR="00392936" w:rsidRPr="00007450" w:rsidRDefault="00B55B2F" w:rsidP="00864C4B">
            <w:pPr>
              <w:keepNext/>
              <w:keepLines/>
              <w:jc w:val="left"/>
              <w:rPr>
                <w:rFonts w:ascii="Arial Narrow" w:eastAsia="MS Gothic" w:hAnsi="Arial Narrow" w:cs="Times New Roman"/>
                <w:sz w:val="20"/>
                <w:szCs w:val="20"/>
              </w:rPr>
            </w:pPr>
            <w:r>
              <w:rPr>
                <w:rFonts w:ascii="Arial Narrow" w:eastAsia="MS Gothic" w:hAnsi="Arial Narrow" w:cs="Times New Roman"/>
                <w:sz w:val="20"/>
                <w:szCs w:val="20"/>
              </w:rPr>
              <w:t>2</w:t>
            </w:r>
            <w:r w:rsidRPr="00094BAC">
              <w:rPr>
                <w:rFonts w:ascii="Arial Narrow" w:eastAsia="MS Gothic" w:hAnsi="Arial Narrow" w:cs="Times New Roman"/>
                <w:bCs/>
                <w:sz w:val="20"/>
              </w:rPr>
              <w:t>08/1658</w:t>
            </w:r>
            <w:r w:rsidR="00E900D3" w:rsidRPr="00094BAC">
              <w:rPr>
                <w:rFonts w:ascii="Arial Narrow" w:eastAsia="MS Gothic" w:hAnsi="Arial Narrow" w:cs="Times New Roman"/>
                <w:bCs/>
                <w:sz w:val="20"/>
              </w:rPr>
              <w:t xml:space="preserve"> (</w:t>
            </w:r>
            <w:r w:rsidR="00094BAC" w:rsidRPr="00094BAC">
              <w:rPr>
                <w:rFonts w:ascii="Arial Narrow" w:eastAsia="MS Gothic" w:hAnsi="Arial Narrow" w:cs="Times New Roman"/>
                <w:bCs/>
                <w:sz w:val="20"/>
              </w:rPr>
              <w:t>12.5%)</w:t>
            </w:r>
          </w:p>
        </w:tc>
        <w:tc>
          <w:tcPr>
            <w:tcW w:w="1089" w:type="pct"/>
            <w:tcBorders>
              <w:top w:val="single" w:sz="4" w:space="0" w:color="auto"/>
              <w:left w:val="single" w:sz="4" w:space="0" w:color="auto"/>
              <w:bottom w:val="single" w:sz="4" w:space="0" w:color="auto"/>
              <w:right w:val="single" w:sz="4" w:space="0" w:color="auto"/>
            </w:tcBorders>
          </w:tcPr>
          <w:p w14:paraId="2C4B53BB" w14:textId="7C724521" w:rsidR="00392936" w:rsidRPr="00007450" w:rsidRDefault="00094BAC" w:rsidP="00864C4B">
            <w:pPr>
              <w:keepNext/>
              <w:keepLines/>
              <w:jc w:val="left"/>
              <w:rPr>
                <w:rFonts w:ascii="Arial Narrow" w:eastAsia="MS Gothic" w:hAnsi="Arial Narrow" w:cs="Times New Roman"/>
                <w:sz w:val="20"/>
                <w:szCs w:val="20"/>
              </w:rPr>
            </w:pPr>
            <w:r w:rsidRPr="00094BAC">
              <w:rPr>
                <w:rFonts w:ascii="Arial Narrow" w:eastAsia="MS Gothic" w:hAnsi="Arial Narrow" w:cs="Times New Roman"/>
                <w:bCs/>
                <w:sz w:val="20"/>
              </w:rPr>
              <w:t>262/1649 (</w:t>
            </w:r>
            <w:r w:rsidRPr="000C5CDD">
              <w:rPr>
                <w:rFonts w:ascii="Arial Narrow" w:eastAsia="MS Gothic" w:hAnsi="Arial Narrow" w:cs="Times New Roman"/>
                <w:bCs/>
                <w:sz w:val="20"/>
                <w:szCs w:val="20"/>
              </w:rPr>
              <w:t>1</w:t>
            </w:r>
            <w:r w:rsidR="000C5CDD" w:rsidRPr="000C5CDD">
              <w:rPr>
                <w:rFonts w:ascii="Arial Narrow" w:eastAsia="MS Gothic" w:hAnsi="Arial Narrow" w:cs="Times New Roman"/>
                <w:bCs/>
                <w:sz w:val="20"/>
                <w:szCs w:val="20"/>
              </w:rPr>
              <w:t>5.9</w:t>
            </w:r>
            <w:r w:rsidRPr="000C5CDD">
              <w:rPr>
                <w:rFonts w:ascii="Arial Narrow" w:eastAsia="MS Gothic" w:hAnsi="Arial Narrow" w:cs="Times New Roman"/>
                <w:bCs/>
                <w:sz w:val="20"/>
                <w:szCs w:val="20"/>
              </w:rPr>
              <w:t>%)</w:t>
            </w:r>
          </w:p>
        </w:tc>
        <w:tc>
          <w:tcPr>
            <w:tcW w:w="1421" w:type="pct"/>
            <w:tcBorders>
              <w:top w:val="single" w:sz="4" w:space="0" w:color="auto"/>
              <w:left w:val="single" w:sz="4" w:space="0" w:color="auto"/>
              <w:bottom w:val="single" w:sz="4" w:space="0" w:color="auto"/>
              <w:right w:val="single" w:sz="4" w:space="0" w:color="auto"/>
            </w:tcBorders>
            <w:vAlign w:val="center"/>
          </w:tcPr>
          <w:p w14:paraId="60D8050C" w14:textId="53902335" w:rsidR="00392936" w:rsidRPr="00094BAC" w:rsidRDefault="00094BAC" w:rsidP="00864C4B">
            <w:pPr>
              <w:keepNext/>
              <w:keepLines/>
              <w:jc w:val="left"/>
              <w:rPr>
                <w:rFonts w:ascii="Arial Narrow" w:eastAsia="MS Gothic" w:hAnsi="Arial Narrow" w:cs="Times New Roman"/>
                <w:bCs/>
                <w:sz w:val="20"/>
              </w:rPr>
            </w:pPr>
            <w:r w:rsidRPr="00094BAC">
              <w:rPr>
                <w:rFonts w:ascii="Arial Narrow" w:eastAsia="MS Gothic" w:hAnsi="Arial Narrow" w:cs="Times New Roman"/>
                <w:bCs/>
                <w:sz w:val="20"/>
              </w:rPr>
              <w:t>Not reported</w:t>
            </w:r>
          </w:p>
        </w:tc>
      </w:tr>
      <w:tr w:rsidR="009905C4" w:rsidRPr="00007450" w14:paraId="1B59F674" w14:textId="77777777">
        <w:trPr>
          <w:trHeight w:val="23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77E8250" w14:textId="77777777" w:rsidR="009905C4" w:rsidRPr="00007450" w:rsidRDefault="009905C4" w:rsidP="00864C4B">
            <w:pPr>
              <w:keepNext/>
              <w:keepLines/>
              <w:jc w:val="left"/>
              <w:rPr>
                <w:rFonts w:ascii="Arial Narrow" w:eastAsia="MS Gothic" w:hAnsi="Arial Narrow" w:cs="Times New Roman"/>
                <w:b/>
                <w:bCs/>
                <w:sz w:val="20"/>
                <w:szCs w:val="20"/>
              </w:rPr>
            </w:pPr>
            <w:r w:rsidRPr="00007450">
              <w:rPr>
                <w:rFonts w:ascii="Arial Narrow" w:eastAsia="MS Gothic" w:hAnsi="Arial Narrow" w:cs="Times New Roman"/>
                <w:b/>
                <w:sz w:val="20"/>
              </w:rPr>
              <w:t>DRFS</w:t>
            </w:r>
          </w:p>
        </w:tc>
      </w:tr>
      <w:tr w:rsidR="009905C4" w:rsidRPr="00007450" w14:paraId="29C62806" w14:textId="77777777">
        <w:trPr>
          <w:trHeight w:val="71"/>
        </w:trPr>
        <w:tc>
          <w:tcPr>
            <w:tcW w:w="1239" w:type="pct"/>
            <w:tcBorders>
              <w:top w:val="single" w:sz="4" w:space="0" w:color="auto"/>
              <w:left w:val="single" w:sz="4" w:space="0" w:color="auto"/>
              <w:bottom w:val="single" w:sz="4" w:space="0" w:color="auto"/>
              <w:right w:val="single" w:sz="4" w:space="0" w:color="auto"/>
            </w:tcBorders>
            <w:vAlign w:val="center"/>
            <w:hideMark/>
          </w:tcPr>
          <w:p w14:paraId="65508D3D"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ITT</w:t>
            </w:r>
          </w:p>
        </w:tc>
        <w:tc>
          <w:tcPr>
            <w:tcW w:w="1251" w:type="pct"/>
            <w:tcBorders>
              <w:top w:val="single" w:sz="4" w:space="0" w:color="auto"/>
              <w:left w:val="single" w:sz="4" w:space="0" w:color="auto"/>
              <w:bottom w:val="single" w:sz="4" w:space="0" w:color="auto"/>
              <w:right w:val="single" w:sz="4" w:space="0" w:color="auto"/>
            </w:tcBorders>
            <w:vAlign w:val="center"/>
            <w:hideMark/>
          </w:tcPr>
          <w:p w14:paraId="5E4759D7"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210/2549 (8.2%)</w:t>
            </w:r>
          </w:p>
        </w:tc>
        <w:tc>
          <w:tcPr>
            <w:tcW w:w="1089" w:type="pct"/>
            <w:tcBorders>
              <w:top w:val="single" w:sz="4" w:space="0" w:color="auto"/>
              <w:left w:val="single" w:sz="4" w:space="0" w:color="auto"/>
              <w:bottom w:val="single" w:sz="4" w:space="0" w:color="auto"/>
              <w:right w:val="single" w:sz="4" w:space="0" w:color="auto"/>
            </w:tcBorders>
            <w:vAlign w:val="center"/>
            <w:hideMark/>
          </w:tcPr>
          <w:p w14:paraId="724E7088"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276/2552 (10.8%)</w:t>
            </w:r>
          </w:p>
        </w:tc>
        <w:tc>
          <w:tcPr>
            <w:tcW w:w="1421" w:type="pct"/>
            <w:tcBorders>
              <w:top w:val="single" w:sz="4" w:space="0" w:color="auto"/>
              <w:left w:val="single" w:sz="4" w:space="0" w:color="auto"/>
              <w:bottom w:val="single" w:sz="4" w:space="0" w:color="auto"/>
              <w:right w:val="single" w:sz="4" w:space="0" w:color="auto"/>
            </w:tcBorders>
            <w:vAlign w:val="center"/>
            <w:hideMark/>
          </w:tcPr>
          <w:p w14:paraId="46401308"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0.705 (0.589, 0.844)</w:t>
            </w:r>
          </w:p>
          <w:p w14:paraId="2326FD0A"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
                <w:sz w:val="20"/>
              </w:rPr>
              <w:t>p &lt; 0.0001</w:t>
            </w:r>
          </w:p>
        </w:tc>
      </w:tr>
      <w:tr w:rsidR="00420EDE" w:rsidRPr="00007450" w14:paraId="13779F48" w14:textId="77777777" w:rsidTr="00477304">
        <w:trPr>
          <w:trHeight w:val="116"/>
        </w:trPr>
        <w:tc>
          <w:tcPr>
            <w:tcW w:w="1239" w:type="pct"/>
            <w:tcBorders>
              <w:top w:val="single" w:sz="4" w:space="0" w:color="auto"/>
              <w:left w:val="single" w:sz="4" w:space="0" w:color="auto"/>
              <w:bottom w:val="single" w:sz="4" w:space="0" w:color="auto"/>
              <w:right w:val="single" w:sz="4" w:space="0" w:color="auto"/>
            </w:tcBorders>
            <w:vAlign w:val="center"/>
            <w:hideMark/>
          </w:tcPr>
          <w:p w14:paraId="31FA3B48" w14:textId="09DDD55B" w:rsidR="00420EDE" w:rsidRPr="00007450" w:rsidRDefault="00420EDE"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P</w:t>
            </w:r>
            <w:r w:rsidRPr="00094BAC">
              <w:rPr>
                <w:rFonts w:ascii="Arial Narrow" w:eastAsia="MS Gothic" w:hAnsi="Arial Narrow" w:cs="Times New Roman"/>
                <w:bCs/>
                <w:sz w:val="20"/>
              </w:rPr>
              <w:t xml:space="preserve">roposed </w:t>
            </w:r>
            <w:r w:rsidRPr="00007450">
              <w:rPr>
                <w:rFonts w:ascii="Arial Narrow" w:eastAsia="MS Gothic" w:hAnsi="Arial Narrow" w:cs="Times New Roman"/>
                <w:bCs/>
                <w:sz w:val="20"/>
              </w:rPr>
              <w:t>PBS subgroup</w:t>
            </w:r>
          </w:p>
        </w:tc>
        <w:tc>
          <w:tcPr>
            <w:tcW w:w="1251" w:type="pct"/>
            <w:tcBorders>
              <w:top w:val="nil"/>
              <w:left w:val="single" w:sz="4" w:space="0" w:color="auto"/>
              <w:bottom w:val="single" w:sz="4" w:space="0" w:color="auto"/>
              <w:right w:val="single" w:sz="4" w:space="0" w:color="auto"/>
            </w:tcBorders>
            <w:shd w:val="clear" w:color="auto" w:fill="FFFFFF" w:themeFill="background1"/>
            <w:vAlign w:val="center"/>
          </w:tcPr>
          <w:p w14:paraId="67C10F79" w14:textId="77777777" w:rsidR="00420EDE" w:rsidRPr="00007450" w:rsidRDefault="00420EDE"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39/891 (4.4%)</w:t>
            </w:r>
          </w:p>
        </w:tc>
        <w:tc>
          <w:tcPr>
            <w:tcW w:w="1089" w:type="pct"/>
            <w:tcBorders>
              <w:top w:val="nil"/>
              <w:left w:val="single" w:sz="4" w:space="0" w:color="auto"/>
              <w:bottom w:val="single" w:sz="4" w:space="0" w:color="auto"/>
              <w:right w:val="single" w:sz="4" w:space="0" w:color="auto"/>
            </w:tcBorders>
            <w:shd w:val="clear" w:color="auto" w:fill="FFFFFF" w:themeFill="background1"/>
            <w:vAlign w:val="center"/>
          </w:tcPr>
          <w:p w14:paraId="747B7862" w14:textId="64449A0D" w:rsidR="00420EDE" w:rsidRPr="00007450" w:rsidRDefault="00420EDE"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57/903 (6.3%)</w:t>
            </w:r>
          </w:p>
        </w:tc>
        <w:tc>
          <w:tcPr>
            <w:tcW w:w="1421" w:type="pct"/>
            <w:tcBorders>
              <w:top w:val="single" w:sz="4" w:space="0" w:color="auto"/>
              <w:left w:val="single" w:sz="4" w:space="0" w:color="auto"/>
              <w:bottom w:val="single" w:sz="4" w:space="0" w:color="auto"/>
              <w:right w:val="single" w:sz="4" w:space="0" w:color="auto"/>
            </w:tcBorders>
            <w:vAlign w:val="center"/>
          </w:tcPr>
          <w:p w14:paraId="3FC6493A" w14:textId="77777777" w:rsidR="00420EDE" w:rsidRPr="00007450" w:rsidRDefault="00420EDE"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0.637 (0.421, 0.965)</w:t>
            </w:r>
          </w:p>
          <w:p w14:paraId="34F41934" w14:textId="77777777" w:rsidR="00420EDE" w:rsidRPr="00007450" w:rsidRDefault="00420EDE" w:rsidP="00864C4B">
            <w:pPr>
              <w:keepNext/>
              <w:keepLines/>
              <w:jc w:val="left"/>
              <w:rPr>
                <w:rFonts w:ascii="Arial Narrow" w:eastAsia="MS Gothic" w:hAnsi="Arial Narrow" w:cs="Times New Roman"/>
                <w:b/>
                <w:sz w:val="20"/>
              </w:rPr>
            </w:pPr>
            <w:r w:rsidRPr="00007450">
              <w:rPr>
                <w:rFonts w:ascii="Arial Narrow" w:eastAsia="MS Gothic" w:hAnsi="Arial Narrow" w:cs="Times New Roman"/>
                <w:b/>
                <w:sz w:val="20"/>
              </w:rPr>
              <w:t>p = 0.016</w:t>
            </w:r>
          </w:p>
        </w:tc>
      </w:tr>
      <w:tr w:rsidR="00420EDE" w:rsidRPr="00007450" w14:paraId="512F97A9" w14:textId="77777777">
        <w:trPr>
          <w:trHeight w:val="116"/>
        </w:trPr>
        <w:tc>
          <w:tcPr>
            <w:tcW w:w="1239" w:type="pct"/>
            <w:tcBorders>
              <w:top w:val="single" w:sz="4" w:space="0" w:color="auto"/>
              <w:left w:val="single" w:sz="4" w:space="0" w:color="auto"/>
              <w:bottom w:val="single" w:sz="4" w:space="0" w:color="auto"/>
              <w:right w:val="single" w:sz="4" w:space="0" w:color="auto"/>
            </w:tcBorders>
            <w:vAlign w:val="center"/>
          </w:tcPr>
          <w:p w14:paraId="0EDCD1FC" w14:textId="2C23B78F" w:rsidR="00420EDE" w:rsidRPr="00007450" w:rsidRDefault="00420EDE"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Li</w:t>
            </w:r>
            <w:r w:rsidRPr="00094BAC">
              <w:rPr>
                <w:rFonts w:ascii="Arial Narrow" w:eastAsia="MS Gothic" w:hAnsi="Arial Narrow" w:cs="Times New Roman"/>
                <w:bCs/>
                <w:sz w:val="20"/>
              </w:rPr>
              <w:t>sted PBS subgroup</w:t>
            </w:r>
          </w:p>
        </w:tc>
        <w:tc>
          <w:tcPr>
            <w:tcW w:w="1251" w:type="pct"/>
            <w:tcBorders>
              <w:top w:val="nil"/>
              <w:left w:val="single" w:sz="4" w:space="0" w:color="auto"/>
              <w:bottom w:val="single" w:sz="4" w:space="0" w:color="auto"/>
              <w:right w:val="single" w:sz="4" w:space="0" w:color="auto"/>
            </w:tcBorders>
            <w:shd w:val="clear" w:color="auto" w:fill="FFFFFF" w:themeFill="background1"/>
          </w:tcPr>
          <w:p w14:paraId="487072C9" w14:textId="27156AE8" w:rsidR="00420EDE" w:rsidRPr="00007450" w:rsidRDefault="00D855D0"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171/1658 (10.3%)</w:t>
            </w:r>
          </w:p>
        </w:tc>
        <w:tc>
          <w:tcPr>
            <w:tcW w:w="1089" w:type="pct"/>
            <w:tcBorders>
              <w:top w:val="nil"/>
              <w:left w:val="single" w:sz="4" w:space="0" w:color="auto"/>
              <w:bottom w:val="single" w:sz="4" w:space="0" w:color="auto"/>
              <w:right w:val="single" w:sz="4" w:space="0" w:color="auto"/>
            </w:tcBorders>
            <w:shd w:val="clear" w:color="auto" w:fill="FFFFFF" w:themeFill="background1"/>
          </w:tcPr>
          <w:p w14:paraId="1CF05260" w14:textId="2390EE33" w:rsidR="00420EDE" w:rsidRPr="00007450" w:rsidRDefault="00B47DAE"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219/1649 (</w:t>
            </w:r>
            <w:r w:rsidR="002C3316">
              <w:rPr>
                <w:rFonts w:ascii="Arial Narrow" w:eastAsia="MS Gothic" w:hAnsi="Arial Narrow" w:cs="Times New Roman"/>
                <w:bCs/>
                <w:sz w:val="20"/>
              </w:rPr>
              <w:t>13.3%)</w:t>
            </w:r>
          </w:p>
        </w:tc>
        <w:tc>
          <w:tcPr>
            <w:tcW w:w="1421" w:type="pct"/>
            <w:tcBorders>
              <w:top w:val="single" w:sz="4" w:space="0" w:color="auto"/>
              <w:left w:val="single" w:sz="4" w:space="0" w:color="auto"/>
              <w:bottom w:val="single" w:sz="4" w:space="0" w:color="auto"/>
              <w:right w:val="single" w:sz="4" w:space="0" w:color="auto"/>
            </w:tcBorders>
            <w:vAlign w:val="center"/>
          </w:tcPr>
          <w:p w14:paraId="4A95000C" w14:textId="1DFE64D1" w:rsidR="00420EDE" w:rsidRPr="00007450" w:rsidRDefault="002C3316" w:rsidP="00864C4B">
            <w:pPr>
              <w:keepNext/>
              <w:keepLines/>
              <w:jc w:val="left"/>
              <w:rPr>
                <w:rFonts w:ascii="Arial Narrow" w:eastAsia="MS Gothic" w:hAnsi="Arial Narrow" w:cs="Times New Roman"/>
                <w:b/>
                <w:sz w:val="20"/>
              </w:rPr>
            </w:pPr>
            <w:r w:rsidRPr="00094BAC">
              <w:rPr>
                <w:rFonts w:ascii="Arial Narrow" w:eastAsia="MS Gothic" w:hAnsi="Arial Narrow" w:cs="Times New Roman"/>
                <w:bCs/>
                <w:sz w:val="20"/>
              </w:rPr>
              <w:t>Not reported</w:t>
            </w:r>
          </w:p>
        </w:tc>
      </w:tr>
      <w:tr w:rsidR="009905C4" w:rsidRPr="00007450" w14:paraId="2D616C4C" w14:textId="77777777">
        <w:trPr>
          <w:trHeight w:val="11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F265A41" w14:textId="77777777" w:rsidR="009905C4" w:rsidRPr="00007450" w:rsidRDefault="009905C4" w:rsidP="00864C4B">
            <w:pPr>
              <w:keepNext/>
              <w:keepLines/>
              <w:jc w:val="left"/>
              <w:rPr>
                <w:rFonts w:ascii="Arial Narrow" w:eastAsia="MS Gothic" w:hAnsi="Arial Narrow" w:cs="Times New Roman"/>
                <w:b/>
                <w:bCs/>
                <w:sz w:val="20"/>
              </w:rPr>
            </w:pPr>
            <w:r w:rsidRPr="00007450">
              <w:rPr>
                <w:rFonts w:ascii="Arial Narrow" w:eastAsia="MS Gothic" w:hAnsi="Arial Narrow" w:cs="Times New Roman"/>
                <w:b/>
                <w:sz w:val="20"/>
              </w:rPr>
              <w:t>OS</w:t>
            </w:r>
          </w:p>
        </w:tc>
      </w:tr>
      <w:tr w:rsidR="009905C4" w:rsidRPr="00007450" w14:paraId="4FF67C65" w14:textId="77777777">
        <w:trPr>
          <w:trHeight w:val="56"/>
        </w:trPr>
        <w:tc>
          <w:tcPr>
            <w:tcW w:w="1239" w:type="pct"/>
            <w:tcBorders>
              <w:top w:val="single" w:sz="4" w:space="0" w:color="auto"/>
              <w:left w:val="single" w:sz="4" w:space="0" w:color="auto"/>
              <w:bottom w:val="single" w:sz="4" w:space="0" w:color="auto"/>
              <w:right w:val="single" w:sz="4" w:space="0" w:color="auto"/>
            </w:tcBorders>
            <w:vAlign w:val="center"/>
            <w:hideMark/>
          </w:tcPr>
          <w:p w14:paraId="0D845CAE" w14:textId="77777777" w:rsidR="009905C4" w:rsidRPr="00007450" w:rsidRDefault="009905C4" w:rsidP="00864C4B">
            <w:pPr>
              <w:keepNext/>
              <w:keepLines/>
              <w:jc w:val="left"/>
              <w:rPr>
                <w:rFonts w:ascii="Arial Narrow" w:eastAsia="MS Gothic" w:hAnsi="Arial Narrow" w:cs="Times New Roman"/>
                <w:b/>
                <w:sz w:val="20"/>
              </w:rPr>
            </w:pPr>
            <w:r w:rsidRPr="00007450">
              <w:rPr>
                <w:rFonts w:ascii="Arial Narrow" w:eastAsia="MS Gothic" w:hAnsi="Arial Narrow" w:cs="Times New Roman"/>
                <w:bCs/>
                <w:sz w:val="20"/>
              </w:rPr>
              <w:t>ITT</w:t>
            </w:r>
          </w:p>
        </w:tc>
        <w:tc>
          <w:tcPr>
            <w:tcW w:w="1251" w:type="pct"/>
            <w:tcBorders>
              <w:top w:val="single" w:sz="4" w:space="0" w:color="auto"/>
              <w:left w:val="single" w:sz="4" w:space="0" w:color="auto"/>
              <w:bottom w:val="single" w:sz="4" w:space="0" w:color="auto"/>
              <w:right w:val="single" w:sz="4" w:space="0" w:color="auto"/>
            </w:tcBorders>
            <w:hideMark/>
          </w:tcPr>
          <w:p w14:paraId="29E4341D"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105/2549 (4.1%)</w:t>
            </w:r>
          </w:p>
        </w:tc>
        <w:tc>
          <w:tcPr>
            <w:tcW w:w="1089" w:type="pct"/>
            <w:tcBorders>
              <w:top w:val="single" w:sz="4" w:space="0" w:color="auto"/>
              <w:left w:val="single" w:sz="4" w:space="0" w:color="auto"/>
              <w:bottom w:val="single" w:sz="4" w:space="0" w:color="auto"/>
              <w:right w:val="single" w:sz="4" w:space="0" w:color="auto"/>
            </w:tcBorders>
            <w:hideMark/>
          </w:tcPr>
          <w:p w14:paraId="32AFF927" w14:textId="77777777" w:rsidR="009905C4" w:rsidRPr="00007450" w:rsidRDefault="009905C4"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121/2552 (4.7%)</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3F624FC"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0.827 (0.636, 1.074)</w:t>
            </w:r>
          </w:p>
          <w:p w14:paraId="34F5ACE4"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p = 0.0766</w:t>
            </w:r>
          </w:p>
        </w:tc>
      </w:tr>
      <w:tr w:rsidR="003A5A52" w:rsidRPr="00007450" w14:paraId="78A8C023" w14:textId="77777777" w:rsidTr="00477304">
        <w:trPr>
          <w:trHeight w:val="80"/>
        </w:trPr>
        <w:tc>
          <w:tcPr>
            <w:tcW w:w="1239" w:type="pct"/>
            <w:tcBorders>
              <w:top w:val="single" w:sz="4" w:space="0" w:color="auto"/>
              <w:left w:val="single" w:sz="4" w:space="0" w:color="auto"/>
              <w:bottom w:val="single" w:sz="4" w:space="0" w:color="auto"/>
              <w:right w:val="single" w:sz="4" w:space="0" w:color="auto"/>
            </w:tcBorders>
            <w:vAlign w:val="center"/>
            <w:hideMark/>
          </w:tcPr>
          <w:p w14:paraId="3E0F192A" w14:textId="1E4EB7FC" w:rsidR="003A5A52" w:rsidRPr="00007450" w:rsidRDefault="003A5A52"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P</w:t>
            </w:r>
            <w:r w:rsidRPr="00094BAC">
              <w:rPr>
                <w:rFonts w:ascii="Arial Narrow" w:eastAsia="MS Gothic" w:hAnsi="Arial Narrow" w:cs="Times New Roman"/>
                <w:bCs/>
                <w:sz w:val="20"/>
              </w:rPr>
              <w:t xml:space="preserve">roposed </w:t>
            </w:r>
            <w:r w:rsidRPr="00007450">
              <w:rPr>
                <w:rFonts w:ascii="Arial Narrow" w:eastAsia="MS Gothic" w:hAnsi="Arial Narrow" w:cs="Times New Roman"/>
                <w:bCs/>
                <w:sz w:val="20"/>
              </w:rPr>
              <w:t>PBS subgroup</w:t>
            </w:r>
          </w:p>
        </w:tc>
        <w:tc>
          <w:tcPr>
            <w:tcW w:w="1251" w:type="pct"/>
            <w:tcBorders>
              <w:top w:val="single" w:sz="4" w:space="0" w:color="auto"/>
              <w:left w:val="single" w:sz="4" w:space="0" w:color="auto"/>
              <w:bottom w:val="single" w:sz="4" w:space="0" w:color="auto"/>
              <w:right w:val="single" w:sz="4" w:space="0" w:color="auto"/>
            </w:tcBorders>
            <w:vAlign w:val="center"/>
          </w:tcPr>
          <w:p w14:paraId="64453E5E" w14:textId="77777777" w:rsidR="003A5A52" w:rsidRPr="00007450" w:rsidRDefault="003A5A52"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19/891 (2.1%)</w:t>
            </w:r>
          </w:p>
        </w:tc>
        <w:tc>
          <w:tcPr>
            <w:tcW w:w="1089" w:type="pct"/>
            <w:tcBorders>
              <w:top w:val="single" w:sz="4" w:space="0" w:color="auto"/>
              <w:left w:val="single" w:sz="4" w:space="0" w:color="auto"/>
              <w:bottom w:val="single" w:sz="4" w:space="0" w:color="auto"/>
              <w:right w:val="single" w:sz="4" w:space="0" w:color="auto"/>
            </w:tcBorders>
            <w:vAlign w:val="center"/>
          </w:tcPr>
          <w:p w14:paraId="4F767B62" w14:textId="77777777" w:rsidR="003A5A52" w:rsidRPr="00007450" w:rsidRDefault="003A5A52"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20/903 (2.2%)</w:t>
            </w:r>
          </w:p>
        </w:tc>
        <w:tc>
          <w:tcPr>
            <w:tcW w:w="1421" w:type="pct"/>
            <w:tcBorders>
              <w:top w:val="single" w:sz="4" w:space="0" w:color="auto"/>
              <w:left w:val="single" w:sz="4" w:space="0" w:color="auto"/>
              <w:bottom w:val="single" w:sz="4" w:space="0" w:color="auto"/>
              <w:right w:val="single" w:sz="4" w:space="0" w:color="auto"/>
            </w:tcBorders>
            <w:vAlign w:val="center"/>
          </w:tcPr>
          <w:p w14:paraId="0F683346" w14:textId="77777777" w:rsidR="003A5A52" w:rsidRPr="00007450" w:rsidRDefault="003A5A52"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0.871 (0.460, 1.652)</w:t>
            </w:r>
          </w:p>
          <w:p w14:paraId="2B83C1A6" w14:textId="77777777" w:rsidR="003A5A52" w:rsidRPr="00007450" w:rsidRDefault="003A5A52" w:rsidP="00864C4B">
            <w:pPr>
              <w:keepNext/>
              <w:keepLines/>
              <w:jc w:val="left"/>
              <w:rPr>
                <w:rFonts w:ascii="Arial Narrow" w:eastAsia="MS Gothic" w:hAnsi="Arial Narrow" w:cs="Times New Roman"/>
                <w:bCs/>
                <w:sz w:val="20"/>
              </w:rPr>
            </w:pPr>
            <w:r w:rsidRPr="00007450">
              <w:rPr>
                <w:rFonts w:ascii="Arial Narrow" w:eastAsia="MS Gothic" w:hAnsi="Arial Narrow" w:cs="Times New Roman"/>
                <w:bCs/>
                <w:sz w:val="20"/>
              </w:rPr>
              <w:t>p = 0.336</w:t>
            </w:r>
          </w:p>
        </w:tc>
      </w:tr>
      <w:tr w:rsidR="003A5A52" w:rsidRPr="00007450" w14:paraId="6BD2D533" w14:textId="77777777">
        <w:trPr>
          <w:trHeight w:val="80"/>
        </w:trPr>
        <w:tc>
          <w:tcPr>
            <w:tcW w:w="1239" w:type="pct"/>
            <w:tcBorders>
              <w:top w:val="single" w:sz="4" w:space="0" w:color="auto"/>
              <w:left w:val="single" w:sz="4" w:space="0" w:color="auto"/>
              <w:bottom w:val="single" w:sz="4" w:space="0" w:color="auto"/>
              <w:right w:val="single" w:sz="4" w:space="0" w:color="auto"/>
            </w:tcBorders>
            <w:vAlign w:val="center"/>
          </w:tcPr>
          <w:p w14:paraId="2BC3D9D4" w14:textId="2018765E" w:rsidR="003A5A52" w:rsidRPr="00007450" w:rsidRDefault="003A5A52"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Li</w:t>
            </w:r>
            <w:r w:rsidRPr="00094BAC">
              <w:rPr>
                <w:rFonts w:ascii="Arial Narrow" w:eastAsia="MS Gothic" w:hAnsi="Arial Narrow" w:cs="Times New Roman"/>
                <w:bCs/>
                <w:sz w:val="20"/>
              </w:rPr>
              <w:t>sted PBS subgroup</w:t>
            </w:r>
          </w:p>
        </w:tc>
        <w:tc>
          <w:tcPr>
            <w:tcW w:w="1251" w:type="pct"/>
            <w:tcBorders>
              <w:top w:val="single" w:sz="4" w:space="0" w:color="auto"/>
              <w:left w:val="single" w:sz="4" w:space="0" w:color="auto"/>
              <w:bottom w:val="single" w:sz="4" w:space="0" w:color="auto"/>
              <w:right w:val="single" w:sz="4" w:space="0" w:color="auto"/>
            </w:tcBorders>
          </w:tcPr>
          <w:p w14:paraId="13886180" w14:textId="45067D45" w:rsidR="003A5A52" w:rsidRPr="00007450" w:rsidRDefault="000A2C68" w:rsidP="00864C4B">
            <w:pPr>
              <w:keepNext/>
              <w:keepLines/>
              <w:jc w:val="left"/>
              <w:rPr>
                <w:rFonts w:ascii="Arial Narrow" w:eastAsia="MS Gothic" w:hAnsi="Arial Narrow" w:cs="Times New Roman"/>
                <w:bCs/>
                <w:sz w:val="20"/>
                <w:szCs w:val="20"/>
              </w:rPr>
            </w:pPr>
            <w:r>
              <w:rPr>
                <w:rFonts w:ascii="Arial Narrow" w:eastAsia="MS Gothic" w:hAnsi="Arial Narrow" w:cs="Times New Roman"/>
                <w:bCs/>
                <w:sz w:val="20"/>
                <w:szCs w:val="20"/>
              </w:rPr>
              <w:t>86/1658 (5.2%)</w:t>
            </w:r>
          </w:p>
        </w:tc>
        <w:tc>
          <w:tcPr>
            <w:tcW w:w="1089" w:type="pct"/>
            <w:tcBorders>
              <w:top w:val="single" w:sz="4" w:space="0" w:color="auto"/>
              <w:left w:val="single" w:sz="4" w:space="0" w:color="auto"/>
              <w:bottom w:val="single" w:sz="4" w:space="0" w:color="auto"/>
              <w:right w:val="single" w:sz="4" w:space="0" w:color="auto"/>
            </w:tcBorders>
          </w:tcPr>
          <w:p w14:paraId="721129EA" w14:textId="1756A966" w:rsidR="003A5A52" w:rsidRPr="00007450" w:rsidRDefault="000A2C68" w:rsidP="00864C4B">
            <w:pPr>
              <w:keepNext/>
              <w:keepLines/>
              <w:jc w:val="left"/>
              <w:rPr>
                <w:rFonts w:ascii="Arial Narrow" w:eastAsia="MS Gothic" w:hAnsi="Arial Narrow" w:cs="Times New Roman"/>
                <w:bCs/>
                <w:sz w:val="20"/>
                <w:szCs w:val="20"/>
              </w:rPr>
            </w:pPr>
            <w:r>
              <w:rPr>
                <w:rFonts w:ascii="Arial Narrow" w:eastAsia="MS Gothic" w:hAnsi="Arial Narrow" w:cs="Times New Roman"/>
                <w:bCs/>
                <w:sz w:val="20"/>
                <w:szCs w:val="20"/>
              </w:rPr>
              <w:t>101/1649 (</w:t>
            </w:r>
            <w:r w:rsidR="009B12BA">
              <w:rPr>
                <w:rFonts w:ascii="Arial Narrow" w:eastAsia="MS Gothic" w:hAnsi="Arial Narrow" w:cs="Times New Roman"/>
                <w:bCs/>
                <w:sz w:val="20"/>
                <w:szCs w:val="20"/>
              </w:rPr>
              <w:t>6.1%)</w:t>
            </w:r>
          </w:p>
        </w:tc>
        <w:tc>
          <w:tcPr>
            <w:tcW w:w="1421" w:type="pct"/>
            <w:tcBorders>
              <w:top w:val="single" w:sz="4" w:space="0" w:color="auto"/>
              <w:left w:val="single" w:sz="4" w:space="0" w:color="auto"/>
              <w:bottom w:val="single" w:sz="4" w:space="0" w:color="auto"/>
              <w:right w:val="single" w:sz="4" w:space="0" w:color="auto"/>
            </w:tcBorders>
            <w:vAlign w:val="center"/>
          </w:tcPr>
          <w:p w14:paraId="1781DB9D" w14:textId="0AA57FE3" w:rsidR="003A5A52" w:rsidRPr="00007450" w:rsidRDefault="00307965" w:rsidP="00864C4B">
            <w:pPr>
              <w:keepNext/>
              <w:keepLines/>
              <w:jc w:val="left"/>
              <w:rPr>
                <w:rFonts w:ascii="Arial Narrow" w:eastAsia="MS Gothic" w:hAnsi="Arial Narrow" w:cs="Times New Roman"/>
                <w:bCs/>
                <w:sz w:val="20"/>
              </w:rPr>
            </w:pPr>
            <w:r>
              <w:rPr>
                <w:rFonts w:ascii="Arial Narrow" w:eastAsia="MS Gothic" w:hAnsi="Arial Narrow" w:cs="Times New Roman"/>
                <w:bCs/>
                <w:sz w:val="20"/>
              </w:rPr>
              <w:t>Not reported</w:t>
            </w:r>
          </w:p>
        </w:tc>
      </w:tr>
    </w:tbl>
    <w:p w14:paraId="048749A2" w14:textId="184FC78C" w:rsidR="00381A8E" w:rsidRPr="00007450" w:rsidRDefault="00F11CFC" w:rsidP="00864C4B">
      <w:pPr>
        <w:pStyle w:val="TableFigureFooter"/>
      </w:pPr>
      <w:r w:rsidRPr="00007450">
        <w:t>Source: Table 2.16, p65, Table 2.20, p68, Table 2.22, p70 of the submission</w:t>
      </w:r>
      <w:r w:rsidR="0045313C">
        <w:t>,</w:t>
      </w:r>
      <w:r w:rsidR="003F5E6E">
        <w:t xml:space="preserve"> l</w:t>
      </w:r>
      <w:r w:rsidR="0045313C">
        <w:t xml:space="preserve">isted PBS subgroup calculated as the difference </w:t>
      </w:r>
      <w:r w:rsidR="007971EA">
        <w:t xml:space="preserve">between ITT </w:t>
      </w:r>
      <w:r w:rsidR="00262FBE">
        <w:t>and proposed PBS subgroup</w:t>
      </w:r>
      <w:r w:rsidRPr="00007450">
        <w:t>.</w:t>
      </w:r>
    </w:p>
    <w:p w14:paraId="7CDFFFD0" w14:textId="77777777" w:rsidR="009905C4" w:rsidRPr="00007450" w:rsidRDefault="009905C4" w:rsidP="00864C4B">
      <w:pPr>
        <w:pStyle w:val="TableFigureFooter"/>
        <w:snapToGrid w:val="0"/>
        <w:spacing w:after="0"/>
        <w:jc w:val="left"/>
        <w:rPr>
          <w:sz w:val="20"/>
        </w:rPr>
      </w:pPr>
      <w:r w:rsidRPr="00007450">
        <w:t>CI = Confidence Interval; DCO = data cut-off; DRFS = distant recurrence-free survival; ET = endocrine therapy; iDFS = invasive disease-free survival; ITT = intention-to-treat; OS = overall survival; PBS = Pharmaceutical Benefits Scheme</w:t>
      </w:r>
    </w:p>
    <w:p w14:paraId="3865CD91" w14:textId="429272AB" w:rsidR="009905C4" w:rsidRDefault="009905C4" w:rsidP="00864C4B">
      <w:pPr>
        <w:keepLines/>
        <w:snapToGrid w:val="0"/>
        <w:spacing w:after="120"/>
        <w:contextualSpacing/>
        <w:jc w:val="left"/>
        <w:rPr>
          <w:rFonts w:ascii="Arial Narrow" w:eastAsia="Calibri" w:hAnsi="Arial Narrow"/>
          <w:sz w:val="18"/>
          <w:szCs w:val="22"/>
        </w:rPr>
      </w:pPr>
      <w:r w:rsidRPr="00007450">
        <w:rPr>
          <w:rFonts w:ascii="Arial Narrow" w:eastAsia="Calibri" w:hAnsi="Arial Narrow"/>
          <w:b/>
          <w:sz w:val="18"/>
          <w:szCs w:val="22"/>
        </w:rPr>
        <w:t>Bold</w:t>
      </w:r>
      <w:r w:rsidRPr="00007450">
        <w:rPr>
          <w:rFonts w:ascii="Arial Narrow" w:eastAsia="Calibri" w:hAnsi="Arial Narrow"/>
          <w:sz w:val="18"/>
          <w:szCs w:val="22"/>
        </w:rPr>
        <w:t xml:space="preserve"> </w:t>
      </w:r>
      <w:r w:rsidR="001C495C" w:rsidRPr="00007450">
        <w:rPr>
          <w:rFonts w:ascii="Arial Narrow" w:eastAsia="Calibri" w:hAnsi="Arial Narrow"/>
          <w:sz w:val="18"/>
          <w:szCs w:val="22"/>
        </w:rPr>
        <w:t>=</w:t>
      </w:r>
      <w:r w:rsidRPr="00007450">
        <w:rPr>
          <w:rFonts w:ascii="Arial Narrow" w:eastAsia="Calibri" w:hAnsi="Arial Narrow"/>
          <w:sz w:val="18"/>
          <w:szCs w:val="22"/>
        </w:rPr>
        <w:t xml:space="preserve"> statistically significant results.</w:t>
      </w:r>
    </w:p>
    <w:p w14:paraId="4930930D" w14:textId="2B367DF2" w:rsidR="00FD0F5B" w:rsidRPr="00007450" w:rsidRDefault="00FD0F5B" w:rsidP="00864C4B">
      <w:pPr>
        <w:keepLines/>
        <w:snapToGrid w:val="0"/>
        <w:spacing w:after="120"/>
        <w:contextualSpacing/>
        <w:jc w:val="left"/>
        <w:rPr>
          <w:rFonts w:ascii="Arial Narrow" w:eastAsia="Calibri" w:hAnsi="Arial Narrow"/>
          <w:sz w:val="18"/>
          <w:szCs w:val="22"/>
        </w:rPr>
      </w:pPr>
      <w:r w:rsidRPr="005343E7">
        <w:rPr>
          <w:rFonts w:ascii="Arial Narrow" w:eastAsia="Calibri" w:hAnsi="Arial Narrow"/>
          <w:sz w:val="18"/>
          <w:szCs w:val="22"/>
        </w:rPr>
        <w:t xml:space="preserve">Note that the results presented in </w:t>
      </w:r>
      <w:r>
        <w:rPr>
          <w:rFonts w:ascii="Arial Narrow" w:eastAsia="Calibri" w:hAnsi="Arial Narrow"/>
          <w:sz w:val="18"/>
          <w:szCs w:val="22"/>
        </w:rPr>
        <w:t>Table 5</w:t>
      </w:r>
      <w:r w:rsidRPr="005343E7">
        <w:rPr>
          <w:rFonts w:ascii="Arial Narrow" w:eastAsia="Calibri" w:hAnsi="Arial Narrow"/>
          <w:sz w:val="18"/>
          <w:szCs w:val="22"/>
        </w:rPr>
        <w:t xml:space="preserve"> are derived from ad-hoc analyses conducted by the applicant</w:t>
      </w:r>
      <w:r>
        <w:rPr>
          <w:rFonts w:ascii="Arial Narrow" w:eastAsia="Calibri" w:hAnsi="Arial Narrow"/>
          <w:sz w:val="18"/>
          <w:szCs w:val="22"/>
        </w:rPr>
        <w:t xml:space="preserve"> </w:t>
      </w:r>
      <w:r w:rsidRPr="005343E7">
        <w:rPr>
          <w:rFonts w:ascii="Arial Narrow" w:eastAsia="Calibri" w:hAnsi="Arial Narrow"/>
          <w:sz w:val="18"/>
          <w:szCs w:val="22"/>
        </w:rPr>
        <w:t>specifically for the purposes of informing the PBAC consideration. These analyses were not part of the pre-specified statistical plan.</w:t>
      </w:r>
      <w:r w:rsidR="004A2F0E">
        <w:rPr>
          <w:rFonts w:ascii="Arial Narrow" w:eastAsia="Calibri" w:hAnsi="Arial Narrow"/>
          <w:sz w:val="18"/>
          <w:szCs w:val="22"/>
        </w:rPr>
        <w:t xml:space="preserve"> </w:t>
      </w:r>
      <w:r w:rsidRPr="005343E7">
        <w:rPr>
          <w:rFonts w:ascii="Arial Narrow" w:eastAsia="Calibri" w:hAnsi="Arial Narrow"/>
          <w:sz w:val="18"/>
          <w:szCs w:val="22"/>
        </w:rPr>
        <w:t>Interpretation of the results and their application should therefore be limited to seeking to understand the basis for the PBAC outcome and should not be used for any other purpose</w:t>
      </w:r>
      <w:r>
        <w:rPr>
          <w:rFonts w:ascii="Arial Narrow" w:eastAsia="Calibri" w:hAnsi="Arial Narrow"/>
          <w:sz w:val="18"/>
          <w:szCs w:val="22"/>
        </w:rPr>
        <w:t>.</w:t>
      </w:r>
    </w:p>
    <w:p w14:paraId="7B42DA62" w14:textId="645D0D78" w:rsidR="009905C4" w:rsidRPr="00007450" w:rsidRDefault="009905C4" w:rsidP="00864C4B">
      <w:pPr>
        <w:pStyle w:val="3-BodyText"/>
        <w:numPr>
          <w:ilvl w:val="1"/>
          <w:numId w:val="1"/>
        </w:numPr>
      </w:pPr>
      <w:r w:rsidRPr="00007450">
        <w:t xml:space="preserve">In the ITT population, with a median follow-up of 44.2 months (data cut-off </w:t>
      </w:r>
      <w:r w:rsidR="00913B2B" w:rsidRPr="00007450">
        <w:t>[</w:t>
      </w:r>
      <w:r w:rsidRPr="00007450">
        <w:t>DCO</w:t>
      </w:r>
      <w:r w:rsidR="00913B2B" w:rsidRPr="00007450">
        <w:t>]</w:t>
      </w:r>
      <w:r w:rsidRPr="00007450">
        <w:t xml:space="preserve"> April 2024), ribociclib plus adjuvant ET showed a 28.5% relative reduction in the hazard of </w:t>
      </w:r>
      <w:r w:rsidRPr="00007450">
        <w:lastRenderedPageBreak/>
        <w:t xml:space="preserve">invasive disease recurrence, as evidenced by a </w:t>
      </w:r>
      <w:r w:rsidR="00913B2B" w:rsidRPr="00007450">
        <w:t>hazard ratio</w:t>
      </w:r>
      <w:r w:rsidRPr="00007450">
        <w:t xml:space="preserve"> of 0.7</w:t>
      </w:r>
      <w:r w:rsidR="005E5655" w:rsidRPr="00007450">
        <w:t>15</w:t>
      </w:r>
      <w:r w:rsidRPr="00007450">
        <w:t xml:space="preserve"> (95%</w:t>
      </w:r>
      <w:r w:rsidR="00913B2B" w:rsidRPr="00007450">
        <w:t xml:space="preserve"> confidence interval [</w:t>
      </w:r>
      <w:r w:rsidRPr="00007450">
        <w:t>CI</w:t>
      </w:r>
      <w:r w:rsidR="00913B2B" w:rsidRPr="00007450">
        <w:t>]</w:t>
      </w:r>
      <w:r w:rsidRPr="00007450">
        <w:t>: 0.6</w:t>
      </w:r>
      <w:r w:rsidR="005E5655" w:rsidRPr="00007450">
        <w:t>09</w:t>
      </w:r>
      <w:r w:rsidR="004E3061" w:rsidRPr="00007450">
        <w:t>,</w:t>
      </w:r>
      <w:r w:rsidRPr="00007450">
        <w:t xml:space="preserve"> 0.84</w:t>
      </w:r>
      <w:r w:rsidR="005E5655" w:rsidRPr="00007450">
        <w:t>0</w:t>
      </w:r>
      <w:r w:rsidRPr="00007450">
        <w:t>; p &lt;</w:t>
      </w:r>
      <w:r w:rsidR="00550371">
        <w:t xml:space="preserve"> </w:t>
      </w:r>
      <w:r w:rsidRPr="00007450">
        <w:t>0.0001) for iDFS and a 29.5% relative reduction in the hazard of distant disease recurrence with a hazard ratio of 0.</w:t>
      </w:r>
      <w:r w:rsidR="005E5655" w:rsidRPr="00007450">
        <w:t>705</w:t>
      </w:r>
      <w:r w:rsidRPr="00007450">
        <w:t xml:space="preserve"> (95%</w:t>
      </w:r>
      <w:r w:rsidR="00913B2B" w:rsidRPr="00007450">
        <w:t xml:space="preserve"> </w:t>
      </w:r>
      <w:r w:rsidRPr="00007450">
        <w:t>CI: 0.</w:t>
      </w:r>
      <w:r w:rsidR="005E5655" w:rsidRPr="00007450">
        <w:t>589</w:t>
      </w:r>
      <w:r w:rsidRPr="00007450">
        <w:t>, 0.</w:t>
      </w:r>
      <w:r w:rsidR="005E5655" w:rsidRPr="00007450">
        <w:t>844</w:t>
      </w:r>
      <w:r w:rsidRPr="00007450">
        <w:t xml:space="preserve"> p &lt;</w:t>
      </w:r>
      <w:r w:rsidR="00550371">
        <w:t xml:space="preserve"> </w:t>
      </w:r>
      <w:r w:rsidRPr="00007450">
        <w:t>0.0001) for DRFS. The risk reduction was similar in the PBS subgroup, with a hazard ratio of 0.67 (95%CI: 0.47, 0.94; p = 0.011) for iDFS and a hazard ratio of 0.64 (95%</w:t>
      </w:r>
      <w:r w:rsidR="00913B2B" w:rsidRPr="00007450">
        <w:t xml:space="preserve"> </w:t>
      </w:r>
      <w:r w:rsidRPr="00007450">
        <w:t xml:space="preserve">CI: 0.42, 0.97; p = 0.016) for DRFS. </w:t>
      </w:r>
      <w:r w:rsidR="00623ECD" w:rsidRPr="00007450">
        <w:t xml:space="preserve">The ESC noted the </w:t>
      </w:r>
      <w:r w:rsidR="009A4003" w:rsidRPr="00007450">
        <w:t xml:space="preserve">confidence intervals of the </w:t>
      </w:r>
      <w:r w:rsidR="00623ECD" w:rsidRPr="00007450">
        <w:t>iD</w:t>
      </w:r>
      <w:r w:rsidR="009A4003" w:rsidRPr="00007450">
        <w:t xml:space="preserve">FS HR </w:t>
      </w:r>
      <w:r w:rsidR="00F26511" w:rsidRPr="00007450">
        <w:t>for</w:t>
      </w:r>
      <w:r w:rsidR="009A4003" w:rsidRPr="00007450">
        <w:t xml:space="preserve"> the PBS subgroup were wide and </w:t>
      </w:r>
      <w:r w:rsidR="00F26511" w:rsidRPr="00007450">
        <w:t xml:space="preserve">considered that the point estimate was </w:t>
      </w:r>
      <w:r w:rsidR="009A4003" w:rsidRPr="00007450">
        <w:t xml:space="preserve">likely subject to some uncertainty. </w:t>
      </w:r>
    </w:p>
    <w:p w14:paraId="4EC0CC13" w14:textId="7D33F506" w:rsidR="009905C4" w:rsidRPr="00007450" w:rsidRDefault="009905C4" w:rsidP="00864C4B">
      <w:pPr>
        <w:pStyle w:val="3-BodyText"/>
        <w:numPr>
          <w:ilvl w:val="1"/>
          <w:numId w:val="1"/>
        </w:numPr>
      </w:pPr>
      <w:r w:rsidRPr="00007450">
        <w:t xml:space="preserve">The Kaplan-Meier (KM) curves for the primary outcome, iDFS for the ITT population and PBS subgroup in NATALEE are presented in </w:t>
      </w:r>
      <w:r w:rsidR="00F63BB2" w:rsidRPr="00007450">
        <w:fldChar w:fldCharType="begin"/>
      </w:r>
      <w:r w:rsidR="00F63BB2" w:rsidRPr="00007450">
        <w:instrText xml:space="preserve"> REF _Ref196228663 \h </w:instrText>
      </w:r>
      <w:r w:rsidR="00D236EC" w:rsidRPr="00007450">
        <w:instrText xml:space="preserve"> \* MERGEFORMAT </w:instrText>
      </w:r>
      <w:r w:rsidR="00F63BB2" w:rsidRPr="00007450">
        <w:fldChar w:fldCharType="separate"/>
      </w:r>
      <w:r w:rsidR="00B36442" w:rsidRPr="00007450">
        <w:t xml:space="preserve">Figure </w:t>
      </w:r>
      <w:r w:rsidR="00B36442">
        <w:rPr>
          <w:noProof/>
        </w:rPr>
        <w:t>1</w:t>
      </w:r>
      <w:r w:rsidR="00F63BB2" w:rsidRPr="00007450">
        <w:fldChar w:fldCharType="end"/>
      </w:r>
      <w:r w:rsidR="00F63BB2" w:rsidRPr="00007450">
        <w:t xml:space="preserve"> and </w:t>
      </w:r>
      <w:r w:rsidR="00F63BB2" w:rsidRPr="00007450">
        <w:fldChar w:fldCharType="begin"/>
      </w:r>
      <w:r w:rsidR="00F63BB2" w:rsidRPr="00007450">
        <w:instrText xml:space="preserve"> REF _Ref196228667 \h </w:instrText>
      </w:r>
      <w:r w:rsidR="00D236EC" w:rsidRPr="00007450">
        <w:instrText xml:space="preserve"> \* MERGEFORMAT </w:instrText>
      </w:r>
      <w:r w:rsidR="00F63BB2" w:rsidRPr="00007450">
        <w:fldChar w:fldCharType="separate"/>
      </w:r>
      <w:r w:rsidR="00B36442" w:rsidRPr="00007450">
        <w:t xml:space="preserve">Figure </w:t>
      </w:r>
      <w:r w:rsidR="00B36442">
        <w:rPr>
          <w:noProof/>
        </w:rPr>
        <w:t>2</w:t>
      </w:r>
      <w:r w:rsidR="00F63BB2" w:rsidRPr="00007450">
        <w:fldChar w:fldCharType="end"/>
      </w:r>
      <w:r w:rsidR="00D60AF8">
        <w:t>,</w:t>
      </w:r>
      <w:r w:rsidRPr="00007450">
        <w:t xml:space="preserve"> respectively.</w:t>
      </w:r>
    </w:p>
    <w:p w14:paraId="5561D316" w14:textId="1F1BD8C5" w:rsidR="009905C4" w:rsidRPr="00007450" w:rsidRDefault="009905C4" w:rsidP="00864C4B">
      <w:pPr>
        <w:pStyle w:val="3-BodyText"/>
        <w:numPr>
          <w:ilvl w:val="1"/>
          <w:numId w:val="1"/>
        </w:numPr>
      </w:pPr>
      <w:r w:rsidRPr="00007450">
        <w:t xml:space="preserve">The absolute benefits were smaller in the PBS population than in the ITT population. </w:t>
      </w:r>
      <w:r w:rsidR="00A60017" w:rsidRPr="00007450">
        <w:t>T</w:t>
      </w:r>
      <w:r w:rsidRPr="00007450">
        <w:t xml:space="preserve">he PBAC previously </w:t>
      </w:r>
      <w:r w:rsidR="00597630" w:rsidRPr="00007450">
        <w:t xml:space="preserve">considered </w:t>
      </w:r>
      <w:r w:rsidRPr="00007450">
        <w:t xml:space="preserve">that an iDFS benefit of 3.5% </w:t>
      </w:r>
      <w:r w:rsidR="00146574" w:rsidRPr="00007450">
        <w:t>wa</w:t>
      </w:r>
      <w:r w:rsidRPr="00007450">
        <w:t>s modest but may be clinically meaningful in the adjuvant setting where the intention is cure (para</w:t>
      </w:r>
      <w:r w:rsidR="006F23C0" w:rsidRPr="00007450">
        <w:t>.</w:t>
      </w:r>
      <w:r w:rsidRPr="00007450">
        <w:t xml:space="preserve"> 7.8, </w:t>
      </w:r>
      <w:r w:rsidR="006154DA" w:rsidRPr="00007450">
        <w:t>a</w:t>
      </w:r>
      <w:r w:rsidRPr="00007450">
        <w:t>bemaciclib PSD, March 2022</w:t>
      </w:r>
      <w:r w:rsidR="006154DA" w:rsidRPr="00007450">
        <w:t xml:space="preserve"> PBAC meeting</w:t>
      </w:r>
      <w:r w:rsidRPr="00007450">
        <w:t xml:space="preserve">). </w:t>
      </w:r>
      <w:r w:rsidR="00455CCF" w:rsidRPr="00007450">
        <w:t>The absolute iDFS benefit at 4 years was reported as 3.7% in the PBS subgroup.</w:t>
      </w:r>
      <w:r w:rsidR="00602C25" w:rsidRPr="00007450">
        <w:t xml:space="preserve"> </w:t>
      </w:r>
    </w:p>
    <w:p w14:paraId="06F823B7" w14:textId="1E91EA08" w:rsidR="009905C4" w:rsidRPr="00007450" w:rsidRDefault="009905C4" w:rsidP="00864C4B">
      <w:pPr>
        <w:pStyle w:val="3-BodyText"/>
        <w:numPr>
          <w:ilvl w:val="1"/>
          <w:numId w:val="1"/>
        </w:numPr>
      </w:pPr>
      <w:r w:rsidRPr="00007450">
        <w:t xml:space="preserve">The results for OS showed no significant difference between the two arms in the ITT population or PBS subgroup population. The PBAC previously </w:t>
      </w:r>
      <w:r w:rsidR="00C80F4E" w:rsidRPr="00007450">
        <w:t xml:space="preserve">considered that </w:t>
      </w:r>
      <w:r w:rsidRPr="00007450">
        <w:t xml:space="preserve">the outcome of iDFS is </w:t>
      </w:r>
      <w:r w:rsidR="0044214C" w:rsidRPr="00007450">
        <w:t xml:space="preserve">an </w:t>
      </w:r>
      <w:r w:rsidR="00A60017" w:rsidRPr="00007450">
        <w:t xml:space="preserve">uncertain, but </w:t>
      </w:r>
      <w:r w:rsidRPr="00007450">
        <w:t>generally plausible surrogate for OS in this setting</w:t>
      </w:r>
      <w:r w:rsidR="00A60017" w:rsidRPr="00007450">
        <w:t xml:space="preserve">. However, the PBAC also noted that the relationship between </w:t>
      </w:r>
      <w:r w:rsidR="00BB68D5">
        <w:t>i</w:t>
      </w:r>
      <w:r w:rsidR="00A60017" w:rsidRPr="00007450">
        <w:t xml:space="preserve">DFS and OS is uncertain </w:t>
      </w:r>
      <w:r w:rsidR="0044214C" w:rsidRPr="00007450">
        <w:t>(</w:t>
      </w:r>
      <w:r w:rsidR="00A60017" w:rsidRPr="00007450">
        <w:t>for abemaciclib</w:t>
      </w:r>
      <w:r w:rsidR="0044214C" w:rsidRPr="00007450">
        <w:t>)</w:t>
      </w:r>
      <w:r w:rsidR="00A60017" w:rsidRPr="00007450">
        <w:t>, given the OS data were immature and no difference in OS was observed at the most recent data cutoff</w:t>
      </w:r>
      <w:r w:rsidRPr="00007450">
        <w:t xml:space="preserve"> (para</w:t>
      </w:r>
      <w:r w:rsidR="006F23C0" w:rsidRPr="00007450">
        <w:t>.</w:t>
      </w:r>
      <w:r w:rsidRPr="00007450">
        <w:t xml:space="preserve"> 7.8, </w:t>
      </w:r>
      <w:r w:rsidR="006154DA" w:rsidRPr="00007450">
        <w:t>a</w:t>
      </w:r>
      <w:r w:rsidRPr="00007450">
        <w:t>bemaciclib PSD, March 2022</w:t>
      </w:r>
      <w:r w:rsidR="006154DA" w:rsidRPr="00007450">
        <w:t xml:space="preserve"> PBAC meeting</w:t>
      </w:r>
      <w:r w:rsidRPr="00007450">
        <w:t>).</w:t>
      </w:r>
      <w:r w:rsidR="003E1006" w:rsidRPr="00007450">
        <w:t xml:space="preserve"> </w:t>
      </w:r>
      <w:r w:rsidR="006F0333">
        <w:t xml:space="preserve">The evaluation noted that the </w:t>
      </w:r>
      <w:r w:rsidR="003E1006" w:rsidRPr="00007450">
        <w:t xml:space="preserve">OS was immature in </w:t>
      </w:r>
      <w:r w:rsidR="00CB45D8">
        <w:t>this</w:t>
      </w:r>
      <w:r w:rsidR="00CB45D8" w:rsidRPr="00007450">
        <w:t xml:space="preserve"> </w:t>
      </w:r>
      <w:r w:rsidR="003E1006" w:rsidRPr="00007450">
        <w:t xml:space="preserve">submission, </w:t>
      </w:r>
      <w:r w:rsidR="00CB45D8">
        <w:t xml:space="preserve">and therefore considered </w:t>
      </w:r>
      <w:r w:rsidR="003E1006" w:rsidRPr="00007450">
        <w:t xml:space="preserve">the relationship between iDFS and OS for ribociclib </w:t>
      </w:r>
      <w:r w:rsidR="00CB45D8">
        <w:t>to</w:t>
      </w:r>
      <w:r w:rsidR="00CB45D8" w:rsidRPr="00007450">
        <w:t xml:space="preserve"> </w:t>
      </w:r>
      <w:r w:rsidR="003E1006" w:rsidRPr="00007450">
        <w:t xml:space="preserve">also </w:t>
      </w:r>
      <w:r w:rsidR="00CB45D8">
        <w:t xml:space="preserve">be </w:t>
      </w:r>
      <w:r w:rsidR="003E1006" w:rsidRPr="00007450">
        <w:t>uncertain.</w:t>
      </w:r>
      <w:r w:rsidRPr="00007450">
        <w:t xml:space="preserve"> </w:t>
      </w:r>
    </w:p>
    <w:p w14:paraId="787EE112" w14:textId="0E64D3AF" w:rsidR="009905C4" w:rsidRPr="00007450" w:rsidRDefault="009905C4" w:rsidP="00864C4B">
      <w:pPr>
        <w:pStyle w:val="Caption"/>
      </w:pPr>
      <w:bookmarkStart w:id="33" w:name="_Ref196228663"/>
      <w:r w:rsidRPr="00007450">
        <w:lastRenderedPageBreak/>
        <w:t xml:space="preserve">Figure </w:t>
      </w:r>
      <w:r w:rsidR="001C7776">
        <w:fldChar w:fldCharType="begin"/>
      </w:r>
      <w:r w:rsidR="001C7776">
        <w:instrText xml:space="preserve"> SEQ Figure \* ARABIC </w:instrText>
      </w:r>
      <w:r w:rsidR="001C7776">
        <w:fldChar w:fldCharType="separate"/>
      </w:r>
      <w:r w:rsidR="00B36442">
        <w:rPr>
          <w:noProof/>
        </w:rPr>
        <w:t>1</w:t>
      </w:r>
      <w:r w:rsidR="001C7776">
        <w:rPr>
          <w:noProof/>
        </w:rPr>
        <w:fldChar w:fldCharType="end"/>
      </w:r>
      <w:bookmarkEnd w:id="33"/>
      <w:r w:rsidR="00E22E7C" w:rsidRPr="00007450">
        <w:rPr>
          <w:noProof/>
        </w:rPr>
        <w:t>:</w:t>
      </w:r>
      <w:r w:rsidR="00923024" w:rsidRPr="00007450">
        <w:rPr>
          <w:noProof/>
        </w:rPr>
        <w:t xml:space="preserve"> </w:t>
      </w:r>
      <w:r w:rsidRPr="00007450">
        <w:t>KM curve for iDFS in the ITT population in NATALEE at April 2024 DCO</w:t>
      </w:r>
    </w:p>
    <w:p w14:paraId="368D5538" w14:textId="77777777" w:rsidR="009905C4" w:rsidRPr="00007450" w:rsidRDefault="009905C4" w:rsidP="00864C4B">
      <w:pPr>
        <w:pStyle w:val="3-BodyText"/>
        <w:keepNext/>
        <w:numPr>
          <w:ilvl w:val="0"/>
          <w:numId w:val="0"/>
        </w:numPr>
        <w:ind w:left="142"/>
      </w:pPr>
      <w:r w:rsidRPr="00007450">
        <w:rPr>
          <w:noProof/>
          <w:color w:val="0066FF"/>
        </w:rPr>
        <w:drawing>
          <wp:inline distT="0" distB="0" distL="0" distR="0" wp14:anchorId="1674DBAC" wp14:editId="1C1C1241">
            <wp:extent cx="5541645" cy="3155315"/>
            <wp:effectExtent l="0" t="0" r="1905" b="6985"/>
            <wp:docPr id="792600652" name="Picture 792600652" descr="Kaplan Meier curve showing that iDFS in those who had ET + ribociclib was marginally superior to those who had ET. Overall iDFS was h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00652" name="Picture 1" descr="Kaplan Meier curve showing that iDFS in those who had ET + ribociclib was marginally superior to those who had ET. Overall iDFS was high. "/>
                    <pic:cNvPicPr/>
                  </pic:nvPicPr>
                  <pic:blipFill rotWithShape="1">
                    <a:blip r:embed="rId11"/>
                    <a:srcRect l="3324"/>
                    <a:stretch/>
                  </pic:blipFill>
                  <pic:spPr bwMode="auto">
                    <a:xfrm>
                      <a:off x="0" y="0"/>
                      <a:ext cx="5541645" cy="3155315"/>
                    </a:xfrm>
                    <a:prstGeom prst="rect">
                      <a:avLst/>
                    </a:prstGeom>
                    <a:ln>
                      <a:noFill/>
                    </a:ln>
                    <a:extLst>
                      <a:ext uri="{53640926-AAD7-44D8-BBD7-CCE9431645EC}">
                        <a14:shadowObscured xmlns:a14="http://schemas.microsoft.com/office/drawing/2010/main"/>
                      </a:ext>
                    </a:extLst>
                  </pic:spPr>
                </pic:pic>
              </a:graphicData>
            </a:graphic>
          </wp:inline>
        </w:drawing>
      </w:r>
    </w:p>
    <w:p w14:paraId="670B0B8D" w14:textId="4AA2C4F7" w:rsidR="009905C4" w:rsidRPr="00007450" w:rsidRDefault="009905C4" w:rsidP="00864C4B">
      <w:pPr>
        <w:pStyle w:val="TableFigureFooter"/>
      </w:pPr>
      <w:r w:rsidRPr="00007450">
        <w:t xml:space="preserve">Source: Figure 2-1, p8, </w:t>
      </w:r>
      <w:r w:rsidR="008F2E04" w:rsidRPr="00007450">
        <w:t xml:space="preserve">NATALEE </w:t>
      </w:r>
      <w:r w:rsidRPr="00007450">
        <w:t>CSR 12 Sep 2024</w:t>
      </w:r>
    </w:p>
    <w:p w14:paraId="46965C6C" w14:textId="3A9041ED" w:rsidR="009905C4" w:rsidRDefault="008F2E04" w:rsidP="00864C4B">
      <w:pPr>
        <w:pStyle w:val="TableFigureFooter"/>
      </w:pPr>
      <w:r w:rsidRPr="00007450">
        <w:t xml:space="preserve">CI = confidence interval; </w:t>
      </w:r>
      <w:r w:rsidR="009905C4" w:rsidRPr="00007450">
        <w:t>DCO = data cut-off; ET = endocrine therapy; iDFS = invasive disease-free survival;</w:t>
      </w:r>
      <w:r w:rsidRPr="00007450">
        <w:t xml:space="preserve"> ITT = intention-to-treat;</w:t>
      </w:r>
      <w:r w:rsidR="009905C4" w:rsidRPr="00007450">
        <w:t xml:space="preserve"> KM = Kaplan-Meier.</w:t>
      </w:r>
    </w:p>
    <w:p w14:paraId="4CEA855A" w14:textId="2D279C6A" w:rsidR="006E0647" w:rsidRPr="00C92EEB" w:rsidRDefault="006E0647" w:rsidP="00864C4B">
      <w:pPr>
        <w:pStyle w:val="TableFigureFooter"/>
        <w:rPr>
          <w:i/>
          <w:iCs/>
        </w:rPr>
      </w:pPr>
      <w:r w:rsidRPr="00C92EEB">
        <w:rPr>
          <w:i/>
          <w:iCs/>
        </w:rPr>
        <w:t>Note that the results presented in Figure 1 are derived from ad-hoc analyses conducted by the applicant specifically for the purposes of informing the PBAC consideration. These analyses were not part of the pre-specified statistical plan.</w:t>
      </w:r>
      <w:r w:rsidR="004A2F0E">
        <w:rPr>
          <w:i/>
          <w:iCs/>
        </w:rPr>
        <w:t xml:space="preserve"> </w:t>
      </w:r>
      <w:r w:rsidRPr="00C92EEB">
        <w:rPr>
          <w:i/>
          <w:iCs/>
        </w:rPr>
        <w:t>Interpretation of the results and their application should therefore be limited to seeking to understand the basis for the PBAC outcome and should not be used for any other purpose.</w:t>
      </w:r>
    </w:p>
    <w:p w14:paraId="11647A65" w14:textId="66BE596D" w:rsidR="009905C4" w:rsidRPr="00007450" w:rsidRDefault="009905C4" w:rsidP="00864C4B">
      <w:pPr>
        <w:pStyle w:val="Caption"/>
      </w:pPr>
      <w:bookmarkStart w:id="34" w:name="_Ref196228667"/>
      <w:r w:rsidRPr="00007450">
        <w:t xml:space="preserve">Figure </w:t>
      </w:r>
      <w:r w:rsidR="001C7776">
        <w:fldChar w:fldCharType="begin"/>
      </w:r>
      <w:r w:rsidR="001C7776">
        <w:instrText xml:space="preserve"> SEQ Figure \* ARABIC </w:instrText>
      </w:r>
      <w:r w:rsidR="001C7776">
        <w:fldChar w:fldCharType="separate"/>
      </w:r>
      <w:r w:rsidR="00B36442">
        <w:rPr>
          <w:noProof/>
        </w:rPr>
        <w:t>2</w:t>
      </w:r>
      <w:r w:rsidR="001C7776">
        <w:rPr>
          <w:noProof/>
        </w:rPr>
        <w:fldChar w:fldCharType="end"/>
      </w:r>
      <w:bookmarkEnd w:id="34"/>
      <w:r w:rsidR="00E22E7C" w:rsidRPr="00007450">
        <w:rPr>
          <w:noProof/>
        </w:rPr>
        <w:t>:</w:t>
      </w:r>
      <w:r w:rsidRPr="00007450">
        <w:t xml:space="preserve"> KM curve for iDFS in the proposed PBS population in NATALEE at the April 2024 DCO</w:t>
      </w:r>
    </w:p>
    <w:p w14:paraId="56B84264" w14:textId="77777777" w:rsidR="009905C4" w:rsidRPr="00007450" w:rsidRDefault="009905C4" w:rsidP="00864C4B">
      <w:r w:rsidRPr="00007450">
        <w:rPr>
          <w:rFonts w:ascii="Arial Narrow" w:hAnsi="Arial Narrow"/>
          <w:b/>
          <w:noProof/>
          <w:color w:val="0066FF"/>
          <w:sz w:val="20"/>
          <w:szCs w:val="16"/>
        </w:rPr>
        <w:drawing>
          <wp:inline distT="0" distB="0" distL="0" distR="0" wp14:anchorId="7BF50700" wp14:editId="021A7E78">
            <wp:extent cx="5657850" cy="2790825"/>
            <wp:effectExtent l="0" t="0" r="0" b="9525"/>
            <wp:docPr id="1211992231" name="Picture 1211992231" descr="Kaplan Meier curve showing iDFS in the proposed PBS population. From approximately 30 months onwards, the iDFS was superior in the group receiving ET + ribociclib over ET alo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92231" name="Picture 2" descr="Kaplan Meier curve showing iDFS in the proposed PBS population. From approximately 30 months onwards, the iDFS was superior in the group receiving ET + ribociclib over ET alon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790825"/>
                    </a:xfrm>
                    <a:prstGeom prst="rect">
                      <a:avLst/>
                    </a:prstGeom>
                    <a:noFill/>
                    <a:ln>
                      <a:noFill/>
                    </a:ln>
                  </pic:spPr>
                </pic:pic>
              </a:graphicData>
            </a:graphic>
          </wp:inline>
        </w:drawing>
      </w:r>
    </w:p>
    <w:p w14:paraId="75D7DE07" w14:textId="77777777" w:rsidR="009905C4" w:rsidRPr="00007450" w:rsidRDefault="009905C4" w:rsidP="00864C4B">
      <w:pPr>
        <w:pStyle w:val="TableFigureFooter"/>
      </w:pPr>
      <w:r w:rsidRPr="00007450">
        <w:t>Source: Figure 2.5 p66 of the submission</w:t>
      </w:r>
    </w:p>
    <w:p w14:paraId="68EFE22D" w14:textId="77777777" w:rsidR="006E0647" w:rsidRDefault="008F2E04" w:rsidP="00864C4B">
      <w:pPr>
        <w:pStyle w:val="TableFigureFooter"/>
      </w:pPr>
      <w:r w:rsidRPr="00007450">
        <w:t xml:space="preserve">CI = confidence interval; </w:t>
      </w:r>
      <w:r w:rsidR="009905C4" w:rsidRPr="00007450">
        <w:t>DCO = data cut-off; ET = endocrine therapy; iDFS = invasive disease-free survival; KM = Kaplan-Meier; PBS = Pharmaceutical Benefit Scheme.</w:t>
      </w:r>
    </w:p>
    <w:p w14:paraId="686791E9" w14:textId="4B25D921" w:rsidR="006E0647" w:rsidRPr="00510E6C" w:rsidRDefault="006E0647" w:rsidP="00864C4B">
      <w:pPr>
        <w:pStyle w:val="TableFigureFooter"/>
        <w:rPr>
          <w:rFonts w:eastAsia="Calibri"/>
          <w:i/>
          <w:iCs/>
        </w:rPr>
      </w:pPr>
      <w:r w:rsidRPr="00510E6C">
        <w:rPr>
          <w:rFonts w:eastAsia="Calibri"/>
          <w:i/>
          <w:iCs/>
        </w:rPr>
        <w:lastRenderedPageBreak/>
        <w:t>Note that the results presented in Figure 2 are derived from ad-hoc analyses conducted by the applicant specifically for the purposes of informing the PBAC consideration. These analyses were not part of the pre-specified statistical plan.</w:t>
      </w:r>
      <w:r w:rsidR="004A2F0E">
        <w:rPr>
          <w:rFonts w:eastAsia="Calibri"/>
          <w:i/>
          <w:iCs/>
        </w:rPr>
        <w:t xml:space="preserve"> </w:t>
      </w:r>
      <w:r w:rsidRPr="00510E6C">
        <w:rPr>
          <w:rFonts w:eastAsia="Calibri"/>
          <w:i/>
          <w:iCs/>
        </w:rPr>
        <w:t>Interpretation of the results and their application should therefore be limited to seeking to understand the basis for the PBAC outcome and should not be used for any other purpose.</w:t>
      </w:r>
    </w:p>
    <w:p w14:paraId="7AD5625B" w14:textId="77777777" w:rsidR="006E0647" w:rsidRPr="00007450" w:rsidRDefault="006E0647" w:rsidP="00864C4B">
      <w:pPr>
        <w:pStyle w:val="TableFigureFooter"/>
      </w:pPr>
    </w:p>
    <w:p w14:paraId="08EE437D" w14:textId="77777777" w:rsidR="009905C4" w:rsidRPr="00007450" w:rsidRDefault="009905C4" w:rsidP="00864C4B">
      <w:pPr>
        <w:pStyle w:val="3-BodyText"/>
        <w:numPr>
          <w:ilvl w:val="1"/>
          <w:numId w:val="1"/>
        </w:numPr>
        <w:rPr>
          <w:rFonts w:eastAsia="Calibri" w:cs="Times New Roman"/>
        </w:rPr>
      </w:pPr>
      <w:r w:rsidRPr="00007450">
        <w:rPr>
          <w:rFonts w:eastAsia="Calibri" w:cs="Times New Roman"/>
        </w:rPr>
        <w:t>The submission presented the results of the patient reported outcomes for the NATALEE trial. Health related quality of life (HRQoL) was assessed as a secondary outcome at the April 2024 DCO using the physical functioning subscale score and the global health status/QoL score of the European Organization for Research and Treatment of Cancer’s Core Quality of Life Questionnaire – C30 (EORTC QLQ-C30).</w:t>
      </w:r>
    </w:p>
    <w:p w14:paraId="05AB7BD5" w14:textId="4387DF33" w:rsidR="009905C4" w:rsidRPr="00007450" w:rsidRDefault="009905C4" w:rsidP="00864C4B">
      <w:pPr>
        <w:pStyle w:val="3-BodyText"/>
        <w:numPr>
          <w:ilvl w:val="1"/>
          <w:numId w:val="1"/>
        </w:numPr>
        <w:rPr>
          <w:rStyle w:val="CommentReference"/>
          <w:rFonts w:asciiTheme="minorHAnsi" w:eastAsia="Calibri" w:hAnsiTheme="minorHAnsi" w:cs="Times New Roman"/>
          <w:b w:val="0"/>
          <w:color w:val="0066FF"/>
          <w:sz w:val="24"/>
          <w:szCs w:val="22"/>
        </w:rPr>
      </w:pPr>
      <w:r w:rsidRPr="00007450">
        <w:rPr>
          <w:rFonts w:eastAsia="Calibri" w:cs="Times New Roman"/>
        </w:rPr>
        <w:t xml:space="preserve">The EORTC QLQ-C30 physical functioning and quality of life scores were similar across the treatment arms; and the submission concluded that adding ribociclib to ET treatment does not result in any notable deterioration in HRQoL compared with current standard of care. The submission stated that there was no meaningful difference between the two treatment arms for the reported outcomes from baseline, at each visit and at </w:t>
      </w:r>
      <w:r w:rsidR="008B32F1">
        <w:rPr>
          <w:rFonts w:eastAsia="Calibri" w:cs="Times New Roman"/>
        </w:rPr>
        <w:t xml:space="preserve">the </w:t>
      </w:r>
      <w:r w:rsidRPr="00007450">
        <w:rPr>
          <w:rFonts w:eastAsia="Calibri" w:cs="Times New Roman"/>
        </w:rPr>
        <w:t xml:space="preserve">end of treatment. </w:t>
      </w:r>
      <w:r w:rsidR="00B4727A">
        <w:rPr>
          <w:rFonts w:eastAsia="Calibri" w:cs="Times New Roman"/>
        </w:rPr>
        <w:t>The evaluation noted that there</w:t>
      </w:r>
      <w:r w:rsidR="00B4727A" w:rsidRPr="00007450">
        <w:rPr>
          <w:rFonts w:eastAsia="Calibri" w:cs="Times New Roman"/>
        </w:rPr>
        <w:t xml:space="preserve"> </w:t>
      </w:r>
      <w:r w:rsidRPr="00007450">
        <w:rPr>
          <w:rFonts w:eastAsia="Calibri" w:cs="Times New Roman"/>
        </w:rPr>
        <w:t xml:space="preserve">was a slight decline in physical functioning in both treatment arms post-baseline. </w:t>
      </w:r>
    </w:p>
    <w:p w14:paraId="1EBA549A" w14:textId="77777777" w:rsidR="009905C4" w:rsidRPr="00007450" w:rsidRDefault="009905C4" w:rsidP="00864C4B">
      <w:pPr>
        <w:pStyle w:val="4-SubsectionHeading"/>
      </w:pPr>
      <w:bookmarkStart w:id="35" w:name="_Toc22897642"/>
      <w:bookmarkStart w:id="36" w:name="_Toc198724442"/>
      <w:r w:rsidRPr="00007450">
        <w:t>Comparative harms</w:t>
      </w:r>
      <w:bookmarkEnd w:id="35"/>
      <w:bookmarkEnd w:id="36"/>
    </w:p>
    <w:p w14:paraId="6D4C5097" w14:textId="1ABF9C46" w:rsidR="009905C4" w:rsidRPr="00007450" w:rsidRDefault="009905C4" w:rsidP="00864C4B">
      <w:pPr>
        <w:pStyle w:val="3-BodyText"/>
        <w:numPr>
          <w:ilvl w:val="1"/>
          <w:numId w:val="1"/>
        </w:numPr>
      </w:pPr>
      <w:r w:rsidRPr="00007450">
        <w:t xml:space="preserve">A summary of adverse events (AEs) for ribociclib </w:t>
      </w:r>
      <w:r w:rsidR="00913B2B" w:rsidRPr="00007450">
        <w:t>+ ET and ET alone</w:t>
      </w:r>
      <w:r w:rsidRPr="00007450">
        <w:t xml:space="preserve"> is presented in</w:t>
      </w:r>
      <w:r w:rsidR="00913B2B" w:rsidRPr="00007450">
        <w:t xml:space="preserve"> </w:t>
      </w:r>
      <w:r w:rsidR="00913B2B" w:rsidRPr="00007450">
        <w:fldChar w:fldCharType="begin"/>
      </w:r>
      <w:r w:rsidR="00913B2B" w:rsidRPr="00007450">
        <w:instrText xml:space="preserve"> REF _Ref196125655 \h </w:instrText>
      </w:r>
      <w:r w:rsidR="00913B2B" w:rsidRPr="00007450">
        <w:fldChar w:fldCharType="separate"/>
      </w:r>
      <w:r w:rsidR="00B36442" w:rsidRPr="00007450">
        <w:t xml:space="preserve">Table </w:t>
      </w:r>
      <w:r w:rsidR="00B36442">
        <w:rPr>
          <w:noProof/>
        </w:rPr>
        <w:t>6</w:t>
      </w:r>
      <w:r w:rsidR="00913B2B" w:rsidRPr="00007450">
        <w:fldChar w:fldCharType="end"/>
      </w:r>
      <w:r w:rsidRPr="00007450">
        <w:t xml:space="preserve">. The safety outcomes were presented for </w:t>
      </w:r>
      <w:r w:rsidR="00985022" w:rsidRPr="00007450">
        <w:t xml:space="preserve">the </w:t>
      </w:r>
      <w:r w:rsidRPr="00007450">
        <w:t xml:space="preserve">patients in </w:t>
      </w:r>
      <w:r w:rsidR="00985022" w:rsidRPr="00007450">
        <w:t xml:space="preserve">the </w:t>
      </w:r>
      <w:r w:rsidRPr="00007450">
        <w:t xml:space="preserve">NATALEE </w:t>
      </w:r>
      <w:r w:rsidR="00985022" w:rsidRPr="00007450">
        <w:t>safety set</w:t>
      </w:r>
      <w:r w:rsidR="004C610D" w:rsidRPr="00007450">
        <w:rPr>
          <w:rStyle w:val="FootnoteReference"/>
        </w:rPr>
        <w:footnoteReference w:id="7"/>
      </w:r>
      <w:r w:rsidR="00985022" w:rsidRPr="00007450">
        <w:t xml:space="preserve"> </w:t>
      </w:r>
      <w:r w:rsidRPr="00007450">
        <w:t xml:space="preserve">who would </w:t>
      </w:r>
      <w:r w:rsidR="00B30228" w:rsidRPr="00007450">
        <w:t>be</w:t>
      </w:r>
      <w:r w:rsidRPr="00007450">
        <w:t xml:space="preserve"> eligible for the PBS population. </w:t>
      </w:r>
      <w:r w:rsidR="00000D36" w:rsidRPr="00007450">
        <w:t xml:space="preserve">Patients in the PBS subgroup who received ribociclib + ET experienced more </w:t>
      </w:r>
      <w:r w:rsidR="004C0500" w:rsidRPr="00007450">
        <w:t>treatment-emergent adverse event</w:t>
      </w:r>
      <w:r w:rsidR="004C0500">
        <w:t>s</w:t>
      </w:r>
      <w:r w:rsidR="004C0500" w:rsidRPr="00007450">
        <w:t xml:space="preserve"> </w:t>
      </w:r>
      <w:r w:rsidR="004C0500">
        <w:t>(</w:t>
      </w:r>
      <w:r w:rsidR="00000D36" w:rsidRPr="00007450">
        <w:t>TEAEs</w:t>
      </w:r>
      <w:r w:rsidR="004C0500">
        <w:t>)</w:t>
      </w:r>
      <w:r w:rsidR="00000D36" w:rsidRPr="00007450">
        <w:t xml:space="preserve"> than patients who received ET alone (97.4% vs. 88.3%). This included the ribociclib arm experiencing </w:t>
      </w:r>
      <w:r w:rsidR="00D3296C">
        <w:t xml:space="preserve">over </w:t>
      </w:r>
      <w:r w:rsidR="002A1F21">
        <w:t>three times the risk of a</w:t>
      </w:r>
      <w:r w:rsidR="00D3296C" w:rsidRPr="00007450">
        <w:t xml:space="preserve"> </w:t>
      </w:r>
      <w:r w:rsidR="00000D36" w:rsidRPr="00007450">
        <w:t xml:space="preserve">Grade </w:t>
      </w:r>
      <w:r w:rsidR="00000D36" w:rsidRPr="00007450">
        <w:rPr>
          <w:rFonts w:cs="Calibri"/>
        </w:rPr>
        <w:t>≥</w:t>
      </w:r>
      <w:r w:rsidR="00000D36" w:rsidRPr="00007450">
        <w:t>3 TEAE (61.5% vs. 19.1%), more discontinuations due to AEs (22.6% vs. 6.7%), and more AEs of special interest (84.7% vs. 47.7%). The most common Grade ≥3 AE in the PBS subgroup treated with ribociclib + ET was neutropenia (27.4%) while in the patients treated with ET alone it was hypertension (2.6%).</w:t>
      </w:r>
      <w:r w:rsidR="004A2F0E">
        <w:t xml:space="preserve"> </w:t>
      </w:r>
      <w:r w:rsidRPr="00007450">
        <w:t xml:space="preserve">The safety profile of the proposed PBS subgroup from the NATALEE trial was similar to the whole safety set population from the NATALEE trial. </w:t>
      </w:r>
    </w:p>
    <w:p w14:paraId="23BC96FC" w14:textId="33A71284" w:rsidR="009905C4" w:rsidRPr="00007450" w:rsidRDefault="009905C4" w:rsidP="00864C4B">
      <w:pPr>
        <w:pStyle w:val="TableFigureHeading"/>
      </w:pPr>
      <w:bookmarkStart w:id="37" w:name="_Ref196125655"/>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6</w:t>
      </w:r>
      <w:r w:rsidR="001C7776">
        <w:rPr>
          <w:noProof/>
        </w:rPr>
        <w:fldChar w:fldCharType="end"/>
      </w:r>
      <w:bookmarkEnd w:id="37"/>
      <w:r w:rsidRPr="00007450">
        <w:t xml:space="preserve">: </w:t>
      </w:r>
      <w:r w:rsidRPr="00007450">
        <w:rPr>
          <w:rStyle w:val="CommentReference"/>
          <w:b/>
          <w:szCs w:val="24"/>
        </w:rPr>
        <w:t>Summary of key adverse events in the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dverse events in the trial"/>
      </w:tblPr>
      <w:tblGrid>
        <w:gridCol w:w="2330"/>
        <w:gridCol w:w="2231"/>
        <w:gridCol w:w="2234"/>
        <w:gridCol w:w="2222"/>
      </w:tblGrid>
      <w:tr w:rsidR="009905C4" w:rsidRPr="00007450" w14:paraId="6354038D" w14:textId="77777777">
        <w:trPr>
          <w:cantSplit/>
          <w:tblHeader/>
        </w:trPr>
        <w:tc>
          <w:tcPr>
            <w:tcW w:w="1292" w:type="pct"/>
            <w:tcBorders>
              <w:top w:val="single" w:sz="4" w:space="0" w:color="auto"/>
              <w:left w:val="single" w:sz="4" w:space="0" w:color="auto"/>
              <w:bottom w:val="single" w:sz="4" w:space="0" w:color="auto"/>
              <w:right w:val="single" w:sz="4" w:space="0" w:color="auto"/>
            </w:tcBorders>
            <w:vAlign w:val="center"/>
            <w:hideMark/>
          </w:tcPr>
          <w:p w14:paraId="14F90B34"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Trial ID / AEs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312F9293"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Ribociclib + ET</w:t>
            </w:r>
          </w:p>
          <w:p w14:paraId="0916CC3A"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n with event/N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A570BC"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ET alone</w:t>
            </w:r>
          </w:p>
          <w:p w14:paraId="47E2C7D2"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n with event/N (%)</w:t>
            </w:r>
          </w:p>
        </w:tc>
        <w:tc>
          <w:tcPr>
            <w:tcW w:w="1232" w:type="pct"/>
            <w:tcBorders>
              <w:top w:val="single" w:sz="4" w:space="0" w:color="auto"/>
              <w:left w:val="single" w:sz="4" w:space="0" w:color="auto"/>
              <w:bottom w:val="single" w:sz="4" w:space="0" w:color="auto"/>
              <w:right w:val="single" w:sz="4" w:space="0" w:color="auto"/>
            </w:tcBorders>
            <w:vAlign w:val="center"/>
            <w:hideMark/>
          </w:tcPr>
          <w:p w14:paraId="62188FDD"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RR (95% CI)</w:t>
            </w:r>
          </w:p>
        </w:tc>
      </w:tr>
      <w:tr w:rsidR="009905C4" w:rsidRPr="00007450" w14:paraId="14B15522" w14:textId="77777777">
        <w:trPr>
          <w:cantSplit/>
        </w:trPr>
        <w:tc>
          <w:tcPr>
            <w:tcW w:w="1292" w:type="pct"/>
            <w:tcBorders>
              <w:top w:val="single" w:sz="4" w:space="0" w:color="auto"/>
              <w:left w:val="single" w:sz="4" w:space="0" w:color="auto"/>
              <w:bottom w:val="single" w:sz="4" w:space="0" w:color="auto"/>
              <w:right w:val="single" w:sz="4" w:space="0" w:color="auto"/>
            </w:tcBorders>
            <w:vAlign w:val="center"/>
            <w:hideMark/>
          </w:tcPr>
          <w:p w14:paraId="29191223"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Cs/>
                <w:sz w:val="20"/>
                <w:szCs w:val="20"/>
              </w:rPr>
              <w:t>Mean duration of exposure months (SD)</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1D9A15B"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rPr>
              <w:t>39.7 (16.09)</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0FF553"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rPr>
              <w:t>38.3 (17.3)</w:t>
            </w:r>
          </w:p>
        </w:tc>
        <w:tc>
          <w:tcPr>
            <w:tcW w:w="1232" w:type="pct"/>
            <w:tcBorders>
              <w:top w:val="single" w:sz="4" w:space="0" w:color="auto"/>
              <w:left w:val="single" w:sz="4" w:space="0" w:color="auto"/>
              <w:bottom w:val="single" w:sz="4" w:space="0" w:color="auto"/>
              <w:right w:val="single" w:sz="4" w:space="0" w:color="auto"/>
            </w:tcBorders>
            <w:vAlign w:val="center"/>
          </w:tcPr>
          <w:p w14:paraId="6043661D" w14:textId="5769547E" w:rsidR="009905C4" w:rsidRPr="00007450" w:rsidRDefault="00C62562"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w:t>
            </w:r>
          </w:p>
        </w:tc>
      </w:tr>
      <w:tr w:rsidR="009905C4" w:rsidRPr="00007450" w14:paraId="2B578BF7" w14:textId="77777777">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21BB0B9"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NATALEE (safety set population) April 2024 DCO (median follow-up 49.6 months)</w:t>
            </w:r>
          </w:p>
        </w:tc>
      </w:tr>
      <w:tr w:rsidR="009905C4" w:rsidRPr="00007450" w14:paraId="148FDFB9"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58A145CA"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Any TEAE</w:t>
            </w:r>
          </w:p>
        </w:tc>
        <w:tc>
          <w:tcPr>
            <w:tcW w:w="1237" w:type="pct"/>
            <w:tcBorders>
              <w:top w:val="single" w:sz="4" w:space="0" w:color="auto"/>
              <w:left w:val="single" w:sz="4" w:space="0" w:color="auto"/>
              <w:bottom w:val="single" w:sz="4" w:space="0" w:color="auto"/>
              <w:right w:val="single" w:sz="4" w:space="0" w:color="auto"/>
            </w:tcBorders>
            <w:hideMark/>
          </w:tcPr>
          <w:p w14:paraId="3DFF4607"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2478/2526 (98.1%)</w:t>
            </w:r>
          </w:p>
        </w:tc>
        <w:tc>
          <w:tcPr>
            <w:tcW w:w="1239" w:type="pct"/>
            <w:tcBorders>
              <w:top w:val="single" w:sz="4" w:space="0" w:color="auto"/>
              <w:left w:val="single" w:sz="4" w:space="0" w:color="auto"/>
              <w:bottom w:val="single" w:sz="4" w:space="0" w:color="auto"/>
              <w:right w:val="single" w:sz="4" w:space="0" w:color="auto"/>
            </w:tcBorders>
            <w:hideMark/>
          </w:tcPr>
          <w:p w14:paraId="052E46C0"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2155/2441 (88.3%)</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B5CDCCF"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1.11 (1.09, 1.13)</w:t>
            </w:r>
          </w:p>
        </w:tc>
      </w:tr>
      <w:tr w:rsidR="009905C4" w:rsidRPr="00007450" w14:paraId="06E8D156"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6E866C9C"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Grade </w:t>
            </w:r>
            <w:r w:rsidRPr="00007450">
              <w:rPr>
                <w:rFonts w:ascii="Arial Narrow" w:eastAsia="MS Gothic" w:hAnsi="Arial Narrow" w:cs="Calibri"/>
                <w:sz w:val="20"/>
                <w:szCs w:val="20"/>
              </w:rPr>
              <w:t>≥</w:t>
            </w:r>
            <w:r w:rsidRPr="00007450">
              <w:rPr>
                <w:rFonts w:ascii="Arial Narrow" w:eastAsia="MS Gothic" w:hAnsi="Arial Narrow" w:cs="Times New Roman"/>
                <w:sz w:val="20"/>
                <w:szCs w:val="20"/>
              </w:rPr>
              <w:t xml:space="preserve"> 3 TEAE</w:t>
            </w:r>
          </w:p>
        </w:tc>
        <w:tc>
          <w:tcPr>
            <w:tcW w:w="1237" w:type="pct"/>
            <w:tcBorders>
              <w:top w:val="single" w:sz="4" w:space="0" w:color="auto"/>
              <w:left w:val="single" w:sz="4" w:space="0" w:color="auto"/>
              <w:bottom w:val="single" w:sz="4" w:space="0" w:color="auto"/>
              <w:right w:val="single" w:sz="4" w:space="0" w:color="auto"/>
            </w:tcBorders>
            <w:hideMark/>
          </w:tcPr>
          <w:p w14:paraId="3601838D"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1622/2526 (64.2%)</w:t>
            </w:r>
          </w:p>
        </w:tc>
        <w:tc>
          <w:tcPr>
            <w:tcW w:w="1239" w:type="pct"/>
            <w:tcBorders>
              <w:top w:val="single" w:sz="4" w:space="0" w:color="auto"/>
              <w:left w:val="single" w:sz="4" w:space="0" w:color="auto"/>
              <w:bottom w:val="single" w:sz="4" w:space="0" w:color="auto"/>
              <w:right w:val="single" w:sz="4" w:space="0" w:color="auto"/>
            </w:tcBorders>
            <w:hideMark/>
          </w:tcPr>
          <w:p w14:paraId="73207AD5"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481/2441 (19.7%)</w:t>
            </w:r>
          </w:p>
        </w:tc>
        <w:tc>
          <w:tcPr>
            <w:tcW w:w="1232" w:type="pct"/>
            <w:tcBorders>
              <w:top w:val="single" w:sz="4" w:space="0" w:color="auto"/>
              <w:left w:val="single" w:sz="4" w:space="0" w:color="auto"/>
              <w:bottom w:val="single" w:sz="4" w:space="0" w:color="auto"/>
              <w:right w:val="single" w:sz="4" w:space="0" w:color="auto"/>
            </w:tcBorders>
            <w:vAlign w:val="center"/>
          </w:tcPr>
          <w:p w14:paraId="40152993"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3.26 (2.99, 3.55)</w:t>
            </w:r>
          </w:p>
        </w:tc>
      </w:tr>
      <w:tr w:rsidR="009905C4" w:rsidRPr="00007450" w14:paraId="0BB3B28F"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2CB3770E"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Any SAE</w:t>
            </w:r>
          </w:p>
        </w:tc>
        <w:tc>
          <w:tcPr>
            <w:tcW w:w="1237" w:type="pct"/>
            <w:tcBorders>
              <w:top w:val="single" w:sz="4" w:space="0" w:color="auto"/>
              <w:left w:val="single" w:sz="4" w:space="0" w:color="auto"/>
              <w:bottom w:val="single" w:sz="4" w:space="0" w:color="auto"/>
              <w:right w:val="single" w:sz="4" w:space="0" w:color="auto"/>
            </w:tcBorders>
            <w:hideMark/>
          </w:tcPr>
          <w:p w14:paraId="7BEB315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375/2526 (14.8%)</w:t>
            </w:r>
          </w:p>
        </w:tc>
        <w:tc>
          <w:tcPr>
            <w:tcW w:w="1239" w:type="pct"/>
            <w:tcBorders>
              <w:top w:val="single" w:sz="4" w:space="0" w:color="auto"/>
              <w:left w:val="single" w:sz="4" w:space="0" w:color="auto"/>
              <w:bottom w:val="single" w:sz="4" w:space="0" w:color="auto"/>
              <w:right w:val="single" w:sz="4" w:space="0" w:color="auto"/>
            </w:tcBorders>
            <w:hideMark/>
          </w:tcPr>
          <w:p w14:paraId="08D1E8D3"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267/2441 (10.9%)</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7DD9BEC"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1.36 (1.17,1.57)</w:t>
            </w:r>
          </w:p>
        </w:tc>
      </w:tr>
      <w:tr w:rsidR="009A7D65" w:rsidRPr="00007450" w14:paraId="14B1F77F" w14:textId="77777777">
        <w:trPr>
          <w:cantSplit/>
        </w:trPr>
        <w:tc>
          <w:tcPr>
            <w:tcW w:w="1292" w:type="pct"/>
            <w:tcBorders>
              <w:top w:val="single" w:sz="4" w:space="0" w:color="auto"/>
              <w:left w:val="single" w:sz="4" w:space="0" w:color="auto"/>
              <w:bottom w:val="single" w:sz="4" w:space="0" w:color="auto"/>
              <w:right w:val="single" w:sz="4" w:space="0" w:color="auto"/>
            </w:tcBorders>
          </w:tcPr>
          <w:p w14:paraId="5556EAB6" w14:textId="430D3C5A" w:rsidR="009A7D65" w:rsidRPr="00007450" w:rsidRDefault="009A7D65"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Treatment related</w:t>
            </w:r>
            <w:r w:rsidR="00FA038F" w:rsidRPr="00007450">
              <w:rPr>
                <w:rFonts w:ascii="Arial Narrow" w:eastAsia="MS Gothic" w:hAnsi="Arial Narrow" w:cs="Times New Roman"/>
                <w:sz w:val="20"/>
                <w:szCs w:val="20"/>
              </w:rPr>
              <w:t xml:space="preserve"> </w:t>
            </w:r>
            <w:r w:rsidRPr="00007450">
              <w:rPr>
                <w:rFonts w:ascii="Arial Narrow" w:eastAsia="MS Gothic" w:hAnsi="Arial Narrow" w:cs="Times New Roman"/>
                <w:sz w:val="20"/>
                <w:szCs w:val="20"/>
              </w:rPr>
              <w:t>-</w:t>
            </w:r>
            <w:r w:rsidR="00FA038F" w:rsidRPr="00007450">
              <w:rPr>
                <w:rFonts w:ascii="Arial Narrow" w:eastAsia="MS Gothic" w:hAnsi="Arial Narrow" w:cs="Times New Roman"/>
                <w:sz w:val="20"/>
                <w:szCs w:val="20"/>
              </w:rPr>
              <w:t xml:space="preserve"> </w:t>
            </w:r>
            <w:r w:rsidRPr="00007450">
              <w:rPr>
                <w:rFonts w:ascii="Arial Narrow" w:eastAsia="MS Gothic" w:hAnsi="Arial Narrow" w:cs="Times New Roman"/>
                <w:sz w:val="20"/>
                <w:szCs w:val="20"/>
              </w:rPr>
              <w:t>SAE</w:t>
            </w:r>
          </w:p>
        </w:tc>
        <w:tc>
          <w:tcPr>
            <w:tcW w:w="1237" w:type="pct"/>
            <w:tcBorders>
              <w:top w:val="single" w:sz="4" w:space="0" w:color="auto"/>
              <w:left w:val="single" w:sz="4" w:space="0" w:color="auto"/>
              <w:bottom w:val="single" w:sz="4" w:space="0" w:color="auto"/>
              <w:right w:val="single" w:sz="4" w:space="0" w:color="auto"/>
            </w:tcBorders>
          </w:tcPr>
          <w:p w14:paraId="02771E84" w14:textId="46E5AF37" w:rsidR="009A7D65" w:rsidRPr="00007450" w:rsidRDefault="009A7D65" w:rsidP="00864C4B">
            <w:pPr>
              <w:keepNext/>
              <w:keepLines/>
              <w:jc w:val="center"/>
              <w:rPr>
                <w:rFonts w:ascii="Arial Narrow" w:eastAsia="MS Gothic" w:hAnsi="Arial Narrow" w:cs="Times New Roman"/>
                <w:bCs/>
                <w:sz w:val="20"/>
                <w:szCs w:val="20"/>
              </w:rPr>
            </w:pPr>
            <w:r w:rsidRPr="00007450">
              <w:rPr>
                <w:rFonts w:ascii="Arial Narrow" w:hAnsi="Arial Narrow"/>
                <w:sz w:val="20"/>
                <w:szCs w:val="20"/>
              </w:rPr>
              <w:t>71/2526 (2.8%)</w:t>
            </w:r>
          </w:p>
        </w:tc>
        <w:tc>
          <w:tcPr>
            <w:tcW w:w="1239" w:type="pct"/>
            <w:tcBorders>
              <w:top w:val="single" w:sz="4" w:space="0" w:color="auto"/>
              <w:left w:val="single" w:sz="4" w:space="0" w:color="auto"/>
              <w:bottom w:val="single" w:sz="4" w:space="0" w:color="auto"/>
              <w:right w:val="single" w:sz="4" w:space="0" w:color="auto"/>
            </w:tcBorders>
          </w:tcPr>
          <w:p w14:paraId="2EDA62A1" w14:textId="19B178C1" w:rsidR="009A7D65" w:rsidRPr="00007450" w:rsidRDefault="009A7D65" w:rsidP="00864C4B">
            <w:pPr>
              <w:keepNext/>
              <w:keepLines/>
              <w:jc w:val="center"/>
              <w:rPr>
                <w:rFonts w:ascii="Arial Narrow" w:eastAsia="MS Gothic" w:hAnsi="Arial Narrow" w:cs="Times New Roman"/>
                <w:bCs/>
                <w:sz w:val="20"/>
                <w:szCs w:val="20"/>
              </w:rPr>
            </w:pPr>
            <w:r w:rsidRPr="00007450">
              <w:rPr>
                <w:rFonts w:ascii="Arial Narrow" w:hAnsi="Arial Narrow"/>
                <w:sz w:val="20"/>
                <w:szCs w:val="20"/>
              </w:rPr>
              <w:t>13/2441 (0.5%)</w:t>
            </w:r>
          </w:p>
        </w:tc>
        <w:tc>
          <w:tcPr>
            <w:tcW w:w="1232" w:type="pct"/>
            <w:tcBorders>
              <w:top w:val="single" w:sz="4" w:space="0" w:color="auto"/>
              <w:left w:val="single" w:sz="4" w:space="0" w:color="auto"/>
              <w:bottom w:val="single" w:sz="4" w:space="0" w:color="auto"/>
              <w:right w:val="single" w:sz="4" w:space="0" w:color="auto"/>
            </w:tcBorders>
            <w:vAlign w:val="center"/>
          </w:tcPr>
          <w:p w14:paraId="0B068892" w14:textId="383AA1AC" w:rsidR="009A7D65" w:rsidRPr="00007450" w:rsidRDefault="00E2399A"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5.28 (2.93, 9.51)</w:t>
            </w:r>
          </w:p>
        </w:tc>
      </w:tr>
      <w:tr w:rsidR="009905C4" w:rsidRPr="00007450" w14:paraId="640A97E9"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07D5DB50"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Discontinuation due to AEs</w:t>
            </w:r>
          </w:p>
        </w:tc>
        <w:tc>
          <w:tcPr>
            <w:tcW w:w="1237" w:type="pct"/>
            <w:tcBorders>
              <w:top w:val="single" w:sz="4" w:space="0" w:color="auto"/>
              <w:left w:val="single" w:sz="4" w:space="0" w:color="auto"/>
              <w:bottom w:val="single" w:sz="4" w:space="0" w:color="auto"/>
              <w:right w:val="single" w:sz="4" w:space="0" w:color="auto"/>
            </w:tcBorders>
            <w:hideMark/>
          </w:tcPr>
          <w:p w14:paraId="324B4ADB"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534/2526 (21.1%)</w:t>
            </w:r>
          </w:p>
        </w:tc>
        <w:tc>
          <w:tcPr>
            <w:tcW w:w="1239" w:type="pct"/>
            <w:tcBorders>
              <w:top w:val="single" w:sz="4" w:space="0" w:color="auto"/>
              <w:left w:val="single" w:sz="4" w:space="0" w:color="auto"/>
              <w:bottom w:val="single" w:sz="4" w:space="0" w:color="auto"/>
              <w:right w:val="single" w:sz="4" w:space="0" w:color="auto"/>
            </w:tcBorders>
            <w:hideMark/>
          </w:tcPr>
          <w:p w14:paraId="0D836F48"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130/2441 (5.3%)</w:t>
            </w:r>
          </w:p>
        </w:tc>
        <w:tc>
          <w:tcPr>
            <w:tcW w:w="1232" w:type="pct"/>
            <w:tcBorders>
              <w:top w:val="single" w:sz="4" w:space="0" w:color="auto"/>
              <w:left w:val="single" w:sz="4" w:space="0" w:color="auto"/>
              <w:bottom w:val="single" w:sz="4" w:space="0" w:color="auto"/>
              <w:right w:val="single" w:sz="4" w:space="0" w:color="auto"/>
            </w:tcBorders>
            <w:vAlign w:val="center"/>
            <w:hideMark/>
          </w:tcPr>
          <w:p w14:paraId="0650C7B8"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3.97 (3.30, 4.77)</w:t>
            </w:r>
          </w:p>
        </w:tc>
      </w:tr>
      <w:tr w:rsidR="009905C4" w:rsidRPr="00007450" w14:paraId="38BFB5B0"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0572BD16"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AEs of special interest</w:t>
            </w:r>
          </w:p>
        </w:tc>
        <w:tc>
          <w:tcPr>
            <w:tcW w:w="1237" w:type="pct"/>
            <w:tcBorders>
              <w:top w:val="single" w:sz="4" w:space="0" w:color="auto"/>
              <w:left w:val="single" w:sz="4" w:space="0" w:color="auto"/>
              <w:bottom w:val="single" w:sz="4" w:space="0" w:color="auto"/>
              <w:right w:val="single" w:sz="4" w:space="0" w:color="auto"/>
            </w:tcBorders>
            <w:hideMark/>
          </w:tcPr>
          <w:p w14:paraId="1DCC96A3"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2195/2526 (86.9%)</w:t>
            </w:r>
          </w:p>
        </w:tc>
        <w:tc>
          <w:tcPr>
            <w:tcW w:w="1239" w:type="pct"/>
            <w:tcBorders>
              <w:top w:val="single" w:sz="4" w:space="0" w:color="auto"/>
              <w:left w:val="single" w:sz="4" w:space="0" w:color="auto"/>
              <w:bottom w:val="single" w:sz="4" w:space="0" w:color="auto"/>
              <w:right w:val="single" w:sz="4" w:space="0" w:color="auto"/>
            </w:tcBorders>
            <w:hideMark/>
          </w:tcPr>
          <w:p w14:paraId="4CBBB40B"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1201/2441 (49.2%)</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7F6F91D"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1.28 (1.25, 1.32)</w:t>
            </w:r>
          </w:p>
        </w:tc>
      </w:tr>
      <w:tr w:rsidR="009905C4" w:rsidRPr="00007450" w14:paraId="4D405402"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2DA9E6D9"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All deaths</w:t>
            </w:r>
          </w:p>
        </w:tc>
        <w:tc>
          <w:tcPr>
            <w:tcW w:w="1237" w:type="pct"/>
            <w:tcBorders>
              <w:top w:val="single" w:sz="4" w:space="0" w:color="auto"/>
              <w:left w:val="single" w:sz="4" w:space="0" w:color="auto"/>
              <w:bottom w:val="single" w:sz="4" w:space="0" w:color="auto"/>
              <w:right w:val="single" w:sz="4" w:space="0" w:color="auto"/>
            </w:tcBorders>
            <w:hideMark/>
          </w:tcPr>
          <w:p w14:paraId="6A09D85D"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104/2526 (4.1%)</w:t>
            </w:r>
          </w:p>
        </w:tc>
        <w:tc>
          <w:tcPr>
            <w:tcW w:w="1239" w:type="pct"/>
            <w:tcBorders>
              <w:top w:val="single" w:sz="4" w:space="0" w:color="auto"/>
              <w:left w:val="single" w:sz="4" w:space="0" w:color="auto"/>
              <w:bottom w:val="single" w:sz="4" w:space="0" w:color="auto"/>
              <w:right w:val="single" w:sz="4" w:space="0" w:color="auto"/>
            </w:tcBorders>
            <w:hideMark/>
          </w:tcPr>
          <w:p w14:paraId="16BE5735"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122/2441 (5.0%)</w:t>
            </w:r>
          </w:p>
        </w:tc>
        <w:tc>
          <w:tcPr>
            <w:tcW w:w="1232" w:type="pct"/>
            <w:tcBorders>
              <w:top w:val="single" w:sz="4" w:space="0" w:color="auto"/>
              <w:left w:val="single" w:sz="4" w:space="0" w:color="auto"/>
              <w:bottom w:val="single" w:sz="4" w:space="0" w:color="auto"/>
              <w:right w:val="single" w:sz="4" w:space="0" w:color="auto"/>
            </w:tcBorders>
            <w:vAlign w:val="center"/>
          </w:tcPr>
          <w:p w14:paraId="1F24438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0.82 (0.64, 1.06)</w:t>
            </w:r>
          </w:p>
        </w:tc>
      </w:tr>
      <w:tr w:rsidR="009905C4" w:rsidRPr="00007450" w14:paraId="4F6E7962" w14:textId="77777777">
        <w:trPr>
          <w:cantSplit/>
        </w:trPr>
        <w:tc>
          <w:tcPr>
            <w:tcW w:w="1292" w:type="pct"/>
            <w:tcBorders>
              <w:top w:val="single" w:sz="4" w:space="0" w:color="auto"/>
              <w:left w:val="single" w:sz="4" w:space="0" w:color="auto"/>
              <w:bottom w:val="single" w:sz="4" w:space="0" w:color="auto"/>
              <w:right w:val="single" w:sz="4" w:space="0" w:color="auto"/>
            </w:tcBorders>
            <w:hideMark/>
          </w:tcPr>
          <w:p w14:paraId="37E3BE1F" w14:textId="13F1F39A"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On treatment deaths</w:t>
            </w:r>
          </w:p>
        </w:tc>
        <w:tc>
          <w:tcPr>
            <w:tcW w:w="1237" w:type="pct"/>
            <w:tcBorders>
              <w:top w:val="single" w:sz="4" w:space="0" w:color="auto"/>
              <w:left w:val="single" w:sz="4" w:space="0" w:color="auto"/>
              <w:bottom w:val="single" w:sz="4" w:space="0" w:color="auto"/>
              <w:right w:val="single" w:sz="4" w:space="0" w:color="auto"/>
            </w:tcBorders>
            <w:hideMark/>
          </w:tcPr>
          <w:p w14:paraId="37018C98"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20/2526 (0.8%)</w:t>
            </w:r>
          </w:p>
        </w:tc>
        <w:tc>
          <w:tcPr>
            <w:tcW w:w="1239" w:type="pct"/>
            <w:tcBorders>
              <w:top w:val="single" w:sz="4" w:space="0" w:color="auto"/>
              <w:left w:val="single" w:sz="4" w:space="0" w:color="auto"/>
              <w:bottom w:val="single" w:sz="4" w:space="0" w:color="auto"/>
              <w:right w:val="single" w:sz="4" w:space="0" w:color="auto"/>
            </w:tcBorders>
            <w:hideMark/>
          </w:tcPr>
          <w:p w14:paraId="517B7B2F"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9/2441 (0.4%)</w:t>
            </w:r>
          </w:p>
        </w:tc>
        <w:tc>
          <w:tcPr>
            <w:tcW w:w="1232" w:type="pct"/>
            <w:tcBorders>
              <w:top w:val="single" w:sz="4" w:space="0" w:color="auto"/>
              <w:left w:val="single" w:sz="4" w:space="0" w:color="auto"/>
              <w:bottom w:val="single" w:sz="4" w:space="0" w:color="auto"/>
              <w:right w:val="single" w:sz="4" w:space="0" w:color="auto"/>
            </w:tcBorders>
            <w:vAlign w:val="center"/>
          </w:tcPr>
          <w:p w14:paraId="09319D5C"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0.43 (0.20, 0.95)</w:t>
            </w:r>
          </w:p>
        </w:tc>
      </w:tr>
      <w:tr w:rsidR="009905C4" w:rsidRPr="00007450" w14:paraId="412168B8" w14:textId="77777777">
        <w:trPr>
          <w:cantSplit/>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C338FD3"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NATALEE (safety set matching PBS subgroup) April 2024 DCO (median follow-up 49.6 months)</w:t>
            </w:r>
          </w:p>
        </w:tc>
      </w:tr>
      <w:tr w:rsidR="009905C4" w:rsidRPr="00007450" w14:paraId="4B19551D" w14:textId="77777777">
        <w:trPr>
          <w:cantSplit/>
          <w:trHeight w:val="206"/>
        </w:trPr>
        <w:tc>
          <w:tcPr>
            <w:tcW w:w="1292" w:type="pct"/>
            <w:tcBorders>
              <w:top w:val="single" w:sz="4" w:space="0" w:color="auto"/>
              <w:left w:val="single" w:sz="4" w:space="0" w:color="auto"/>
              <w:bottom w:val="single" w:sz="4" w:space="0" w:color="auto"/>
              <w:right w:val="single" w:sz="4" w:space="0" w:color="auto"/>
            </w:tcBorders>
            <w:hideMark/>
          </w:tcPr>
          <w:p w14:paraId="39BB373B"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Any TEAE</w:t>
            </w:r>
          </w:p>
        </w:tc>
        <w:tc>
          <w:tcPr>
            <w:tcW w:w="1237" w:type="pct"/>
            <w:tcBorders>
              <w:top w:val="single" w:sz="4" w:space="0" w:color="auto"/>
              <w:left w:val="single" w:sz="4" w:space="0" w:color="auto"/>
              <w:bottom w:val="single" w:sz="4" w:space="0" w:color="auto"/>
              <w:right w:val="single" w:sz="4" w:space="0" w:color="auto"/>
            </w:tcBorders>
            <w:hideMark/>
          </w:tcPr>
          <w:p w14:paraId="5E42AAD9" w14:textId="78EF948A"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859/882 (97.4%)</w:t>
            </w:r>
          </w:p>
        </w:tc>
        <w:tc>
          <w:tcPr>
            <w:tcW w:w="1239" w:type="pct"/>
            <w:tcBorders>
              <w:top w:val="single" w:sz="4" w:space="0" w:color="auto"/>
              <w:left w:val="single" w:sz="4" w:space="0" w:color="auto"/>
              <w:bottom w:val="single" w:sz="4" w:space="0" w:color="auto"/>
              <w:right w:val="single" w:sz="4" w:space="0" w:color="auto"/>
            </w:tcBorders>
            <w:hideMark/>
          </w:tcPr>
          <w:p w14:paraId="3EA12D8F"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777/880 (88.3%)</w:t>
            </w:r>
          </w:p>
        </w:tc>
        <w:tc>
          <w:tcPr>
            <w:tcW w:w="1232" w:type="pct"/>
            <w:tcBorders>
              <w:top w:val="single" w:sz="4" w:space="0" w:color="auto"/>
              <w:left w:val="single" w:sz="4" w:space="0" w:color="auto"/>
              <w:bottom w:val="single" w:sz="4" w:space="0" w:color="auto"/>
              <w:right w:val="single" w:sz="4" w:space="0" w:color="auto"/>
            </w:tcBorders>
            <w:vAlign w:val="center"/>
          </w:tcPr>
          <w:p w14:paraId="485DA1E9"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1.07 (0.99, 1.16)</w:t>
            </w:r>
          </w:p>
        </w:tc>
      </w:tr>
      <w:tr w:rsidR="009905C4" w:rsidRPr="00007450" w14:paraId="06C51E4B" w14:textId="77777777">
        <w:trPr>
          <w:cantSplit/>
          <w:trHeight w:val="143"/>
        </w:trPr>
        <w:tc>
          <w:tcPr>
            <w:tcW w:w="1292" w:type="pct"/>
            <w:tcBorders>
              <w:top w:val="single" w:sz="4" w:space="0" w:color="auto"/>
              <w:left w:val="single" w:sz="4" w:space="0" w:color="auto"/>
              <w:bottom w:val="single" w:sz="4" w:space="0" w:color="auto"/>
              <w:right w:val="single" w:sz="4" w:space="0" w:color="auto"/>
            </w:tcBorders>
            <w:hideMark/>
          </w:tcPr>
          <w:p w14:paraId="25E321D6"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 xml:space="preserve">Grade </w:t>
            </w:r>
            <w:r w:rsidRPr="00007450">
              <w:rPr>
                <w:rFonts w:ascii="Arial Narrow" w:eastAsia="MS Gothic" w:hAnsi="Arial Narrow" w:cs="Calibri"/>
                <w:sz w:val="20"/>
                <w:szCs w:val="20"/>
              </w:rPr>
              <w:t>≥</w:t>
            </w:r>
            <w:r w:rsidRPr="00007450">
              <w:rPr>
                <w:rFonts w:ascii="Arial Narrow" w:eastAsia="MS Gothic" w:hAnsi="Arial Narrow" w:cs="Times New Roman"/>
                <w:sz w:val="20"/>
                <w:szCs w:val="20"/>
              </w:rPr>
              <w:t xml:space="preserve"> 3 TEAE</w:t>
            </w:r>
          </w:p>
        </w:tc>
        <w:tc>
          <w:tcPr>
            <w:tcW w:w="1237" w:type="pct"/>
            <w:tcBorders>
              <w:top w:val="single" w:sz="4" w:space="0" w:color="auto"/>
              <w:left w:val="single" w:sz="4" w:space="0" w:color="auto"/>
              <w:bottom w:val="single" w:sz="4" w:space="0" w:color="auto"/>
              <w:right w:val="single" w:sz="4" w:space="0" w:color="auto"/>
            </w:tcBorders>
            <w:hideMark/>
          </w:tcPr>
          <w:p w14:paraId="1595E297"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542/882 (61.5%)</w:t>
            </w:r>
          </w:p>
        </w:tc>
        <w:tc>
          <w:tcPr>
            <w:tcW w:w="1239" w:type="pct"/>
            <w:tcBorders>
              <w:top w:val="single" w:sz="4" w:space="0" w:color="auto"/>
              <w:left w:val="single" w:sz="4" w:space="0" w:color="auto"/>
              <w:bottom w:val="single" w:sz="4" w:space="0" w:color="auto"/>
              <w:right w:val="single" w:sz="4" w:space="0" w:color="auto"/>
            </w:tcBorders>
            <w:hideMark/>
          </w:tcPr>
          <w:p w14:paraId="32227826" w14:textId="1A226659"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168/880 (19.1%)</w:t>
            </w:r>
          </w:p>
        </w:tc>
        <w:tc>
          <w:tcPr>
            <w:tcW w:w="1232" w:type="pct"/>
            <w:tcBorders>
              <w:top w:val="single" w:sz="4" w:space="0" w:color="auto"/>
              <w:left w:val="single" w:sz="4" w:space="0" w:color="auto"/>
              <w:bottom w:val="single" w:sz="4" w:space="0" w:color="auto"/>
              <w:right w:val="single" w:sz="4" w:space="0" w:color="auto"/>
            </w:tcBorders>
            <w:vAlign w:val="center"/>
          </w:tcPr>
          <w:p w14:paraId="6F68139B" w14:textId="2FAF8903"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3.</w:t>
            </w:r>
            <w:r w:rsidR="00712DEB" w:rsidRPr="00007450">
              <w:rPr>
                <w:rFonts w:ascii="Arial Narrow" w:eastAsia="MS Gothic" w:hAnsi="Arial Narrow" w:cs="Times New Roman"/>
                <w:b/>
                <w:sz w:val="20"/>
                <w:szCs w:val="20"/>
              </w:rPr>
              <w:t>22</w:t>
            </w:r>
            <w:r w:rsidRPr="00007450">
              <w:rPr>
                <w:rFonts w:ascii="Arial Narrow" w:eastAsia="MS Gothic" w:hAnsi="Arial Narrow" w:cs="Times New Roman"/>
                <w:b/>
                <w:sz w:val="20"/>
                <w:szCs w:val="20"/>
              </w:rPr>
              <w:t xml:space="preserve"> (2.</w:t>
            </w:r>
            <w:r w:rsidR="00712DEB" w:rsidRPr="00007450">
              <w:rPr>
                <w:rFonts w:ascii="Arial Narrow" w:eastAsia="MS Gothic" w:hAnsi="Arial Narrow" w:cs="Times New Roman"/>
                <w:b/>
                <w:sz w:val="20"/>
                <w:szCs w:val="20"/>
              </w:rPr>
              <w:t>78</w:t>
            </w:r>
            <w:r w:rsidRPr="00007450">
              <w:rPr>
                <w:rFonts w:ascii="Arial Narrow" w:eastAsia="MS Gothic" w:hAnsi="Arial Narrow" w:cs="Times New Roman"/>
                <w:b/>
                <w:sz w:val="20"/>
                <w:szCs w:val="20"/>
              </w:rPr>
              <w:t>, 3.</w:t>
            </w:r>
            <w:r w:rsidR="00712DEB" w:rsidRPr="00007450">
              <w:rPr>
                <w:rFonts w:ascii="Arial Narrow" w:eastAsia="MS Gothic" w:hAnsi="Arial Narrow" w:cs="Times New Roman"/>
                <w:b/>
                <w:sz w:val="20"/>
                <w:szCs w:val="20"/>
              </w:rPr>
              <w:t>72</w:t>
            </w:r>
            <w:r w:rsidRPr="00007450">
              <w:rPr>
                <w:rFonts w:ascii="Arial Narrow" w:eastAsia="MS Gothic" w:hAnsi="Arial Narrow" w:cs="Times New Roman"/>
                <w:b/>
                <w:sz w:val="20"/>
                <w:szCs w:val="20"/>
              </w:rPr>
              <w:t>)</w:t>
            </w:r>
          </w:p>
        </w:tc>
      </w:tr>
      <w:tr w:rsidR="009905C4" w:rsidRPr="00007450" w14:paraId="4754F24E" w14:textId="77777777">
        <w:trPr>
          <w:cantSplit/>
          <w:trHeight w:val="260"/>
        </w:trPr>
        <w:tc>
          <w:tcPr>
            <w:tcW w:w="1292" w:type="pct"/>
            <w:tcBorders>
              <w:top w:val="single" w:sz="4" w:space="0" w:color="auto"/>
              <w:left w:val="single" w:sz="4" w:space="0" w:color="auto"/>
              <w:bottom w:val="single" w:sz="4" w:space="0" w:color="auto"/>
              <w:right w:val="single" w:sz="4" w:space="0" w:color="auto"/>
            </w:tcBorders>
            <w:hideMark/>
          </w:tcPr>
          <w:p w14:paraId="5327D5D2"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Any SAE</w:t>
            </w:r>
          </w:p>
        </w:tc>
        <w:tc>
          <w:tcPr>
            <w:tcW w:w="1237" w:type="pct"/>
            <w:tcBorders>
              <w:top w:val="single" w:sz="4" w:space="0" w:color="auto"/>
              <w:left w:val="single" w:sz="4" w:space="0" w:color="auto"/>
              <w:bottom w:val="single" w:sz="4" w:space="0" w:color="auto"/>
              <w:right w:val="single" w:sz="4" w:space="0" w:color="auto"/>
            </w:tcBorders>
            <w:hideMark/>
          </w:tcPr>
          <w:p w14:paraId="3A42CA6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125/882 (14.2%)</w:t>
            </w:r>
          </w:p>
        </w:tc>
        <w:tc>
          <w:tcPr>
            <w:tcW w:w="1239" w:type="pct"/>
            <w:tcBorders>
              <w:top w:val="single" w:sz="4" w:space="0" w:color="auto"/>
              <w:left w:val="single" w:sz="4" w:space="0" w:color="auto"/>
              <w:bottom w:val="single" w:sz="4" w:space="0" w:color="auto"/>
              <w:right w:val="single" w:sz="4" w:space="0" w:color="auto"/>
            </w:tcBorders>
            <w:hideMark/>
          </w:tcPr>
          <w:p w14:paraId="2F5CC271" w14:textId="40A7EEC2"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87/880 (9.9%)</w:t>
            </w:r>
          </w:p>
        </w:tc>
        <w:tc>
          <w:tcPr>
            <w:tcW w:w="1232" w:type="pct"/>
            <w:tcBorders>
              <w:top w:val="single" w:sz="4" w:space="0" w:color="auto"/>
              <w:left w:val="single" w:sz="4" w:space="0" w:color="auto"/>
              <w:bottom w:val="single" w:sz="4" w:space="0" w:color="auto"/>
              <w:right w:val="single" w:sz="4" w:space="0" w:color="auto"/>
            </w:tcBorders>
            <w:vAlign w:val="center"/>
          </w:tcPr>
          <w:p w14:paraId="149C32C8"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1.39 (1.06, 1.82)</w:t>
            </w:r>
          </w:p>
        </w:tc>
      </w:tr>
      <w:tr w:rsidR="009A7D65" w:rsidRPr="00007450" w14:paraId="7B9E4C9A" w14:textId="77777777">
        <w:trPr>
          <w:cantSplit/>
          <w:trHeight w:val="260"/>
        </w:trPr>
        <w:tc>
          <w:tcPr>
            <w:tcW w:w="1292" w:type="pct"/>
            <w:tcBorders>
              <w:top w:val="single" w:sz="4" w:space="0" w:color="auto"/>
              <w:left w:val="single" w:sz="4" w:space="0" w:color="auto"/>
              <w:bottom w:val="single" w:sz="4" w:space="0" w:color="auto"/>
              <w:right w:val="single" w:sz="4" w:space="0" w:color="auto"/>
            </w:tcBorders>
          </w:tcPr>
          <w:p w14:paraId="69CE20CF" w14:textId="08FECC47" w:rsidR="009A7D65" w:rsidRPr="00007450" w:rsidRDefault="009A7D65"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Treatment related</w:t>
            </w:r>
            <w:r w:rsidR="00FA038F" w:rsidRPr="00007450">
              <w:rPr>
                <w:rFonts w:ascii="Arial Narrow" w:eastAsia="MS Gothic" w:hAnsi="Arial Narrow" w:cs="Times New Roman"/>
                <w:sz w:val="20"/>
                <w:szCs w:val="20"/>
              </w:rPr>
              <w:t xml:space="preserve"> </w:t>
            </w:r>
            <w:r w:rsidRPr="00007450">
              <w:rPr>
                <w:rFonts w:ascii="Arial Narrow" w:eastAsia="MS Gothic" w:hAnsi="Arial Narrow" w:cs="Times New Roman"/>
                <w:sz w:val="20"/>
                <w:szCs w:val="20"/>
              </w:rPr>
              <w:t>-</w:t>
            </w:r>
            <w:r w:rsidR="00FA038F" w:rsidRPr="00007450">
              <w:rPr>
                <w:rFonts w:ascii="Arial Narrow" w:eastAsia="MS Gothic" w:hAnsi="Arial Narrow" w:cs="Times New Roman"/>
                <w:sz w:val="20"/>
                <w:szCs w:val="20"/>
              </w:rPr>
              <w:t xml:space="preserve"> </w:t>
            </w:r>
            <w:r w:rsidRPr="00007450">
              <w:rPr>
                <w:rFonts w:ascii="Arial Narrow" w:eastAsia="MS Gothic" w:hAnsi="Arial Narrow" w:cs="Times New Roman"/>
                <w:sz w:val="20"/>
                <w:szCs w:val="20"/>
              </w:rPr>
              <w:t>SAE</w:t>
            </w:r>
          </w:p>
        </w:tc>
        <w:tc>
          <w:tcPr>
            <w:tcW w:w="1237" w:type="pct"/>
            <w:tcBorders>
              <w:top w:val="single" w:sz="4" w:space="0" w:color="auto"/>
              <w:left w:val="single" w:sz="4" w:space="0" w:color="auto"/>
              <w:bottom w:val="single" w:sz="4" w:space="0" w:color="auto"/>
              <w:right w:val="single" w:sz="4" w:space="0" w:color="auto"/>
            </w:tcBorders>
          </w:tcPr>
          <w:p w14:paraId="23CD85F9" w14:textId="5F73D6EF" w:rsidR="009A7D65" w:rsidRPr="00007450" w:rsidRDefault="009A7D65" w:rsidP="00864C4B">
            <w:pPr>
              <w:keepNext/>
              <w:keepLines/>
              <w:jc w:val="center"/>
              <w:rPr>
                <w:rFonts w:ascii="Arial Narrow" w:eastAsia="MS Gothic" w:hAnsi="Arial Narrow" w:cs="Times New Roman"/>
                <w:bCs/>
                <w:sz w:val="20"/>
                <w:szCs w:val="20"/>
              </w:rPr>
            </w:pPr>
            <w:r w:rsidRPr="00007450">
              <w:rPr>
                <w:rFonts w:ascii="Arial Narrow" w:hAnsi="Arial Narrow"/>
                <w:sz w:val="20"/>
                <w:szCs w:val="20"/>
              </w:rPr>
              <w:t>26/882 (2.9%)</w:t>
            </w:r>
          </w:p>
        </w:tc>
        <w:tc>
          <w:tcPr>
            <w:tcW w:w="1239" w:type="pct"/>
            <w:tcBorders>
              <w:top w:val="single" w:sz="4" w:space="0" w:color="auto"/>
              <w:left w:val="single" w:sz="4" w:space="0" w:color="auto"/>
              <w:bottom w:val="single" w:sz="4" w:space="0" w:color="auto"/>
              <w:right w:val="single" w:sz="4" w:space="0" w:color="auto"/>
            </w:tcBorders>
          </w:tcPr>
          <w:p w14:paraId="1E99584F" w14:textId="1A81861A" w:rsidR="009A7D65" w:rsidRPr="00007450" w:rsidRDefault="009A7D65" w:rsidP="00864C4B">
            <w:pPr>
              <w:keepNext/>
              <w:keepLines/>
              <w:jc w:val="center"/>
              <w:rPr>
                <w:rFonts w:ascii="Arial Narrow" w:eastAsia="MS Gothic" w:hAnsi="Arial Narrow" w:cs="Times New Roman"/>
                <w:bCs/>
                <w:sz w:val="20"/>
                <w:szCs w:val="20"/>
              </w:rPr>
            </w:pPr>
            <w:r w:rsidRPr="00007450">
              <w:rPr>
                <w:rFonts w:ascii="Arial Narrow" w:hAnsi="Arial Narrow"/>
                <w:sz w:val="20"/>
                <w:szCs w:val="20"/>
              </w:rPr>
              <w:t xml:space="preserve">3/880 (0.3%) </w:t>
            </w:r>
          </w:p>
        </w:tc>
        <w:tc>
          <w:tcPr>
            <w:tcW w:w="1232" w:type="pct"/>
            <w:tcBorders>
              <w:top w:val="single" w:sz="4" w:space="0" w:color="auto"/>
              <w:left w:val="single" w:sz="4" w:space="0" w:color="auto"/>
              <w:bottom w:val="single" w:sz="4" w:space="0" w:color="auto"/>
              <w:right w:val="single" w:sz="4" w:space="0" w:color="auto"/>
            </w:tcBorders>
            <w:vAlign w:val="center"/>
          </w:tcPr>
          <w:p w14:paraId="7BDD80AC" w14:textId="12EBA1E8" w:rsidR="009A7D65" w:rsidRPr="00007450" w:rsidRDefault="00E2399A"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8.65 (2.63, 28.46)</w:t>
            </w:r>
          </w:p>
        </w:tc>
      </w:tr>
      <w:tr w:rsidR="009905C4" w:rsidRPr="00007450" w14:paraId="37756F61" w14:textId="77777777">
        <w:trPr>
          <w:cantSplit/>
          <w:trHeight w:val="170"/>
        </w:trPr>
        <w:tc>
          <w:tcPr>
            <w:tcW w:w="1292" w:type="pct"/>
            <w:tcBorders>
              <w:top w:val="single" w:sz="4" w:space="0" w:color="auto"/>
              <w:left w:val="single" w:sz="4" w:space="0" w:color="auto"/>
              <w:bottom w:val="single" w:sz="4" w:space="0" w:color="auto"/>
              <w:right w:val="single" w:sz="4" w:space="0" w:color="auto"/>
            </w:tcBorders>
            <w:hideMark/>
          </w:tcPr>
          <w:p w14:paraId="20E07766"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Discontinuation due to AEs</w:t>
            </w:r>
          </w:p>
        </w:tc>
        <w:tc>
          <w:tcPr>
            <w:tcW w:w="1237" w:type="pct"/>
            <w:tcBorders>
              <w:top w:val="single" w:sz="4" w:space="0" w:color="auto"/>
              <w:left w:val="single" w:sz="4" w:space="0" w:color="auto"/>
              <w:bottom w:val="single" w:sz="4" w:space="0" w:color="auto"/>
              <w:right w:val="single" w:sz="4" w:space="0" w:color="auto"/>
            </w:tcBorders>
            <w:hideMark/>
          </w:tcPr>
          <w:p w14:paraId="5E514E75"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199/882 (22.6%)</w:t>
            </w:r>
          </w:p>
        </w:tc>
        <w:tc>
          <w:tcPr>
            <w:tcW w:w="1239" w:type="pct"/>
            <w:tcBorders>
              <w:top w:val="single" w:sz="4" w:space="0" w:color="auto"/>
              <w:left w:val="single" w:sz="4" w:space="0" w:color="auto"/>
              <w:bottom w:val="single" w:sz="4" w:space="0" w:color="auto"/>
              <w:right w:val="single" w:sz="4" w:space="0" w:color="auto"/>
            </w:tcBorders>
            <w:hideMark/>
          </w:tcPr>
          <w:p w14:paraId="703BC680"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59/880 (6.7%)</w:t>
            </w:r>
          </w:p>
        </w:tc>
        <w:tc>
          <w:tcPr>
            <w:tcW w:w="1232" w:type="pct"/>
            <w:tcBorders>
              <w:top w:val="single" w:sz="4" w:space="0" w:color="auto"/>
              <w:left w:val="single" w:sz="4" w:space="0" w:color="auto"/>
              <w:bottom w:val="single" w:sz="4" w:space="0" w:color="auto"/>
              <w:right w:val="single" w:sz="4" w:space="0" w:color="auto"/>
            </w:tcBorders>
            <w:vAlign w:val="center"/>
          </w:tcPr>
          <w:p w14:paraId="403B2133"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3.26 (2.45, 4.33)</w:t>
            </w:r>
          </w:p>
        </w:tc>
      </w:tr>
      <w:tr w:rsidR="009905C4" w:rsidRPr="00007450" w14:paraId="73B261FF" w14:textId="77777777">
        <w:trPr>
          <w:cantSplit/>
          <w:trHeight w:val="206"/>
        </w:trPr>
        <w:tc>
          <w:tcPr>
            <w:tcW w:w="1292" w:type="pct"/>
            <w:tcBorders>
              <w:top w:val="single" w:sz="4" w:space="0" w:color="auto"/>
              <w:left w:val="single" w:sz="4" w:space="0" w:color="auto"/>
              <w:bottom w:val="single" w:sz="4" w:space="0" w:color="auto"/>
              <w:right w:val="single" w:sz="4" w:space="0" w:color="auto"/>
            </w:tcBorders>
            <w:hideMark/>
          </w:tcPr>
          <w:p w14:paraId="2F3EAB84"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AEs of special interest</w:t>
            </w:r>
          </w:p>
        </w:tc>
        <w:tc>
          <w:tcPr>
            <w:tcW w:w="1237" w:type="pct"/>
            <w:tcBorders>
              <w:top w:val="single" w:sz="4" w:space="0" w:color="auto"/>
              <w:left w:val="single" w:sz="4" w:space="0" w:color="auto"/>
              <w:bottom w:val="single" w:sz="4" w:space="0" w:color="auto"/>
              <w:right w:val="single" w:sz="4" w:space="0" w:color="auto"/>
            </w:tcBorders>
            <w:hideMark/>
          </w:tcPr>
          <w:p w14:paraId="1246A12D" w14:textId="34BD33AF"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747/882 (84.7%)</w:t>
            </w:r>
          </w:p>
        </w:tc>
        <w:tc>
          <w:tcPr>
            <w:tcW w:w="1239" w:type="pct"/>
            <w:tcBorders>
              <w:top w:val="single" w:sz="4" w:space="0" w:color="auto"/>
              <w:left w:val="single" w:sz="4" w:space="0" w:color="auto"/>
              <w:bottom w:val="single" w:sz="4" w:space="0" w:color="auto"/>
              <w:right w:val="single" w:sz="4" w:space="0" w:color="auto"/>
            </w:tcBorders>
            <w:hideMark/>
          </w:tcPr>
          <w:p w14:paraId="3AA1F3FE" w14:textId="597481C3"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420/880 (47.7%)</w:t>
            </w:r>
          </w:p>
        </w:tc>
        <w:tc>
          <w:tcPr>
            <w:tcW w:w="1232" w:type="pct"/>
            <w:tcBorders>
              <w:top w:val="single" w:sz="4" w:space="0" w:color="auto"/>
              <w:left w:val="single" w:sz="4" w:space="0" w:color="auto"/>
              <w:bottom w:val="single" w:sz="4" w:space="0" w:color="auto"/>
              <w:right w:val="single" w:sz="4" w:space="0" w:color="auto"/>
            </w:tcBorders>
            <w:vAlign w:val="center"/>
          </w:tcPr>
          <w:p w14:paraId="721A3D66" w14:textId="77777777" w:rsidR="009905C4" w:rsidRPr="00007450" w:rsidRDefault="009905C4" w:rsidP="00864C4B">
            <w:pPr>
              <w:keepNext/>
              <w:keepLines/>
              <w:jc w:val="center"/>
              <w:rPr>
                <w:rFonts w:ascii="Arial Narrow" w:eastAsia="MS Gothic" w:hAnsi="Arial Narrow" w:cs="Times New Roman"/>
                <w:b/>
                <w:sz w:val="20"/>
                <w:szCs w:val="20"/>
              </w:rPr>
            </w:pPr>
            <w:r w:rsidRPr="00007450">
              <w:rPr>
                <w:rFonts w:ascii="Arial Narrow" w:eastAsia="MS Gothic" w:hAnsi="Arial Narrow" w:cs="Times New Roman"/>
                <w:b/>
                <w:sz w:val="20"/>
                <w:szCs w:val="20"/>
              </w:rPr>
              <w:t>1.72 (1.55, 1.91)</w:t>
            </w:r>
          </w:p>
        </w:tc>
      </w:tr>
      <w:tr w:rsidR="009905C4" w:rsidRPr="00007450" w14:paraId="22393C18" w14:textId="77777777">
        <w:trPr>
          <w:cantSplit/>
          <w:trHeight w:val="233"/>
        </w:trPr>
        <w:tc>
          <w:tcPr>
            <w:tcW w:w="1292" w:type="pct"/>
            <w:tcBorders>
              <w:top w:val="single" w:sz="4" w:space="0" w:color="auto"/>
              <w:left w:val="single" w:sz="4" w:space="0" w:color="auto"/>
              <w:bottom w:val="single" w:sz="4" w:space="0" w:color="auto"/>
              <w:right w:val="single" w:sz="4" w:space="0" w:color="auto"/>
            </w:tcBorders>
            <w:hideMark/>
          </w:tcPr>
          <w:p w14:paraId="1D665BDD"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sz w:val="20"/>
                <w:szCs w:val="20"/>
              </w:rPr>
              <w:t>All deaths</w:t>
            </w:r>
          </w:p>
        </w:tc>
        <w:tc>
          <w:tcPr>
            <w:tcW w:w="1237" w:type="pct"/>
            <w:tcBorders>
              <w:top w:val="single" w:sz="4" w:space="0" w:color="auto"/>
              <w:left w:val="single" w:sz="4" w:space="0" w:color="auto"/>
              <w:bottom w:val="single" w:sz="4" w:space="0" w:color="auto"/>
              <w:right w:val="single" w:sz="4" w:space="0" w:color="auto"/>
            </w:tcBorders>
            <w:hideMark/>
          </w:tcPr>
          <w:p w14:paraId="7ADEFA3C" w14:textId="65A2F0BA"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19/882 (2.2%)</w:t>
            </w:r>
          </w:p>
        </w:tc>
        <w:tc>
          <w:tcPr>
            <w:tcW w:w="1239" w:type="pct"/>
            <w:tcBorders>
              <w:top w:val="single" w:sz="4" w:space="0" w:color="auto"/>
              <w:left w:val="single" w:sz="4" w:space="0" w:color="auto"/>
              <w:bottom w:val="single" w:sz="4" w:space="0" w:color="auto"/>
              <w:right w:val="single" w:sz="4" w:space="0" w:color="auto"/>
            </w:tcBorders>
            <w:hideMark/>
          </w:tcPr>
          <w:p w14:paraId="5732BE8A" w14:textId="36F9F613"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20/880 (2.3%)</w:t>
            </w:r>
          </w:p>
        </w:tc>
        <w:tc>
          <w:tcPr>
            <w:tcW w:w="1232" w:type="pct"/>
            <w:tcBorders>
              <w:top w:val="single" w:sz="4" w:space="0" w:color="auto"/>
              <w:left w:val="single" w:sz="4" w:space="0" w:color="auto"/>
              <w:bottom w:val="single" w:sz="4" w:space="0" w:color="auto"/>
              <w:right w:val="single" w:sz="4" w:space="0" w:color="auto"/>
            </w:tcBorders>
            <w:vAlign w:val="center"/>
          </w:tcPr>
          <w:p w14:paraId="50C49FF4"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0.92 (0.49, 1.72)</w:t>
            </w:r>
          </w:p>
        </w:tc>
      </w:tr>
      <w:tr w:rsidR="009905C4" w:rsidRPr="00007450" w14:paraId="54305AC8" w14:textId="77777777">
        <w:trPr>
          <w:cantSplit/>
          <w:trHeight w:val="170"/>
        </w:trPr>
        <w:tc>
          <w:tcPr>
            <w:tcW w:w="1292" w:type="pct"/>
            <w:tcBorders>
              <w:top w:val="single" w:sz="4" w:space="0" w:color="auto"/>
              <w:left w:val="single" w:sz="4" w:space="0" w:color="auto"/>
              <w:bottom w:val="single" w:sz="4" w:space="0" w:color="auto"/>
              <w:right w:val="single" w:sz="4" w:space="0" w:color="auto"/>
            </w:tcBorders>
            <w:hideMark/>
          </w:tcPr>
          <w:p w14:paraId="08C32024" w14:textId="77777777" w:rsidR="009905C4" w:rsidRPr="00007450" w:rsidRDefault="009905C4" w:rsidP="00864C4B">
            <w:pPr>
              <w:keepNext/>
              <w:keepLines/>
              <w:jc w:val="left"/>
              <w:rPr>
                <w:rFonts w:ascii="Arial Narrow" w:eastAsia="MS Gothic" w:hAnsi="Arial Narrow" w:cs="Times New Roman"/>
                <w:bCs/>
                <w:sz w:val="20"/>
                <w:szCs w:val="20"/>
              </w:rPr>
            </w:pPr>
            <w:r w:rsidRPr="00007450">
              <w:rPr>
                <w:rFonts w:ascii="Arial Narrow" w:eastAsia="MS Gothic" w:hAnsi="Arial Narrow" w:cs="Times New Roman"/>
                <w:bCs/>
                <w:sz w:val="20"/>
                <w:szCs w:val="20"/>
              </w:rPr>
              <w:t>On treatment deaths</w:t>
            </w:r>
          </w:p>
        </w:tc>
        <w:tc>
          <w:tcPr>
            <w:tcW w:w="1237" w:type="pct"/>
            <w:tcBorders>
              <w:top w:val="single" w:sz="4" w:space="0" w:color="auto"/>
              <w:left w:val="single" w:sz="4" w:space="0" w:color="auto"/>
              <w:bottom w:val="single" w:sz="4" w:space="0" w:color="auto"/>
              <w:right w:val="single" w:sz="4" w:space="0" w:color="auto"/>
            </w:tcBorders>
            <w:hideMark/>
          </w:tcPr>
          <w:p w14:paraId="40B4BA21"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7/882 (0.8%)</w:t>
            </w:r>
          </w:p>
        </w:tc>
        <w:tc>
          <w:tcPr>
            <w:tcW w:w="1239" w:type="pct"/>
            <w:tcBorders>
              <w:top w:val="single" w:sz="4" w:space="0" w:color="auto"/>
              <w:left w:val="single" w:sz="4" w:space="0" w:color="auto"/>
              <w:bottom w:val="single" w:sz="4" w:space="0" w:color="auto"/>
              <w:right w:val="single" w:sz="4" w:space="0" w:color="auto"/>
            </w:tcBorders>
            <w:hideMark/>
          </w:tcPr>
          <w:p w14:paraId="70554E8A"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3/880 (0.3%)</w:t>
            </w:r>
          </w:p>
        </w:tc>
        <w:tc>
          <w:tcPr>
            <w:tcW w:w="1232" w:type="pct"/>
            <w:tcBorders>
              <w:top w:val="single" w:sz="4" w:space="0" w:color="auto"/>
              <w:left w:val="single" w:sz="4" w:space="0" w:color="auto"/>
              <w:bottom w:val="single" w:sz="4" w:space="0" w:color="auto"/>
              <w:right w:val="single" w:sz="4" w:space="0" w:color="auto"/>
            </w:tcBorders>
          </w:tcPr>
          <w:p w14:paraId="13B2FA13"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2.25 (0.58, 8.71)</w:t>
            </w:r>
          </w:p>
        </w:tc>
      </w:tr>
    </w:tbl>
    <w:p w14:paraId="55208911" w14:textId="77777777" w:rsidR="00381A8E" w:rsidRPr="00007450" w:rsidRDefault="00F11CFC" w:rsidP="00864C4B">
      <w:pPr>
        <w:pStyle w:val="TableFigureFooter"/>
      </w:pPr>
      <w:r w:rsidRPr="00007450">
        <w:t>Source: Table 2.27, p75 and Table 2.8 p54 of the submission, RRs calculated during evaluation</w:t>
      </w:r>
    </w:p>
    <w:p w14:paraId="07340560" w14:textId="1F9F17FF" w:rsidR="009905C4" w:rsidRPr="00007450" w:rsidRDefault="009905C4" w:rsidP="00864C4B">
      <w:pPr>
        <w:pStyle w:val="TableFigureFooter"/>
      </w:pPr>
      <w:r w:rsidRPr="00007450">
        <w:t>CI = Confidence Interval; DCO = data cut-off; ET = endocrine therapy; ID = Identifier; PBS = Pharmaceutical Benefits Scheme; RR = relative risk; SAE = serious adverse event; SD = standard deviation; TEAE = treatment-emergent adverse event</w:t>
      </w:r>
      <w:r w:rsidR="008F2E04" w:rsidRPr="00007450">
        <w:t>.</w:t>
      </w:r>
    </w:p>
    <w:p w14:paraId="5362490C" w14:textId="77777777" w:rsidR="006E0647" w:rsidRDefault="008F2E04" w:rsidP="00864C4B">
      <w:pPr>
        <w:pStyle w:val="TableFigureFooter"/>
      </w:pPr>
      <w:r w:rsidRPr="00007450">
        <w:rPr>
          <w:b/>
        </w:rPr>
        <w:t>Bold</w:t>
      </w:r>
      <w:r w:rsidRPr="00007450">
        <w:t xml:space="preserve"> </w:t>
      </w:r>
      <w:r w:rsidR="001C495C" w:rsidRPr="00007450">
        <w:t>=</w:t>
      </w:r>
      <w:r w:rsidRPr="00007450">
        <w:t xml:space="preserve"> statistically significant results</w:t>
      </w:r>
    </w:p>
    <w:p w14:paraId="286A6EFC" w14:textId="635CCF39" w:rsidR="006E0647" w:rsidRPr="009B7C10" w:rsidRDefault="006E0647" w:rsidP="00864C4B">
      <w:pPr>
        <w:pStyle w:val="TableFigureFooter"/>
        <w:rPr>
          <w:rFonts w:eastAsia="Calibri"/>
          <w:i/>
          <w:iCs/>
        </w:rPr>
      </w:pPr>
      <w:r w:rsidRPr="009B7C10">
        <w:rPr>
          <w:rFonts w:eastAsia="Calibri"/>
          <w:i/>
          <w:iCs/>
        </w:rPr>
        <w:t>Note that the results presented in Table 6 are derived from ad-hoc analyses conducted by the applicant specifically for the purposes of informing the PBAC consideration. These analyses were not part of the pre-specified statistical plan.</w:t>
      </w:r>
      <w:r w:rsidR="004A2F0E">
        <w:rPr>
          <w:rFonts w:eastAsia="Calibri"/>
          <w:i/>
          <w:iCs/>
        </w:rPr>
        <w:t xml:space="preserve"> </w:t>
      </w:r>
      <w:r w:rsidRPr="009B7C10">
        <w:rPr>
          <w:rFonts w:eastAsia="Calibri"/>
          <w:i/>
          <w:iCs/>
        </w:rPr>
        <w:t>Interpretation of the results and their application should therefore be limited to seeking to understand the basis for the PBAC outcome and should not be used for any other purpose.</w:t>
      </w:r>
    </w:p>
    <w:p w14:paraId="10012DE2" w14:textId="77777777" w:rsidR="006E0647" w:rsidRPr="00007450" w:rsidRDefault="006E0647" w:rsidP="00864C4B">
      <w:pPr>
        <w:pStyle w:val="TableFigureFooter"/>
      </w:pPr>
    </w:p>
    <w:p w14:paraId="71BEE82C" w14:textId="11FC4577" w:rsidR="009905C4" w:rsidRPr="00007450" w:rsidRDefault="009905C4" w:rsidP="00864C4B">
      <w:pPr>
        <w:keepNext/>
        <w:snapToGrid w:val="0"/>
        <w:spacing w:before="40" w:after="40"/>
        <w:jc w:val="left"/>
        <w:rPr>
          <w:rFonts w:ascii="Arial Narrow" w:hAnsi="Arial Narrow" w:cs="Arial Narrow"/>
          <w:b/>
          <w:bCs/>
          <w:sz w:val="20"/>
        </w:rPr>
      </w:pPr>
      <w:bookmarkStart w:id="38" w:name="_Ref176777870"/>
      <w:r w:rsidRPr="00007450">
        <w:rPr>
          <w:rFonts w:ascii="Arial Narrow" w:hAnsi="Arial Narrow" w:cs="Arial Narrow"/>
          <w:b/>
          <w:bCs/>
          <w:sz w:val="20"/>
        </w:rPr>
        <w:lastRenderedPageBreak/>
        <w:t xml:space="preserve">Table </w:t>
      </w:r>
      <w:r w:rsidRPr="00007450">
        <w:rPr>
          <w:rFonts w:ascii="Arial Narrow" w:hAnsi="Arial Narrow" w:cs="Arial Narrow"/>
          <w:b/>
          <w:bCs/>
          <w:sz w:val="20"/>
        </w:rPr>
        <w:fldChar w:fldCharType="begin"/>
      </w:r>
      <w:r w:rsidRPr="00007450">
        <w:rPr>
          <w:rFonts w:ascii="Arial Narrow" w:hAnsi="Arial Narrow" w:cs="Arial Narrow"/>
          <w:b/>
          <w:bCs/>
          <w:sz w:val="20"/>
        </w:rPr>
        <w:instrText xml:space="preserve"> SEQ Table \* ARABIC </w:instrText>
      </w:r>
      <w:r w:rsidRPr="00007450">
        <w:rPr>
          <w:rFonts w:ascii="Arial Narrow" w:hAnsi="Arial Narrow" w:cs="Arial Narrow"/>
          <w:b/>
          <w:bCs/>
          <w:sz w:val="20"/>
        </w:rPr>
        <w:fldChar w:fldCharType="separate"/>
      </w:r>
      <w:r w:rsidR="00B36442">
        <w:rPr>
          <w:rFonts w:ascii="Arial Narrow" w:hAnsi="Arial Narrow" w:cs="Arial Narrow"/>
          <w:b/>
          <w:bCs/>
          <w:noProof/>
          <w:sz w:val="20"/>
        </w:rPr>
        <w:t>7</w:t>
      </w:r>
      <w:r w:rsidRPr="00007450">
        <w:rPr>
          <w:rFonts w:ascii="Arial Narrow" w:hAnsi="Arial Narrow" w:cs="Arial Narrow"/>
          <w:b/>
          <w:bCs/>
          <w:sz w:val="20"/>
        </w:rPr>
        <w:fldChar w:fldCharType="end"/>
      </w:r>
      <w:bookmarkEnd w:id="38"/>
      <w:r w:rsidRPr="00007450">
        <w:rPr>
          <w:rFonts w:ascii="Arial Narrow" w:hAnsi="Arial Narrow" w:cs="Arial Narrow"/>
          <w:b/>
          <w:bCs/>
          <w:sz w:val="20"/>
        </w:rPr>
        <w:t>: Summary of Grade ≥ 3 AEs (safety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Grade ≥ 3 AEs (safety set)"/>
      </w:tblPr>
      <w:tblGrid>
        <w:gridCol w:w="2328"/>
        <w:gridCol w:w="2231"/>
        <w:gridCol w:w="2096"/>
        <w:gridCol w:w="2362"/>
      </w:tblGrid>
      <w:tr w:rsidR="009905C4" w:rsidRPr="00007450" w14:paraId="31109EDA" w14:textId="77777777">
        <w:trPr>
          <w:cantSplit/>
          <w:tblHeader/>
        </w:trPr>
        <w:tc>
          <w:tcPr>
            <w:tcW w:w="1291" w:type="pct"/>
            <w:tcBorders>
              <w:top w:val="single" w:sz="4" w:space="0" w:color="auto"/>
              <w:left w:val="single" w:sz="4" w:space="0" w:color="auto"/>
              <w:bottom w:val="single" w:sz="4" w:space="0" w:color="auto"/>
              <w:right w:val="single" w:sz="4" w:space="0" w:color="auto"/>
            </w:tcBorders>
            <w:vAlign w:val="center"/>
            <w:hideMark/>
          </w:tcPr>
          <w:p w14:paraId="43DDD7F2"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Trial ID / AEs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30B23169"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Ribociclib + ET</w:t>
            </w:r>
          </w:p>
          <w:p w14:paraId="3F1E6276"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n with event/N (%)</w:t>
            </w:r>
          </w:p>
        </w:tc>
        <w:tc>
          <w:tcPr>
            <w:tcW w:w="1162" w:type="pct"/>
            <w:tcBorders>
              <w:top w:val="single" w:sz="4" w:space="0" w:color="auto"/>
              <w:left w:val="single" w:sz="4" w:space="0" w:color="auto"/>
              <w:bottom w:val="single" w:sz="4" w:space="0" w:color="auto"/>
              <w:right w:val="single" w:sz="4" w:space="0" w:color="auto"/>
            </w:tcBorders>
            <w:vAlign w:val="center"/>
            <w:hideMark/>
          </w:tcPr>
          <w:p w14:paraId="0BB41021"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ET alone</w:t>
            </w:r>
          </w:p>
          <w:p w14:paraId="15DB6B80"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n with event/N (%)</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DB7D91B" w14:textId="77777777" w:rsidR="009905C4" w:rsidRPr="00007450" w:rsidRDefault="009905C4" w:rsidP="00864C4B">
            <w:pPr>
              <w:keepNext/>
              <w:keepLines/>
              <w:jc w:val="left"/>
              <w:rPr>
                <w:rFonts w:ascii="Arial Narrow" w:eastAsia="MS Gothic" w:hAnsi="Arial Narrow" w:cs="Times New Roman"/>
                <w:b/>
                <w:sz w:val="20"/>
                <w:szCs w:val="20"/>
              </w:rPr>
            </w:pPr>
            <w:r w:rsidRPr="00007450">
              <w:rPr>
                <w:rFonts w:ascii="Arial Narrow" w:eastAsia="MS Gothic" w:hAnsi="Arial Narrow" w:cs="Times New Roman"/>
                <w:b/>
                <w:sz w:val="20"/>
                <w:szCs w:val="20"/>
              </w:rPr>
              <w:t>RD (95% CI)</w:t>
            </w:r>
          </w:p>
        </w:tc>
      </w:tr>
      <w:tr w:rsidR="009905C4" w:rsidRPr="00007450" w14:paraId="659231C6" w14:textId="77777777" w:rsidTr="00520B28">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5AAD3F4"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NATALEE (safety set population) April 2024 DCO (median follow-up 49.6 months)</w:t>
            </w:r>
          </w:p>
        </w:tc>
      </w:tr>
      <w:tr w:rsidR="009905C4" w:rsidRPr="00007450" w14:paraId="2B311C8E"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348C559E"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Neutropenia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06BD5C54"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710</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(28.1%)</w:t>
            </w:r>
          </w:p>
        </w:tc>
        <w:tc>
          <w:tcPr>
            <w:tcW w:w="1162" w:type="pct"/>
            <w:tcBorders>
              <w:top w:val="single" w:sz="4" w:space="0" w:color="auto"/>
              <w:left w:val="single" w:sz="4" w:space="0" w:color="auto"/>
              <w:bottom w:val="single" w:sz="4" w:space="0" w:color="auto"/>
              <w:right w:val="single" w:sz="4" w:space="0" w:color="auto"/>
            </w:tcBorders>
            <w:vAlign w:val="center"/>
            <w:hideMark/>
          </w:tcPr>
          <w:p w14:paraId="298BB266"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13</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(0.5%)</w:t>
            </w:r>
          </w:p>
        </w:tc>
        <w:tc>
          <w:tcPr>
            <w:tcW w:w="1310" w:type="pct"/>
            <w:tcBorders>
              <w:top w:val="single" w:sz="4" w:space="0" w:color="auto"/>
              <w:left w:val="single" w:sz="4" w:space="0" w:color="auto"/>
              <w:bottom w:val="single" w:sz="4" w:space="0" w:color="auto"/>
              <w:right w:val="single" w:sz="4" w:space="0" w:color="auto"/>
            </w:tcBorders>
            <w:vAlign w:val="center"/>
            <w:hideMark/>
          </w:tcPr>
          <w:p w14:paraId="6F47A926"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0.28 (0.26, 0.29); p &lt; 0.0001</w:t>
            </w:r>
          </w:p>
        </w:tc>
      </w:tr>
      <w:tr w:rsidR="009905C4" w:rsidRPr="00007450" w14:paraId="003FE875"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16212FE8"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Neutrophil count decreased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1237933A"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448</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(17.7%)</w:t>
            </w:r>
          </w:p>
        </w:tc>
        <w:tc>
          <w:tcPr>
            <w:tcW w:w="1162" w:type="pct"/>
            <w:tcBorders>
              <w:top w:val="single" w:sz="4" w:space="0" w:color="auto"/>
              <w:left w:val="single" w:sz="4" w:space="0" w:color="auto"/>
              <w:bottom w:val="single" w:sz="4" w:space="0" w:color="auto"/>
              <w:right w:val="single" w:sz="4" w:space="0" w:color="auto"/>
            </w:tcBorders>
            <w:vAlign w:val="center"/>
            <w:hideMark/>
          </w:tcPr>
          <w:p w14:paraId="7917D788"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8</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(0.3%)</w:t>
            </w:r>
          </w:p>
        </w:tc>
        <w:tc>
          <w:tcPr>
            <w:tcW w:w="1310" w:type="pct"/>
            <w:tcBorders>
              <w:top w:val="single" w:sz="4" w:space="0" w:color="auto"/>
              <w:left w:val="single" w:sz="4" w:space="0" w:color="auto"/>
              <w:bottom w:val="single" w:sz="4" w:space="0" w:color="auto"/>
              <w:right w:val="single" w:sz="4" w:space="0" w:color="auto"/>
            </w:tcBorders>
            <w:vAlign w:val="center"/>
            <w:hideMark/>
          </w:tcPr>
          <w:p w14:paraId="22B476D7"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0.17 (0.16, 0.19); p &lt; 0.0001</w:t>
            </w:r>
          </w:p>
        </w:tc>
      </w:tr>
      <w:tr w:rsidR="009905C4" w:rsidRPr="00007450" w14:paraId="021C1869"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2EC57585"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Alanine aminotransferase increased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83A3ED1"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194</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(7.7%)</w:t>
            </w:r>
          </w:p>
        </w:tc>
        <w:tc>
          <w:tcPr>
            <w:tcW w:w="1162" w:type="pct"/>
            <w:tcBorders>
              <w:top w:val="single" w:sz="4" w:space="0" w:color="auto"/>
              <w:left w:val="single" w:sz="4" w:space="0" w:color="auto"/>
              <w:bottom w:val="single" w:sz="4" w:space="0" w:color="auto"/>
              <w:right w:val="single" w:sz="4" w:space="0" w:color="auto"/>
            </w:tcBorders>
            <w:vAlign w:val="center"/>
            <w:hideMark/>
          </w:tcPr>
          <w:p w14:paraId="1D88B570"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17</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(0.7%)</w:t>
            </w:r>
          </w:p>
        </w:tc>
        <w:tc>
          <w:tcPr>
            <w:tcW w:w="1310" w:type="pct"/>
            <w:tcBorders>
              <w:top w:val="single" w:sz="4" w:space="0" w:color="auto"/>
              <w:left w:val="single" w:sz="4" w:space="0" w:color="auto"/>
              <w:bottom w:val="single" w:sz="4" w:space="0" w:color="auto"/>
              <w:right w:val="single" w:sz="4" w:space="0" w:color="auto"/>
            </w:tcBorders>
            <w:vAlign w:val="center"/>
            <w:hideMark/>
          </w:tcPr>
          <w:p w14:paraId="20A5578A"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0.07 (0.06, 0.08); p &lt; 0.0001</w:t>
            </w:r>
          </w:p>
        </w:tc>
      </w:tr>
      <w:tr w:rsidR="009905C4" w:rsidRPr="00007450" w14:paraId="49AF32B4"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0AE12E5E"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Aspartate aminotransferase increased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7BBC84CB"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117</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(4.6%)</w:t>
            </w:r>
          </w:p>
        </w:tc>
        <w:tc>
          <w:tcPr>
            <w:tcW w:w="1162" w:type="pct"/>
            <w:tcBorders>
              <w:top w:val="single" w:sz="4" w:space="0" w:color="auto"/>
              <w:left w:val="single" w:sz="4" w:space="0" w:color="auto"/>
              <w:bottom w:val="single" w:sz="4" w:space="0" w:color="auto"/>
              <w:right w:val="single" w:sz="4" w:space="0" w:color="auto"/>
            </w:tcBorders>
            <w:vAlign w:val="center"/>
            <w:hideMark/>
          </w:tcPr>
          <w:p w14:paraId="0A3F5CDF"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14</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(0.6%)</w:t>
            </w:r>
          </w:p>
        </w:tc>
        <w:tc>
          <w:tcPr>
            <w:tcW w:w="1310" w:type="pct"/>
            <w:tcBorders>
              <w:top w:val="single" w:sz="4" w:space="0" w:color="auto"/>
              <w:left w:val="single" w:sz="4" w:space="0" w:color="auto"/>
              <w:bottom w:val="single" w:sz="4" w:space="0" w:color="auto"/>
              <w:right w:val="single" w:sz="4" w:space="0" w:color="auto"/>
            </w:tcBorders>
            <w:vAlign w:val="center"/>
            <w:hideMark/>
          </w:tcPr>
          <w:p w14:paraId="3BDA8864"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0.04 (0.03, 0.05); p &lt; 0.0001</w:t>
            </w:r>
          </w:p>
        </w:tc>
      </w:tr>
      <w:tr w:rsidR="009905C4" w:rsidRPr="00007450" w14:paraId="2D5C1A47"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6138FD14"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White blood cell count decreased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251D25D"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95</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(3.8%)</w:t>
            </w:r>
          </w:p>
        </w:tc>
        <w:tc>
          <w:tcPr>
            <w:tcW w:w="1162" w:type="pct"/>
            <w:tcBorders>
              <w:top w:val="single" w:sz="4" w:space="0" w:color="auto"/>
              <w:left w:val="single" w:sz="4" w:space="0" w:color="auto"/>
              <w:bottom w:val="single" w:sz="4" w:space="0" w:color="auto"/>
              <w:right w:val="single" w:sz="4" w:space="0" w:color="auto"/>
            </w:tcBorders>
            <w:vAlign w:val="center"/>
            <w:hideMark/>
          </w:tcPr>
          <w:p w14:paraId="78001B6A"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6</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(0.2%)</w:t>
            </w:r>
          </w:p>
        </w:tc>
        <w:tc>
          <w:tcPr>
            <w:tcW w:w="1310" w:type="pct"/>
            <w:tcBorders>
              <w:top w:val="single" w:sz="4" w:space="0" w:color="auto"/>
              <w:left w:val="single" w:sz="4" w:space="0" w:color="auto"/>
              <w:bottom w:val="single" w:sz="4" w:space="0" w:color="auto"/>
              <w:right w:val="single" w:sz="4" w:space="0" w:color="auto"/>
            </w:tcBorders>
            <w:vAlign w:val="center"/>
            <w:hideMark/>
          </w:tcPr>
          <w:p w14:paraId="3728A559"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0.04 (0.03, 0.04); p &lt; 0.0001</w:t>
            </w:r>
          </w:p>
        </w:tc>
      </w:tr>
      <w:tr w:rsidR="009905C4" w:rsidRPr="00007450" w14:paraId="372AEF59" w14:textId="77777777" w:rsidTr="00520B28">
        <w:trPr>
          <w:cantSplit/>
        </w:trPr>
        <w:tc>
          <w:tcPr>
            <w:tcW w:w="1291" w:type="pct"/>
            <w:tcBorders>
              <w:top w:val="single" w:sz="4" w:space="0" w:color="auto"/>
              <w:left w:val="single" w:sz="4" w:space="0" w:color="auto"/>
              <w:bottom w:val="single" w:sz="4" w:space="0" w:color="auto"/>
              <w:right w:val="single" w:sz="4" w:space="0" w:color="auto"/>
            </w:tcBorders>
            <w:hideMark/>
          </w:tcPr>
          <w:p w14:paraId="4168F28E"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 xml:space="preserve">Leukopenia </w:t>
            </w:r>
          </w:p>
        </w:tc>
        <w:tc>
          <w:tcPr>
            <w:tcW w:w="1237" w:type="pct"/>
            <w:tcBorders>
              <w:top w:val="single" w:sz="4" w:space="0" w:color="auto"/>
              <w:left w:val="single" w:sz="4" w:space="0" w:color="auto"/>
              <w:bottom w:val="single" w:sz="4" w:space="0" w:color="auto"/>
              <w:right w:val="single" w:sz="4" w:space="0" w:color="auto"/>
            </w:tcBorders>
            <w:vAlign w:val="center"/>
            <w:hideMark/>
          </w:tcPr>
          <w:p w14:paraId="722E067A"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94</w:t>
            </w:r>
            <w:r w:rsidRPr="00007450">
              <w:rPr>
                <w:rFonts w:ascii="Arial Narrow" w:eastAsia="MS Gothic" w:hAnsi="Arial Narrow" w:cs="Times New Roman"/>
                <w:bCs/>
                <w:sz w:val="20"/>
                <w:szCs w:val="20"/>
              </w:rPr>
              <w:t xml:space="preserve">/2525 </w:t>
            </w:r>
            <w:r w:rsidRPr="00007450">
              <w:rPr>
                <w:rFonts w:ascii="Arial Narrow" w:eastAsia="MS Gothic" w:hAnsi="Arial Narrow" w:cs="Times New Roman"/>
                <w:sz w:val="20"/>
                <w:szCs w:val="20"/>
              </w:rPr>
              <w:t>(3.7%)</w:t>
            </w:r>
          </w:p>
        </w:tc>
        <w:tc>
          <w:tcPr>
            <w:tcW w:w="1162" w:type="pct"/>
            <w:tcBorders>
              <w:top w:val="single" w:sz="4" w:space="0" w:color="auto"/>
              <w:left w:val="single" w:sz="4" w:space="0" w:color="auto"/>
              <w:bottom w:val="single" w:sz="4" w:space="0" w:color="auto"/>
              <w:right w:val="single" w:sz="4" w:space="0" w:color="auto"/>
            </w:tcBorders>
            <w:vAlign w:val="center"/>
            <w:hideMark/>
          </w:tcPr>
          <w:p w14:paraId="6ABB6ECD"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2</w:t>
            </w:r>
            <w:r w:rsidRPr="00007450">
              <w:rPr>
                <w:rFonts w:ascii="Arial Narrow" w:eastAsia="MS Gothic" w:hAnsi="Arial Narrow" w:cs="Times New Roman"/>
                <w:bCs/>
                <w:sz w:val="20"/>
                <w:szCs w:val="20"/>
              </w:rPr>
              <w:t xml:space="preserve">/2442 </w:t>
            </w:r>
            <w:r w:rsidRPr="00007450">
              <w:rPr>
                <w:rFonts w:ascii="Arial Narrow" w:eastAsia="MS Gothic" w:hAnsi="Arial Narrow" w:cs="Times New Roman"/>
                <w:sz w:val="20"/>
                <w:szCs w:val="20"/>
              </w:rPr>
              <w:t>(0.1%)</w:t>
            </w:r>
          </w:p>
        </w:tc>
        <w:tc>
          <w:tcPr>
            <w:tcW w:w="1310" w:type="pct"/>
            <w:tcBorders>
              <w:top w:val="single" w:sz="4" w:space="0" w:color="auto"/>
              <w:left w:val="single" w:sz="4" w:space="0" w:color="auto"/>
              <w:bottom w:val="single" w:sz="4" w:space="0" w:color="auto"/>
              <w:right w:val="single" w:sz="4" w:space="0" w:color="auto"/>
            </w:tcBorders>
            <w:vAlign w:val="center"/>
            <w:hideMark/>
          </w:tcPr>
          <w:p w14:paraId="3396B1AC"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b/>
                <w:sz w:val="20"/>
                <w:szCs w:val="20"/>
              </w:rPr>
              <w:t>0.04 (0.03, 0.04); p &lt; 0.0001</w:t>
            </w:r>
          </w:p>
        </w:tc>
      </w:tr>
      <w:tr w:rsidR="009905C4" w:rsidRPr="00007450" w14:paraId="7A95AD51" w14:textId="77777777">
        <w:trPr>
          <w:cantSplit/>
        </w:trPr>
        <w:tc>
          <w:tcPr>
            <w:tcW w:w="1291" w:type="pct"/>
            <w:tcBorders>
              <w:top w:val="nil"/>
              <w:left w:val="single" w:sz="4" w:space="0" w:color="auto"/>
              <w:bottom w:val="single" w:sz="4" w:space="0" w:color="auto"/>
              <w:right w:val="single" w:sz="4" w:space="0" w:color="auto"/>
            </w:tcBorders>
            <w:hideMark/>
          </w:tcPr>
          <w:p w14:paraId="052CF756"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z w:val="20"/>
                <w:szCs w:val="20"/>
              </w:rPr>
              <w:t>Diarrhoea</w:t>
            </w:r>
          </w:p>
        </w:tc>
        <w:tc>
          <w:tcPr>
            <w:tcW w:w="1237" w:type="pct"/>
            <w:tcBorders>
              <w:top w:val="nil"/>
              <w:left w:val="single" w:sz="4" w:space="0" w:color="auto"/>
              <w:bottom w:val="single" w:sz="4" w:space="0" w:color="auto"/>
              <w:right w:val="single" w:sz="4" w:space="0" w:color="auto"/>
            </w:tcBorders>
            <w:vAlign w:val="center"/>
            <w:hideMark/>
          </w:tcPr>
          <w:p w14:paraId="29195517"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368/ 2525 (14.6%)</w:t>
            </w:r>
          </w:p>
        </w:tc>
        <w:tc>
          <w:tcPr>
            <w:tcW w:w="1162" w:type="pct"/>
            <w:tcBorders>
              <w:top w:val="nil"/>
              <w:left w:val="single" w:sz="4" w:space="0" w:color="auto"/>
              <w:bottom w:val="single" w:sz="4" w:space="0" w:color="auto"/>
              <w:right w:val="single" w:sz="4" w:space="0" w:color="auto"/>
            </w:tcBorders>
            <w:vAlign w:val="center"/>
            <w:hideMark/>
          </w:tcPr>
          <w:p w14:paraId="4BE22BB2"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13 /2442 (5.53%)</w:t>
            </w:r>
          </w:p>
        </w:tc>
        <w:tc>
          <w:tcPr>
            <w:tcW w:w="1310" w:type="pct"/>
            <w:tcBorders>
              <w:top w:val="nil"/>
              <w:left w:val="single" w:sz="4" w:space="0" w:color="auto"/>
              <w:bottom w:val="single" w:sz="4" w:space="0" w:color="auto"/>
              <w:right w:val="single" w:sz="4" w:space="0" w:color="auto"/>
            </w:tcBorders>
            <w:vAlign w:val="center"/>
            <w:hideMark/>
          </w:tcPr>
          <w:p w14:paraId="3EB32B6C"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7ED97F22" w14:textId="77777777">
        <w:trPr>
          <w:cantSplit/>
        </w:trPr>
        <w:tc>
          <w:tcPr>
            <w:tcW w:w="5000" w:type="pct"/>
            <w:gridSpan w:val="4"/>
            <w:tcBorders>
              <w:top w:val="nil"/>
              <w:left w:val="single" w:sz="4" w:space="0" w:color="auto"/>
              <w:bottom w:val="single" w:sz="4" w:space="0" w:color="auto"/>
              <w:right w:val="single" w:sz="4" w:space="0" w:color="auto"/>
            </w:tcBorders>
            <w:hideMark/>
          </w:tcPr>
          <w:p w14:paraId="5B26E985" w14:textId="77777777" w:rsidR="009905C4" w:rsidRPr="00007450" w:rsidRDefault="009905C4" w:rsidP="00864C4B">
            <w:pPr>
              <w:keepNext/>
              <w:keepLines/>
              <w:jc w:val="left"/>
              <w:rPr>
                <w:rFonts w:ascii="Arial Narrow" w:eastAsia="MS Gothic" w:hAnsi="Arial Narrow" w:cs="Times New Roman"/>
                <w:b/>
                <w:bCs/>
                <w:sz w:val="20"/>
                <w:szCs w:val="20"/>
              </w:rPr>
            </w:pPr>
            <w:r w:rsidRPr="00007450">
              <w:rPr>
                <w:rFonts w:ascii="Arial Narrow" w:eastAsia="MS Gothic" w:hAnsi="Arial Narrow" w:cs="Times New Roman"/>
                <w:b/>
                <w:bCs/>
                <w:snapToGrid w:val="0"/>
                <w:sz w:val="20"/>
                <w:szCs w:val="20"/>
              </w:rPr>
              <w:t>NATALEE (safety set matching the PBS subgroup) April 2024 DCO (median follow-up 49.6 months)</w:t>
            </w:r>
          </w:p>
        </w:tc>
      </w:tr>
      <w:tr w:rsidR="009905C4" w:rsidRPr="00007450" w14:paraId="26BD26E1" w14:textId="77777777">
        <w:trPr>
          <w:cantSplit/>
        </w:trPr>
        <w:tc>
          <w:tcPr>
            <w:tcW w:w="1291" w:type="pct"/>
            <w:tcBorders>
              <w:top w:val="nil"/>
              <w:left w:val="single" w:sz="4" w:space="0" w:color="auto"/>
              <w:bottom w:val="single" w:sz="4" w:space="0" w:color="auto"/>
              <w:right w:val="single" w:sz="4" w:space="0" w:color="auto"/>
            </w:tcBorders>
            <w:hideMark/>
          </w:tcPr>
          <w:p w14:paraId="78EF4A29"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 xml:space="preserve">Neutropenia </w:t>
            </w:r>
          </w:p>
        </w:tc>
        <w:tc>
          <w:tcPr>
            <w:tcW w:w="1237" w:type="pct"/>
            <w:tcBorders>
              <w:top w:val="nil"/>
              <w:left w:val="single" w:sz="4" w:space="0" w:color="auto"/>
              <w:bottom w:val="single" w:sz="4" w:space="0" w:color="auto"/>
              <w:right w:val="single" w:sz="4" w:space="0" w:color="auto"/>
            </w:tcBorders>
            <w:vAlign w:val="center"/>
          </w:tcPr>
          <w:p w14:paraId="0EFD0F31"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242/882 (27.4%)</w:t>
            </w:r>
          </w:p>
        </w:tc>
        <w:tc>
          <w:tcPr>
            <w:tcW w:w="1162" w:type="pct"/>
            <w:tcBorders>
              <w:top w:val="nil"/>
              <w:left w:val="single" w:sz="4" w:space="0" w:color="auto"/>
              <w:bottom w:val="single" w:sz="4" w:space="0" w:color="auto"/>
              <w:right w:val="single" w:sz="4" w:space="0" w:color="auto"/>
            </w:tcBorders>
            <w:vAlign w:val="center"/>
          </w:tcPr>
          <w:p w14:paraId="1D3C8DDD"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8/880 (0.9%)</w:t>
            </w:r>
          </w:p>
        </w:tc>
        <w:tc>
          <w:tcPr>
            <w:tcW w:w="1310" w:type="pct"/>
            <w:tcBorders>
              <w:top w:val="nil"/>
              <w:left w:val="single" w:sz="4" w:space="0" w:color="auto"/>
              <w:bottom w:val="single" w:sz="4" w:space="0" w:color="auto"/>
              <w:right w:val="single" w:sz="4" w:space="0" w:color="auto"/>
            </w:tcBorders>
            <w:vAlign w:val="center"/>
            <w:hideMark/>
          </w:tcPr>
          <w:p w14:paraId="371B2091"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6A1AF23C" w14:textId="77777777">
        <w:trPr>
          <w:cantSplit/>
        </w:trPr>
        <w:tc>
          <w:tcPr>
            <w:tcW w:w="1291" w:type="pct"/>
            <w:tcBorders>
              <w:top w:val="nil"/>
              <w:left w:val="single" w:sz="4" w:space="0" w:color="auto"/>
              <w:bottom w:val="single" w:sz="4" w:space="0" w:color="auto"/>
              <w:right w:val="single" w:sz="4" w:space="0" w:color="auto"/>
            </w:tcBorders>
            <w:hideMark/>
          </w:tcPr>
          <w:p w14:paraId="4189552A" w14:textId="77777777" w:rsidR="009905C4" w:rsidRPr="00007450" w:rsidRDefault="009905C4" w:rsidP="00864C4B">
            <w:pPr>
              <w:keepNext/>
              <w:keepLines/>
              <w:jc w:val="left"/>
              <w:rPr>
                <w:rFonts w:ascii="Arial Narrow" w:eastAsia="MS Gothic" w:hAnsi="Arial Narrow" w:cs="Times New Roman"/>
                <w:snapToGrid w:val="0"/>
                <w:sz w:val="20"/>
                <w:szCs w:val="20"/>
              </w:rPr>
            </w:pPr>
            <w:r w:rsidRPr="00007450">
              <w:rPr>
                <w:rFonts w:ascii="Arial Narrow" w:eastAsia="MS Gothic" w:hAnsi="Arial Narrow" w:cs="Times New Roman"/>
                <w:snapToGrid w:val="0"/>
                <w:sz w:val="20"/>
                <w:szCs w:val="20"/>
              </w:rPr>
              <w:t xml:space="preserve">Leukopenia </w:t>
            </w:r>
          </w:p>
        </w:tc>
        <w:tc>
          <w:tcPr>
            <w:tcW w:w="1237" w:type="pct"/>
            <w:tcBorders>
              <w:top w:val="nil"/>
              <w:left w:val="single" w:sz="4" w:space="0" w:color="auto"/>
              <w:bottom w:val="single" w:sz="4" w:space="0" w:color="auto"/>
              <w:right w:val="single" w:sz="4" w:space="0" w:color="auto"/>
            </w:tcBorders>
            <w:vAlign w:val="center"/>
          </w:tcPr>
          <w:p w14:paraId="4C94F46A" w14:textId="77777777" w:rsidR="009905C4" w:rsidRPr="00007450" w:rsidRDefault="009905C4" w:rsidP="00864C4B">
            <w:pPr>
              <w:keepNext/>
              <w:keepLines/>
              <w:jc w:val="center"/>
              <w:rPr>
                <w:rFonts w:ascii="Arial Narrow" w:hAnsi="Arial Narrow"/>
                <w:sz w:val="20"/>
                <w:szCs w:val="20"/>
              </w:rPr>
            </w:pPr>
            <w:r w:rsidRPr="00007450">
              <w:rPr>
                <w:rFonts w:ascii="Arial Narrow" w:hAnsi="Arial Narrow"/>
                <w:sz w:val="20"/>
                <w:szCs w:val="20"/>
              </w:rPr>
              <w:t>33/882 (3.7%)</w:t>
            </w:r>
          </w:p>
        </w:tc>
        <w:tc>
          <w:tcPr>
            <w:tcW w:w="1162" w:type="pct"/>
            <w:tcBorders>
              <w:top w:val="nil"/>
              <w:left w:val="single" w:sz="4" w:space="0" w:color="auto"/>
              <w:bottom w:val="single" w:sz="4" w:space="0" w:color="auto"/>
              <w:right w:val="single" w:sz="4" w:space="0" w:color="auto"/>
            </w:tcBorders>
            <w:vAlign w:val="center"/>
          </w:tcPr>
          <w:p w14:paraId="09715D47" w14:textId="77777777" w:rsidR="009905C4" w:rsidRPr="00007450" w:rsidRDefault="009905C4" w:rsidP="00864C4B">
            <w:pPr>
              <w:keepNext/>
              <w:keepLines/>
              <w:jc w:val="center"/>
              <w:rPr>
                <w:rFonts w:ascii="Arial Narrow" w:hAnsi="Arial Narrow"/>
                <w:sz w:val="20"/>
                <w:szCs w:val="20"/>
              </w:rPr>
            </w:pPr>
            <w:r w:rsidRPr="00007450">
              <w:rPr>
                <w:rFonts w:ascii="Arial Narrow" w:hAnsi="Arial Narrow"/>
                <w:sz w:val="20"/>
                <w:szCs w:val="20"/>
              </w:rPr>
              <w:t>0/880 (0%)</w:t>
            </w:r>
          </w:p>
        </w:tc>
        <w:tc>
          <w:tcPr>
            <w:tcW w:w="1310" w:type="pct"/>
            <w:tcBorders>
              <w:top w:val="nil"/>
              <w:left w:val="single" w:sz="4" w:space="0" w:color="auto"/>
              <w:bottom w:val="single" w:sz="4" w:space="0" w:color="auto"/>
              <w:right w:val="single" w:sz="4" w:space="0" w:color="auto"/>
            </w:tcBorders>
            <w:vAlign w:val="center"/>
            <w:hideMark/>
          </w:tcPr>
          <w:p w14:paraId="5D142D4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04F8B9BC" w14:textId="77777777">
        <w:trPr>
          <w:cantSplit/>
        </w:trPr>
        <w:tc>
          <w:tcPr>
            <w:tcW w:w="1291" w:type="pct"/>
            <w:tcBorders>
              <w:top w:val="nil"/>
              <w:left w:val="single" w:sz="4" w:space="0" w:color="auto"/>
              <w:bottom w:val="single" w:sz="4" w:space="0" w:color="auto"/>
              <w:right w:val="single" w:sz="4" w:space="0" w:color="auto"/>
            </w:tcBorders>
            <w:hideMark/>
          </w:tcPr>
          <w:p w14:paraId="26CBCD07" w14:textId="77777777" w:rsidR="009905C4" w:rsidRPr="00007450" w:rsidRDefault="009905C4" w:rsidP="00864C4B">
            <w:pPr>
              <w:keepNext/>
              <w:keepLines/>
              <w:jc w:val="left"/>
              <w:rPr>
                <w:rFonts w:ascii="Arial Narrow" w:eastAsia="MS Gothic" w:hAnsi="Arial Narrow" w:cs="Times New Roman"/>
                <w:snapToGrid w:val="0"/>
                <w:sz w:val="20"/>
                <w:szCs w:val="20"/>
              </w:rPr>
            </w:pPr>
            <w:r w:rsidRPr="00007450">
              <w:rPr>
                <w:rFonts w:ascii="Arial Narrow" w:eastAsia="MS Gothic" w:hAnsi="Arial Narrow" w:cs="Times New Roman"/>
                <w:sz w:val="20"/>
                <w:szCs w:val="20"/>
              </w:rPr>
              <w:t>Diarrhoea</w:t>
            </w:r>
          </w:p>
        </w:tc>
        <w:tc>
          <w:tcPr>
            <w:tcW w:w="1237" w:type="pct"/>
            <w:tcBorders>
              <w:top w:val="nil"/>
              <w:left w:val="single" w:sz="4" w:space="0" w:color="auto"/>
              <w:bottom w:val="single" w:sz="4" w:space="0" w:color="auto"/>
              <w:right w:val="single" w:sz="4" w:space="0" w:color="auto"/>
            </w:tcBorders>
            <w:vAlign w:val="center"/>
          </w:tcPr>
          <w:p w14:paraId="7385483A" w14:textId="77777777" w:rsidR="009905C4" w:rsidRPr="00007450" w:rsidRDefault="009905C4" w:rsidP="00864C4B">
            <w:pPr>
              <w:keepNext/>
              <w:keepLines/>
              <w:jc w:val="center"/>
              <w:rPr>
                <w:rFonts w:ascii="Arial Narrow" w:hAnsi="Arial Narrow"/>
                <w:sz w:val="20"/>
                <w:szCs w:val="20"/>
              </w:rPr>
            </w:pPr>
            <w:r w:rsidRPr="00007450">
              <w:rPr>
                <w:rFonts w:ascii="Arial Narrow" w:hAnsi="Arial Narrow"/>
                <w:sz w:val="20"/>
                <w:szCs w:val="20"/>
              </w:rPr>
              <w:t>9/882 (1.0%)</w:t>
            </w:r>
          </w:p>
        </w:tc>
        <w:tc>
          <w:tcPr>
            <w:tcW w:w="1162" w:type="pct"/>
            <w:tcBorders>
              <w:top w:val="nil"/>
              <w:left w:val="single" w:sz="4" w:space="0" w:color="auto"/>
              <w:bottom w:val="single" w:sz="4" w:space="0" w:color="auto"/>
              <w:right w:val="single" w:sz="4" w:space="0" w:color="auto"/>
            </w:tcBorders>
            <w:vAlign w:val="center"/>
          </w:tcPr>
          <w:p w14:paraId="5B30CC3C" w14:textId="77777777" w:rsidR="009905C4" w:rsidRPr="00007450" w:rsidRDefault="009905C4" w:rsidP="00864C4B">
            <w:pPr>
              <w:keepNext/>
              <w:keepLines/>
              <w:jc w:val="center"/>
              <w:rPr>
                <w:rFonts w:ascii="Arial Narrow" w:hAnsi="Arial Narrow"/>
                <w:sz w:val="20"/>
                <w:szCs w:val="20"/>
              </w:rPr>
            </w:pPr>
            <w:r w:rsidRPr="00007450">
              <w:rPr>
                <w:rFonts w:ascii="Arial Narrow" w:hAnsi="Arial Narrow"/>
                <w:sz w:val="20"/>
                <w:szCs w:val="20"/>
              </w:rPr>
              <w:t>1/880 (0.1%)</w:t>
            </w:r>
          </w:p>
        </w:tc>
        <w:tc>
          <w:tcPr>
            <w:tcW w:w="1310" w:type="pct"/>
            <w:tcBorders>
              <w:top w:val="nil"/>
              <w:left w:val="single" w:sz="4" w:space="0" w:color="auto"/>
              <w:bottom w:val="single" w:sz="4" w:space="0" w:color="auto"/>
              <w:right w:val="single" w:sz="4" w:space="0" w:color="auto"/>
            </w:tcBorders>
            <w:vAlign w:val="center"/>
            <w:hideMark/>
          </w:tcPr>
          <w:p w14:paraId="7A17FAAD"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376BD1AF" w14:textId="77777777">
        <w:trPr>
          <w:cantSplit/>
        </w:trPr>
        <w:tc>
          <w:tcPr>
            <w:tcW w:w="1291" w:type="pct"/>
            <w:tcBorders>
              <w:top w:val="nil"/>
              <w:left w:val="single" w:sz="4" w:space="0" w:color="auto"/>
              <w:bottom w:val="single" w:sz="4" w:space="0" w:color="auto"/>
              <w:right w:val="single" w:sz="4" w:space="0" w:color="auto"/>
            </w:tcBorders>
            <w:hideMark/>
          </w:tcPr>
          <w:p w14:paraId="54FA1093"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 xml:space="preserve">Alanine aminotransferase increased </w:t>
            </w:r>
          </w:p>
        </w:tc>
        <w:tc>
          <w:tcPr>
            <w:tcW w:w="1237" w:type="pct"/>
            <w:tcBorders>
              <w:top w:val="nil"/>
              <w:left w:val="single" w:sz="4" w:space="0" w:color="auto"/>
              <w:bottom w:val="single" w:sz="4" w:space="0" w:color="auto"/>
              <w:right w:val="single" w:sz="4" w:space="0" w:color="auto"/>
            </w:tcBorders>
            <w:vAlign w:val="center"/>
          </w:tcPr>
          <w:p w14:paraId="185AC8D9"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77/882 (8.7%)</w:t>
            </w:r>
          </w:p>
        </w:tc>
        <w:tc>
          <w:tcPr>
            <w:tcW w:w="1162" w:type="pct"/>
            <w:tcBorders>
              <w:top w:val="nil"/>
              <w:left w:val="single" w:sz="4" w:space="0" w:color="auto"/>
              <w:bottom w:val="single" w:sz="4" w:space="0" w:color="auto"/>
              <w:right w:val="single" w:sz="4" w:space="0" w:color="auto"/>
            </w:tcBorders>
            <w:vAlign w:val="center"/>
          </w:tcPr>
          <w:p w14:paraId="6DD7E075"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5/880 (0.6%)</w:t>
            </w:r>
          </w:p>
        </w:tc>
        <w:tc>
          <w:tcPr>
            <w:tcW w:w="1310" w:type="pct"/>
            <w:tcBorders>
              <w:top w:val="nil"/>
              <w:left w:val="single" w:sz="4" w:space="0" w:color="auto"/>
              <w:bottom w:val="single" w:sz="4" w:space="0" w:color="auto"/>
              <w:right w:val="single" w:sz="4" w:space="0" w:color="auto"/>
            </w:tcBorders>
            <w:vAlign w:val="center"/>
            <w:hideMark/>
          </w:tcPr>
          <w:p w14:paraId="0DCAC81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5F7D4EBB" w14:textId="77777777">
        <w:trPr>
          <w:cantSplit/>
        </w:trPr>
        <w:tc>
          <w:tcPr>
            <w:tcW w:w="1291" w:type="pct"/>
            <w:tcBorders>
              <w:top w:val="nil"/>
              <w:left w:val="single" w:sz="4" w:space="0" w:color="auto"/>
              <w:bottom w:val="single" w:sz="4" w:space="0" w:color="auto"/>
              <w:right w:val="single" w:sz="4" w:space="0" w:color="auto"/>
            </w:tcBorders>
            <w:hideMark/>
          </w:tcPr>
          <w:p w14:paraId="3E57F58D"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 xml:space="preserve">Aspartate aminotransferase increased </w:t>
            </w:r>
          </w:p>
        </w:tc>
        <w:tc>
          <w:tcPr>
            <w:tcW w:w="1237" w:type="pct"/>
            <w:tcBorders>
              <w:top w:val="nil"/>
              <w:left w:val="single" w:sz="4" w:space="0" w:color="auto"/>
              <w:bottom w:val="single" w:sz="4" w:space="0" w:color="auto"/>
              <w:right w:val="single" w:sz="4" w:space="0" w:color="auto"/>
            </w:tcBorders>
            <w:vAlign w:val="center"/>
          </w:tcPr>
          <w:p w14:paraId="4F73E6EE"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45/882 (5.1%)</w:t>
            </w:r>
          </w:p>
        </w:tc>
        <w:tc>
          <w:tcPr>
            <w:tcW w:w="1162" w:type="pct"/>
            <w:tcBorders>
              <w:top w:val="nil"/>
              <w:left w:val="single" w:sz="4" w:space="0" w:color="auto"/>
              <w:bottom w:val="single" w:sz="4" w:space="0" w:color="auto"/>
              <w:right w:val="single" w:sz="4" w:space="0" w:color="auto"/>
            </w:tcBorders>
            <w:vAlign w:val="center"/>
          </w:tcPr>
          <w:p w14:paraId="2C6F27F5"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5/880 (0.6%)</w:t>
            </w:r>
          </w:p>
        </w:tc>
        <w:tc>
          <w:tcPr>
            <w:tcW w:w="1310" w:type="pct"/>
            <w:tcBorders>
              <w:top w:val="nil"/>
              <w:left w:val="single" w:sz="4" w:space="0" w:color="auto"/>
              <w:bottom w:val="single" w:sz="4" w:space="0" w:color="auto"/>
              <w:right w:val="single" w:sz="4" w:space="0" w:color="auto"/>
            </w:tcBorders>
            <w:vAlign w:val="center"/>
            <w:hideMark/>
          </w:tcPr>
          <w:p w14:paraId="3F5CA045"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7DE4A77F" w14:textId="77777777">
        <w:trPr>
          <w:cantSplit/>
        </w:trPr>
        <w:tc>
          <w:tcPr>
            <w:tcW w:w="1291" w:type="pct"/>
            <w:tcBorders>
              <w:top w:val="nil"/>
              <w:left w:val="single" w:sz="4" w:space="0" w:color="auto"/>
              <w:bottom w:val="single" w:sz="4" w:space="0" w:color="auto"/>
              <w:right w:val="single" w:sz="4" w:space="0" w:color="auto"/>
            </w:tcBorders>
            <w:hideMark/>
          </w:tcPr>
          <w:p w14:paraId="654249B4"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 xml:space="preserve">White blood cell count decreased </w:t>
            </w:r>
          </w:p>
        </w:tc>
        <w:tc>
          <w:tcPr>
            <w:tcW w:w="1237" w:type="pct"/>
            <w:tcBorders>
              <w:top w:val="nil"/>
              <w:left w:val="single" w:sz="4" w:space="0" w:color="auto"/>
              <w:bottom w:val="single" w:sz="4" w:space="0" w:color="auto"/>
              <w:right w:val="single" w:sz="4" w:space="0" w:color="auto"/>
            </w:tcBorders>
            <w:vAlign w:val="center"/>
          </w:tcPr>
          <w:p w14:paraId="3B125C34"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18/882 (2.0%)</w:t>
            </w:r>
          </w:p>
        </w:tc>
        <w:tc>
          <w:tcPr>
            <w:tcW w:w="1162" w:type="pct"/>
            <w:tcBorders>
              <w:top w:val="nil"/>
              <w:left w:val="single" w:sz="4" w:space="0" w:color="auto"/>
              <w:bottom w:val="single" w:sz="4" w:space="0" w:color="auto"/>
              <w:right w:val="single" w:sz="4" w:space="0" w:color="auto"/>
            </w:tcBorders>
            <w:vAlign w:val="center"/>
          </w:tcPr>
          <w:p w14:paraId="4A67FA40"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2/880 (0.2%)</w:t>
            </w:r>
          </w:p>
        </w:tc>
        <w:tc>
          <w:tcPr>
            <w:tcW w:w="1310" w:type="pct"/>
            <w:tcBorders>
              <w:top w:val="nil"/>
              <w:left w:val="single" w:sz="4" w:space="0" w:color="auto"/>
              <w:bottom w:val="single" w:sz="4" w:space="0" w:color="auto"/>
              <w:right w:val="single" w:sz="4" w:space="0" w:color="auto"/>
            </w:tcBorders>
            <w:vAlign w:val="center"/>
            <w:hideMark/>
          </w:tcPr>
          <w:p w14:paraId="11F84E68"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6BCA5C8E" w14:textId="77777777">
        <w:trPr>
          <w:cantSplit/>
        </w:trPr>
        <w:tc>
          <w:tcPr>
            <w:tcW w:w="1291" w:type="pct"/>
            <w:tcBorders>
              <w:top w:val="nil"/>
              <w:left w:val="single" w:sz="4" w:space="0" w:color="auto"/>
              <w:bottom w:val="single" w:sz="4" w:space="0" w:color="auto"/>
              <w:right w:val="single" w:sz="4" w:space="0" w:color="auto"/>
            </w:tcBorders>
            <w:hideMark/>
          </w:tcPr>
          <w:p w14:paraId="47FAAA6C"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 xml:space="preserve">Hypertension </w:t>
            </w:r>
          </w:p>
        </w:tc>
        <w:tc>
          <w:tcPr>
            <w:tcW w:w="1237" w:type="pct"/>
            <w:tcBorders>
              <w:top w:val="nil"/>
              <w:left w:val="single" w:sz="4" w:space="0" w:color="auto"/>
              <w:bottom w:val="single" w:sz="4" w:space="0" w:color="auto"/>
              <w:right w:val="single" w:sz="4" w:space="0" w:color="auto"/>
            </w:tcBorders>
            <w:vAlign w:val="center"/>
          </w:tcPr>
          <w:p w14:paraId="7668D1AA"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18/882 (2.0%)</w:t>
            </w:r>
          </w:p>
        </w:tc>
        <w:tc>
          <w:tcPr>
            <w:tcW w:w="1162" w:type="pct"/>
            <w:tcBorders>
              <w:top w:val="nil"/>
              <w:left w:val="single" w:sz="4" w:space="0" w:color="auto"/>
              <w:bottom w:val="single" w:sz="4" w:space="0" w:color="auto"/>
              <w:right w:val="single" w:sz="4" w:space="0" w:color="auto"/>
            </w:tcBorders>
            <w:vAlign w:val="center"/>
          </w:tcPr>
          <w:p w14:paraId="2E405E32"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23/880 (2.6%)</w:t>
            </w:r>
          </w:p>
        </w:tc>
        <w:tc>
          <w:tcPr>
            <w:tcW w:w="1310" w:type="pct"/>
            <w:tcBorders>
              <w:top w:val="nil"/>
              <w:left w:val="single" w:sz="4" w:space="0" w:color="auto"/>
              <w:bottom w:val="single" w:sz="4" w:space="0" w:color="auto"/>
              <w:right w:val="single" w:sz="4" w:space="0" w:color="auto"/>
            </w:tcBorders>
            <w:vAlign w:val="center"/>
            <w:hideMark/>
          </w:tcPr>
          <w:p w14:paraId="766A6C51"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r w:rsidR="009905C4" w:rsidRPr="00007450" w14:paraId="1E8C00D6" w14:textId="77777777">
        <w:trPr>
          <w:cantSplit/>
        </w:trPr>
        <w:tc>
          <w:tcPr>
            <w:tcW w:w="1291" w:type="pct"/>
            <w:tcBorders>
              <w:top w:val="nil"/>
              <w:left w:val="single" w:sz="4" w:space="0" w:color="auto"/>
              <w:bottom w:val="single" w:sz="4" w:space="0" w:color="auto"/>
              <w:right w:val="single" w:sz="4" w:space="0" w:color="auto"/>
            </w:tcBorders>
            <w:hideMark/>
          </w:tcPr>
          <w:p w14:paraId="4D4D9A9D" w14:textId="77777777" w:rsidR="009905C4" w:rsidRPr="00007450" w:rsidRDefault="009905C4" w:rsidP="00864C4B">
            <w:pPr>
              <w:keepNext/>
              <w:keepLines/>
              <w:jc w:val="left"/>
              <w:rPr>
                <w:rFonts w:ascii="Arial Narrow" w:eastAsia="MS Gothic" w:hAnsi="Arial Narrow" w:cs="Times New Roman"/>
                <w:sz w:val="20"/>
                <w:szCs w:val="20"/>
              </w:rPr>
            </w:pPr>
            <w:r w:rsidRPr="00007450">
              <w:rPr>
                <w:rFonts w:ascii="Arial Narrow" w:eastAsia="MS Gothic" w:hAnsi="Arial Narrow" w:cs="Times New Roman"/>
                <w:snapToGrid w:val="0"/>
                <w:sz w:val="20"/>
                <w:szCs w:val="20"/>
              </w:rPr>
              <w:t>Arthralgia</w:t>
            </w:r>
          </w:p>
        </w:tc>
        <w:tc>
          <w:tcPr>
            <w:tcW w:w="1237" w:type="pct"/>
            <w:tcBorders>
              <w:top w:val="nil"/>
              <w:left w:val="single" w:sz="4" w:space="0" w:color="auto"/>
              <w:bottom w:val="single" w:sz="4" w:space="0" w:color="auto"/>
              <w:right w:val="single" w:sz="4" w:space="0" w:color="auto"/>
            </w:tcBorders>
            <w:vAlign w:val="center"/>
          </w:tcPr>
          <w:p w14:paraId="35314996"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6/882 (0.7%)</w:t>
            </w:r>
          </w:p>
        </w:tc>
        <w:tc>
          <w:tcPr>
            <w:tcW w:w="1162" w:type="pct"/>
            <w:tcBorders>
              <w:top w:val="nil"/>
              <w:left w:val="single" w:sz="4" w:space="0" w:color="auto"/>
              <w:bottom w:val="single" w:sz="4" w:space="0" w:color="auto"/>
              <w:right w:val="single" w:sz="4" w:space="0" w:color="auto"/>
            </w:tcBorders>
            <w:vAlign w:val="center"/>
          </w:tcPr>
          <w:p w14:paraId="3EE0BD15" w14:textId="77777777" w:rsidR="009905C4" w:rsidRPr="00007450" w:rsidRDefault="009905C4" w:rsidP="00864C4B">
            <w:pPr>
              <w:keepNext/>
              <w:keepLines/>
              <w:jc w:val="center"/>
              <w:rPr>
                <w:rFonts w:ascii="Arial Narrow" w:eastAsia="MS Gothic" w:hAnsi="Arial Narrow" w:cs="Times New Roman"/>
                <w:sz w:val="20"/>
                <w:szCs w:val="20"/>
              </w:rPr>
            </w:pPr>
            <w:r w:rsidRPr="00007450">
              <w:rPr>
                <w:rFonts w:ascii="Arial Narrow" w:eastAsia="MS Gothic" w:hAnsi="Arial Narrow" w:cs="Times New Roman"/>
                <w:sz w:val="20"/>
                <w:szCs w:val="20"/>
              </w:rPr>
              <w:t>10/880 (1.1%)</w:t>
            </w:r>
          </w:p>
        </w:tc>
        <w:tc>
          <w:tcPr>
            <w:tcW w:w="1310" w:type="pct"/>
            <w:tcBorders>
              <w:top w:val="nil"/>
              <w:left w:val="single" w:sz="4" w:space="0" w:color="auto"/>
              <w:bottom w:val="single" w:sz="4" w:space="0" w:color="auto"/>
              <w:right w:val="single" w:sz="4" w:space="0" w:color="auto"/>
            </w:tcBorders>
            <w:vAlign w:val="center"/>
            <w:hideMark/>
          </w:tcPr>
          <w:p w14:paraId="4EC2B44E" w14:textId="77777777" w:rsidR="009905C4" w:rsidRPr="00007450" w:rsidRDefault="009905C4" w:rsidP="00864C4B">
            <w:pPr>
              <w:keepNext/>
              <w:keepLines/>
              <w:jc w:val="center"/>
              <w:rPr>
                <w:rFonts w:ascii="Arial Narrow" w:eastAsia="MS Gothic" w:hAnsi="Arial Narrow" w:cs="Times New Roman"/>
                <w:bCs/>
                <w:sz w:val="20"/>
                <w:szCs w:val="20"/>
              </w:rPr>
            </w:pPr>
            <w:r w:rsidRPr="00007450">
              <w:rPr>
                <w:rFonts w:ascii="Arial Narrow" w:eastAsia="MS Gothic" w:hAnsi="Arial Narrow" w:cs="Times New Roman"/>
                <w:bCs/>
                <w:sz w:val="20"/>
                <w:szCs w:val="20"/>
              </w:rPr>
              <w:t>NR</w:t>
            </w:r>
          </w:p>
        </w:tc>
      </w:tr>
    </w:tbl>
    <w:p w14:paraId="507026B2" w14:textId="77777777" w:rsidR="00913B2B" w:rsidRPr="00007450" w:rsidRDefault="00F11CFC" w:rsidP="00864C4B">
      <w:pPr>
        <w:pStyle w:val="TableFigureFooter"/>
      </w:pPr>
      <w:r w:rsidRPr="00007450">
        <w:t>Source: Table 11, p19, Attachment 6, Table 12-4h, pp1-2, Attachment 7, of the submission, Table 4-6 pp49-50 CSR DCO April 2024</w:t>
      </w:r>
    </w:p>
    <w:p w14:paraId="27968E5F" w14:textId="68E6C341" w:rsidR="00913B2B" w:rsidRPr="00007450" w:rsidRDefault="009905C4" w:rsidP="00864C4B">
      <w:pPr>
        <w:pStyle w:val="TableFigureFooter"/>
      </w:pPr>
      <w:r w:rsidRPr="00007450">
        <w:t xml:space="preserve">AEs = adverse events; CI = confidence interval; DCO = data cut-off; ET = endocrine therapy; n = number of participants with event; N = total participants in group; NR = not reported; RD = risk difference; SAE = serious adverse events; TEAE = treatment-emerging emerging adverse event; SAE = serious adverse event </w:t>
      </w:r>
    </w:p>
    <w:p w14:paraId="07A53B76" w14:textId="77777777" w:rsidR="00913B2B" w:rsidRPr="00007450" w:rsidRDefault="009905C4" w:rsidP="00864C4B">
      <w:pPr>
        <w:pStyle w:val="TableFigureFooter"/>
      </w:pPr>
      <w:r w:rsidRPr="00007450">
        <w:t>^One person had grade 5 diarrhoea.</w:t>
      </w:r>
    </w:p>
    <w:p w14:paraId="7F6D4804" w14:textId="1E2D4AAC" w:rsidR="009905C4" w:rsidRDefault="009905C4" w:rsidP="00864C4B">
      <w:pPr>
        <w:pStyle w:val="TableFigureFooter"/>
      </w:pPr>
      <w:r w:rsidRPr="00007450">
        <w:rPr>
          <w:b/>
        </w:rPr>
        <w:t>Bold</w:t>
      </w:r>
      <w:r w:rsidRPr="00007450">
        <w:t xml:space="preserve"> </w:t>
      </w:r>
      <w:r w:rsidR="001C495C" w:rsidRPr="00007450">
        <w:t>=</w:t>
      </w:r>
      <w:r w:rsidRPr="00007450">
        <w:t xml:space="preserve"> statistically significant results</w:t>
      </w:r>
    </w:p>
    <w:p w14:paraId="1ED51D5F" w14:textId="1D41D00E" w:rsidR="006E0647" w:rsidRPr="009B7C10" w:rsidRDefault="006E0647" w:rsidP="00864C4B">
      <w:pPr>
        <w:pStyle w:val="TableFigureFooter"/>
        <w:rPr>
          <w:i/>
          <w:iCs/>
        </w:rPr>
      </w:pPr>
      <w:r w:rsidRPr="009B7C10">
        <w:rPr>
          <w:i/>
          <w:iCs/>
        </w:rPr>
        <w:t>Note that the results presented in Table 7 are derived from ad-hoc analyses conducted by the applicant specifically for the purposes of informing the PBAC consideration. These analyses were not part of the pre-specified statistical plan.</w:t>
      </w:r>
      <w:r w:rsidR="004A2F0E">
        <w:rPr>
          <w:i/>
          <w:iCs/>
        </w:rPr>
        <w:t xml:space="preserve"> </w:t>
      </w:r>
      <w:r w:rsidRPr="009B7C10">
        <w:rPr>
          <w:i/>
          <w:iCs/>
        </w:rPr>
        <w:t>Interpretation of the results and their application should therefore be limited to seeking to understand the basis for the PBAC outcome and should not be used for any other purpose.</w:t>
      </w:r>
    </w:p>
    <w:p w14:paraId="1E70CB66" w14:textId="77777777" w:rsidR="009905C4" w:rsidRPr="00007450" w:rsidRDefault="009905C4" w:rsidP="00864C4B">
      <w:pPr>
        <w:pStyle w:val="4-SubsectionHeading"/>
      </w:pPr>
      <w:bookmarkStart w:id="39" w:name="_Toc22897643"/>
      <w:bookmarkStart w:id="40" w:name="_Toc198724443"/>
      <w:r w:rsidRPr="00007450">
        <w:t>Benefits/harms</w:t>
      </w:r>
      <w:bookmarkEnd w:id="39"/>
      <w:bookmarkEnd w:id="40"/>
    </w:p>
    <w:p w14:paraId="6837CAF7" w14:textId="01A31041" w:rsidR="009905C4" w:rsidRPr="00007450" w:rsidRDefault="009905C4" w:rsidP="00864C4B">
      <w:pPr>
        <w:pStyle w:val="3-BodyText"/>
        <w:numPr>
          <w:ilvl w:val="1"/>
          <w:numId w:val="1"/>
        </w:numPr>
        <w:rPr>
          <w:rStyle w:val="CommentReference"/>
          <w:color w:val="0066FF"/>
        </w:rPr>
      </w:pPr>
      <w:r w:rsidRPr="00007450">
        <w:t xml:space="preserve">A summary of the comparative benefits and harms for ribociclib plus ET versus ET alone is presented in </w:t>
      </w:r>
      <w:r w:rsidRPr="00007450">
        <w:fldChar w:fldCharType="begin"/>
      </w:r>
      <w:r w:rsidRPr="00007450">
        <w:instrText xml:space="preserve"> REF _Ref104805037 \h </w:instrText>
      </w:r>
      <w:r w:rsidRPr="00007450">
        <w:fldChar w:fldCharType="separate"/>
      </w:r>
      <w:r w:rsidR="00B36442" w:rsidRPr="00007450">
        <w:t xml:space="preserve">Table </w:t>
      </w:r>
      <w:r w:rsidR="00B36442">
        <w:rPr>
          <w:noProof/>
        </w:rPr>
        <w:t>8</w:t>
      </w:r>
      <w:r w:rsidRPr="00007450">
        <w:fldChar w:fldCharType="end"/>
      </w:r>
      <w:r w:rsidRPr="00007450">
        <w:t xml:space="preserve">. </w:t>
      </w:r>
    </w:p>
    <w:p w14:paraId="3F724770" w14:textId="71F900E4" w:rsidR="009905C4" w:rsidRPr="00007450" w:rsidRDefault="009905C4" w:rsidP="00864C4B">
      <w:pPr>
        <w:pStyle w:val="TableFigureHeading"/>
        <w:rPr>
          <w:rStyle w:val="CommentReference"/>
          <w:b/>
          <w:szCs w:val="24"/>
        </w:rPr>
      </w:pPr>
      <w:bookmarkStart w:id="41" w:name="_Ref104805037"/>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8</w:t>
      </w:r>
      <w:r w:rsidR="001C7776">
        <w:rPr>
          <w:noProof/>
        </w:rPr>
        <w:fldChar w:fldCharType="end"/>
      </w:r>
      <w:bookmarkEnd w:id="41"/>
      <w:r w:rsidRPr="00007450">
        <w:t xml:space="preserve">: </w:t>
      </w:r>
      <w:r w:rsidRPr="00007450">
        <w:rPr>
          <w:rStyle w:val="CommentReference"/>
          <w:b/>
          <w:szCs w:val="24"/>
        </w:rPr>
        <w:t>Summary of comparative benefits and harms for Ribociclib and ET and ET alone (NATALEE trial, proposed PBS population, April 2024 DCO)</w:t>
      </w:r>
    </w:p>
    <w:tbl>
      <w:tblPr>
        <w:tblStyle w:val="TableGrid"/>
        <w:tblW w:w="5000" w:type="pct"/>
        <w:tblLayout w:type="fixed"/>
        <w:tblCellMar>
          <w:left w:w="28" w:type="dxa"/>
          <w:right w:w="28" w:type="dxa"/>
        </w:tblCellMar>
        <w:tblLook w:val="04A0" w:firstRow="1" w:lastRow="0" w:firstColumn="1" w:lastColumn="0" w:noHBand="0" w:noVBand="1"/>
        <w:tblCaption w:val="Table 8: Summary of comparative benefits and harms for Ribociclib and ET and ET alone (NATALEE trial, proposed PBS population, April 2024 DCO)"/>
      </w:tblPr>
      <w:tblGrid>
        <w:gridCol w:w="2464"/>
        <w:gridCol w:w="1926"/>
        <w:gridCol w:w="1560"/>
        <w:gridCol w:w="1482"/>
        <w:gridCol w:w="1585"/>
      </w:tblGrid>
      <w:tr w:rsidR="009905C4" w:rsidRPr="00007450" w14:paraId="7112C5C8" w14:textId="77777777">
        <w:trPr>
          <w:trHeight w:val="20"/>
        </w:trPr>
        <w:tc>
          <w:tcPr>
            <w:tcW w:w="1366" w:type="pct"/>
            <w:tcBorders>
              <w:bottom w:val="single" w:sz="4" w:space="0" w:color="auto"/>
            </w:tcBorders>
          </w:tcPr>
          <w:p w14:paraId="1E2B6822" w14:textId="77777777" w:rsidR="009905C4" w:rsidRPr="00007450" w:rsidRDefault="009905C4" w:rsidP="00864C4B">
            <w:pPr>
              <w:pStyle w:val="In-tableHeading"/>
              <w:rPr>
                <w:lang w:val="en-AU"/>
              </w:rPr>
            </w:pPr>
            <w:r w:rsidRPr="00007450">
              <w:rPr>
                <w:lang w:val="en-AU"/>
              </w:rPr>
              <w:t>Event</w:t>
            </w:r>
          </w:p>
        </w:tc>
        <w:tc>
          <w:tcPr>
            <w:tcW w:w="1068" w:type="pct"/>
            <w:tcBorders>
              <w:bottom w:val="single" w:sz="4" w:space="0" w:color="auto"/>
            </w:tcBorders>
          </w:tcPr>
          <w:p w14:paraId="0246AF08" w14:textId="77777777" w:rsidR="009905C4" w:rsidRPr="00007450" w:rsidRDefault="009905C4" w:rsidP="00864C4B">
            <w:pPr>
              <w:pStyle w:val="In-tableHeading"/>
              <w:jc w:val="center"/>
              <w:rPr>
                <w:lang w:val="en-AU"/>
              </w:rPr>
            </w:pPr>
            <w:r w:rsidRPr="00007450">
              <w:rPr>
                <w:lang w:val="en-AU"/>
              </w:rPr>
              <w:t>Ribociclib + ET</w:t>
            </w:r>
          </w:p>
        </w:tc>
        <w:tc>
          <w:tcPr>
            <w:tcW w:w="865" w:type="pct"/>
            <w:tcBorders>
              <w:bottom w:val="single" w:sz="4" w:space="0" w:color="auto"/>
            </w:tcBorders>
          </w:tcPr>
          <w:p w14:paraId="6CB56EBD" w14:textId="77777777" w:rsidR="009905C4" w:rsidRPr="00007450" w:rsidRDefault="009905C4" w:rsidP="00864C4B">
            <w:pPr>
              <w:pStyle w:val="In-tableHeading"/>
              <w:jc w:val="center"/>
              <w:rPr>
                <w:lang w:val="en-AU"/>
              </w:rPr>
            </w:pPr>
            <w:r w:rsidRPr="00007450">
              <w:rPr>
                <w:lang w:val="en-AU"/>
              </w:rPr>
              <w:t>ET alone</w:t>
            </w:r>
          </w:p>
          <w:p w14:paraId="076648A5" w14:textId="77777777" w:rsidR="009905C4" w:rsidRPr="00007450" w:rsidRDefault="009905C4" w:rsidP="00864C4B">
            <w:pPr>
              <w:pStyle w:val="In-tableHeading"/>
              <w:rPr>
                <w:lang w:val="en-AU"/>
              </w:rPr>
            </w:pPr>
          </w:p>
        </w:tc>
        <w:tc>
          <w:tcPr>
            <w:tcW w:w="822" w:type="pct"/>
            <w:tcBorders>
              <w:bottom w:val="single" w:sz="4" w:space="0" w:color="auto"/>
            </w:tcBorders>
          </w:tcPr>
          <w:p w14:paraId="79FD8F6B" w14:textId="77777777" w:rsidR="009905C4" w:rsidRPr="00007450" w:rsidRDefault="009905C4" w:rsidP="00864C4B">
            <w:pPr>
              <w:pStyle w:val="In-tableHeading"/>
              <w:jc w:val="center"/>
              <w:rPr>
                <w:rFonts w:asciiTheme="minorHAnsi" w:hAnsiTheme="minorHAnsi"/>
                <w:lang w:val="en-AU"/>
              </w:rPr>
            </w:pPr>
            <w:r w:rsidRPr="00007450">
              <w:rPr>
                <w:lang w:val="en-AU"/>
              </w:rPr>
              <w:t>Absolute Difference</w:t>
            </w:r>
          </w:p>
        </w:tc>
        <w:tc>
          <w:tcPr>
            <w:tcW w:w="879" w:type="pct"/>
            <w:tcBorders>
              <w:bottom w:val="single" w:sz="4" w:space="0" w:color="auto"/>
            </w:tcBorders>
          </w:tcPr>
          <w:p w14:paraId="0F7405E4" w14:textId="77777777" w:rsidR="009905C4" w:rsidRPr="00007450" w:rsidRDefault="009905C4" w:rsidP="00864C4B">
            <w:pPr>
              <w:pStyle w:val="In-tableHeading"/>
              <w:jc w:val="center"/>
              <w:rPr>
                <w:lang w:val="en-AU"/>
              </w:rPr>
            </w:pPr>
            <w:r w:rsidRPr="00007450">
              <w:rPr>
                <w:lang w:val="en-AU"/>
              </w:rPr>
              <w:t>Hazard Ratio (95% CI)</w:t>
            </w:r>
          </w:p>
        </w:tc>
      </w:tr>
      <w:tr w:rsidR="009905C4" w:rsidRPr="00007450" w14:paraId="5BC11E2E" w14:textId="77777777">
        <w:trPr>
          <w:trHeight w:val="20"/>
        </w:trPr>
        <w:tc>
          <w:tcPr>
            <w:tcW w:w="5000" w:type="pct"/>
            <w:gridSpan w:val="5"/>
            <w:tcBorders>
              <w:bottom w:val="single" w:sz="4" w:space="0" w:color="auto"/>
            </w:tcBorders>
          </w:tcPr>
          <w:tbl>
            <w:tblPr>
              <w:tblW w:w="5000" w:type="pct"/>
              <w:tblLayout w:type="fixed"/>
              <w:tblCellMar>
                <w:left w:w="28" w:type="dxa"/>
                <w:right w:w="28" w:type="dxa"/>
              </w:tblCellMar>
              <w:tblLook w:val="04A0" w:firstRow="1" w:lastRow="0" w:firstColumn="1" w:lastColumn="0" w:noHBand="0" w:noVBand="1"/>
            </w:tblPr>
            <w:tblGrid>
              <w:gridCol w:w="8951"/>
            </w:tblGrid>
            <w:tr w:rsidR="009905C4" w:rsidRPr="00007450" w14:paraId="74A2DE76" w14:textId="77777777">
              <w:trPr>
                <w:cantSplit/>
              </w:trPr>
              <w:tc>
                <w:tcPr>
                  <w:tcW w:w="5000" w:type="pct"/>
                  <w:tcBorders>
                    <w:top w:val="single" w:sz="4" w:space="0" w:color="auto"/>
                    <w:left w:val="single" w:sz="4" w:space="0" w:color="auto"/>
                    <w:bottom w:val="double" w:sz="4" w:space="0" w:color="auto"/>
                    <w:right w:val="single" w:sz="4" w:space="0" w:color="auto"/>
                  </w:tcBorders>
                  <w:vAlign w:val="center"/>
                </w:tcPr>
                <w:p w14:paraId="783A6E35" w14:textId="77777777" w:rsidR="009905C4" w:rsidRPr="00007450" w:rsidRDefault="009905C4" w:rsidP="00864C4B">
                  <w:pPr>
                    <w:pStyle w:val="In-tableHeading"/>
                    <w:rPr>
                      <w:lang w:val="en-AU"/>
                    </w:rPr>
                  </w:pPr>
                  <w:r w:rsidRPr="00007450">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8951"/>
            </w:tblGrid>
            <w:tr w:rsidR="009905C4" w:rsidRPr="00007450" w14:paraId="76E9E5CD" w14:textId="77777777">
              <w:trPr>
                <w:trHeight w:val="20"/>
              </w:trPr>
              <w:tc>
                <w:tcPr>
                  <w:tcW w:w="5000" w:type="pct"/>
                </w:tcPr>
                <w:p w14:paraId="273D54C6" w14:textId="77777777" w:rsidR="009905C4" w:rsidRPr="00007450" w:rsidRDefault="009905C4" w:rsidP="00864C4B">
                  <w:pPr>
                    <w:pStyle w:val="In-tableHeading"/>
                    <w:rPr>
                      <w:lang w:val="en-AU"/>
                    </w:rPr>
                  </w:pPr>
                  <w:r w:rsidRPr="00007450">
                    <w:rPr>
                      <w:lang w:val="en-AU"/>
                    </w:rPr>
                    <w:t>iDFS (median duration of follow up 49.6 months)</w:t>
                  </w:r>
                </w:p>
              </w:tc>
            </w:tr>
          </w:tbl>
          <w:p w14:paraId="0621DA52" w14:textId="77777777" w:rsidR="009905C4" w:rsidRPr="00007450" w:rsidRDefault="009905C4" w:rsidP="00864C4B">
            <w:pPr>
              <w:pStyle w:val="In-tableHeading"/>
              <w:jc w:val="center"/>
              <w:rPr>
                <w:lang w:val="en-AU"/>
              </w:rPr>
            </w:pPr>
          </w:p>
        </w:tc>
      </w:tr>
      <w:tr w:rsidR="009905C4" w:rsidRPr="00007450" w14:paraId="2A690785" w14:textId="77777777" w:rsidTr="008E5791">
        <w:trPr>
          <w:trHeight w:val="20"/>
        </w:trPr>
        <w:tc>
          <w:tcPr>
            <w:tcW w:w="1366" w:type="pct"/>
            <w:tcBorders>
              <w:bottom w:val="single" w:sz="4" w:space="0" w:color="auto"/>
              <w:right w:val="single" w:sz="4" w:space="0" w:color="auto"/>
            </w:tcBorders>
          </w:tcPr>
          <w:p w14:paraId="1AAFB2DD" w14:textId="3D73AB70" w:rsidR="009905C4" w:rsidRPr="00007450" w:rsidRDefault="002A0412" w:rsidP="00864C4B">
            <w:pPr>
              <w:pStyle w:val="TableText0"/>
            </w:pPr>
            <w:r w:rsidRPr="00007450">
              <w:t>Invasive disease or death</w:t>
            </w:r>
            <w:r w:rsidR="009905C4" w:rsidRPr="00007450">
              <w:t>, n/N (%)</w:t>
            </w:r>
          </w:p>
        </w:tc>
        <w:tc>
          <w:tcPr>
            <w:tcW w:w="1068" w:type="pct"/>
            <w:tcBorders>
              <w:left w:val="single" w:sz="4" w:space="0" w:color="auto"/>
              <w:bottom w:val="single" w:sz="4" w:space="0" w:color="auto"/>
              <w:right w:val="single" w:sz="4" w:space="0" w:color="auto"/>
            </w:tcBorders>
          </w:tcPr>
          <w:p w14:paraId="616D8E31" w14:textId="77777777" w:rsidR="009905C4" w:rsidRPr="00007450" w:rsidRDefault="009905C4" w:rsidP="00864C4B">
            <w:pPr>
              <w:pStyle w:val="TableText0"/>
              <w:jc w:val="center"/>
            </w:pPr>
            <w:r w:rsidRPr="00007450">
              <w:rPr>
                <w:rFonts w:cs="Times New Roman"/>
                <w:szCs w:val="20"/>
              </w:rPr>
              <w:t>55/891 (6.2%)</w:t>
            </w:r>
          </w:p>
        </w:tc>
        <w:tc>
          <w:tcPr>
            <w:tcW w:w="865" w:type="pct"/>
            <w:tcBorders>
              <w:left w:val="single" w:sz="4" w:space="0" w:color="auto"/>
              <w:bottom w:val="single" w:sz="4" w:space="0" w:color="auto"/>
              <w:right w:val="single" w:sz="4" w:space="0" w:color="auto"/>
            </w:tcBorders>
          </w:tcPr>
          <w:p w14:paraId="42F4D9B3" w14:textId="7FC5F6D8" w:rsidR="009905C4" w:rsidRPr="00007450" w:rsidRDefault="009905C4" w:rsidP="00864C4B">
            <w:pPr>
              <w:pStyle w:val="TableText0"/>
              <w:jc w:val="center"/>
            </w:pPr>
            <w:r w:rsidRPr="00007450">
              <w:rPr>
                <w:rFonts w:cs="Times New Roman"/>
                <w:szCs w:val="20"/>
              </w:rPr>
              <w:t>78/903 (8.6%)</w:t>
            </w:r>
          </w:p>
        </w:tc>
        <w:tc>
          <w:tcPr>
            <w:tcW w:w="822" w:type="pct"/>
            <w:tcBorders>
              <w:left w:val="single" w:sz="4" w:space="0" w:color="auto"/>
              <w:bottom w:val="single" w:sz="4" w:space="0" w:color="auto"/>
              <w:right w:val="single" w:sz="4" w:space="0" w:color="auto"/>
            </w:tcBorders>
          </w:tcPr>
          <w:p w14:paraId="46507115" w14:textId="0EC93FAB" w:rsidR="009905C4" w:rsidRPr="00007450" w:rsidRDefault="00296BB2" w:rsidP="00864C4B">
            <w:pPr>
              <w:pStyle w:val="TableText0"/>
              <w:jc w:val="center"/>
              <w:rPr>
                <w:color w:val="0070C0"/>
              </w:rPr>
            </w:pPr>
            <w:r w:rsidRPr="00007450">
              <w:t>NA</w:t>
            </w:r>
          </w:p>
        </w:tc>
        <w:tc>
          <w:tcPr>
            <w:tcW w:w="879" w:type="pct"/>
            <w:tcBorders>
              <w:left w:val="single" w:sz="4" w:space="0" w:color="auto"/>
              <w:bottom w:val="single" w:sz="4" w:space="0" w:color="auto"/>
            </w:tcBorders>
          </w:tcPr>
          <w:p w14:paraId="170F104B" w14:textId="77777777" w:rsidR="009905C4" w:rsidRPr="00007450" w:rsidRDefault="009905C4" w:rsidP="00864C4B">
            <w:pPr>
              <w:pStyle w:val="TableText0"/>
              <w:jc w:val="center"/>
              <w:rPr>
                <w:b/>
                <w:bCs w:val="0"/>
                <w:szCs w:val="20"/>
              </w:rPr>
            </w:pPr>
            <w:r w:rsidRPr="00007450">
              <w:rPr>
                <w:b/>
                <w:bCs w:val="0"/>
                <w:szCs w:val="20"/>
              </w:rPr>
              <w:t xml:space="preserve">0.67 (0.47, 0.94) </w:t>
            </w:r>
          </w:p>
          <w:p w14:paraId="37F0C2AC" w14:textId="77777777" w:rsidR="009905C4" w:rsidRPr="00007450" w:rsidRDefault="009905C4" w:rsidP="00864C4B">
            <w:pPr>
              <w:pStyle w:val="TableText0"/>
              <w:jc w:val="center"/>
            </w:pPr>
            <w:r w:rsidRPr="00007450">
              <w:rPr>
                <w:b/>
                <w:bCs w:val="0"/>
                <w:szCs w:val="20"/>
              </w:rPr>
              <w:t>p = 0.011</w:t>
            </w:r>
          </w:p>
        </w:tc>
      </w:tr>
      <w:tr w:rsidR="009905C4" w:rsidRPr="00007450" w14:paraId="5940A395" w14:textId="77777777" w:rsidTr="008E5791">
        <w:trPr>
          <w:trHeight w:val="20"/>
        </w:trPr>
        <w:tc>
          <w:tcPr>
            <w:tcW w:w="1366" w:type="pct"/>
            <w:tcBorders>
              <w:bottom w:val="single" w:sz="4" w:space="0" w:color="auto"/>
              <w:right w:val="single" w:sz="4" w:space="0" w:color="auto"/>
            </w:tcBorders>
          </w:tcPr>
          <w:p w14:paraId="1A52344A" w14:textId="3D447810" w:rsidR="009905C4" w:rsidRPr="00007450" w:rsidRDefault="009905C4" w:rsidP="00864C4B">
            <w:pPr>
              <w:pStyle w:val="TableText0"/>
              <w:rPr>
                <w:highlight w:val="yellow"/>
              </w:rPr>
            </w:pPr>
            <w:r w:rsidRPr="00007450">
              <w:t>Median iDFS (95% CI)</w:t>
            </w:r>
          </w:p>
        </w:tc>
        <w:tc>
          <w:tcPr>
            <w:tcW w:w="1068" w:type="pct"/>
            <w:tcBorders>
              <w:left w:val="single" w:sz="4" w:space="0" w:color="auto"/>
              <w:bottom w:val="single" w:sz="4" w:space="0" w:color="auto"/>
              <w:right w:val="single" w:sz="4" w:space="0" w:color="auto"/>
            </w:tcBorders>
          </w:tcPr>
          <w:p w14:paraId="5EACAC7C" w14:textId="77777777" w:rsidR="009905C4" w:rsidRPr="00007450" w:rsidRDefault="009905C4" w:rsidP="00864C4B">
            <w:pPr>
              <w:pStyle w:val="TableText0"/>
              <w:jc w:val="center"/>
              <w:rPr>
                <w:rFonts w:cs="Times New Roman"/>
                <w:szCs w:val="20"/>
                <w:highlight w:val="yellow"/>
              </w:rPr>
            </w:pPr>
            <w:r w:rsidRPr="00007450">
              <w:rPr>
                <w:rFonts w:cs="Times New Roman"/>
                <w:szCs w:val="20"/>
              </w:rPr>
              <w:t>Not yet met</w:t>
            </w:r>
          </w:p>
        </w:tc>
        <w:tc>
          <w:tcPr>
            <w:tcW w:w="865" w:type="pct"/>
            <w:tcBorders>
              <w:left w:val="single" w:sz="4" w:space="0" w:color="auto"/>
              <w:bottom w:val="single" w:sz="4" w:space="0" w:color="auto"/>
              <w:right w:val="single" w:sz="4" w:space="0" w:color="auto"/>
            </w:tcBorders>
          </w:tcPr>
          <w:p w14:paraId="2161F454" w14:textId="77777777" w:rsidR="009905C4" w:rsidRPr="00007450" w:rsidRDefault="009905C4" w:rsidP="00864C4B">
            <w:pPr>
              <w:pStyle w:val="TableText0"/>
              <w:jc w:val="center"/>
              <w:rPr>
                <w:rFonts w:cs="Times New Roman"/>
                <w:szCs w:val="20"/>
                <w:highlight w:val="yellow"/>
              </w:rPr>
            </w:pPr>
            <w:r w:rsidRPr="00007450">
              <w:rPr>
                <w:rFonts w:cs="Times New Roman"/>
                <w:szCs w:val="20"/>
              </w:rPr>
              <w:t>Not yet met</w:t>
            </w:r>
          </w:p>
        </w:tc>
        <w:tc>
          <w:tcPr>
            <w:tcW w:w="822" w:type="pct"/>
            <w:tcBorders>
              <w:left w:val="single" w:sz="4" w:space="0" w:color="auto"/>
              <w:bottom w:val="single" w:sz="4" w:space="0" w:color="auto"/>
              <w:right w:val="single" w:sz="4" w:space="0" w:color="auto"/>
            </w:tcBorders>
          </w:tcPr>
          <w:p w14:paraId="45E707D7" w14:textId="0AFB2D20" w:rsidR="009905C4" w:rsidRPr="00007450" w:rsidRDefault="008A4208" w:rsidP="00864C4B">
            <w:pPr>
              <w:pStyle w:val="TableText0"/>
              <w:jc w:val="center"/>
            </w:pPr>
            <w:r w:rsidRPr="00007450">
              <w:t>-</w:t>
            </w:r>
          </w:p>
        </w:tc>
        <w:tc>
          <w:tcPr>
            <w:tcW w:w="879" w:type="pct"/>
            <w:tcBorders>
              <w:top w:val="single" w:sz="4" w:space="0" w:color="auto"/>
              <w:left w:val="single" w:sz="4" w:space="0" w:color="auto"/>
              <w:bottom w:val="single" w:sz="4" w:space="0" w:color="auto"/>
            </w:tcBorders>
          </w:tcPr>
          <w:p w14:paraId="4B24AE54" w14:textId="3530BB91" w:rsidR="009905C4" w:rsidRPr="00007450" w:rsidRDefault="008E5791" w:rsidP="00864C4B">
            <w:pPr>
              <w:pStyle w:val="TableText0"/>
              <w:jc w:val="center"/>
              <w:rPr>
                <w:szCs w:val="20"/>
              </w:rPr>
            </w:pPr>
            <w:r w:rsidRPr="00007450">
              <w:rPr>
                <w:szCs w:val="20"/>
              </w:rPr>
              <w:t>-</w:t>
            </w:r>
          </w:p>
        </w:tc>
      </w:tr>
      <w:tr w:rsidR="009905C4" w:rsidRPr="00007450" w14:paraId="119A3129" w14:textId="77777777" w:rsidTr="008E5791">
        <w:trPr>
          <w:trHeight w:val="20"/>
        </w:trPr>
        <w:tc>
          <w:tcPr>
            <w:tcW w:w="1366" w:type="pct"/>
            <w:tcBorders>
              <w:top w:val="single" w:sz="4" w:space="0" w:color="auto"/>
              <w:bottom w:val="single" w:sz="4" w:space="0" w:color="auto"/>
              <w:right w:val="single" w:sz="4" w:space="0" w:color="auto"/>
            </w:tcBorders>
          </w:tcPr>
          <w:p w14:paraId="1FD06785" w14:textId="1B736CED" w:rsidR="009905C4" w:rsidRPr="00007450" w:rsidRDefault="009905C4" w:rsidP="00864C4B">
            <w:pPr>
              <w:pStyle w:val="TableText0"/>
            </w:pPr>
            <w:r w:rsidRPr="00007450">
              <w:t xml:space="preserve">% </w:t>
            </w:r>
            <w:r w:rsidR="000032E2" w:rsidRPr="00007450">
              <w:t xml:space="preserve">alive without invasive disease </w:t>
            </w:r>
            <w:r w:rsidRPr="00007450">
              <w:t>at 1 year (95% CI)</w:t>
            </w:r>
          </w:p>
        </w:tc>
        <w:tc>
          <w:tcPr>
            <w:tcW w:w="1068" w:type="pct"/>
            <w:tcBorders>
              <w:top w:val="single" w:sz="4" w:space="0" w:color="auto"/>
              <w:left w:val="single" w:sz="4" w:space="0" w:color="auto"/>
              <w:bottom w:val="single" w:sz="4" w:space="0" w:color="auto"/>
              <w:right w:val="single" w:sz="4" w:space="0" w:color="auto"/>
            </w:tcBorders>
          </w:tcPr>
          <w:p w14:paraId="19200B5F" w14:textId="77777777" w:rsidR="009905C4" w:rsidRPr="00007450" w:rsidRDefault="009905C4" w:rsidP="00864C4B">
            <w:pPr>
              <w:pStyle w:val="TableText0"/>
              <w:jc w:val="center"/>
            </w:pPr>
            <w:r w:rsidRPr="00007450">
              <w:rPr>
                <w:szCs w:val="20"/>
              </w:rPr>
              <w:t>98.8% (97.8, 99.3)</w:t>
            </w:r>
          </w:p>
        </w:tc>
        <w:tc>
          <w:tcPr>
            <w:tcW w:w="865" w:type="pct"/>
            <w:tcBorders>
              <w:top w:val="single" w:sz="4" w:space="0" w:color="auto"/>
              <w:left w:val="single" w:sz="4" w:space="0" w:color="auto"/>
              <w:bottom w:val="single" w:sz="4" w:space="0" w:color="auto"/>
              <w:right w:val="single" w:sz="4" w:space="0" w:color="auto"/>
            </w:tcBorders>
          </w:tcPr>
          <w:p w14:paraId="7D60FBDF" w14:textId="77777777" w:rsidR="009905C4" w:rsidRPr="00007450" w:rsidRDefault="009905C4" w:rsidP="00864C4B">
            <w:pPr>
              <w:pStyle w:val="TableText0"/>
              <w:jc w:val="center"/>
              <w:rPr>
                <w:szCs w:val="20"/>
              </w:rPr>
            </w:pPr>
            <w:r w:rsidRPr="00007450">
              <w:rPr>
                <w:szCs w:val="20"/>
              </w:rPr>
              <w:t>98.1% (96.9, 98.8)</w:t>
            </w:r>
          </w:p>
        </w:tc>
        <w:tc>
          <w:tcPr>
            <w:tcW w:w="822" w:type="pct"/>
            <w:tcBorders>
              <w:top w:val="single" w:sz="4" w:space="0" w:color="auto"/>
              <w:left w:val="single" w:sz="4" w:space="0" w:color="auto"/>
              <w:bottom w:val="single" w:sz="4" w:space="0" w:color="auto"/>
              <w:right w:val="single" w:sz="4" w:space="0" w:color="auto"/>
            </w:tcBorders>
          </w:tcPr>
          <w:p w14:paraId="0CAB9B57" w14:textId="77777777" w:rsidR="009905C4" w:rsidRPr="00007450" w:rsidRDefault="009905C4" w:rsidP="00864C4B">
            <w:pPr>
              <w:pStyle w:val="TableText0"/>
              <w:jc w:val="center"/>
            </w:pPr>
            <w:r w:rsidRPr="00007450">
              <w:t>0.7%</w:t>
            </w:r>
          </w:p>
        </w:tc>
        <w:tc>
          <w:tcPr>
            <w:tcW w:w="879" w:type="pct"/>
            <w:tcBorders>
              <w:top w:val="single" w:sz="4" w:space="0" w:color="auto"/>
              <w:left w:val="single" w:sz="4" w:space="0" w:color="auto"/>
              <w:bottom w:val="single" w:sz="4" w:space="0" w:color="auto"/>
            </w:tcBorders>
          </w:tcPr>
          <w:p w14:paraId="2E731FDD" w14:textId="4BB9BF01" w:rsidR="009905C4" w:rsidRPr="00007450" w:rsidRDefault="008E5791" w:rsidP="00864C4B">
            <w:pPr>
              <w:pStyle w:val="TableText0"/>
              <w:jc w:val="center"/>
            </w:pPr>
            <w:r w:rsidRPr="00007450">
              <w:t>-</w:t>
            </w:r>
          </w:p>
        </w:tc>
      </w:tr>
      <w:tr w:rsidR="009905C4" w:rsidRPr="00007450" w14:paraId="680B63B7" w14:textId="77777777" w:rsidTr="008E5791">
        <w:trPr>
          <w:trHeight w:val="20"/>
        </w:trPr>
        <w:tc>
          <w:tcPr>
            <w:tcW w:w="1366" w:type="pct"/>
            <w:tcBorders>
              <w:top w:val="single" w:sz="4" w:space="0" w:color="auto"/>
              <w:bottom w:val="single" w:sz="4" w:space="0" w:color="auto"/>
              <w:right w:val="single" w:sz="4" w:space="0" w:color="auto"/>
            </w:tcBorders>
          </w:tcPr>
          <w:p w14:paraId="635CBD7F" w14:textId="6F54283F" w:rsidR="009905C4" w:rsidRPr="00007450" w:rsidRDefault="009905C4" w:rsidP="00864C4B">
            <w:pPr>
              <w:pStyle w:val="TableText0"/>
            </w:pPr>
            <w:r w:rsidRPr="00007450">
              <w:t xml:space="preserve">% </w:t>
            </w:r>
            <w:r w:rsidR="000255A5" w:rsidRPr="00007450">
              <w:t xml:space="preserve">alive without invasive disease </w:t>
            </w:r>
            <w:r w:rsidRPr="00007450">
              <w:t>at 2 years (95% CI)</w:t>
            </w:r>
          </w:p>
        </w:tc>
        <w:tc>
          <w:tcPr>
            <w:tcW w:w="1068" w:type="pct"/>
            <w:tcBorders>
              <w:top w:val="single" w:sz="4" w:space="0" w:color="auto"/>
              <w:left w:val="single" w:sz="4" w:space="0" w:color="auto"/>
              <w:bottom w:val="single" w:sz="4" w:space="0" w:color="auto"/>
              <w:right w:val="single" w:sz="4" w:space="0" w:color="auto"/>
            </w:tcBorders>
          </w:tcPr>
          <w:p w14:paraId="77DE958A" w14:textId="77777777" w:rsidR="009905C4" w:rsidRPr="00007450" w:rsidRDefault="009905C4" w:rsidP="00864C4B">
            <w:pPr>
              <w:pStyle w:val="TableText0"/>
              <w:jc w:val="center"/>
              <w:rPr>
                <w:szCs w:val="20"/>
              </w:rPr>
            </w:pPr>
            <w:r w:rsidRPr="00007450">
              <w:rPr>
                <w:szCs w:val="20"/>
              </w:rPr>
              <w:t>96.4% (94.9, 97.5)</w:t>
            </w:r>
          </w:p>
        </w:tc>
        <w:tc>
          <w:tcPr>
            <w:tcW w:w="865" w:type="pct"/>
            <w:tcBorders>
              <w:top w:val="single" w:sz="4" w:space="0" w:color="auto"/>
              <w:left w:val="single" w:sz="4" w:space="0" w:color="auto"/>
              <w:bottom w:val="single" w:sz="4" w:space="0" w:color="auto"/>
              <w:right w:val="single" w:sz="4" w:space="0" w:color="auto"/>
            </w:tcBorders>
          </w:tcPr>
          <w:p w14:paraId="311BB842" w14:textId="77777777" w:rsidR="009905C4" w:rsidRPr="00007450" w:rsidRDefault="009905C4" w:rsidP="00864C4B">
            <w:pPr>
              <w:pStyle w:val="TableText0"/>
              <w:jc w:val="center"/>
              <w:rPr>
                <w:szCs w:val="20"/>
              </w:rPr>
            </w:pPr>
            <w:r w:rsidRPr="00007450">
              <w:rPr>
                <w:szCs w:val="20"/>
              </w:rPr>
              <w:t>95.9% (94.2, 97.0)</w:t>
            </w:r>
          </w:p>
        </w:tc>
        <w:tc>
          <w:tcPr>
            <w:tcW w:w="822" w:type="pct"/>
            <w:tcBorders>
              <w:top w:val="single" w:sz="4" w:space="0" w:color="auto"/>
              <w:left w:val="single" w:sz="4" w:space="0" w:color="auto"/>
              <w:bottom w:val="single" w:sz="4" w:space="0" w:color="auto"/>
              <w:right w:val="single" w:sz="4" w:space="0" w:color="auto"/>
            </w:tcBorders>
          </w:tcPr>
          <w:p w14:paraId="0F788FD3" w14:textId="77777777" w:rsidR="009905C4" w:rsidRPr="00007450" w:rsidRDefault="009905C4" w:rsidP="00864C4B">
            <w:pPr>
              <w:pStyle w:val="TableText0"/>
              <w:jc w:val="center"/>
            </w:pPr>
            <w:r w:rsidRPr="00007450">
              <w:t>0.5%</w:t>
            </w:r>
          </w:p>
        </w:tc>
        <w:tc>
          <w:tcPr>
            <w:tcW w:w="879" w:type="pct"/>
            <w:tcBorders>
              <w:top w:val="single" w:sz="4" w:space="0" w:color="auto"/>
              <w:left w:val="single" w:sz="4" w:space="0" w:color="auto"/>
              <w:bottom w:val="single" w:sz="4" w:space="0" w:color="auto"/>
            </w:tcBorders>
          </w:tcPr>
          <w:p w14:paraId="1F324EF2" w14:textId="063EAAB2" w:rsidR="009905C4" w:rsidRPr="00007450" w:rsidRDefault="008E5791" w:rsidP="00864C4B">
            <w:pPr>
              <w:pStyle w:val="TableText0"/>
              <w:jc w:val="center"/>
            </w:pPr>
            <w:r w:rsidRPr="00007450">
              <w:t>-</w:t>
            </w:r>
          </w:p>
        </w:tc>
      </w:tr>
      <w:tr w:rsidR="009905C4" w:rsidRPr="00007450" w14:paraId="0B776FD4" w14:textId="77777777" w:rsidTr="008E5791">
        <w:trPr>
          <w:trHeight w:val="20"/>
        </w:trPr>
        <w:tc>
          <w:tcPr>
            <w:tcW w:w="1366" w:type="pct"/>
            <w:tcBorders>
              <w:top w:val="single" w:sz="4" w:space="0" w:color="auto"/>
              <w:bottom w:val="single" w:sz="4" w:space="0" w:color="auto"/>
              <w:right w:val="single" w:sz="4" w:space="0" w:color="auto"/>
            </w:tcBorders>
          </w:tcPr>
          <w:p w14:paraId="17FD6077" w14:textId="0A98D8E0" w:rsidR="009905C4" w:rsidRPr="00007450" w:rsidRDefault="009905C4" w:rsidP="00864C4B">
            <w:pPr>
              <w:pStyle w:val="TableText0"/>
            </w:pPr>
            <w:r w:rsidRPr="00007450">
              <w:t xml:space="preserve">% </w:t>
            </w:r>
            <w:r w:rsidR="000255A5" w:rsidRPr="00007450">
              <w:t xml:space="preserve">alive without invasive disease </w:t>
            </w:r>
            <w:r w:rsidRPr="00007450">
              <w:t>at 3 years (95% CI)</w:t>
            </w:r>
          </w:p>
        </w:tc>
        <w:tc>
          <w:tcPr>
            <w:tcW w:w="1068" w:type="pct"/>
            <w:tcBorders>
              <w:top w:val="single" w:sz="4" w:space="0" w:color="auto"/>
              <w:left w:val="single" w:sz="4" w:space="0" w:color="auto"/>
              <w:bottom w:val="single" w:sz="4" w:space="0" w:color="auto"/>
              <w:right w:val="single" w:sz="4" w:space="0" w:color="auto"/>
            </w:tcBorders>
          </w:tcPr>
          <w:p w14:paraId="6E6A67CE" w14:textId="77777777" w:rsidR="009905C4" w:rsidRPr="00007450" w:rsidRDefault="009905C4" w:rsidP="00864C4B">
            <w:pPr>
              <w:pStyle w:val="TableText0"/>
              <w:jc w:val="center"/>
              <w:rPr>
                <w:szCs w:val="20"/>
              </w:rPr>
            </w:pPr>
            <w:r w:rsidRPr="00007450">
              <w:t>94.4% (92.6, 95.8)</w:t>
            </w:r>
          </w:p>
        </w:tc>
        <w:tc>
          <w:tcPr>
            <w:tcW w:w="865" w:type="pct"/>
            <w:tcBorders>
              <w:top w:val="single" w:sz="4" w:space="0" w:color="auto"/>
              <w:left w:val="single" w:sz="4" w:space="0" w:color="auto"/>
              <w:bottom w:val="single" w:sz="4" w:space="0" w:color="auto"/>
              <w:right w:val="single" w:sz="4" w:space="0" w:color="auto"/>
            </w:tcBorders>
          </w:tcPr>
          <w:p w14:paraId="031D3AFB" w14:textId="77777777" w:rsidR="009905C4" w:rsidRPr="00007450" w:rsidRDefault="009905C4" w:rsidP="00864C4B">
            <w:pPr>
              <w:pStyle w:val="TableText0"/>
              <w:jc w:val="center"/>
              <w:rPr>
                <w:szCs w:val="20"/>
              </w:rPr>
            </w:pPr>
            <w:r w:rsidRPr="00007450">
              <w:t>93.1% (91.1, 94.6)</w:t>
            </w:r>
          </w:p>
        </w:tc>
        <w:tc>
          <w:tcPr>
            <w:tcW w:w="822" w:type="pct"/>
            <w:tcBorders>
              <w:top w:val="single" w:sz="4" w:space="0" w:color="auto"/>
              <w:left w:val="single" w:sz="4" w:space="0" w:color="auto"/>
              <w:bottom w:val="single" w:sz="4" w:space="0" w:color="auto"/>
              <w:right w:val="single" w:sz="4" w:space="0" w:color="auto"/>
            </w:tcBorders>
          </w:tcPr>
          <w:p w14:paraId="136C6D74" w14:textId="77777777" w:rsidR="009905C4" w:rsidRPr="00007450" w:rsidRDefault="009905C4" w:rsidP="00864C4B">
            <w:pPr>
              <w:pStyle w:val="TableText0"/>
              <w:jc w:val="center"/>
            </w:pPr>
            <w:r w:rsidRPr="00007450">
              <w:t>1.3%</w:t>
            </w:r>
          </w:p>
        </w:tc>
        <w:tc>
          <w:tcPr>
            <w:tcW w:w="879" w:type="pct"/>
            <w:tcBorders>
              <w:top w:val="single" w:sz="4" w:space="0" w:color="auto"/>
              <w:left w:val="single" w:sz="4" w:space="0" w:color="auto"/>
              <w:bottom w:val="single" w:sz="4" w:space="0" w:color="auto"/>
            </w:tcBorders>
          </w:tcPr>
          <w:p w14:paraId="41AFAC72" w14:textId="1C38AB5B" w:rsidR="009905C4" w:rsidRPr="00007450" w:rsidRDefault="008E5791" w:rsidP="00864C4B">
            <w:pPr>
              <w:pStyle w:val="TableText0"/>
              <w:jc w:val="center"/>
            </w:pPr>
            <w:r w:rsidRPr="00007450">
              <w:t>-</w:t>
            </w:r>
          </w:p>
        </w:tc>
      </w:tr>
      <w:tr w:rsidR="009905C4" w:rsidRPr="00007450" w14:paraId="2BF8FD92" w14:textId="77777777" w:rsidTr="008E5791">
        <w:trPr>
          <w:trHeight w:val="20"/>
        </w:trPr>
        <w:tc>
          <w:tcPr>
            <w:tcW w:w="1366" w:type="pct"/>
            <w:tcBorders>
              <w:top w:val="single" w:sz="4" w:space="0" w:color="auto"/>
              <w:bottom w:val="single" w:sz="4" w:space="0" w:color="auto"/>
              <w:right w:val="single" w:sz="4" w:space="0" w:color="auto"/>
            </w:tcBorders>
          </w:tcPr>
          <w:p w14:paraId="0009C667" w14:textId="24C4B0B7" w:rsidR="009905C4" w:rsidRPr="00007450" w:rsidRDefault="009905C4" w:rsidP="00864C4B">
            <w:pPr>
              <w:pStyle w:val="TableText0"/>
            </w:pPr>
            <w:r w:rsidRPr="00007450">
              <w:t xml:space="preserve">% </w:t>
            </w:r>
            <w:r w:rsidR="000255A5" w:rsidRPr="00007450">
              <w:t xml:space="preserve">alive without invasive disease </w:t>
            </w:r>
            <w:r w:rsidRPr="00007450">
              <w:t>at 4 years (95% CI)</w:t>
            </w:r>
          </w:p>
        </w:tc>
        <w:tc>
          <w:tcPr>
            <w:tcW w:w="1068" w:type="pct"/>
            <w:tcBorders>
              <w:top w:val="single" w:sz="4" w:space="0" w:color="auto"/>
              <w:left w:val="single" w:sz="4" w:space="0" w:color="auto"/>
              <w:bottom w:val="single" w:sz="4" w:space="0" w:color="auto"/>
              <w:right w:val="single" w:sz="4" w:space="0" w:color="auto"/>
            </w:tcBorders>
          </w:tcPr>
          <w:p w14:paraId="120CFB3E" w14:textId="77777777" w:rsidR="009905C4" w:rsidRPr="00007450" w:rsidRDefault="009905C4" w:rsidP="00864C4B">
            <w:pPr>
              <w:pStyle w:val="TableText0"/>
              <w:jc w:val="center"/>
              <w:rPr>
                <w:szCs w:val="20"/>
              </w:rPr>
            </w:pPr>
            <w:r w:rsidRPr="00007450">
              <w:t>93.9% (92.0, 95.3)</w:t>
            </w:r>
          </w:p>
        </w:tc>
        <w:tc>
          <w:tcPr>
            <w:tcW w:w="865" w:type="pct"/>
            <w:tcBorders>
              <w:top w:val="single" w:sz="4" w:space="0" w:color="auto"/>
              <w:left w:val="single" w:sz="4" w:space="0" w:color="auto"/>
              <w:bottom w:val="single" w:sz="4" w:space="0" w:color="auto"/>
              <w:right w:val="single" w:sz="4" w:space="0" w:color="auto"/>
            </w:tcBorders>
          </w:tcPr>
          <w:p w14:paraId="170F383E" w14:textId="77777777" w:rsidR="009905C4" w:rsidRPr="00007450" w:rsidRDefault="009905C4" w:rsidP="00864C4B">
            <w:pPr>
              <w:pStyle w:val="TableText0"/>
              <w:jc w:val="center"/>
              <w:rPr>
                <w:szCs w:val="20"/>
              </w:rPr>
            </w:pPr>
            <w:r w:rsidRPr="00007450">
              <w:t>90.2% (87.8, 92.2)</w:t>
            </w:r>
          </w:p>
        </w:tc>
        <w:tc>
          <w:tcPr>
            <w:tcW w:w="822" w:type="pct"/>
            <w:tcBorders>
              <w:top w:val="single" w:sz="4" w:space="0" w:color="auto"/>
              <w:left w:val="single" w:sz="4" w:space="0" w:color="auto"/>
              <w:bottom w:val="single" w:sz="4" w:space="0" w:color="auto"/>
              <w:right w:val="single" w:sz="4" w:space="0" w:color="auto"/>
            </w:tcBorders>
          </w:tcPr>
          <w:p w14:paraId="3DED64EE" w14:textId="77777777" w:rsidR="009905C4" w:rsidRPr="00007450" w:rsidRDefault="009905C4" w:rsidP="00864C4B">
            <w:pPr>
              <w:pStyle w:val="TableText0"/>
              <w:jc w:val="center"/>
              <w:rPr>
                <w:rFonts w:cs="Times New Roman"/>
                <w:szCs w:val="20"/>
              </w:rPr>
            </w:pPr>
            <w:r w:rsidRPr="00007450">
              <w:t xml:space="preserve">3.7% </w:t>
            </w:r>
          </w:p>
        </w:tc>
        <w:tc>
          <w:tcPr>
            <w:tcW w:w="879" w:type="pct"/>
            <w:tcBorders>
              <w:top w:val="single" w:sz="4" w:space="0" w:color="auto"/>
              <w:left w:val="single" w:sz="4" w:space="0" w:color="auto"/>
              <w:bottom w:val="single" w:sz="4" w:space="0" w:color="auto"/>
            </w:tcBorders>
          </w:tcPr>
          <w:p w14:paraId="5745CDE7" w14:textId="0B6E6F43" w:rsidR="009905C4" w:rsidRPr="00007450" w:rsidRDefault="008E5791" w:rsidP="00864C4B">
            <w:pPr>
              <w:pStyle w:val="TableText0"/>
              <w:jc w:val="center"/>
            </w:pPr>
            <w:r w:rsidRPr="00007450">
              <w:t>-</w:t>
            </w:r>
          </w:p>
        </w:tc>
      </w:tr>
      <w:tr w:rsidR="000255A5" w:rsidRPr="00007450" w14:paraId="5AFCA097" w14:textId="77777777" w:rsidTr="000255A5">
        <w:trPr>
          <w:trHeight w:val="20"/>
        </w:trPr>
        <w:tc>
          <w:tcPr>
            <w:tcW w:w="5000" w:type="pct"/>
            <w:gridSpan w:val="5"/>
            <w:tcBorders>
              <w:top w:val="single" w:sz="4" w:space="0" w:color="auto"/>
              <w:bottom w:val="single" w:sz="4" w:space="0" w:color="auto"/>
            </w:tcBorders>
          </w:tcPr>
          <w:p w14:paraId="09D211AC" w14:textId="06104C46" w:rsidR="000255A5" w:rsidRPr="00007450" w:rsidRDefault="000255A5" w:rsidP="00864C4B">
            <w:pPr>
              <w:pStyle w:val="TableText0"/>
              <w:rPr>
                <w:b/>
                <w:bCs w:val="0"/>
              </w:rPr>
            </w:pPr>
            <w:r w:rsidRPr="00007450">
              <w:rPr>
                <w:b/>
                <w:bCs w:val="0"/>
              </w:rPr>
              <w:t>DRFS (median duration of follow up 49.6 months)</w:t>
            </w:r>
          </w:p>
        </w:tc>
      </w:tr>
      <w:tr w:rsidR="000255A5" w:rsidRPr="00007450" w14:paraId="7BA0CB73" w14:textId="77777777" w:rsidTr="008E5791">
        <w:trPr>
          <w:trHeight w:val="20"/>
        </w:trPr>
        <w:tc>
          <w:tcPr>
            <w:tcW w:w="1366" w:type="pct"/>
            <w:tcBorders>
              <w:top w:val="single" w:sz="4" w:space="0" w:color="auto"/>
              <w:bottom w:val="single" w:sz="4" w:space="0" w:color="auto"/>
              <w:right w:val="single" w:sz="4" w:space="0" w:color="auto"/>
            </w:tcBorders>
          </w:tcPr>
          <w:p w14:paraId="7B7945B3" w14:textId="53CC34D4" w:rsidR="000255A5" w:rsidRPr="00007450" w:rsidRDefault="000255A5" w:rsidP="00864C4B">
            <w:pPr>
              <w:pStyle w:val="TableText0"/>
            </w:pPr>
            <w:r w:rsidRPr="00007450">
              <w:t>Distant disease or death, n/N (%)</w:t>
            </w:r>
          </w:p>
        </w:tc>
        <w:tc>
          <w:tcPr>
            <w:tcW w:w="1068" w:type="pct"/>
            <w:tcBorders>
              <w:top w:val="single" w:sz="4" w:space="0" w:color="auto"/>
              <w:left w:val="single" w:sz="4" w:space="0" w:color="auto"/>
              <w:bottom w:val="single" w:sz="4" w:space="0" w:color="auto"/>
              <w:right w:val="single" w:sz="4" w:space="0" w:color="auto"/>
            </w:tcBorders>
          </w:tcPr>
          <w:p w14:paraId="7673CB5A" w14:textId="49D3184B" w:rsidR="000255A5" w:rsidRPr="00007450" w:rsidRDefault="00782652" w:rsidP="00864C4B">
            <w:pPr>
              <w:pStyle w:val="TableText0"/>
              <w:jc w:val="center"/>
            </w:pPr>
            <w:r w:rsidRPr="00007450">
              <w:t>39</w:t>
            </w:r>
            <w:r w:rsidR="000255A5" w:rsidRPr="00007450">
              <w:t>/891 (</w:t>
            </w:r>
            <w:r w:rsidRPr="00007450">
              <w:t>4.4</w:t>
            </w:r>
            <w:r w:rsidR="000255A5" w:rsidRPr="00007450">
              <w:t>%)</w:t>
            </w:r>
          </w:p>
        </w:tc>
        <w:tc>
          <w:tcPr>
            <w:tcW w:w="865" w:type="pct"/>
            <w:tcBorders>
              <w:top w:val="single" w:sz="4" w:space="0" w:color="auto"/>
              <w:left w:val="single" w:sz="4" w:space="0" w:color="auto"/>
              <w:bottom w:val="single" w:sz="4" w:space="0" w:color="auto"/>
              <w:right w:val="single" w:sz="4" w:space="0" w:color="auto"/>
            </w:tcBorders>
          </w:tcPr>
          <w:p w14:paraId="534D281E" w14:textId="1B2295B1" w:rsidR="000255A5" w:rsidRPr="00007450" w:rsidRDefault="00782652" w:rsidP="00864C4B">
            <w:pPr>
              <w:pStyle w:val="TableText0"/>
              <w:jc w:val="center"/>
            </w:pPr>
            <w:r w:rsidRPr="00007450">
              <w:t>57</w:t>
            </w:r>
            <w:r w:rsidR="000255A5" w:rsidRPr="00007450">
              <w:t>/903 (</w:t>
            </w:r>
            <w:r w:rsidRPr="00007450">
              <w:t>6.3</w:t>
            </w:r>
            <w:r w:rsidR="000255A5" w:rsidRPr="00007450">
              <w:t>%)</w:t>
            </w:r>
          </w:p>
        </w:tc>
        <w:tc>
          <w:tcPr>
            <w:tcW w:w="822" w:type="pct"/>
            <w:tcBorders>
              <w:top w:val="single" w:sz="4" w:space="0" w:color="auto"/>
              <w:left w:val="single" w:sz="4" w:space="0" w:color="auto"/>
              <w:bottom w:val="single" w:sz="4" w:space="0" w:color="auto"/>
              <w:right w:val="single" w:sz="4" w:space="0" w:color="auto"/>
            </w:tcBorders>
          </w:tcPr>
          <w:p w14:paraId="5208DA71" w14:textId="79EBCCB4" w:rsidR="000255A5" w:rsidRPr="00007450" w:rsidRDefault="00296BB2" w:rsidP="00864C4B">
            <w:pPr>
              <w:pStyle w:val="TableText0"/>
              <w:jc w:val="center"/>
            </w:pPr>
            <w:r w:rsidRPr="00007450">
              <w:t>NA</w:t>
            </w:r>
          </w:p>
        </w:tc>
        <w:tc>
          <w:tcPr>
            <w:tcW w:w="879" w:type="pct"/>
            <w:tcBorders>
              <w:top w:val="single" w:sz="4" w:space="0" w:color="auto"/>
              <w:left w:val="single" w:sz="4" w:space="0" w:color="auto"/>
              <w:bottom w:val="single" w:sz="4" w:space="0" w:color="auto"/>
            </w:tcBorders>
          </w:tcPr>
          <w:p w14:paraId="702E6C98" w14:textId="14DCF835" w:rsidR="000255A5" w:rsidRPr="00007450" w:rsidRDefault="000255A5" w:rsidP="00864C4B">
            <w:pPr>
              <w:pStyle w:val="TableText0"/>
              <w:jc w:val="center"/>
              <w:rPr>
                <w:b/>
                <w:bCs w:val="0"/>
              </w:rPr>
            </w:pPr>
            <w:r w:rsidRPr="00007450">
              <w:rPr>
                <w:b/>
                <w:bCs w:val="0"/>
              </w:rPr>
              <w:t>0.6</w:t>
            </w:r>
            <w:r w:rsidR="00782652" w:rsidRPr="00007450">
              <w:rPr>
                <w:b/>
                <w:bCs w:val="0"/>
              </w:rPr>
              <w:t>4</w:t>
            </w:r>
            <w:r w:rsidRPr="00007450">
              <w:rPr>
                <w:b/>
                <w:bCs w:val="0"/>
              </w:rPr>
              <w:t xml:space="preserve"> (0.4</w:t>
            </w:r>
            <w:r w:rsidR="00F530B1" w:rsidRPr="00007450">
              <w:rPr>
                <w:b/>
                <w:bCs w:val="0"/>
              </w:rPr>
              <w:t>2</w:t>
            </w:r>
            <w:r w:rsidRPr="00007450">
              <w:rPr>
                <w:b/>
                <w:bCs w:val="0"/>
              </w:rPr>
              <w:t>, 0.9</w:t>
            </w:r>
            <w:r w:rsidR="00782652" w:rsidRPr="00007450">
              <w:rPr>
                <w:b/>
                <w:bCs w:val="0"/>
              </w:rPr>
              <w:t>7</w:t>
            </w:r>
            <w:r w:rsidRPr="00007450">
              <w:rPr>
                <w:b/>
                <w:bCs w:val="0"/>
              </w:rPr>
              <w:t>)</w:t>
            </w:r>
          </w:p>
          <w:p w14:paraId="38B10F32" w14:textId="275C8885" w:rsidR="000255A5" w:rsidRPr="00007450" w:rsidRDefault="000255A5" w:rsidP="00864C4B">
            <w:pPr>
              <w:pStyle w:val="TableText0"/>
              <w:jc w:val="center"/>
            </w:pPr>
            <w:r w:rsidRPr="00007450">
              <w:rPr>
                <w:b/>
                <w:bCs w:val="0"/>
              </w:rPr>
              <w:t>p = 0.0</w:t>
            </w:r>
            <w:r w:rsidR="00782652" w:rsidRPr="00007450">
              <w:rPr>
                <w:b/>
                <w:bCs w:val="0"/>
              </w:rPr>
              <w:t>16</w:t>
            </w:r>
          </w:p>
        </w:tc>
      </w:tr>
      <w:tr w:rsidR="000255A5" w:rsidRPr="00007450" w14:paraId="04A866C1" w14:textId="77777777" w:rsidTr="008E5791">
        <w:trPr>
          <w:trHeight w:val="20"/>
        </w:trPr>
        <w:tc>
          <w:tcPr>
            <w:tcW w:w="1366" w:type="pct"/>
            <w:tcBorders>
              <w:top w:val="single" w:sz="4" w:space="0" w:color="auto"/>
              <w:bottom w:val="single" w:sz="4" w:space="0" w:color="auto"/>
              <w:right w:val="single" w:sz="4" w:space="0" w:color="auto"/>
            </w:tcBorders>
          </w:tcPr>
          <w:p w14:paraId="7B8B22B5" w14:textId="518DFF86" w:rsidR="000255A5" w:rsidRPr="00007450" w:rsidRDefault="000255A5" w:rsidP="00864C4B">
            <w:pPr>
              <w:pStyle w:val="TableText0"/>
            </w:pPr>
            <w:r w:rsidRPr="00007450">
              <w:t>Median DRFS (95% CI)</w:t>
            </w:r>
          </w:p>
        </w:tc>
        <w:tc>
          <w:tcPr>
            <w:tcW w:w="1068" w:type="pct"/>
            <w:tcBorders>
              <w:top w:val="single" w:sz="4" w:space="0" w:color="auto"/>
              <w:left w:val="single" w:sz="4" w:space="0" w:color="auto"/>
              <w:bottom w:val="single" w:sz="4" w:space="0" w:color="auto"/>
              <w:right w:val="single" w:sz="4" w:space="0" w:color="auto"/>
            </w:tcBorders>
          </w:tcPr>
          <w:p w14:paraId="23BF7E3B" w14:textId="5063E3FF" w:rsidR="000255A5" w:rsidRPr="00007450" w:rsidRDefault="000255A5" w:rsidP="00864C4B">
            <w:pPr>
              <w:pStyle w:val="TableText0"/>
              <w:jc w:val="center"/>
            </w:pPr>
            <w:r w:rsidRPr="00007450">
              <w:t>Not yet met</w:t>
            </w:r>
          </w:p>
        </w:tc>
        <w:tc>
          <w:tcPr>
            <w:tcW w:w="865" w:type="pct"/>
            <w:tcBorders>
              <w:top w:val="single" w:sz="4" w:space="0" w:color="auto"/>
              <w:left w:val="single" w:sz="4" w:space="0" w:color="auto"/>
              <w:bottom w:val="single" w:sz="4" w:space="0" w:color="auto"/>
              <w:right w:val="single" w:sz="4" w:space="0" w:color="auto"/>
            </w:tcBorders>
          </w:tcPr>
          <w:p w14:paraId="045A564F" w14:textId="10016C56" w:rsidR="000255A5" w:rsidRPr="00007450" w:rsidRDefault="000255A5" w:rsidP="00864C4B">
            <w:pPr>
              <w:pStyle w:val="TableText0"/>
              <w:jc w:val="center"/>
            </w:pPr>
            <w:r w:rsidRPr="00007450">
              <w:t>Not yet met</w:t>
            </w:r>
          </w:p>
        </w:tc>
        <w:tc>
          <w:tcPr>
            <w:tcW w:w="822" w:type="pct"/>
            <w:tcBorders>
              <w:top w:val="single" w:sz="4" w:space="0" w:color="auto"/>
              <w:left w:val="single" w:sz="4" w:space="0" w:color="auto"/>
              <w:bottom w:val="single" w:sz="4" w:space="0" w:color="auto"/>
              <w:right w:val="single" w:sz="4" w:space="0" w:color="auto"/>
            </w:tcBorders>
          </w:tcPr>
          <w:p w14:paraId="18ADC302" w14:textId="292D675A" w:rsidR="000255A5" w:rsidRPr="00007450" w:rsidRDefault="000255A5" w:rsidP="00864C4B">
            <w:pPr>
              <w:pStyle w:val="TableText0"/>
              <w:jc w:val="center"/>
            </w:pPr>
            <w:r w:rsidRPr="00007450">
              <w:t>-</w:t>
            </w:r>
          </w:p>
        </w:tc>
        <w:tc>
          <w:tcPr>
            <w:tcW w:w="879" w:type="pct"/>
            <w:tcBorders>
              <w:top w:val="single" w:sz="4" w:space="0" w:color="auto"/>
              <w:left w:val="single" w:sz="4" w:space="0" w:color="auto"/>
              <w:bottom w:val="single" w:sz="4" w:space="0" w:color="auto"/>
            </w:tcBorders>
          </w:tcPr>
          <w:p w14:paraId="5D1EE0F1" w14:textId="1DAB5987" w:rsidR="000255A5" w:rsidRPr="00007450" w:rsidRDefault="000255A5" w:rsidP="00864C4B">
            <w:pPr>
              <w:pStyle w:val="TableText0"/>
              <w:jc w:val="center"/>
            </w:pPr>
            <w:r w:rsidRPr="00007450">
              <w:t>-</w:t>
            </w:r>
          </w:p>
        </w:tc>
      </w:tr>
      <w:tr w:rsidR="00782652" w:rsidRPr="00007450" w14:paraId="59488333" w14:textId="77777777" w:rsidTr="008E5791">
        <w:trPr>
          <w:trHeight w:val="20"/>
        </w:trPr>
        <w:tc>
          <w:tcPr>
            <w:tcW w:w="1366" w:type="pct"/>
            <w:tcBorders>
              <w:top w:val="single" w:sz="4" w:space="0" w:color="auto"/>
              <w:bottom w:val="single" w:sz="4" w:space="0" w:color="auto"/>
              <w:right w:val="single" w:sz="4" w:space="0" w:color="auto"/>
            </w:tcBorders>
          </w:tcPr>
          <w:p w14:paraId="0FC7AE47" w14:textId="3F332EE7" w:rsidR="00782652" w:rsidRPr="00007450" w:rsidRDefault="00782652" w:rsidP="00864C4B">
            <w:pPr>
              <w:pStyle w:val="TableText0"/>
            </w:pPr>
            <w:r w:rsidRPr="00007450">
              <w:t>% alive without distant disease at 1 year (95% CI)</w:t>
            </w:r>
          </w:p>
        </w:tc>
        <w:tc>
          <w:tcPr>
            <w:tcW w:w="1068" w:type="pct"/>
            <w:tcBorders>
              <w:top w:val="single" w:sz="4" w:space="0" w:color="auto"/>
              <w:left w:val="single" w:sz="4" w:space="0" w:color="auto"/>
              <w:bottom w:val="single" w:sz="4" w:space="0" w:color="auto"/>
              <w:right w:val="single" w:sz="4" w:space="0" w:color="auto"/>
            </w:tcBorders>
          </w:tcPr>
          <w:p w14:paraId="7A758805" w14:textId="1FCFD653" w:rsidR="00782652" w:rsidRPr="00007450" w:rsidRDefault="00782652" w:rsidP="00864C4B">
            <w:pPr>
              <w:pStyle w:val="TableText0"/>
              <w:jc w:val="center"/>
            </w:pPr>
            <w:r w:rsidRPr="00007450">
              <w:t>99.4% (98.5, 99.7)</w:t>
            </w:r>
          </w:p>
        </w:tc>
        <w:tc>
          <w:tcPr>
            <w:tcW w:w="865" w:type="pct"/>
            <w:tcBorders>
              <w:top w:val="single" w:sz="4" w:space="0" w:color="auto"/>
              <w:left w:val="single" w:sz="4" w:space="0" w:color="auto"/>
              <w:bottom w:val="single" w:sz="4" w:space="0" w:color="auto"/>
              <w:right w:val="single" w:sz="4" w:space="0" w:color="auto"/>
            </w:tcBorders>
          </w:tcPr>
          <w:p w14:paraId="09F02ACB" w14:textId="17EAD0EB" w:rsidR="00782652" w:rsidRPr="00007450" w:rsidRDefault="00782652" w:rsidP="00864C4B">
            <w:pPr>
              <w:pStyle w:val="TableText0"/>
              <w:jc w:val="center"/>
            </w:pPr>
            <w:r w:rsidRPr="00007450">
              <w:t>98.6% (97.5, 99.2)</w:t>
            </w:r>
          </w:p>
        </w:tc>
        <w:tc>
          <w:tcPr>
            <w:tcW w:w="822" w:type="pct"/>
            <w:tcBorders>
              <w:top w:val="single" w:sz="4" w:space="0" w:color="auto"/>
              <w:left w:val="single" w:sz="4" w:space="0" w:color="auto"/>
              <w:bottom w:val="single" w:sz="4" w:space="0" w:color="auto"/>
              <w:right w:val="single" w:sz="4" w:space="0" w:color="auto"/>
            </w:tcBorders>
          </w:tcPr>
          <w:p w14:paraId="5DA674B4" w14:textId="2CD2E502" w:rsidR="00782652" w:rsidRPr="00007450" w:rsidRDefault="00782652" w:rsidP="00864C4B">
            <w:pPr>
              <w:pStyle w:val="TableText0"/>
              <w:jc w:val="center"/>
            </w:pPr>
            <w:r w:rsidRPr="00007450">
              <w:t>0.8%</w:t>
            </w:r>
          </w:p>
        </w:tc>
        <w:tc>
          <w:tcPr>
            <w:tcW w:w="879" w:type="pct"/>
            <w:tcBorders>
              <w:top w:val="single" w:sz="4" w:space="0" w:color="auto"/>
              <w:left w:val="single" w:sz="4" w:space="0" w:color="auto"/>
              <w:bottom w:val="single" w:sz="4" w:space="0" w:color="auto"/>
            </w:tcBorders>
          </w:tcPr>
          <w:p w14:paraId="55D7F7C1" w14:textId="6E6225BB" w:rsidR="00782652" w:rsidRPr="00007450" w:rsidRDefault="00782652" w:rsidP="00864C4B">
            <w:pPr>
              <w:pStyle w:val="TableText0"/>
              <w:jc w:val="center"/>
            </w:pPr>
            <w:r w:rsidRPr="00007450">
              <w:t>-</w:t>
            </w:r>
          </w:p>
        </w:tc>
      </w:tr>
      <w:tr w:rsidR="00782652" w:rsidRPr="00007450" w14:paraId="507F7903" w14:textId="77777777" w:rsidTr="008E5791">
        <w:trPr>
          <w:trHeight w:val="20"/>
        </w:trPr>
        <w:tc>
          <w:tcPr>
            <w:tcW w:w="1366" w:type="pct"/>
            <w:tcBorders>
              <w:top w:val="single" w:sz="4" w:space="0" w:color="auto"/>
              <w:bottom w:val="single" w:sz="4" w:space="0" w:color="auto"/>
              <w:right w:val="single" w:sz="4" w:space="0" w:color="auto"/>
            </w:tcBorders>
          </w:tcPr>
          <w:p w14:paraId="18827F93" w14:textId="0F70F5B1" w:rsidR="00782652" w:rsidRPr="00007450" w:rsidRDefault="00782652" w:rsidP="00864C4B">
            <w:pPr>
              <w:pStyle w:val="TableText0"/>
            </w:pPr>
            <w:r w:rsidRPr="00007450">
              <w:t>% alive without distant disease at 2 years (95% CI)</w:t>
            </w:r>
          </w:p>
        </w:tc>
        <w:tc>
          <w:tcPr>
            <w:tcW w:w="1068" w:type="pct"/>
            <w:tcBorders>
              <w:top w:val="single" w:sz="4" w:space="0" w:color="auto"/>
              <w:left w:val="single" w:sz="4" w:space="0" w:color="auto"/>
              <w:bottom w:val="single" w:sz="4" w:space="0" w:color="auto"/>
              <w:right w:val="single" w:sz="4" w:space="0" w:color="auto"/>
            </w:tcBorders>
          </w:tcPr>
          <w:p w14:paraId="6164EA64" w14:textId="169052DC" w:rsidR="00782652" w:rsidRPr="00007450" w:rsidRDefault="00782652" w:rsidP="00864C4B">
            <w:pPr>
              <w:pStyle w:val="TableText0"/>
              <w:jc w:val="center"/>
            </w:pPr>
            <w:r w:rsidRPr="00007450">
              <w:t>98.1% (96.9, 98.9)</w:t>
            </w:r>
          </w:p>
        </w:tc>
        <w:tc>
          <w:tcPr>
            <w:tcW w:w="865" w:type="pct"/>
            <w:tcBorders>
              <w:top w:val="single" w:sz="4" w:space="0" w:color="auto"/>
              <w:left w:val="single" w:sz="4" w:space="0" w:color="auto"/>
              <w:bottom w:val="single" w:sz="4" w:space="0" w:color="auto"/>
              <w:right w:val="single" w:sz="4" w:space="0" w:color="auto"/>
            </w:tcBorders>
          </w:tcPr>
          <w:p w14:paraId="7780DCCF" w14:textId="2F482396" w:rsidR="00782652" w:rsidRPr="00007450" w:rsidRDefault="00782652" w:rsidP="00864C4B">
            <w:pPr>
              <w:pStyle w:val="TableText0"/>
              <w:jc w:val="center"/>
            </w:pPr>
            <w:r w:rsidRPr="00007450">
              <w:t>97.6% (96.2, 98.4)</w:t>
            </w:r>
          </w:p>
        </w:tc>
        <w:tc>
          <w:tcPr>
            <w:tcW w:w="822" w:type="pct"/>
            <w:tcBorders>
              <w:top w:val="single" w:sz="4" w:space="0" w:color="auto"/>
              <w:left w:val="single" w:sz="4" w:space="0" w:color="auto"/>
              <w:bottom w:val="single" w:sz="4" w:space="0" w:color="auto"/>
              <w:right w:val="single" w:sz="4" w:space="0" w:color="auto"/>
            </w:tcBorders>
          </w:tcPr>
          <w:p w14:paraId="25A3F347" w14:textId="116B9FC2" w:rsidR="00782652" w:rsidRPr="00007450" w:rsidRDefault="00782652" w:rsidP="00864C4B">
            <w:pPr>
              <w:pStyle w:val="TableText0"/>
              <w:jc w:val="center"/>
            </w:pPr>
            <w:r w:rsidRPr="00007450">
              <w:t>0.5%</w:t>
            </w:r>
          </w:p>
        </w:tc>
        <w:tc>
          <w:tcPr>
            <w:tcW w:w="879" w:type="pct"/>
            <w:tcBorders>
              <w:top w:val="single" w:sz="4" w:space="0" w:color="auto"/>
              <w:left w:val="single" w:sz="4" w:space="0" w:color="auto"/>
              <w:bottom w:val="single" w:sz="4" w:space="0" w:color="auto"/>
            </w:tcBorders>
          </w:tcPr>
          <w:p w14:paraId="1DB8AADC" w14:textId="555C55CF" w:rsidR="00782652" w:rsidRPr="00007450" w:rsidRDefault="00782652" w:rsidP="00864C4B">
            <w:pPr>
              <w:pStyle w:val="TableText0"/>
              <w:jc w:val="center"/>
            </w:pPr>
            <w:r w:rsidRPr="00007450">
              <w:t>-</w:t>
            </w:r>
          </w:p>
        </w:tc>
      </w:tr>
      <w:tr w:rsidR="00782652" w:rsidRPr="00007450" w14:paraId="4FF59FBC" w14:textId="77777777" w:rsidTr="008E5791">
        <w:trPr>
          <w:trHeight w:val="20"/>
        </w:trPr>
        <w:tc>
          <w:tcPr>
            <w:tcW w:w="1366" w:type="pct"/>
            <w:tcBorders>
              <w:top w:val="single" w:sz="4" w:space="0" w:color="auto"/>
              <w:bottom w:val="single" w:sz="4" w:space="0" w:color="auto"/>
              <w:right w:val="single" w:sz="4" w:space="0" w:color="auto"/>
            </w:tcBorders>
          </w:tcPr>
          <w:p w14:paraId="22613A22" w14:textId="4F037F1E" w:rsidR="00782652" w:rsidRPr="00007450" w:rsidRDefault="00782652" w:rsidP="00864C4B">
            <w:pPr>
              <w:pStyle w:val="TableText0"/>
            </w:pPr>
            <w:r w:rsidRPr="00007450">
              <w:t>% alive without distant disease at 3 years (95% CI)</w:t>
            </w:r>
          </w:p>
        </w:tc>
        <w:tc>
          <w:tcPr>
            <w:tcW w:w="1068" w:type="pct"/>
            <w:tcBorders>
              <w:top w:val="single" w:sz="4" w:space="0" w:color="auto"/>
              <w:left w:val="single" w:sz="4" w:space="0" w:color="auto"/>
              <w:bottom w:val="single" w:sz="4" w:space="0" w:color="auto"/>
              <w:right w:val="single" w:sz="4" w:space="0" w:color="auto"/>
            </w:tcBorders>
          </w:tcPr>
          <w:p w14:paraId="06FFE8C6" w14:textId="6216C894" w:rsidR="00782652" w:rsidRPr="00007450" w:rsidRDefault="00782652" w:rsidP="00864C4B">
            <w:pPr>
              <w:pStyle w:val="TableText0"/>
              <w:jc w:val="center"/>
            </w:pPr>
            <w:r w:rsidRPr="00007450">
              <w:t>96.3% (94.8, 97.4)</w:t>
            </w:r>
          </w:p>
        </w:tc>
        <w:tc>
          <w:tcPr>
            <w:tcW w:w="865" w:type="pct"/>
            <w:tcBorders>
              <w:top w:val="single" w:sz="4" w:space="0" w:color="auto"/>
              <w:left w:val="single" w:sz="4" w:space="0" w:color="auto"/>
              <w:bottom w:val="single" w:sz="4" w:space="0" w:color="auto"/>
              <w:right w:val="single" w:sz="4" w:space="0" w:color="auto"/>
            </w:tcBorders>
          </w:tcPr>
          <w:p w14:paraId="2291984F" w14:textId="0E687B80" w:rsidR="00782652" w:rsidRPr="00007450" w:rsidRDefault="00782652" w:rsidP="00864C4B">
            <w:pPr>
              <w:pStyle w:val="TableText0"/>
              <w:jc w:val="center"/>
            </w:pPr>
            <w:r w:rsidRPr="00007450">
              <w:t>95.0% (93.3, 96.3)</w:t>
            </w:r>
          </w:p>
        </w:tc>
        <w:tc>
          <w:tcPr>
            <w:tcW w:w="822" w:type="pct"/>
            <w:tcBorders>
              <w:top w:val="single" w:sz="4" w:space="0" w:color="auto"/>
              <w:left w:val="single" w:sz="4" w:space="0" w:color="auto"/>
              <w:bottom w:val="single" w:sz="4" w:space="0" w:color="auto"/>
              <w:right w:val="single" w:sz="4" w:space="0" w:color="auto"/>
            </w:tcBorders>
          </w:tcPr>
          <w:p w14:paraId="468CDC83" w14:textId="3C50C74E" w:rsidR="00782652" w:rsidRPr="00007450" w:rsidRDefault="00782652" w:rsidP="00864C4B">
            <w:pPr>
              <w:pStyle w:val="TableText0"/>
              <w:jc w:val="center"/>
            </w:pPr>
            <w:r w:rsidRPr="00007450">
              <w:t>1.3%</w:t>
            </w:r>
          </w:p>
        </w:tc>
        <w:tc>
          <w:tcPr>
            <w:tcW w:w="879" w:type="pct"/>
            <w:tcBorders>
              <w:top w:val="single" w:sz="4" w:space="0" w:color="auto"/>
              <w:left w:val="single" w:sz="4" w:space="0" w:color="auto"/>
              <w:bottom w:val="single" w:sz="4" w:space="0" w:color="auto"/>
            </w:tcBorders>
          </w:tcPr>
          <w:p w14:paraId="24F46C90" w14:textId="0F5A321A" w:rsidR="00782652" w:rsidRPr="00007450" w:rsidRDefault="00782652" w:rsidP="00864C4B">
            <w:pPr>
              <w:pStyle w:val="TableText0"/>
              <w:jc w:val="center"/>
            </w:pPr>
            <w:r w:rsidRPr="00007450">
              <w:t>-</w:t>
            </w:r>
          </w:p>
        </w:tc>
      </w:tr>
      <w:tr w:rsidR="00782652" w:rsidRPr="00007450" w14:paraId="52BDA525" w14:textId="77777777" w:rsidTr="008E5791">
        <w:trPr>
          <w:trHeight w:val="20"/>
        </w:trPr>
        <w:tc>
          <w:tcPr>
            <w:tcW w:w="1366" w:type="pct"/>
            <w:tcBorders>
              <w:top w:val="single" w:sz="4" w:space="0" w:color="auto"/>
              <w:bottom w:val="single" w:sz="4" w:space="0" w:color="auto"/>
              <w:right w:val="single" w:sz="4" w:space="0" w:color="auto"/>
            </w:tcBorders>
          </w:tcPr>
          <w:p w14:paraId="56385F5D" w14:textId="5912C470" w:rsidR="00782652" w:rsidRPr="00007450" w:rsidRDefault="00782652" w:rsidP="00864C4B">
            <w:pPr>
              <w:pStyle w:val="TableText0"/>
            </w:pPr>
            <w:r w:rsidRPr="00007450">
              <w:t>% alive without distant disease at 4 year</w:t>
            </w:r>
            <w:r w:rsidR="00146574" w:rsidRPr="00007450">
              <w:t>s</w:t>
            </w:r>
            <w:r w:rsidRPr="00007450">
              <w:t xml:space="preserve"> (95% CI)</w:t>
            </w:r>
          </w:p>
        </w:tc>
        <w:tc>
          <w:tcPr>
            <w:tcW w:w="1068" w:type="pct"/>
            <w:tcBorders>
              <w:top w:val="single" w:sz="4" w:space="0" w:color="auto"/>
              <w:left w:val="single" w:sz="4" w:space="0" w:color="auto"/>
              <w:bottom w:val="single" w:sz="4" w:space="0" w:color="auto"/>
              <w:right w:val="single" w:sz="4" w:space="0" w:color="auto"/>
            </w:tcBorders>
          </w:tcPr>
          <w:p w14:paraId="4BAF59BD" w14:textId="42217E14" w:rsidR="00782652" w:rsidRPr="00007450" w:rsidRDefault="00782652" w:rsidP="00864C4B">
            <w:pPr>
              <w:pStyle w:val="TableText0"/>
              <w:jc w:val="center"/>
            </w:pPr>
            <w:r w:rsidRPr="00007450">
              <w:t>95.7% (94.0, 96.9)</w:t>
            </w:r>
          </w:p>
        </w:tc>
        <w:tc>
          <w:tcPr>
            <w:tcW w:w="865" w:type="pct"/>
            <w:tcBorders>
              <w:top w:val="single" w:sz="4" w:space="0" w:color="auto"/>
              <w:left w:val="single" w:sz="4" w:space="0" w:color="auto"/>
              <w:bottom w:val="single" w:sz="4" w:space="0" w:color="auto"/>
              <w:right w:val="single" w:sz="4" w:space="0" w:color="auto"/>
            </w:tcBorders>
          </w:tcPr>
          <w:p w14:paraId="2112882C" w14:textId="7029960B" w:rsidR="00782652" w:rsidRPr="00007450" w:rsidRDefault="00782652" w:rsidP="00864C4B">
            <w:pPr>
              <w:pStyle w:val="TableText0"/>
              <w:jc w:val="center"/>
            </w:pPr>
            <w:r w:rsidRPr="00007450">
              <w:t>92.9% (90.8, 94.6)</w:t>
            </w:r>
          </w:p>
        </w:tc>
        <w:tc>
          <w:tcPr>
            <w:tcW w:w="822" w:type="pct"/>
            <w:tcBorders>
              <w:top w:val="single" w:sz="4" w:space="0" w:color="auto"/>
              <w:left w:val="single" w:sz="4" w:space="0" w:color="auto"/>
              <w:bottom w:val="single" w:sz="4" w:space="0" w:color="auto"/>
              <w:right w:val="single" w:sz="4" w:space="0" w:color="auto"/>
            </w:tcBorders>
          </w:tcPr>
          <w:p w14:paraId="5EFEB1A9" w14:textId="63082012" w:rsidR="00782652" w:rsidRPr="00007450" w:rsidRDefault="00782652" w:rsidP="00864C4B">
            <w:pPr>
              <w:pStyle w:val="TableText0"/>
              <w:jc w:val="center"/>
            </w:pPr>
            <w:r w:rsidRPr="00007450">
              <w:t>2.8%</w:t>
            </w:r>
          </w:p>
        </w:tc>
        <w:tc>
          <w:tcPr>
            <w:tcW w:w="879" w:type="pct"/>
            <w:tcBorders>
              <w:top w:val="single" w:sz="4" w:space="0" w:color="auto"/>
              <w:left w:val="single" w:sz="4" w:space="0" w:color="auto"/>
              <w:bottom w:val="single" w:sz="4" w:space="0" w:color="auto"/>
            </w:tcBorders>
          </w:tcPr>
          <w:p w14:paraId="6BF28AA4" w14:textId="2E36F478" w:rsidR="00782652" w:rsidRPr="00007450" w:rsidRDefault="00782652" w:rsidP="00864C4B">
            <w:pPr>
              <w:pStyle w:val="TableText0"/>
              <w:jc w:val="center"/>
            </w:pPr>
            <w:r w:rsidRPr="00007450">
              <w:t>-</w:t>
            </w:r>
          </w:p>
        </w:tc>
      </w:tr>
      <w:tr w:rsidR="009905C4" w:rsidRPr="00007450" w14:paraId="39CF8A80"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0A249E0A" w14:textId="77777777" w:rsidR="009905C4" w:rsidRPr="00007450" w:rsidRDefault="009905C4" w:rsidP="00864C4B">
            <w:pPr>
              <w:pStyle w:val="In-tableHeading"/>
              <w:rPr>
                <w:lang w:val="en-AU"/>
              </w:rPr>
            </w:pPr>
            <w:r w:rsidRPr="00007450">
              <w:rPr>
                <w:lang w:val="en-AU"/>
              </w:rPr>
              <w:t>Overall survival (median duration of follow up 49.6 months)</w:t>
            </w:r>
          </w:p>
        </w:tc>
      </w:tr>
      <w:tr w:rsidR="009905C4" w:rsidRPr="00007450" w14:paraId="0546A8B4"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6A01120F" w14:textId="77777777" w:rsidR="009905C4" w:rsidRPr="00007450" w:rsidRDefault="009905C4" w:rsidP="00864C4B">
            <w:pPr>
              <w:pStyle w:val="TableText0"/>
            </w:pPr>
            <w:r w:rsidRPr="00007450">
              <w:t xml:space="preserve">Deaths, n/N (%) </w:t>
            </w:r>
          </w:p>
        </w:tc>
        <w:tc>
          <w:tcPr>
            <w:tcW w:w="1068" w:type="pct"/>
            <w:tcBorders>
              <w:top w:val="single" w:sz="4" w:space="0" w:color="auto"/>
              <w:left w:val="single" w:sz="4" w:space="0" w:color="auto"/>
              <w:bottom w:val="single" w:sz="4" w:space="0" w:color="auto"/>
              <w:right w:val="single" w:sz="4" w:space="0" w:color="auto"/>
            </w:tcBorders>
          </w:tcPr>
          <w:p w14:paraId="461EC72E" w14:textId="77777777" w:rsidR="009905C4" w:rsidRPr="00007450" w:rsidRDefault="009905C4" w:rsidP="00864C4B">
            <w:pPr>
              <w:pStyle w:val="TableText0"/>
              <w:jc w:val="center"/>
            </w:pPr>
            <w:r w:rsidRPr="00007450">
              <w:rPr>
                <w:rFonts w:cs="Times New Roman"/>
                <w:szCs w:val="20"/>
              </w:rPr>
              <w:t>19/891 (2.1%)</w:t>
            </w:r>
          </w:p>
        </w:tc>
        <w:tc>
          <w:tcPr>
            <w:tcW w:w="865" w:type="pct"/>
            <w:tcBorders>
              <w:top w:val="single" w:sz="4" w:space="0" w:color="auto"/>
              <w:left w:val="single" w:sz="4" w:space="0" w:color="auto"/>
              <w:bottom w:val="single" w:sz="4" w:space="0" w:color="auto"/>
              <w:right w:val="single" w:sz="4" w:space="0" w:color="auto"/>
            </w:tcBorders>
          </w:tcPr>
          <w:p w14:paraId="25CC019C" w14:textId="77777777" w:rsidR="009905C4" w:rsidRPr="00007450" w:rsidRDefault="009905C4" w:rsidP="00864C4B">
            <w:pPr>
              <w:pStyle w:val="TableText0"/>
              <w:jc w:val="center"/>
            </w:pPr>
            <w:r w:rsidRPr="00007450">
              <w:rPr>
                <w:rFonts w:cs="Times New Roman"/>
                <w:szCs w:val="20"/>
              </w:rPr>
              <w:t>20/903 (2.2%)</w:t>
            </w:r>
          </w:p>
        </w:tc>
        <w:tc>
          <w:tcPr>
            <w:tcW w:w="822" w:type="pct"/>
            <w:tcBorders>
              <w:top w:val="single" w:sz="4" w:space="0" w:color="auto"/>
              <w:left w:val="single" w:sz="4" w:space="0" w:color="auto"/>
              <w:bottom w:val="single" w:sz="4" w:space="0" w:color="auto"/>
              <w:right w:val="single" w:sz="4" w:space="0" w:color="auto"/>
            </w:tcBorders>
          </w:tcPr>
          <w:p w14:paraId="1E66859B" w14:textId="12D653F0" w:rsidR="009905C4" w:rsidRPr="00007450" w:rsidRDefault="002B786D" w:rsidP="00864C4B">
            <w:pPr>
              <w:pStyle w:val="TableText0"/>
              <w:jc w:val="center"/>
            </w:pPr>
            <w:r w:rsidRPr="00007450">
              <w:t>NA</w:t>
            </w:r>
          </w:p>
        </w:tc>
        <w:tc>
          <w:tcPr>
            <w:tcW w:w="879" w:type="pct"/>
            <w:tcBorders>
              <w:top w:val="single" w:sz="4" w:space="0" w:color="auto"/>
              <w:left w:val="single" w:sz="4" w:space="0" w:color="auto"/>
              <w:bottom w:val="single" w:sz="4" w:space="0" w:color="auto"/>
              <w:right w:val="single" w:sz="4" w:space="0" w:color="auto"/>
            </w:tcBorders>
          </w:tcPr>
          <w:p w14:paraId="5E204D2B" w14:textId="77777777" w:rsidR="009905C4" w:rsidRPr="00007450" w:rsidRDefault="009905C4" w:rsidP="00864C4B">
            <w:pPr>
              <w:pStyle w:val="TableText0"/>
              <w:jc w:val="center"/>
              <w:rPr>
                <w:szCs w:val="20"/>
              </w:rPr>
            </w:pPr>
            <w:r w:rsidRPr="00007450">
              <w:rPr>
                <w:szCs w:val="20"/>
              </w:rPr>
              <w:t>0.87 (0.46, 1.66)</w:t>
            </w:r>
          </w:p>
          <w:p w14:paraId="183D5DDD" w14:textId="77777777" w:rsidR="009905C4" w:rsidRPr="00007450" w:rsidRDefault="009905C4" w:rsidP="00864C4B">
            <w:pPr>
              <w:pStyle w:val="TableText0"/>
              <w:jc w:val="center"/>
            </w:pPr>
            <w:r w:rsidRPr="00007450">
              <w:t>p = 0.34</w:t>
            </w:r>
          </w:p>
        </w:tc>
      </w:tr>
      <w:tr w:rsidR="009905C4" w:rsidRPr="00007450" w14:paraId="7C1AACBA"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02C2A476" w14:textId="77777777" w:rsidR="009905C4" w:rsidRPr="00007450" w:rsidRDefault="009905C4" w:rsidP="00864C4B">
            <w:pPr>
              <w:pStyle w:val="TableText0"/>
            </w:pPr>
            <w:r w:rsidRPr="00007450">
              <w:t>Median OS, months (95% CI)</w:t>
            </w:r>
          </w:p>
        </w:tc>
        <w:tc>
          <w:tcPr>
            <w:tcW w:w="1068" w:type="pct"/>
            <w:tcBorders>
              <w:top w:val="single" w:sz="4" w:space="0" w:color="auto"/>
              <w:left w:val="single" w:sz="4" w:space="0" w:color="auto"/>
              <w:bottom w:val="single" w:sz="4" w:space="0" w:color="auto"/>
              <w:right w:val="single" w:sz="4" w:space="0" w:color="auto"/>
            </w:tcBorders>
          </w:tcPr>
          <w:p w14:paraId="002BF6A6" w14:textId="77777777" w:rsidR="009905C4" w:rsidRPr="00007450" w:rsidRDefault="009905C4" w:rsidP="00864C4B">
            <w:pPr>
              <w:pStyle w:val="TableText0"/>
              <w:jc w:val="center"/>
              <w:rPr>
                <w:rFonts w:cs="Times New Roman"/>
                <w:szCs w:val="20"/>
              </w:rPr>
            </w:pPr>
            <w:r w:rsidRPr="00007450">
              <w:rPr>
                <w:rFonts w:cs="Times New Roman"/>
                <w:szCs w:val="20"/>
              </w:rPr>
              <w:t>Not yet met</w:t>
            </w:r>
          </w:p>
        </w:tc>
        <w:tc>
          <w:tcPr>
            <w:tcW w:w="865" w:type="pct"/>
            <w:tcBorders>
              <w:top w:val="single" w:sz="4" w:space="0" w:color="auto"/>
              <w:left w:val="single" w:sz="4" w:space="0" w:color="auto"/>
              <w:bottom w:val="single" w:sz="4" w:space="0" w:color="auto"/>
              <w:right w:val="single" w:sz="4" w:space="0" w:color="auto"/>
            </w:tcBorders>
          </w:tcPr>
          <w:p w14:paraId="31A1DF20" w14:textId="77777777" w:rsidR="009905C4" w:rsidRPr="00007450" w:rsidRDefault="009905C4" w:rsidP="00864C4B">
            <w:pPr>
              <w:pStyle w:val="TableText0"/>
              <w:jc w:val="center"/>
              <w:rPr>
                <w:rFonts w:cs="Times New Roman"/>
                <w:szCs w:val="20"/>
              </w:rPr>
            </w:pPr>
            <w:r w:rsidRPr="00007450">
              <w:rPr>
                <w:rFonts w:cs="Times New Roman"/>
                <w:szCs w:val="20"/>
              </w:rPr>
              <w:t>Not yet met</w:t>
            </w:r>
          </w:p>
        </w:tc>
        <w:tc>
          <w:tcPr>
            <w:tcW w:w="822" w:type="pct"/>
            <w:tcBorders>
              <w:top w:val="single" w:sz="4" w:space="0" w:color="auto"/>
              <w:left w:val="single" w:sz="4" w:space="0" w:color="auto"/>
              <w:bottom w:val="single" w:sz="4" w:space="0" w:color="auto"/>
              <w:right w:val="single" w:sz="4" w:space="0" w:color="auto"/>
            </w:tcBorders>
          </w:tcPr>
          <w:p w14:paraId="29F9AE88" w14:textId="1C967664" w:rsidR="009905C4" w:rsidRPr="00007450" w:rsidRDefault="008E5791" w:rsidP="00864C4B">
            <w:pPr>
              <w:pStyle w:val="TableText0"/>
              <w:jc w:val="center"/>
            </w:pPr>
            <w:r w:rsidRPr="00007450">
              <w:t>-</w:t>
            </w:r>
          </w:p>
        </w:tc>
        <w:tc>
          <w:tcPr>
            <w:tcW w:w="879" w:type="pct"/>
            <w:tcBorders>
              <w:top w:val="single" w:sz="4" w:space="0" w:color="auto"/>
              <w:left w:val="single" w:sz="4" w:space="0" w:color="auto"/>
              <w:bottom w:val="single" w:sz="4" w:space="0" w:color="auto"/>
              <w:right w:val="single" w:sz="4" w:space="0" w:color="auto"/>
            </w:tcBorders>
          </w:tcPr>
          <w:p w14:paraId="6AA94DCD" w14:textId="2EF3AEFC" w:rsidR="009905C4" w:rsidRPr="00007450" w:rsidRDefault="008E5791" w:rsidP="00864C4B">
            <w:pPr>
              <w:pStyle w:val="TableText0"/>
              <w:jc w:val="center"/>
              <w:rPr>
                <w:szCs w:val="20"/>
              </w:rPr>
            </w:pPr>
            <w:r w:rsidRPr="00007450">
              <w:rPr>
                <w:szCs w:val="20"/>
              </w:rPr>
              <w:t>-</w:t>
            </w:r>
          </w:p>
        </w:tc>
      </w:tr>
      <w:tr w:rsidR="009905C4" w:rsidRPr="00007450" w14:paraId="46DF3BBA"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2661540F" w14:textId="77777777" w:rsidR="009905C4" w:rsidRPr="00007450" w:rsidRDefault="009905C4" w:rsidP="00864C4B">
            <w:pPr>
              <w:pStyle w:val="TableText0"/>
            </w:pPr>
            <w:r w:rsidRPr="00007450">
              <w:t>% Alive at 1 year (95% CI)</w:t>
            </w:r>
          </w:p>
        </w:tc>
        <w:tc>
          <w:tcPr>
            <w:tcW w:w="1068" w:type="pct"/>
            <w:tcBorders>
              <w:top w:val="single" w:sz="4" w:space="0" w:color="auto"/>
              <w:left w:val="single" w:sz="4" w:space="0" w:color="auto"/>
              <w:bottom w:val="single" w:sz="4" w:space="0" w:color="auto"/>
              <w:right w:val="single" w:sz="4" w:space="0" w:color="auto"/>
            </w:tcBorders>
          </w:tcPr>
          <w:p w14:paraId="7EE279EB" w14:textId="77777777" w:rsidR="009905C4" w:rsidRPr="00007450" w:rsidRDefault="009905C4" w:rsidP="00864C4B">
            <w:pPr>
              <w:pStyle w:val="TableText0"/>
              <w:jc w:val="center"/>
              <w:rPr>
                <w:rFonts w:cs="Times New Roman"/>
                <w:szCs w:val="20"/>
              </w:rPr>
            </w:pPr>
            <w:r w:rsidRPr="00007450">
              <w:t>100.0% (100.0,100.0)</w:t>
            </w:r>
          </w:p>
        </w:tc>
        <w:tc>
          <w:tcPr>
            <w:tcW w:w="865" w:type="pct"/>
            <w:tcBorders>
              <w:top w:val="single" w:sz="4" w:space="0" w:color="auto"/>
              <w:left w:val="single" w:sz="4" w:space="0" w:color="auto"/>
              <w:bottom w:val="single" w:sz="4" w:space="0" w:color="auto"/>
              <w:right w:val="single" w:sz="4" w:space="0" w:color="auto"/>
            </w:tcBorders>
          </w:tcPr>
          <w:p w14:paraId="516C2E99" w14:textId="77777777" w:rsidR="009905C4" w:rsidRPr="00007450" w:rsidRDefault="009905C4" w:rsidP="00864C4B">
            <w:pPr>
              <w:pStyle w:val="TableText0"/>
              <w:jc w:val="center"/>
              <w:rPr>
                <w:rFonts w:cs="Times New Roman"/>
                <w:szCs w:val="20"/>
              </w:rPr>
            </w:pPr>
            <w:r w:rsidRPr="00007450">
              <w:t>99.8% (99.0, 99.9)</w:t>
            </w:r>
          </w:p>
        </w:tc>
        <w:tc>
          <w:tcPr>
            <w:tcW w:w="822" w:type="pct"/>
            <w:tcBorders>
              <w:top w:val="single" w:sz="4" w:space="0" w:color="auto"/>
              <w:left w:val="single" w:sz="4" w:space="0" w:color="auto"/>
              <w:bottom w:val="single" w:sz="4" w:space="0" w:color="auto"/>
              <w:right w:val="single" w:sz="4" w:space="0" w:color="auto"/>
            </w:tcBorders>
          </w:tcPr>
          <w:p w14:paraId="3E4471BC" w14:textId="77777777" w:rsidR="009905C4" w:rsidRPr="00007450" w:rsidRDefault="009905C4" w:rsidP="00864C4B">
            <w:pPr>
              <w:pStyle w:val="TableText0"/>
              <w:jc w:val="center"/>
            </w:pPr>
            <w:r w:rsidRPr="00007450">
              <w:t>0.2%</w:t>
            </w:r>
          </w:p>
        </w:tc>
        <w:tc>
          <w:tcPr>
            <w:tcW w:w="879" w:type="pct"/>
            <w:tcBorders>
              <w:top w:val="single" w:sz="4" w:space="0" w:color="auto"/>
              <w:left w:val="single" w:sz="4" w:space="0" w:color="auto"/>
              <w:bottom w:val="single" w:sz="4" w:space="0" w:color="auto"/>
              <w:right w:val="single" w:sz="4" w:space="0" w:color="auto"/>
            </w:tcBorders>
          </w:tcPr>
          <w:p w14:paraId="62CBFE14" w14:textId="25943E50" w:rsidR="009905C4" w:rsidRPr="00007450" w:rsidRDefault="008E5791" w:rsidP="00864C4B">
            <w:pPr>
              <w:pStyle w:val="TableText0"/>
              <w:jc w:val="center"/>
              <w:rPr>
                <w:szCs w:val="20"/>
              </w:rPr>
            </w:pPr>
            <w:r w:rsidRPr="00007450">
              <w:rPr>
                <w:szCs w:val="20"/>
              </w:rPr>
              <w:t>-</w:t>
            </w:r>
          </w:p>
        </w:tc>
      </w:tr>
      <w:tr w:rsidR="009905C4" w:rsidRPr="00007450" w14:paraId="287376FB"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7D032F13" w14:textId="77777777" w:rsidR="009905C4" w:rsidRPr="00007450" w:rsidRDefault="009905C4" w:rsidP="00864C4B">
            <w:pPr>
              <w:pStyle w:val="TableText0"/>
            </w:pPr>
            <w:r w:rsidRPr="00007450">
              <w:t xml:space="preserve">% Alive at 2 years (95% CI) </w:t>
            </w:r>
          </w:p>
        </w:tc>
        <w:tc>
          <w:tcPr>
            <w:tcW w:w="1068" w:type="pct"/>
            <w:tcBorders>
              <w:top w:val="single" w:sz="4" w:space="0" w:color="auto"/>
              <w:left w:val="single" w:sz="4" w:space="0" w:color="auto"/>
              <w:bottom w:val="single" w:sz="4" w:space="0" w:color="auto"/>
              <w:right w:val="single" w:sz="4" w:space="0" w:color="auto"/>
            </w:tcBorders>
          </w:tcPr>
          <w:p w14:paraId="7E31EA4E" w14:textId="77777777" w:rsidR="009905C4" w:rsidRPr="00007450" w:rsidRDefault="009905C4" w:rsidP="00864C4B">
            <w:pPr>
              <w:pStyle w:val="TableText0"/>
              <w:jc w:val="center"/>
            </w:pPr>
            <w:r w:rsidRPr="00007450">
              <w:t>99.6% (98.9, 99.9)</w:t>
            </w:r>
          </w:p>
        </w:tc>
        <w:tc>
          <w:tcPr>
            <w:tcW w:w="865" w:type="pct"/>
            <w:tcBorders>
              <w:top w:val="single" w:sz="4" w:space="0" w:color="auto"/>
              <w:left w:val="single" w:sz="4" w:space="0" w:color="auto"/>
              <w:bottom w:val="single" w:sz="4" w:space="0" w:color="auto"/>
              <w:right w:val="single" w:sz="4" w:space="0" w:color="auto"/>
            </w:tcBorders>
          </w:tcPr>
          <w:p w14:paraId="5BF69CA8" w14:textId="77777777" w:rsidR="009905C4" w:rsidRPr="00007450" w:rsidRDefault="009905C4" w:rsidP="00864C4B">
            <w:pPr>
              <w:pStyle w:val="TableText0"/>
              <w:jc w:val="center"/>
              <w:rPr>
                <w:szCs w:val="20"/>
              </w:rPr>
            </w:pPr>
            <w:r w:rsidRPr="00007450">
              <w:t>99.4% (98.5, 99.7)</w:t>
            </w:r>
          </w:p>
        </w:tc>
        <w:tc>
          <w:tcPr>
            <w:tcW w:w="822" w:type="pct"/>
            <w:tcBorders>
              <w:top w:val="single" w:sz="4" w:space="0" w:color="auto"/>
              <w:left w:val="single" w:sz="4" w:space="0" w:color="auto"/>
              <w:bottom w:val="single" w:sz="4" w:space="0" w:color="auto"/>
              <w:right w:val="single" w:sz="4" w:space="0" w:color="auto"/>
            </w:tcBorders>
          </w:tcPr>
          <w:p w14:paraId="1EE4CFA5" w14:textId="77777777" w:rsidR="009905C4" w:rsidRPr="00007450" w:rsidRDefault="009905C4" w:rsidP="00864C4B">
            <w:pPr>
              <w:pStyle w:val="TableText0"/>
              <w:jc w:val="center"/>
            </w:pPr>
            <w:r w:rsidRPr="00007450">
              <w:t>0.2%</w:t>
            </w:r>
          </w:p>
        </w:tc>
        <w:tc>
          <w:tcPr>
            <w:tcW w:w="879" w:type="pct"/>
            <w:tcBorders>
              <w:top w:val="single" w:sz="4" w:space="0" w:color="auto"/>
              <w:left w:val="single" w:sz="4" w:space="0" w:color="auto"/>
              <w:bottom w:val="single" w:sz="4" w:space="0" w:color="auto"/>
              <w:right w:val="single" w:sz="4" w:space="0" w:color="auto"/>
            </w:tcBorders>
          </w:tcPr>
          <w:p w14:paraId="4AFEB506" w14:textId="42778494" w:rsidR="009905C4" w:rsidRPr="00007450" w:rsidRDefault="008E5791" w:rsidP="00864C4B">
            <w:pPr>
              <w:pStyle w:val="TableText0"/>
              <w:jc w:val="center"/>
            </w:pPr>
            <w:r w:rsidRPr="00007450">
              <w:t>-</w:t>
            </w:r>
          </w:p>
        </w:tc>
      </w:tr>
      <w:tr w:rsidR="009905C4" w:rsidRPr="00007450" w14:paraId="13AF3975"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70A83FD1" w14:textId="77777777" w:rsidR="009905C4" w:rsidRPr="00007450" w:rsidRDefault="009905C4" w:rsidP="00864C4B">
            <w:pPr>
              <w:pStyle w:val="TableText0"/>
            </w:pPr>
            <w:r w:rsidRPr="00007450">
              <w:t>% Alive at 3 years (95% CI)</w:t>
            </w:r>
          </w:p>
        </w:tc>
        <w:tc>
          <w:tcPr>
            <w:tcW w:w="1068" w:type="pct"/>
            <w:tcBorders>
              <w:top w:val="single" w:sz="4" w:space="0" w:color="auto"/>
              <w:left w:val="single" w:sz="4" w:space="0" w:color="auto"/>
              <w:bottom w:val="single" w:sz="4" w:space="0" w:color="auto"/>
              <w:right w:val="single" w:sz="4" w:space="0" w:color="auto"/>
            </w:tcBorders>
          </w:tcPr>
          <w:p w14:paraId="01A51D74" w14:textId="77777777" w:rsidR="009905C4" w:rsidRPr="00007450" w:rsidRDefault="009905C4" w:rsidP="00864C4B">
            <w:pPr>
              <w:pStyle w:val="TableText0"/>
              <w:jc w:val="center"/>
              <w:rPr>
                <w:szCs w:val="20"/>
              </w:rPr>
            </w:pPr>
            <w:r w:rsidRPr="00007450">
              <w:t>98.8% (97.7, 99.3)</w:t>
            </w:r>
          </w:p>
        </w:tc>
        <w:tc>
          <w:tcPr>
            <w:tcW w:w="865" w:type="pct"/>
            <w:tcBorders>
              <w:top w:val="single" w:sz="4" w:space="0" w:color="auto"/>
              <w:left w:val="single" w:sz="4" w:space="0" w:color="auto"/>
              <w:bottom w:val="single" w:sz="4" w:space="0" w:color="auto"/>
              <w:right w:val="single" w:sz="4" w:space="0" w:color="auto"/>
            </w:tcBorders>
          </w:tcPr>
          <w:p w14:paraId="3667AD9A" w14:textId="77777777" w:rsidR="009905C4" w:rsidRPr="00007450" w:rsidRDefault="009905C4" w:rsidP="00864C4B">
            <w:pPr>
              <w:pStyle w:val="TableText0"/>
              <w:jc w:val="center"/>
              <w:rPr>
                <w:szCs w:val="20"/>
              </w:rPr>
            </w:pPr>
            <w:r w:rsidRPr="00007450">
              <w:t>98.1% (96.9, 98.9)</w:t>
            </w:r>
          </w:p>
        </w:tc>
        <w:tc>
          <w:tcPr>
            <w:tcW w:w="822" w:type="pct"/>
            <w:tcBorders>
              <w:top w:val="single" w:sz="4" w:space="0" w:color="auto"/>
              <w:left w:val="single" w:sz="4" w:space="0" w:color="auto"/>
              <w:bottom w:val="single" w:sz="4" w:space="0" w:color="auto"/>
              <w:right w:val="single" w:sz="4" w:space="0" w:color="auto"/>
            </w:tcBorders>
          </w:tcPr>
          <w:p w14:paraId="427BCB35" w14:textId="77777777" w:rsidR="009905C4" w:rsidRPr="00007450" w:rsidRDefault="009905C4" w:rsidP="00864C4B">
            <w:pPr>
              <w:pStyle w:val="TableText0"/>
              <w:jc w:val="center"/>
            </w:pPr>
            <w:r w:rsidRPr="00007450">
              <w:t>0.7%</w:t>
            </w:r>
          </w:p>
        </w:tc>
        <w:tc>
          <w:tcPr>
            <w:tcW w:w="879" w:type="pct"/>
            <w:tcBorders>
              <w:top w:val="single" w:sz="4" w:space="0" w:color="auto"/>
              <w:left w:val="single" w:sz="4" w:space="0" w:color="auto"/>
              <w:bottom w:val="single" w:sz="4" w:space="0" w:color="auto"/>
              <w:right w:val="single" w:sz="4" w:space="0" w:color="auto"/>
            </w:tcBorders>
          </w:tcPr>
          <w:p w14:paraId="222F8287" w14:textId="597EE817" w:rsidR="009905C4" w:rsidRPr="00007450" w:rsidRDefault="008E5791" w:rsidP="00864C4B">
            <w:pPr>
              <w:pStyle w:val="TableText0"/>
              <w:jc w:val="center"/>
            </w:pPr>
            <w:r w:rsidRPr="00007450">
              <w:t>-</w:t>
            </w:r>
          </w:p>
        </w:tc>
      </w:tr>
      <w:tr w:rsidR="009905C4" w:rsidRPr="00007450" w14:paraId="1A44B025" w14:textId="77777777" w:rsidTr="008E5791">
        <w:trPr>
          <w:trHeight w:val="20"/>
        </w:trPr>
        <w:tc>
          <w:tcPr>
            <w:tcW w:w="1366" w:type="pct"/>
            <w:tcBorders>
              <w:top w:val="single" w:sz="4" w:space="0" w:color="auto"/>
              <w:left w:val="single" w:sz="4" w:space="0" w:color="auto"/>
              <w:bottom w:val="single" w:sz="4" w:space="0" w:color="auto"/>
              <w:right w:val="single" w:sz="4" w:space="0" w:color="auto"/>
            </w:tcBorders>
          </w:tcPr>
          <w:p w14:paraId="443BEAC3" w14:textId="77777777" w:rsidR="009905C4" w:rsidRPr="00007450" w:rsidRDefault="009905C4" w:rsidP="00864C4B">
            <w:pPr>
              <w:pStyle w:val="TableText0"/>
            </w:pPr>
            <w:r w:rsidRPr="00007450">
              <w:t>% Alive at 4 years (95% CI)</w:t>
            </w:r>
          </w:p>
        </w:tc>
        <w:tc>
          <w:tcPr>
            <w:tcW w:w="1068" w:type="pct"/>
            <w:tcBorders>
              <w:top w:val="single" w:sz="4" w:space="0" w:color="auto"/>
              <w:left w:val="single" w:sz="4" w:space="0" w:color="auto"/>
              <w:bottom w:val="single" w:sz="4" w:space="0" w:color="auto"/>
              <w:right w:val="single" w:sz="4" w:space="0" w:color="auto"/>
            </w:tcBorders>
          </w:tcPr>
          <w:p w14:paraId="49AA0997" w14:textId="77777777" w:rsidR="009905C4" w:rsidRPr="00007450" w:rsidRDefault="009905C4" w:rsidP="00864C4B">
            <w:pPr>
              <w:pStyle w:val="TableText0"/>
              <w:jc w:val="center"/>
              <w:rPr>
                <w:szCs w:val="20"/>
              </w:rPr>
            </w:pPr>
            <w:r w:rsidRPr="00007450">
              <w:t>97.8% (96.5, 98.6)</w:t>
            </w:r>
          </w:p>
        </w:tc>
        <w:tc>
          <w:tcPr>
            <w:tcW w:w="865" w:type="pct"/>
            <w:tcBorders>
              <w:top w:val="single" w:sz="4" w:space="0" w:color="auto"/>
              <w:left w:val="single" w:sz="4" w:space="0" w:color="auto"/>
              <w:bottom w:val="single" w:sz="4" w:space="0" w:color="auto"/>
              <w:right w:val="single" w:sz="4" w:space="0" w:color="auto"/>
            </w:tcBorders>
          </w:tcPr>
          <w:p w14:paraId="1B3EBC07" w14:textId="77777777" w:rsidR="009905C4" w:rsidRPr="00007450" w:rsidRDefault="009905C4" w:rsidP="00864C4B">
            <w:pPr>
              <w:pStyle w:val="TableText0"/>
              <w:jc w:val="center"/>
              <w:rPr>
                <w:szCs w:val="20"/>
              </w:rPr>
            </w:pPr>
            <w:r w:rsidRPr="00007450">
              <w:t>97.5% (96.1, 98.4)</w:t>
            </w:r>
          </w:p>
        </w:tc>
        <w:tc>
          <w:tcPr>
            <w:tcW w:w="822" w:type="pct"/>
            <w:tcBorders>
              <w:top w:val="single" w:sz="4" w:space="0" w:color="auto"/>
              <w:left w:val="single" w:sz="4" w:space="0" w:color="auto"/>
              <w:bottom w:val="single" w:sz="4" w:space="0" w:color="auto"/>
              <w:right w:val="single" w:sz="4" w:space="0" w:color="auto"/>
            </w:tcBorders>
          </w:tcPr>
          <w:p w14:paraId="50C007AC" w14:textId="77777777" w:rsidR="009905C4" w:rsidRPr="00007450" w:rsidRDefault="009905C4" w:rsidP="00864C4B">
            <w:pPr>
              <w:pStyle w:val="TableText0"/>
              <w:jc w:val="center"/>
            </w:pPr>
            <w:r w:rsidRPr="00007450">
              <w:t>0.3%</w:t>
            </w:r>
          </w:p>
        </w:tc>
        <w:tc>
          <w:tcPr>
            <w:tcW w:w="879" w:type="pct"/>
            <w:tcBorders>
              <w:top w:val="single" w:sz="4" w:space="0" w:color="auto"/>
              <w:left w:val="single" w:sz="4" w:space="0" w:color="auto"/>
              <w:bottom w:val="single" w:sz="4" w:space="0" w:color="auto"/>
              <w:right w:val="single" w:sz="4" w:space="0" w:color="auto"/>
            </w:tcBorders>
          </w:tcPr>
          <w:p w14:paraId="71F334FD" w14:textId="1799C47A" w:rsidR="009905C4" w:rsidRPr="00007450" w:rsidRDefault="008E5791" w:rsidP="00864C4B">
            <w:pPr>
              <w:pStyle w:val="TableText0"/>
              <w:jc w:val="center"/>
            </w:pPr>
            <w:r w:rsidRPr="00007450">
              <w:t>-</w:t>
            </w:r>
          </w:p>
        </w:tc>
      </w:tr>
    </w:tbl>
    <w:tbl>
      <w:tblPr>
        <w:tblW w:w="5000" w:type="pct"/>
        <w:tblLayout w:type="fixed"/>
        <w:tblCellMar>
          <w:left w:w="28" w:type="dxa"/>
          <w:right w:w="28" w:type="dxa"/>
        </w:tblCellMar>
        <w:tblLook w:val="04A0" w:firstRow="1" w:lastRow="0" w:firstColumn="1" w:lastColumn="0" w:noHBand="0" w:noVBand="1"/>
        <w:tblCaption w:val="Table 8: Summary of comparative benefits and harms for Ribociclib and ET and ET alone (NATALEE trial, proposed PBS population, April 2024 DCO)"/>
      </w:tblPr>
      <w:tblGrid>
        <w:gridCol w:w="1413"/>
        <w:gridCol w:w="1280"/>
        <w:gridCol w:w="1277"/>
        <w:gridCol w:w="1562"/>
        <w:gridCol w:w="1133"/>
        <w:gridCol w:w="1277"/>
        <w:gridCol w:w="1075"/>
      </w:tblGrid>
      <w:tr w:rsidR="006202BD" w:rsidRPr="00007450" w14:paraId="76539567" w14:textId="77777777">
        <w:tc>
          <w:tcPr>
            <w:tcW w:w="5000" w:type="pct"/>
            <w:gridSpan w:val="7"/>
            <w:tcBorders>
              <w:top w:val="double" w:sz="4" w:space="0" w:color="auto"/>
              <w:left w:val="single" w:sz="4" w:space="0" w:color="auto"/>
              <w:bottom w:val="single" w:sz="4" w:space="0" w:color="auto"/>
              <w:right w:val="single" w:sz="4" w:space="0" w:color="auto"/>
            </w:tcBorders>
            <w:vAlign w:val="center"/>
          </w:tcPr>
          <w:p w14:paraId="46E26543" w14:textId="77777777" w:rsidR="006202BD" w:rsidRPr="00007450" w:rsidRDefault="006202BD" w:rsidP="00864C4B">
            <w:pPr>
              <w:pStyle w:val="In-tableHeading"/>
              <w:rPr>
                <w:lang w:val="en-AU"/>
              </w:rPr>
            </w:pPr>
            <w:r w:rsidRPr="00007450">
              <w:rPr>
                <w:lang w:val="en-AU"/>
              </w:rPr>
              <w:t xml:space="preserve">Harms </w:t>
            </w:r>
          </w:p>
        </w:tc>
      </w:tr>
      <w:tr w:rsidR="006202BD" w:rsidRPr="00007450" w14:paraId="04F1999B" w14:textId="77777777">
        <w:trPr>
          <w:trHeight w:val="70"/>
        </w:trPr>
        <w:tc>
          <w:tcPr>
            <w:tcW w:w="784" w:type="pct"/>
            <w:vMerge w:val="restart"/>
            <w:tcBorders>
              <w:top w:val="single" w:sz="4" w:space="0" w:color="auto"/>
              <w:left w:val="single" w:sz="4" w:space="0" w:color="auto"/>
              <w:bottom w:val="single" w:sz="4" w:space="0" w:color="auto"/>
              <w:right w:val="single" w:sz="4" w:space="0" w:color="auto"/>
            </w:tcBorders>
            <w:vAlign w:val="center"/>
          </w:tcPr>
          <w:p w14:paraId="7F9776FE" w14:textId="0CE6E2A0" w:rsidR="006202BD" w:rsidRPr="00007450" w:rsidRDefault="006202BD" w:rsidP="00864C4B">
            <w:pPr>
              <w:pStyle w:val="In-tableHeading"/>
              <w:rPr>
                <w:lang w:val="en-AU"/>
              </w:rPr>
            </w:pPr>
            <w:r w:rsidRPr="00007450">
              <w:rPr>
                <w:lang w:val="en-AU"/>
              </w:rPr>
              <w:t xml:space="preserve">Adverse event </w:t>
            </w:r>
          </w:p>
        </w:tc>
        <w:tc>
          <w:tcPr>
            <w:tcW w:w="710" w:type="pct"/>
            <w:vMerge w:val="restart"/>
            <w:tcBorders>
              <w:top w:val="single" w:sz="4" w:space="0" w:color="auto"/>
              <w:left w:val="single" w:sz="4" w:space="0" w:color="auto"/>
              <w:bottom w:val="single" w:sz="4" w:space="0" w:color="auto"/>
              <w:right w:val="single" w:sz="4" w:space="0" w:color="auto"/>
            </w:tcBorders>
          </w:tcPr>
          <w:p w14:paraId="70BCE1BC" w14:textId="77777777" w:rsidR="006202BD" w:rsidRPr="00007450" w:rsidRDefault="006202BD" w:rsidP="00864C4B">
            <w:pPr>
              <w:pStyle w:val="In-tableHeading"/>
              <w:jc w:val="center"/>
              <w:rPr>
                <w:lang w:val="en-AU"/>
              </w:rPr>
            </w:pPr>
            <w:r w:rsidRPr="00007450">
              <w:rPr>
                <w:lang w:val="en-AU"/>
              </w:rPr>
              <w:t>Ribociclib + ET</w:t>
            </w:r>
          </w:p>
          <w:p w14:paraId="192CE60E" w14:textId="77777777" w:rsidR="006202BD" w:rsidRPr="00007450" w:rsidRDefault="006202BD" w:rsidP="00864C4B">
            <w:pPr>
              <w:pStyle w:val="In-tableHeading"/>
              <w:jc w:val="center"/>
              <w:rPr>
                <w:lang w:val="en-AU"/>
              </w:rPr>
            </w:pPr>
            <w:r w:rsidRPr="00007450">
              <w:rPr>
                <w:lang w:val="en-AU"/>
              </w:rPr>
              <w:t>n/N</w:t>
            </w:r>
          </w:p>
        </w:tc>
        <w:tc>
          <w:tcPr>
            <w:tcW w:w="708" w:type="pct"/>
            <w:vMerge w:val="restart"/>
            <w:tcBorders>
              <w:top w:val="single" w:sz="4" w:space="0" w:color="auto"/>
              <w:left w:val="single" w:sz="4" w:space="0" w:color="auto"/>
              <w:bottom w:val="single" w:sz="4" w:space="0" w:color="auto"/>
              <w:right w:val="single" w:sz="4" w:space="0" w:color="auto"/>
            </w:tcBorders>
          </w:tcPr>
          <w:p w14:paraId="6A826B32" w14:textId="77777777" w:rsidR="006202BD" w:rsidRPr="00007450" w:rsidRDefault="006202BD" w:rsidP="00864C4B">
            <w:pPr>
              <w:pStyle w:val="In-tableHeading"/>
              <w:jc w:val="center"/>
              <w:rPr>
                <w:lang w:val="en-AU"/>
              </w:rPr>
            </w:pPr>
            <w:r w:rsidRPr="00007450">
              <w:rPr>
                <w:lang w:val="en-AU"/>
              </w:rPr>
              <w:t>ET alone</w:t>
            </w:r>
          </w:p>
          <w:p w14:paraId="28573B47" w14:textId="77777777" w:rsidR="006202BD" w:rsidRPr="00007450" w:rsidRDefault="006202BD" w:rsidP="00864C4B">
            <w:pPr>
              <w:pStyle w:val="In-tableHeading"/>
              <w:jc w:val="center"/>
              <w:rPr>
                <w:lang w:val="en-AU"/>
              </w:rPr>
            </w:pPr>
            <w:r w:rsidRPr="00007450">
              <w:rPr>
                <w:lang w:val="en-AU"/>
              </w:rPr>
              <w:t>n/N</w:t>
            </w:r>
          </w:p>
        </w:tc>
        <w:tc>
          <w:tcPr>
            <w:tcW w:w="866" w:type="pct"/>
            <w:vMerge w:val="restart"/>
            <w:tcBorders>
              <w:top w:val="single" w:sz="4" w:space="0" w:color="auto"/>
              <w:left w:val="single" w:sz="4" w:space="0" w:color="auto"/>
              <w:bottom w:val="single" w:sz="4" w:space="0" w:color="auto"/>
              <w:right w:val="single" w:sz="4" w:space="0" w:color="auto"/>
            </w:tcBorders>
            <w:vAlign w:val="center"/>
          </w:tcPr>
          <w:p w14:paraId="3589CBAA" w14:textId="77777777" w:rsidR="006202BD" w:rsidRPr="00007450" w:rsidRDefault="006202BD" w:rsidP="00864C4B">
            <w:pPr>
              <w:pStyle w:val="In-tableHeading"/>
              <w:jc w:val="center"/>
              <w:rPr>
                <w:lang w:val="en-AU"/>
              </w:rPr>
            </w:pPr>
            <w:r w:rsidRPr="00007450">
              <w:rPr>
                <w:lang w:val="en-AU"/>
              </w:rPr>
              <w:t>RR</w:t>
            </w:r>
          </w:p>
          <w:p w14:paraId="02570D6E" w14:textId="77777777" w:rsidR="006202BD" w:rsidRPr="00007450" w:rsidRDefault="006202BD" w:rsidP="00864C4B">
            <w:pPr>
              <w:pStyle w:val="In-tableHeading"/>
              <w:jc w:val="center"/>
              <w:rPr>
                <w:lang w:val="en-AU"/>
              </w:rPr>
            </w:pPr>
            <w:r w:rsidRPr="00007450">
              <w:rPr>
                <w:lang w:val="en-AU"/>
              </w:rPr>
              <w:t>(95% CI)</w:t>
            </w:r>
          </w:p>
        </w:tc>
        <w:tc>
          <w:tcPr>
            <w:tcW w:w="1336" w:type="pct"/>
            <w:gridSpan w:val="2"/>
            <w:tcBorders>
              <w:top w:val="single" w:sz="4" w:space="0" w:color="auto"/>
              <w:left w:val="single" w:sz="4" w:space="0" w:color="auto"/>
              <w:bottom w:val="single" w:sz="4" w:space="0" w:color="auto"/>
              <w:right w:val="single" w:sz="4" w:space="0" w:color="auto"/>
            </w:tcBorders>
            <w:vAlign w:val="center"/>
          </w:tcPr>
          <w:p w14:paraId="60AAF22D" w14:textId="77777777" w:rsidR="006202BD" w:rsidRPr="00007450" w:rsidRDefault="006202BD" w:rsidP="00864C4B">
            <w:pPr>
              <w:pStyle w:val="In-tableHeading"/>
              <w:jc w:val="center"/>
              <w:rPr>
                <w:lang w:val="en-AU"/>
              </w:rPr>
            </w:pPr>
            <w:r w:rsidRPr="00007450">
              <w:rPr>
                <w:lang w:val="en-AU"/>
              </w:rPr>
              <w:t>Event rate/100 patients*</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1919918D" w14:textId="77777777" w:rsidR="006202BD" w:rsidRPr="00007450" w:rsidRDefault="006202BD" w:rsidP="00864C4B">
            <w:pPr>
              <w:pStyle w:val="In-tableHeading"/>
              <w:jc w:val="center"/>
              <w:rPr>
                <w:lang w:val="en-AU"/>
              </w:rPr>
            </w:pPr>
            <w:r w:rsidRPr="00007450">
              <w:rPr>
                <w:lang w:val="en-AU"/>
              </w:rPr>
              <w:t>RD</w:t>
            </w:r>
          </w:p>
        </w:tc>
      </w:tr>
      <w:tr w:rsidR="006202BD" w:rsidRPr="00007450" w14:paraId="5465EAFC" w14:textId="77777777">
        <w:trPr>
          <w:trHeight w:val="390"/>
        </w:trPr>
        <w:tc>
          <w:tcPr>
            <w:tcW w:w="784" w:type="pct"/>
            <w:vMerge/>
            <w:tcBorders>
              <w:top w:val="single" w:sz="4" w:space="0" w:color="auto"/>
              <w:left w:val="single" w:sz="4" w:space="0" w:color="auto"/>
              <w:bottom w:val="single" w:sz="4" w:space="0" w:color="auto"/>
              <w:right w:val="single" w:sz="4" w:space="0" w:color="auto"/>
            </w:tcBorders>
            <w:vAlign w:val="center"/>
          </w:tcPr>
          <w:p w14:paraId="439E7872" w14:textId="77777777" w:rsidR="006202BD" w:rsidRPr="00007450" w:rsidRDefault="006202BD" w:rsidP="00864C4B">
            <w:pPr>
              <w:pStyle w:val="In-tableHeading"/>
              <w:rPr>
                <w:lang w:val="en-AU"/>
              </w:rPr>
            </w:pPr>
          </w:p>
        </w:tc>
        <w:tc>
          <w:tcPr>
            <w:tcW w:w="710" w:type="pct"/>
            <w:vMerge/>
            <w:tcBorders>
              <w:top w:val="single" w:sz="4" w:space="0" w:color="auto"/>
              <w:left w:val="single" w:sz="4" w:space="0" w:color="auto"/>
              <w:bottom w:val="single" w:sz="4" w:space="0" w:color="auto"/>
              <w:right w:val="single" w:sz="4" w:space="0" w:color="auto"/>
            </w:tcBorders>
            <w:vAlign w:val="center"/>
          </w:tcPr>
          <w:p w14:paraId="317F7C8A" w14:textId="77777777" w:rsidR="006202BD" w:rsidRPr="00007450" w:rsidRDefault="006202BD" w:rsidP="00864C4B">
            <w:pPr>
              <w:pStyle w:val="In-tableHeading"/>
              <w:rPr>
                <w:lang w:val="en-AU"/>
              </w:rPr>
            </w:pPr>
          </w:p>
        </w:tc>
        <w:tc>
          <w:tcPr>
            <w:tcW w:w="708" w:type="pct"/>
            <w:vMerge/>
            <w:tcBorders>
              <w:top w:val="single" w:sz="4" w:space="0" w:color="auto"/>
              <w:left w:val="single" w:sz="4" w:space="0" w:color="auto"/>
              <w:bottom w:val="single" w:sz="4" w:space="0" w:color="auto"/>
              <w:right w:val="single" w:sz="4" w:space="0" w:color="auto"/>
            </w:tcBorders>
            <w:vAlign w:val="center"/>
          </w:tcPr>
          <w:p w14:paraId="02D98CC8" w14:textId="77777777" w:rsidR="006202BD" w:rsidRPr="00007450" w:rsidRDefault="006202BD" w:rsidP="00864C4B">
            <w:pPr>
              <w:pStyle w:val="In-tableHeading"/>
              <w:rPr>
                <w:lang w:val="en-AU"/>
              </w:rPr>
            </w:pPr>
          </w:p>
        </w:tc>
        <w:tc>
          <w:tcPr>
            <w:tcW w:w="866" w:type="pct"/>
            <w:vMerge/>
            <w:tcBorders>
              <w:top w:val="single" w:sz="4" w:space="0" w:color="auto"/>
              <w:left w:val="single" w:sz="4" w:space="0" w:color="auto"/>
              <w:bottom w:val="single" w:sz="4" w:space="0" w:color="auto"/>
              <w:right w:val="single" w:sz="4" w:space="0" w:color="auto"/>
            </w:tcBorders>
            <w:vAlign w:val="center"/>
          </w:tcPr>
          <w:p w14:paraId="6EFA958B" w14:textId="77777777" w:rsidR="006202BD" w:rsidRPr="00007450" w:rsidRDefault="006202BD" w:rsidP="00864C4B">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1E47DAE1" w14:textId="77777777" w:rsidR="006202BD" w:rsidRPr="00007450" w:rsidRDefault="006202BD" w:rsidP="00864C4B">
            <w:pPr>
              <w:pStyle w:val="In-tableHeading"/>
              <w:jc w:val="center"/>
              <w:rPr>
                <w:lang w:val="en-AU"/>
              </w:rPr>
            </w:pPr>
            <w:r w:rsidRPr="00007450">
              <w:rPr>
                <w:lang w:val="en-AU"/>
              </w:rPr>
              <w:t>Ribociclib + ET</w:t>
            </w:r>
          </w:p>
        </w:tc>
        <w:tc>
          <w:tcPr>
            <w:tcW w:w="708" w:type="pct"/>
            <w:tcBorders>
              <w:top w:val="single" w:sz="4" w:space="0" w:color="auto"/>
              <w:left w:val="single" w:sz="4" w:space="0" w:color="auto"/>
              <w:bottom w:val="single" w:sz="4" w:space="0" w:color="auto"/>
              <w:right w:val="single" w:sz="4" w:space="0" w:color="auto"/>
            </w:tcBorders>
            <w:vAlign w:val="center"/>
          </w:tcPr>
          <w:p w14:paraId="45A4AB00" w14:textId="77777777" w:rsidR="006202BD" w:rsidRPr="00007450" w:rsidRDefault="006202BD" w:rsidP="00864C4B">
            <w:pPr>
              <w:pStyle w:val="In-tableHeading"/>
              <w:jc w:val="center"/>
              <w:rPr>
                <w:lang w:val="en-AU"/>
              </w:rPr>
            </w:pPr>
            <w:r w:rsidRPr="00007450">
              <w:rPr>
                <w:lang w:val="en-AU"/>
              </w:rPr>
              <w:t>ET alone</w:t>
            </w:r>
          </w:p>
          <w:p w14:paraId="594100DB" w14:textId="77777777" w:rsidR="006202BD" w:rsidRPr="00007450" w:rsidRDefault="006202BD" w:rsidP="00864C4B">
            <w:pPr>
              <w:pStyle w:val="In-tableHeading"/>
              <w:rPr>
                <w:lang w:val="en-AU"/>
              </w:rPr>
            </w:pPr>
          </w:p>
        </w:tc>
        <w:tc>
          <w:tcPr>
            <w:tcW w:w="596" w:type="pct"/>
            <w:vMerge/>
            <w:tcBorders>
              <w:top w:val="single" w:sz="4" w:space="0" w:color="auto"/>
              <w:left w:val="single" w:sz="4" w:space="0" w:color="auto"/>
              <w:bottom w:val="single" w:sz="4" w:space="0" w:color="auto"/>
              <w:right w:val="single" w:sz="4" w:space="0" w:color="auto"/>
            </w:tcBorders>
            <w:vAlign w:val="center"/>
          </w:tcPr>
          <w:p w14:paraId="2DCAB3F1" w14:textId="77777777" w:rsidR="006202BD" w:rsidRPr="00007450" w:rsidRDefault="006202BD" w:rsidP="00864C4B">
            <w:pPr>
              <w:pStyle w:val="In-tableHeading"/>
              <w:rPr>
                <w:lang w:val="en-AU"/>
              </w:rPr>
            </w:pPr>
          </w:p>
        </w:tc>
      </w:tr>
      <w:tr w:rsidR="00712DEB" w:rsidRPr="00007450" w14:paraId="350823FD" w14:textId="77777777" w:rsidTr="00B82C1C">
        <w:tc>
          <w:tcPr>
            <w:tcW w:w="784" w:type="pct"/>
            <w:tcBorders>
              <w:top w:val="single" w:sz="4" w:space="0" w:color="auto"/>
              <w:left w:val="single" w:sz="4" w:space="0" w:color="auto"/>
              <w:bottom w:val="single" w:sz="4" w:space="0" w:color="auto"/>
              <w:right w:val="single" w:sz="4" w:space="0" w:color="auto"/>
            </w:tcBorders>
          </w:tcPr>
          <w:p w14:paraId="5DDC8EA0" w14:textId="1DE5B3EF" w:rsidR="00712DEB" w:rsidRPr="00007450" w:rsidRDefault="00712DEB" w:rsidP="00864C4B">
            <w:pPr>
              <w:pStyle w:val="TableText0"/>
            </w:pPr>
            <w:r w:rsidRPr="00007450">
              <w:rPr>
                <w:rFonts w:eastAsia="MS Gothic" w:cs="Times New Roman"/>
                <w:szCs w:val="20"/>
              </w:rPr>
              <w:t xml:space="preserve">Grade </w:t>
            </w:r>
            <w:r w:rsidRPr="00007450">
              <w:rPr>
                <w:rFonts w:eastAsia="MS Gothic" w:cs="Calibri"/>
                <w:szCs w:val="20"/>
              </w:rPr>
              <w:t>≥</w:t>
            </w:r>
            <w:r w:rsidRPr="00007450">
              <w:rPr>
                <w:rFonts w:eastAsia="MS Gothic" w:cs="Times New Roman"/>
                <w:szCs w:val="20"/>
              </w:rPr>
              <w:t xml:space="preserve"> 3 TEAE</w:t>
            </w:r>
          </w:p>
        </w:tc>
        <w:tc>
          <w:tcPr>
            <w:tcW w:w="710" w:type="pct"/>
            <w:tcBorders>
              <w:top w:val="single" w:sz="4" w:space="0" w:color="auto"/>
              <w:left w:val="single" w:sz="4" w:space="0" w:color="auto"/>
              <w:bottom w:val="single" w:sz="4" w:space="0" w:color="auto"/>
              <w:right w:val="single" w:sz="4" w:space="0" w:color="auto"/>
            </w:tcBorders>
            <w:vAlign w:val="center"/>
          </w:tcPr>
          <w:p w14:paraId="71588A2E" w14:textId="7AF1DD05" w:rsidR="00712DEB" w:rsidRPr="00007450" w:rsidRDefault="00712DEB" w:rsidP="00864C4B">
            <w:pPr>
              <w:pStyle w:val="TableText0"/>
              <w:jc w:val="center"/>
            </w:pPr>
            <w:r w:rsidRPr="00007450">
              <w:rPr>
                <w:rFonts w:eastAsia="MS Gothic" w:cs="Times New Roman"/>
                <w:szCs w:val="20"/>
              </w:rPr>
              <w:t>542/882</w:t>
            </w:r>
          </w:p>
        </w:tc>
        <w:tc>
          <w:tcPr>
            <w:tcW w:w="708" w:type="pct"/>
            <w:tcBorders>
              <w:top w:val="single" w:sz="4" w:space="0" w:color="auto"/>
              <w:left w:val="single" w:sz="4" w:space="0" w:color="auto"/>
              <w:bottom w:val="single" w:sz="4" w:space="0" w:color="auto"/>
              <w:right w:val="single" w:sz="4" w:space="0" w:color="auto"/>
            </w:tcBorders>
            <w:vAlign w:val="center"/>
          </w:tcPr>
          <w:p w14:paraId="6CBA02CA" w14:textId="64B4C162" w:rsidR="00712DEB" w:rsidRPr="00007450" w:rsidRDefault="00712DEB" w:rsidP="00864C4B">
            <w:pPr>
              <w:pStyle w:val="TableText0"/>
              <w:jc w:val="center"/>
            </w:pPr>
            <w:r w:rsidRPr="00007450">
              <w:rPr>
                <w:rFonts w:eastAsia="MS Gothic" w:cs="Times New Roman"/>
                <w:szCs w:val="20"/>
              </w:rPr>
              <w:t>168/880</w:t>
            </w:r>
          </w:p>
        </w:tc>
        <w:tc>
          <w:tcPr>
            <w:tcW w:w="866" w:type="pct"/>
            <w:tcBorders>
              <w:top w:val="single" w:sz="4" w:space="0" w:color="auto"/>
              <w:left w:val="single" w:sz="4" w:space="0" w:color="auto"/>
              <w:bottom w:val="single" w:sz="4" w:space="0" w:color="auto"/>
              <w:right w:val="single" w:sz="4" w:space="0" w:color="auto"/>
            </w:tcBorders>
            <w:vAlign w:val="center"/>
          </w:tcPr>
          <w:p w14:paraId="3709F7CB" w14:textId="53758CFC" w:rsidR="00712DEB" w:rsidRPr="00007450" w:rsidRDefault="000228AC" w:rsidP="00864C4B">
            <w:pPr>
              <w:pStyle w:val="TableText0"/>
              <w:jc w:val="center"/>
              <w:rPr>
                <w:b/>
                <w:bCs w:val="0"/>
              </w:rPr>
            </w:pPr>
            <w:r w:rsidRPr="00007450">
              <w:rPr>
                <w:b/>
                <w:bCs w:val="0"/>
              </w:rPr>
              <w:t>3.22 (2.78, 3.72)</w:t>
            </w:r>
          </w:p>
        </w:tc>
        <w:tc>
          <w:tcPr>
            <w:tcW w:w="628" w:type="pct"/>
            <w:tcBorders>
              <w:top w:val="single" w:sz="4" w:space="0" w:color="auto"/>
              <w:left w:val="single" w:sz="4" w:space="0" w:color="auto"/>
              <w:bottom w:val="single" w:sz="4" w:space="0" w:color="auto"/>
              <w:right w:val="single" w:sz="4" w:space="0" w:color="auto"/>
            </w:tcBorders>
            <w:vAlign w:val="center"/>
          </w:tcPr>
          <w:p w14:paraId="1473FCB1" w14:textId="7F439EB3" w:rsidR="00712DEB" w:rsidRPr="00007450" w:rsidRDefault="00712DEB" w:rsidP="00864C4B">
            <w:pPr>
              <w:pStyle w:val="TableText0"/>
              <w:jc w:val="center"/>
            </w:pPr>
            <w:r w:rsidRPr="00007450">
              <w:t>61.5</w:t>
            </w:r>
          </w:p>
        </w:tc>
        <w:tc>
          <w:tcPr>
            <w:tcW w:w="708" w:type="pct"/>
            <w:tcBorders>
              <w:top w:val="single" w:sz="4" w:space="0" w:color="auto"/>
              <w:left w:val="single" w:sz="4" w:space="0" w:color="auto"/>
              <w:bottom w:val="single" w:sz="4" w:space="0" w:color="auto"/>
              <w:right w:val="single" w:sz="4" w:space="0" w:color="auto"/>
            </w:tcBorders>
            <w:vAlign w:val="center"/>
          </w:tcPr>
          <w:p w14:paraId="40B1D2E4" w14:textId="69ABDB85" w:rsidR="00712DEB" w:rsidRPr="00007450" w:rsidRDefault="00712DEB" w:rsidP="00864C4B">
            <w:pPr>
              <w:pStyle w:val="TableText0"/>
              <w:jc w:val="center"/>
            </w:pPr>
            <w:r w:rsidRPr="00007450">
              <w:t>19.1</w:t>
            </w:r>
          </w:p>
        </w:tc>
        <w:tc>
          <w:tcPr>
            <w:tcW w:w="596" w:type="pct"/>
            <w:tcBorders>
              <w:top w:val="single" w:sz="4" w:space="0" w:color="auto"/>
              <w:left w:val="single" w:sz="4" w:space="0" w:color="auto"/>
              <w:bottom w:val="single" w:sz="4" w:space="0" w:color="auto"/>
              <w:right w:val="single" w:sz="4" w:space="0" w:color="auto"/>
            </w:tcBorders>
            <w:vAlign w:val="center"/>
          </w:tcPr>
          <w:p w14:paraId="6544F9B6" w14:textId="77777777" w:rsidR="00B82C1C" w:rsidRPr="00007450" w:rsidRDefault="000228AC" w:rsidP="00864C4B">
            <w:pPr>
              <w:pStyle w:val="TableText0"/>
              <w:jc w:val="center"/>
              <w:rPr>
                <w:b/>
                <w:bCs w:val="0"/>
              </w:rPr>
            </w:pPr>
            <w:r w:rsidRPr="00007450">
              <w:rPr>
                <w:b/>
                <w:bCs w:val="0"/>
              </w:rPr>
              <w:t xml:space="preserve">0.42 </w:t>
            </w:r>
          </w:p>
          <w:p w14:paraId="00F43E56" w14:textId="2D7B10EC" w:rsidR="00712DEB" w:rsidRPr="00007450" w:rsidRDefault="000228AC" w:rsidP="00864C4B">
            <w:pPr>
              <w:pStyle w:val="TableText0"/>
              <w:jc w:val="center"/>
              <w:rPr>
                <w:b/>
                <w:bCs w:val="0"/>
              </w:rPr>
            </w:pPr>
            <w:r w:rsidRPr="00007450">
              <w:rPr>
                <w:b/>
                <w:bCs w:val="0"/>
              </w:rPr>
              <w:t>(0.38, 0.46)</w:t>
            </w:r>
          </w:p>
        </w:tc>
      </w:tr>
      <w:tr w:rsidR="006202BD" w:rsidRPr="00007450" w14:paraId="77A1636A" w14:textId="77777777" w:rsidTr="00B82C1C">
        <w:tc>
          <w:tcPr>
            <w:tcW w:w="784" w:type="pct"/>
            <w:tcBorders>
              <w:top w:val="single" w:sz="4" w:space="0" w:color="auto"/>
              <w:left w:val="single" w:sz="4" w:space="0" w:color="auto"/>
              <w:bottom w:val="single" w:sz="4" w:space="0" w:color="auto"/>
              <w:right w:val="single" w:sz="4" w:space="0" w:color="auto"/>
            </w:tcBorders>
            <w:vAlign w:val="center"/>
          </w:tcPr>
          <w:p w14:paraId="64F4957E" w14:textId="77777777" w:rsidR="006202BD" w:rsidRPr="00007450" w:rsidRDefault="006202BD" w:rsidP="00864C4B">
            <w:pPr>
              <w:pStyle w:val="TableText0"/>
            </w:pPr>
            <w:r w:rsidRPr="00007450">
              <w:t>Neutropenia</w:t>
            </w:r>
          </w:p>
        </w:tc>
        <w:tc>
          <w:tcPr>
            <w:tcW w:w="710" w:type="pct"/>
            <w:tcBorders>
              <w:top w:val="single" w:sz="4" w:space="0" w:color="auto"/>
              <w:left w:val="single" w:sz="4" w:space="0" w:color="auto"/>
              <w:bottom w:val="single" w:sz="4" w:space="0" w:color="auto"/>
              <w:right w:val="single" w:sz="4" w:space="0" w:color="auto"/>
            </w:tcBorders>
            <w:vAlign w:val="center"/>
          </w:tcPr>
          <w:p w14:paraId="1617FBB6" w14:textId="77777777" w:rsidR="006202BD" w:rsidRPr="00007450" w:rsidRDefault="006202BD" w:rsidP="00864C4B">
            <w:pPr>
              <w:pStyle w:val="TableText0"/>
              <w:jc w:val="center"/>
            </w:pPr>
            <w:r w:rsidRPr="00007450">
              <w:t>383/882</w:t>
            </w:r>
          </w:p>
        </w:tc>
        <w:tc>
          <w:tcPr>
            <w:tcW w:w="708" w:type="pct"/>
            <w:tcBorders>
              <w:top w:val="single" w:sz="4" w:space="0" w:color="auto"/>
              <w:left w:val="single" w:sz="4" w:space="0" w:color="auto"/>
              <w:bottom w:val="single" w:sz="4" w:space="0" w:color="auto"/>
              <w:right w:val="single" w:sz="4" w:space="0" w:color="auto"/>
            </w:tcBorders>
            <w:vAlign w:val="center"/>
          </w:tcPr>
          <w:p w14:paraId="31202F0A" w14:textId="77777777" w:rsidR="006202BD" w:rsidRPr="00007450" w:rsidRDefault="006202BD" w:rsidP="00864C4B">
            <w:pPr>
              <w:pStyle w:val="TableText0"/>
              <w:jc w:val="center"/>
            </w:pPr>
            <w:r w:rsidRPr="00007450">
              <w:t>33/880</w:t>
            </w:r>
          </w:p>
        </w:tc>
        <w:tc>
          <w:tcPr>
            <w:tcW w:w="866" w:type="pct"/>
            <w:tcBorders>
              <w:top w:val="single" w:sz="4" w:space="0" w:color="auto"/>
              <w:left w:val="single" w:sz="4" w:space="0" w:color="auto"/>
              <w:bottom w:val="single" w:sz="4" w:space="0" w:color="auto"/>
              <w:right w:val="single" w:sz="4" w:space="0" w:color="auto"/>
            </w:tcBorders>
            <w:vAlign w:val="center"/>
          </w:tcPr>
          <w:p w14:paraId="3AB955C5" w14:textId="77777777" w:rsidR="006202BD" w:rsidRPr="00007450" w:rsidRDefault="006202BD" w:rsidP="00864C4B">
            <w:pPr>
              <w:pStyle w:val="TableText0"/>
              <w:jc w:val="center"/>
              <w:rPr>
                <w:b/>
                <w:bCs w:val="0"/>
              </w:rPr>
            </w:pPr>
            <w:r w:rsidRPr="00007450">
              <w:rPr>
                <w:b/>
                <w:bCs w:val="0"/>
              </w:rPr>
              <w:t>11.58 (8.22, 16.32)</w:t>
            </w:r>
          </w:p>
        </w:tc>
        <w:tc>
          <w:tcPr>
            <w:tcW w:w="628" w:type="pct"/>
            <w:tcBorders>
              <w:top w:val="single" w:sz="4" w:space="0" w:color="auto"/>
              <w:left w:val="single" w:sz="4" w:space="0" w:color="auto"/>
              <w:bottom w:val="single" w:sz="4" w:space="0" w:color="auto"/>
              <w:right w:val="single" w:sz="4" w:space="0" w:color="auto"/>
            </w:tcBorders>
            <w:vAlign w:val="center"/>
          </w:tcPr>
          <w:p w14:paraId="731C36D0" w14:textId="77777777" w:rsidR="006202BD" w:rsidRPr="00007450" w:rsidRDefault="006202BD" w:rsidP="00864C4B">
            <w:pPr>
              <w:pStyle w:val="TableText0"/>
              <w:jc w:val="center"/>
            </w:pPr>
            <w:r w:rsidRPr="00007450">
              <w:t>43.4</w:t>
            </w:r>
          </w:p>
        </w:tc>
        <w:tc>
          <w:tcPr>
            <w:tcW w:w="708" w:type="pct"/>
            <w:tcBorders>
              <w:top w:val="single" w:sz="4" w:space="0" w:color="auto"/>
              <w:left w:val="single" w:sz="4" w:space="0" w:color="auto"/>
              <w:bottom w:val="single" w:sz="4" w:space="0" w:color="auto"/>
              <w:right w:val="single" w:sz="4" w:space="0" w:color="auto"/>
            </w:tcBorders>
            <w:vAlign w:val="center"/>
          </w:tcPr>
          <w:p w14:paraId="1C6FB802" w14:textId="77777777" w:rsidR="006202BD" w:rsidRPr="00007450" w:rsidRDefault="006202BD" w:rsidP="00864C4B">
            <w:pPr>
              <w:pStyle w:val="TableText0"/>
              <w:jc w:val="center"/>
            </w:pPr>
            <w:r w:rsidRPr="00007450">
              <w:t>3.8</w:t>
            </w:r>
          </w:p>
        </w:tc>
        <w:tc>
          <w:tcPr>
            <w:tcW w:w="596" w:type="pct"/>
            <w:tcBorders>
              <w:top w:val="single" w:sz="4" w:space="0" w:color="auto"/>
              <w:left w:val="single" w:sz="4" w:space="0" w:color="auto"/>
              <w:bottom w:val="single" w:sz="4" w:space="0" w:color="auto"/>
              <w:right w:val="single" w:sz="4" w:space="0" w:color="auto"/>
            </w:tcBorders>
            <w:vAlign w:val="center"/>
          </w:tcPr>
          <w:p w14:paraId="68A9069F" w14:textId="77777777" w:rsidR="00B82C1C" w:rsidRPr="00007450" w:rsidRDefault="006202BD" w:rsidP="00864C4B">
            <w:pPr>
              <w:pStyle w:val="TableText0"/>
              <w:jc w:val="center"/>
              <w:rPr>
                <w:b/>
                <w:bCs w:val="0"/>
              </w:rPr>
            </w:pPr>
            <w:r w:rsidRPr="00007450">
              <w:rPr>
                <w:b/>
                <w:bCs w:val="0"/>
              </w:rPr>
              <w:t>0.40</w:t>
            </w:r>
            <w:r w:rsidR="009C7F88" w:rsidRPr="00007450">
              <w:rPr>
                <w:b/>
                <w:bCs w:val="0"/>
              </w:rPr>
              <w:t xml:space="preserve"> </w:t>
            </w:r>
          </w:p>
          <w:p w14:paraId="04F2F4AE" w14:textId="471E18C5" w:rsidR="006202BD" w:rsidRPr="00007450" w:rsidRDefault="009C7F88" w:rsidP="00864C4B">
            <w:pPr>
              <w:pStyle w:val="TableText0"/>
              <w:jc w:val="center"/>
              <w:rPr>
                <w:b/>
                <w:bCs w:val="0"/>
              </w:rPr>
            </w:pPr>
            <w:r w:rsidRPr="00007450">
              <w:rPr>
                <w:b/>
                <w:bCs w:val="0"/>
              </w:rPr>
              <w:t>(0.36, 0.43)</w:t>
            </w:r>
          </w:p>
        </w:tc>
      </w:tr>
      <w:tr w:rsidR="006202BD" w:rsidRPr="00007450" w14:paraId="03A7EAC0" w14:textId="77777777" w:rsidTr="00B82C1C">
        <w:tc>
          <w:tcPr>
            <w:tcW w:w="784" w:type="pct"/>
            <w:tcBorders>
              <w:top w:val="single" w:sz="4" w:space="0" w:color="auto"/>
              <w:left w:val="single" w:sz="4" w:space="0" w:color="auto"/>
              <w:bottom w:val="single" w:sz="4" w:space="0" w:color="auto"/>
              <w:right w:val="single" w:sz="4" w:space="0" w:color="auto"/>
            </w:tcBorders>
            <w:vAlign w:val="center"/>
          </w:tcPr>
          <w:p w14:paraId="056FE028" w14:textId="77777777" w:rsidR="006202BD" w:rsidRPr="00007450" w:rsidRDefault="006202BD" w:rsidP="00864C4B">
            <w:pPr>
              <w:pStyle w:val="TableText0"/>
            </w:pPr>
            <w:r w:rsidRPr="00007450">
              <w:t>Alanine aminotransferase increased</w:t>
            </w:r>
          </w:p>
        </w:tc>
        <w:tc>
          <w:tcPr>
            <w:tcW w:w="710" w:type="pct"/>
            <w:tcBorders>
              <w:top w:val="single" w:sz="4" w:space="0" w:color="auto"/>
              <w:left w:val="single" w:sz="4" w:space="0" w:color="auto"/>
              <w:bottom w:val="single" w:sz="4" w:space="0" w:color="auto"/>
              <w:right w:val="single" w:sz="4" w:space="0" w:color="auto"/>
            </w:tcBorders>
            <w:vAlign w:val="center"/>
          </w:tcPr>
          <w:p w14:paraId="2FF721BE" w14:textId="77777777" w:rsidR="006202BD" w:rsidRPr="00007450" w:rsidRDefault="006202BD" w:rsidP="00864C4B">
            <w:pPr>
              <w:pStyle w:val="TableText0"/>
              <w:jc w:val="center"/>
            </w:pPr>
            <w:r w:rsidRPr="00007450">
              <w:t>193/882</w:t>
            </w:r>
          </w:p>
        </w:tc>
        <w:tc>
          <w:tcPr>
            <w:tcW w:w="708" w:type="pct"/>
            <w:tcBorders>
              <w:top w:val="single" w:sz="4" w:space="0" w:color="auto"/>
              <w:left w:val="single" w:sz="4" w:space="0" w:color="auto"/>
              <w:bottom w:val="single" w:sz="4" w:space="0" w:color="auto"/>
              <w:right w:val="single" w:sz="4" w:space="0" w:color="auto"/>
            </w:tcBorders>
            <w:vAlign w:val="center"/>
          </w:tcPr>
          <w:p w14:paraId="36D64D3E" w14:textId="77777777" w:rsidR="006202BD" w:rsidRPr="00007450" w:rsidRDefault="006202BD" w:rsidP="00864C4B">
            <w:pPr>
              <w:pStyle w:val="TableText0"/>
              <w:jc w:val="center"/>
            </w:pPr>
            <w:r w:rsidRPr="00007450">
              <w:t>41/880</w:t>
            </w:r>
          </w:p>
        </w:tc>
        <w:tc>
          <w:tcPr>
            <w:tcW w:w="866" w:type="pct"/>
            <w:tcBorders>
              <w:top w:val="single" w:sz="4" w:space="0" w:color="auto"/>
              <w:left w:val="single" w:sz="4" w:space="0" w:color="auto"/>
              <w:bottom w:val="single" w:sz="4" w:space="0" w:color="auto"/>
              <w:right w:val="single" w:sz="4" w:space="0" w:color="auto"/>
            </w:tcBorders>
            <w:vAlign w:val="center"/>
          </w:tcPr>
          <w:p w14:paraId="565E077B" w14:textId="77777777" w:rsidR="006202BD" w:rsidRPr="00007450" w:rsidRDefault="006202BD" w:rsidP="00864C4B">
            <w:pPr>
              <w:pStyle w:val="TableText0"/>
              <w:jc w:val="center"/>
              <w:rPr>
                <w:b/>
                <w:bCs w:val="0"/>
              </w:rPr>
            </w:pPr>
            <w:r w:rsidRPr="00007450">
              <w:rPr>
                <w:b/>
                <w:bCs w:val="0"/>
              </w:rPr>
              <w:t>4.70 (3.40, 6.50)</w:t>
            </w:r>
          </w:p>
        </w:tc>
        <w:tc>
          <w:tcPr>
            <w:tcW w:w="628" w:type="pct"/>
            <w:tcBorders>
              <w:top w:val="single" w:sz="4" w:space="0" w:color="auto"/>
              <w:left w:val="single" w:sz="4" w:space="0" w:color="auto"/>
              <w:bottom w:val="single" w:sz="4" w:space="0" w:color="auto"/>
              <w:right w:val="single" w:sz="4" w:space="0" w:color="auto"/>
            </w:tcBorders>
            <w:vAlign w:val="center"/>
          </w:tcPr>
          <w:p w14:paraId="7051F038" w14:textId="77777777" w:rsidR="006202BD" w:rsidRPr="00007450" w:rsidRDefault="006202BD" w:rsidP="00864C4B">
            <w:pPr>
              <w:pStyle w:val="TableText0"/>
              <w:jc w:val="center"/>
            </w:pPr>
            <w:r w:rsidRPr="00007450">
              <w:t>21.9</w:t>
            </w:r>
          </w:p>
        </w:tc>
        <w:tc>
          <w:tcPr>
            <w:tcW w:w="708" w:type="pct"/>
            <w:tcBorders>
              <w:top w:val="single" w:sz="4" w:space="0" w:color="auto"/>
              <w:left w:val="single" w:sz="4" w:space="0" w:color="auto"/>
              <w:bottom w:val="single" w:sz="4" w:space="0" w:color="auto"/>
              <w:right w:val="single" w:sz="4" w:space="0" w:color="auto"/>
            </w:tcBorders>
            <w:vAlign w:val="center"/>
          </w:tcPr>
          <w:p w14:paraId="12797BD3" w14:textId="77777777" w:rsidR="006202BD" w:rsidRPr="00007450" w:rsidRDefault="006202BD" w:rsidP="00864C4B">
            <w:pPr>
              <w:pStyle w:val="TableText0"/>
              <w:jc w:val="center"/>
            </w:pPr>
            <w:r w:rsidRPr="00007450">
              <w:t>4.7</w:t>
            </w:r>
          </w:p>
        </w:tc>
        <w:tc>
          <w:tcPr>
            <w:tcW w:w="596" w:type="pct"/>
            <w:tcBorders>
              <w:top w:val="single" w:sz="4" w:space="0" w:color="auto"/>
              <w:left w:val="single" w:sz="4" w:space="0" w:color="auto"/>
              <w:bottom w:val="single" w:sz="4" w:space="0" w:color="auto"/>
              <w:right w:val="single" w:sz="4" w:space="0" w:color="auto"/>
            </w:tcBorders>
            <w:vAlign w:val="center"/>
          </w:tcPr>
          <w:p w14:paraId="4C50E229" w14:textId="77777777" w:rsidR="00B82C1C" w:rsidRPr="00007450" w:rsidRDefault="006202BD" w:rsidP="00864C4B">
            <w:pPr>
              <w:pStyle w:val="TableText0"/>
              <w:jc w:val="center"/>
              <w:rPr>
                <w:b/>
                <w:bCs w:val="0"/>
              </w:rPr>
            </w:pPr>
            <w:r w:rsidRPr="00007450">
              <w:rPr>
                <w:b/>
                <w:bCs w:val="0"/>
              </w:rPr>
              <w:t>0.17</w:t>
            </w:r>
            <w:r w:rsidR="009C7F88" w:rsidRPr="00007450">
              <w:rPr>
                <w:b/>
                <w:bCs w:val="0"/>
              </w:rPr>
              <w:t xml:space="preserve"> </w:t>
            </w:r>
          </w:p>
          <w:p w14:paraId="598FFB48" w14:textId="1E3AAECE" w:rsidR="006202BD" w:rsidRPr="00007450" w:rsidRDefault="009C7F88" w:rsidP="00864C4B">
            <w:pPr>
              <w:pStyle w:val="TableText0"/>
              <w:jc w:val="center"/>
              <w:rPr>
                <w:b/>
                <w:bCs w:val="0"/>
              </w:rPr>
            </w:pPr>
            <w:r w:rsidRPr="00007450">
              <w:rPr>
                <w:b/>
                <w:bCs w:val="0"/>
              </w:rPr>
              <w:t>(0.14, 0.20)</w:t>
            </w:r>
          </w:p>
        </w:tc>
      </w:tr>
      <w:tr w:rsidR="006202BD" w:rsidRPr="00007450" w14:paraId="3B4D2CB5" w14:textId="77777777" w:rsidTr="00B82C1C">
        <w:tc>
          <w:tcPr>
            <w:tcW w:w="784" w:type="pct"/>
            <w:tcBorders>
              <w:top w:val="single" w:sz="4" w:space="0" w:color="auto"/>
              <w:left w:val="single" w:sz="4" w:space="0" w:color="auto"/>
              <w:bottom w:val="single" w:sz="4" w:space="0" w:color="auto"/>
              <w:right w:val="single" w:sz="4" w:space="0" w:color="auto"/>
            </w:tcBorders>
            <w:vAlign w:val="center"/>
          </w:tcPr>
          <w:p w14:paraId="5BE58950" w14:textId="77777777" w:rsidR="006202BD" w:rsidRPr="00007450" w:rsidRDefault="006202BD" w:rsidP="00864C4B">
            <w:pPr>
              <w:pStyle w:val="TableText0"/>
            </w:pPr>
            <w:r w:rsidRPr="00007450">
              <w:t>Leukopenia</w:t>
            </w:r>
          </w:p>
        </w:tc>
        <w:tc>
          <w:tcPr>
            <w:tcW w:w="710" w:type="pct"/>
            <w:tcBorders>
              <w:top w:val="single" w:sz="4" w:space="0" w:color="auto"/>
              <w:left w:val="single" w:sz="4" w:space="0" w:color="auto"/>
              <w:bottom w:val="single" w:sz="4" w:space="0" w:color="auto"/>
              <w:right w:val="single" w:sz="4" w:space="0" w:color="auto"/>
            </w:tcBorders>
            <w:vAlign w:val="center"/>
          </w:tcPr>
          <w:p w14:paraId="0FD1996F" w14:textId="77777777" w:rsidR="006202BD" w:rsidRPr="00007450" w:rsidRDefault="006202BD" w:rsidP="00864C4B">
            <w:pPr>
              <w:pStyle w:val="TableText0"/>
              <w:jc w:val="center"/>
            </w:pPr>
            <w:r w:rsidRPr="00007450">
              <w:t>126/882</w:t>
            </w:r>
          </w:p>
        </w:tc>
        <w:tc>
          <w:tcPr>
            <w:tcW w:w="708" w:type="pct"/>
            <w:tcBorders>
              <w:top w:val="single" w:sz="4" w:space="0" w:color="auto"/>
              <w:left w:val="single" w:sz="4" w:space="0" w:color="auto"/>
              <w:bottom w:val="single" w:sz="4" w:space="0" w:color="auto"/>
              <w:right w:val="single" w:sz="4" w:space="0" w:color="auto"/>
            </w:tcBorders>
            <w:vAlign w:val="center"/>
          </w:tcPr>
          <w:p w14:paraId="76F7E2DB" w14:textId="77777777" w:rsidR="006202BD" w:rsidRPr="00007450" w:rsidRDefault="006202BD" w:rsidP="00864C4B">
            <w:pPr>
              <w:pStyle w:val="TableText0"/>
              <w:jc w:val="center"/>
            </w:pPr>
            <w:r w:rsidRPr="00007450">
              <w:t>21/880</w:t>
            </w:r>
          </w:p>
        </w:tc>
        <w:tc>
          <w:tcPr>
            <w:tcW w:w="866" w:type="pct"/>
            <w:tcBorders>
              <w:top w:val="single" w:sz="4" w:space="0" w:color="auto"/>
              <w:left w:val="single" w:sz="4" w:space="0" w:color="auto"/>
              <w:bottom w:val="single" w:sz="4" w:space="0" w:color="auto"/>
              <w:right w:val="single" w:sz="4" w:space="0" w:color="auto"/>
            </w:tcBorders>
            <w:vAlign w:val="center"/>
          </w:tcPr>
          <w:p w14:paraId="1EC6D9DB" w14:textId="77777777" w:rsidR="006202BD" w:rsidRPr="00007450" w:rsidRDefault="006202BD" w:rsidP="00864C4B">
            <w:pPr>
              <w:pStyle w:val="TableText0"/>
              <w:jc w:val="center"/>
              <w:rPr>
                <w:b/>
                <w:bCs w:val="0"/>
              </w:rPr>
            </w:pPr>
            <w:r w:rsidRPr="00007450">
              <w:rPr>
                <w:b/>
                <w:bCs w:val="0"/>
              </w:rPr>
              <w:t>5.99 (3.81, 9.41)</w:t>
            </w:r>
          </w:p>
        </w:tc>
        <w:tc>
          <w:tcPr>
            <w:tcW w:w="628" w:type="pct"/>
            <w:tcBorders>
              <w:top w:val="single" w:sz="4" w:space="0" w:color="auto"/>
              <w:left w:val="single" w:sz="4" w:space="0" w:color="auto"/>
              <w:bottom w:val="single" w:sz="4" w:space="0" w:color="auto"/>
              <w:right w:val="single" w:sz="4" w:space="0" w:color="auto"/>
            </w:tcBorders>
            <w:vAlign w:val="center"/>
          </w:tcPr>
          <w:p w14:paraId="4DA0686C" w14:textId="77777777" w:rsidR="006202BD" w:rsidRPr="00007450" w:rsidRDefault="006202BD" w:rsidP="00864C4B">
            <w:pPr>
              <w:pStyle w:val="TableText0"/>
              <w:jc w:val="center"/>
            </w:pPr>
            <w:r w:rsidRPr="00007450">
              <w:t>14.3</w:t>
            </w:r>
          </w:p>
        </w:tc>
        <w:tc>
          <w:tcPr>
            <w:tcW w:w="708" w:type="pct"/>
            <w:tcBorders>
              <w:top w:val="single" w:sz="4" w:space="0" w:color="auto"/>
              <w:left w:val="single" w:sz="4" w:space="0" w:color="auto"/>
              <w:bottom w:val="single" w:sz="4" w:space="0" w:color="auto"/>
              <w:right w:val="single" w:sz="4" w:space="0" w:color="auto"/>
            </w:tcBorders>
            <w:vAlign w:val="center"/>
          </w:tcPr>
          <w:p w14:paraId="1DD2C41D" w14:textId="77777777" w:rsidR="006202BD" w:rsidRPr="00007450" w:rsidRDefault="006202BD" w:rsidP="00864C4B">
            <w:pPr>
              <w:pStyle w:val="TableText0"/>
              <w:jc w:val="center"/>
            </w:pPr>
            <w:r w:rsidRPr="00007450">
              <w:t>2.4</w:t>
            </w:r>
          </w:p>
        </w:tc>
        <w:tc>
          <w:tcPr>
            <w:tcW w:w="596" w:type="pct"/>
            <w:tcBorders>
              <w:top w:val="single" w:sz="4" w:space="0" w:color="auto"/>
              <w:left w:val="single" w:sz="4" w:space="0" w:color="auto"/>
              <w:bottom w:val="single" w:sz="4" w:space="0" w:color="auto"/>
              <w:right w:val="single" w:sz="4" w:space="0" w:color="auto"/>
            </w:tcBorders>
            <w:vAlign w:val="center"/>
          </w:tcPr>
          <w:p w14:paraId="2A815671" w14:textId="77777777" w:rsidR="00B82C1C" w:rsidRPr="00007450" w:rsidRDefault="006202BD" w:rsidP="00864C4B">
            <w:pPr>
              <w:pStyle w:val="TableText0"/>
              <w:jc w:val="center"/>
              <w:rPr>
                <w:b/>
                <w:bCs w:val="0"/>
              </w:rPr>
            </w:pPr>
            <w:r w:rsidRPr="00007450">
              <w:rPr>
                <w:b/>
                <w:bCs w:val="0"/>
              </w:rPr>
              <w:t>0.12</w:t>
            </w:r>
            <w:r w:rsidR="009C7F88" w:rsidRPr="00007450">
              <w:rPr>
                <w:b/>
                <w:bCs w:val="0"/>
              </w:rPr>
              <w:t xml:space="preserve"> </w:t>
            </w:r>
          </w:p>
          <w:p w14:paraId="39BA4DF3" w14:textId="72FE8D58" w:rsidR="006202BD" w:rsidRPr="00007450" w:rsidRDefault="009C7F88" w:rsidP="00864C4B">
            <w:pPr>
              <w:pStyle w:val="TableText0"/>
              <w:jc w:val="center"/>
              <w:rPr>
                <w:b/>
                <w:bCs w:val="0"/>
              </w:rPr>
            </w:pPr>
            <w:r w:rsidRPr="00007450">
              <w:rPr>
                <w:b/>
                <w:bCs w:val="0"/>
              </w:rPr>
              <w:t>(0.09, 0.14)</w:t>
            </w:r>
          </w:p>
        </w:tc>
      </w:tr>
      <w:tr w:rsidR="006202BD" w:rsidRPr="00007450" w14:paraId="2AE5B861" w14:textId="77777777" w:rsidTr="00B82C1C">
        <w:tc>
          <w:tcPr>
            <w:tcW w:w="784" w:type="pct"/>
            <w:tcBorders>
              <w:top w:val="single" w:sz="4" w:space="0" w:color="auto"/>
              <w:left w:val="single" w:sz="4" w:space="0" w:color="auto"/>
              <w:bottom w:val="single" w:sz="4" w:space="0" w:color="auto"/>
              <w:right w:val="single" w:sz="4" w:space="0" w:color="auto"/>
            </w:tcBorders>
            <w:vAlign w:val="center"/>
          </w:tcPr>
          <w:p w14:paraId="7A2D6069" w14:textId="1090D23E" w:rsidR="006202BD" w:rsidRPr="00007450" w:rsidRDefault="006202BD" w:rsidP="00864C4B">
            <w:pPr>
              <w:pStyle w:val="TableText0"/>
            </w:pPr>
            <w:r w:rsidRPr="00007450">
              <w:t>Diarrhoea</w:t>
            </w:r>
          </w:p>
        </w:tc>
        <w:tc>
          <w:tcPr>
            <w:tcW w:w="710" w:type="pct"/>
            <w:tcBorders>
              <w:top w:val="single" w:sz="4" w:space="0" w:color="auto"/>
              <w:left w:val="single" w:sz="4" w:space="0" w:color="auto"/>
              <w:bottom w:val="single" w:sz="4" w:space="0" w:color="auto"/>
              <w:right w:val="single" w:sz="4" w:space="0" w:color="auto"/>
            </w:tcBorders>
            <w:vAlign w:val="center"/>
          </w:tcPr>
          <w:p w14:paraId="39D8892A" w14:textId="77777777" w:rsidR="006202BD" w:rsidRPr="00007450" w:rsidRDefault="006202BD" w:rsidP="00864C4B">
            <w:pPr>
              <w:pStyle w:val="TableText0"/>
              <w:jc w:val="center"/>
            </w:pPr>
            <w:r w:rsidRPr="00007450">
              <w:t>136/882</w:t>
            </w:r>
          </w:p>
        </w:tc>
        <w:tc>
          <w:tcPr>
            <w:tcW w:w="708" w:type="pct"/>
            <w:tcBorders>
              <w:top w:val="single" w:sz="4" w:space="0" w:color="auto"/>
              <w:left w:val="single" w:sz="4" w:space="0" w:color="auto"/>
              <w:bottom w:val="single" w:sz="4" w:space="0" w:color="auto"/>
              <w:right w:val="single" w:sz="4" w:space="0" w:color="auto"/>
            </w:tcBorders>
            <w:vAlign w:val="center"/>
          </w:tcPr>
          <w:p w14:paraId="4312F530" w14:textId="77777777" w:rsidR="006202BD" w:rsidRPr="00007450" w:rsidRDefault="006202BD" w:rsidP="00864C4B">
            <w:pPr>
              <w:pStyle w:val="TableText0"/>
              <w:jc w:val="center"/>
            </w:pPr>
            <w:r w:rsidRPr="00007450">
              <w:t>53/880</w:t>
            </w:r>
          </w:p>
        </w:tc>
        <w:tc>
          <w:tcPr>
            <w:tcW w:w="866" w:type="pct"/>
            <w:tcBorders>
              <w:top w:val="single" w:sz="4" w:space="0" w:color="auto"/>
              <w:left w:val="single" w:sz="4" w:space="0" w:color="auto"/>
              <w:bottom w:val="single" w:sz="4" w:space="0" w:color="auto"/>
              <w:right w:val="single" w:sz="4" w:space="0" w:color="auto"/>
            </w:tcBorders>
            <w:vAlign w:val="center"/>
          </w:tcPr>
          <w:p w14:paraId="4954FF9D" w14:textId="77777777" w:rsidR="006202BD" w:rsidRPr="00007450" w:rsidRDefault="006202BD" w:rsidP="00864C4B">
            <w:pPr>
              <w:pStyle w:val="TableText0"/>
              <w:jc w:val="center"/>
              <w:rPr>
                <w:b/>
                <w:bCs w:val="0"/>
              </w:rPr>
            </w:pPr>
            <w:r w:rsidRPr="00007450">
              <w:rPr>
                <w:b/>
                <w:bCs w:val="0"/>
              </w:rPr>
              <w:t>2.56 (1.89, 3.47)</w:t>
            </w:r>
          </w:p>
        </w:tc>
        <w:tc>
          <w:tcPr>
            <w:tcW w:w="628" w:type="pct"/>
            <w:tcBorders>
              <w:top w:val="single" w:sz="4" w:space="0" w:color="auto"/>
              <w:left w:val="single" w:sz="4" w:space="0" w:color="auto"/>
              <w:bottom w:val="single" w:sz="4" w:space="0" w:color="auto"/>
              <w:right w:val="single" w:sz="4" w:space="0" w:color="auto"/>
            </w:tcBorders>
            <w:vAlign w:val="center"/>
          </w:tcPr>
          <w:p w14:paraId="5CDF0752" w14:textId="77777777" w:rsidR="006202BD" w:rsidRPr="00007450" w:rsidRDefault="006202BD" w:rsidP="00864C4B">
            <w:pPr>
              <w:pStyle w:val="TableText0"/>
              <w:jc w:val="center"/>
            </w:pPr>
            <w:r w:rsidRPr="00007450">
              <w:t>15.4</w:t>
            </w:r>
          </w:p>
        </w:tc>
        <w:tc>
          <w:tcPr>
            <w:tcW w:w="708" w:type="pct"/>
            <w:tcBorders>
              <w:top w:val="single" w:sz="4" w:space="0" w:color="auto"/>
              <w:left w:val="single" w:sz="4" w:space="0" w:color="auto"/>
              <w:bottom w:val="single" w:sz="4" w:space="0" w:color="auto"/>
              <w:right w:val="single" w:sz="4" w:space="0" w:color="auto"/>
            </w:tcBorders>
            <w:vAlign w:val="center"/>
          </w:tcPr>
          <w:p w14:paraId="7328B418" w14:textId="77777777" w:rsidR="006202BD" w:rsidRPr="00007450" w:rsidRDefault="006202BD" w:rsidP="00864C4B">
            <w:pPr>
              <w:pStyle w:val="TableText0"/>
              <w:jc w:val="center"/>
            </w:pPr>
            <w:r w:rsidRPr="00007450">
              <w:t>6.0</w:t>
            </w:r>
          </w:p>
        </w:tc>
        <w:tc>
          <w:tcPr>
            <w:tcW w:w="596" w:type="pct"/>
            <w:tcBorders>
              <w:top w:val="single" w:sz="4" w:space="0" w:color="auto"/>
              <w:left w:val="single" w:sz="4" w:space="0" w:color="auto"/>
              <w:bottom w:val="single" w:sz="4" w:space="0" w:color="auto"/>
              <w:right w:val="single" w:sz="4" w:space="0" w:color="auto"/>
            </w:tcBorders>
            <w:vAlign w:val="center"/>
          </w:tcPr>
          <w:p w14:paraId="15C84366" w14:textId="77777777" w:rsidR="00B82C1C" w:rsidRPr="00007450" w:rsidRDefault="006202BD" w:rsidP="00864C4B">
            <w:pPr>
              <w:pStyle w:val="TableText0"/>
              <w:jc w:val="center"/>
              <w:rPr>
                <w:b/>
                <w:bCs w:val="0"/>
              </w:rPr>
            </w:pPr>
            <w:r w:rsidRPr="00007450">
              <w:rPr>
                <w:b/>
                <w:bCs w:val="0"/>
              </w:rPr>
              <w:t>0.09</w:t>
            </w:r>
            <w:r w:rsidR="009C7F88" w:rsidRPr="00007450">
              <w:rPr>
                <w:b/>
                <w:bCs w:val="0"/>
              </w:rPr>
              <w:t xml:space="preserve"> </w:t>
            </w:r>
          </w:p>
          <w:p w14:paraId="7B91FEB7" w14:textId="41E8A9D6" w:rsidR="006202BD" w:rsidRPr="00007450" w:rsidRDefault="009C7F88" w:rsidP="00864C4B">
            <w:pPr>
              <w:pStyle w:val="TableText0"/>
              <w:jc w:val="center"/>
              <w:rPr>
                <w:b/>
                <w:bCs w:val="0"/>
              </w:rPr>
            </w:pPr>
            <w:r w:rsidRPr="00007450">
              <w:rPr>
                <w:b/>
                <w:bCs w:val="0"/>
              </w:rPr>
              <w:t>(0.07, 0.12)</w:t>
            </w:r>
          </w:p>
        </w:tc>
      </w:tr>
    </w:tbl>
    <w:p w14:paraId="756A3CF9" w14:textId="07B20D4E" w:rsidR="00913B2B" w:rsidRPr="00007450" w:rsidRDefault="00913B2B" w:rsidP="00864C4B">
      <w:pPr>
        <w:pStyle w:val="TableFigureFooter"/>
      </w:pPr>
      <w:r w:rsidRPr="00007450">
        <w:t>Source: Table 2.16, p65, Table 2.17, p66 of the submission, Table 2.22 and Table 2.23, p70 of the submission.</w:t>
      </w:r>
    </w:p>
    <w:p w14:paraId="7B6BA928" w14:textId="5724EEBF" w:rsidR="009905C4" w:rsidRPr="00007450" w:rsidRDefault="009905C4" w:rsidP="00864C4B">
      <w:pPr>
        <w:pStyle w:val="TableFigureFooter"/>
      </w:pPr>
      <w:r w:rsidRPr="00007450">
        <w:lastRenderedPageBreak/>
        <w:t>CI = Confidence Interval; DCO = data cut-off; ET = endocrine therapy;</w:t>
      </w:r>
      <w:r w:rsidR="00782652" w:rsidRPr="00007450">
        <w:t xml:space="preserve"> DRFS = distant recurrence free survival;</w:t>
      </w:r>
      <w:r w:rsidRPr="00007450">
        <w:t xml:space="preserve"> iDFS = invasive disease-free survival; OS = overall survival; PBS = Pharmaceutical Benefits Scheme</w:t>
      </w:r>
      <w:r w:rsidR="00913B2B" w:rsidRPr="00007450">
        <w:t xml:space="preserve">; </w:t>
      </w:r>
      <w:r w:rsidRPr="00007450">
        <w:t>HR = hazard ratio; PBO = placebo; RD = risk difference; RR = risk ratio</w:t>
      </w:r>
      <w:r w:rsidR="005D193D" w:rsidRPr="00007450">
        <w:t>; NA = not applicable</w:t>
      </w:r>
    </w:p>
    <w:p w14:paraId="6C455618" w14:textId="77777777" w:rsidR="009905C4" w:rsidRPr="00007450" w:rsidRDefault="009905C4" w:rsidP="00864C4B">
      <w:pPr>
        <w:pStyle w:val="TableFigureFooter"/>
      </w:pPr>
      <w:r w:rsidRPr="00007450">
        <w:t>* Median duration of follow-up: 49.6 months</w:t>
      </w:r>
    </w:p>
    <w:p w14:paraId="00766F03" w14:textId="7FC3E663" w:rsidR="009C7F88" w:rsidRDefault="009C7F88" w:rsidP="00864C4B">
      <w:pPr>
        <w:pStyle w:val="TableFigureFooter"/>
      </w:pPr>
      <w:r w:rsidRPr="00007450">
        <w:rPr>
          <w:b/>
          <w:bCs/>
        </w:rPr>
        <w:t>Bold</w:t>
      </w:r>
      <w:r w:rsidRPr="00007450">
        <w:t xml:space="preserve"> = statistically significant</w:t>
      </w:r>
      <w:r w:rsidR="001C495C" w:rsidRPr="00007450">
        <w:t xml:space="preserve"> results</w:t>
      </w:r>
    </w:p>
    <w:p w14:paraId="54EC1A80" w14:textId="607CD831" w:rsidR="006E0647" w:rsidRPr="009B7C10" w:rsidRDefault="006E0647" w:rsidP="00864C4B">
      <w:pPr>
        <w:pStyle w:val="TableFigureFooter"/>
        <w:rPr>
          <w:i/>
          <w:iCs/>
        </w:rPr>
      </w:pPr>
      <w:r w:rsidRPr="009B7C10">
        <w:rPr>
          <w:i/>
          <w:iCs/>
        </w:rPr>
        <w:t>Note that the results presented in Table 8 are derived from ad-hoc analyses conducted by the applicant specifically for the purposes of informing the PBAC consideration. These analyses were not part of the pre-specified statistical plan.</w:t>
      </w:r>
      <w:r w:rsidR="004A2F0E">
        <w:rPr>
          <w:i/>
          <w:iCs/>
        </w:rPr>
        <w:t xml:space="preserve"> </w:t>
      </w:r>
      <w:r w:rsidRPr="009B7C10">
        <w:rPr>
          <w:i/>
          <w:iCs/>
        </w:rPr>
        <w:t>Interpretation of the results and their application should therefore be limited to seeking to understand the basis for the PBAC outcome and should not be used for any other purpose.</w:t>
      </w:r>
    </w:p>
    <w:p w14:paraId="3B04CC95" w14:textId="77777777" w:rsidR="009905C4" w:rsidRPr="00007450" w:rsidRDefault="009905C4" w:rsidP="00864C4B">
      <w:pPr>
        <w:pStyle w:val="3-BodyText"/>
        <w:numPr>
          <w:ilvl w:val="1"/>
          <w:numId w:val="1"/>
        </w:numPr>
      </w:pPr>
      <w:r w:rsidRPr="00007450">
        <w:t>On the basis of direct evidence presented by the submission, for every 100 patients treated with ribociclib plus ET in comparison with ET alone:</w:t>
      </w:r>
    </w:p>
    <w:p w14:paraId="42293F54" w14:textId="35DD3954" w:rsidR="009905C4" w:rsidRPr="00007450" w:rsidRDefault="009905C4" w:rsidP="00864C4B">
      <w:pPr>
        <w:pStyle w:val="ListParagraph"/>
        <w:ind w:left="1134"/>
        <w:jc w:val="both"/>
      </w:pPr>
      <w:r w:rsidRPr="00007450">
        <w:t xml:space="preserve">Approximately </w:t>
      </w:r>
      <w:r w:rsidR="00E2399A" w:rsidRPr="00007450">
        <w:t>4</w:t>
      </w:r>
      <w:r w:rsidR="00CC08AF" w:rsidRPr="00007450">
        <w:t xml:space="preserve"> </w:t>
      </w:r>
      <w:r w:rsidRPr="00007450">
        <w:t>additional patients w</w:t>
      </w:r>
      <w:r w:rsidR="00712DEB" w:rsidRPr="00007450">
        <w:t>ould</w:t>
      </w:r>
      <w:r w:rsidRPr="00007450">
        <w:t xml:space="preserve"> remain invasive-disease-free after 4 years, however, there would be no difference in overall survival.</w:t>
      </w:r>
    </w:p>
    <w:p w14:paraId="3627BC51" w14:textId="72AF8FEF" w:rsidR="00712DEB" w:rsidRPr="00007450" w:rsidRDefault="00712DEB" w:rsidP="00864C4B">
      <w:pPr>
        <w:pStyle w:val="ListParagraph"/>
        <w:ind w:left="1134"/>
        <w:jc w:val="both"/>
      </w:pPr>
      <w:r w:rsidRPr="00007450">
        <w:t>Approximately 3 additional patients would remain distant-disease-free after 4 years.</w:t>
      </w:r>
    </w:p>
    <w:p w14:paraId="448702F0" w14:textId="7F703147" w:rsidR="000228AC" w:rsidRPr="00007450" w:rsidRDefault="000228AC" w:rsidP="00864C4B">
      <w:pPr>
        <w:pStyle w:val="ListParagraph"/>
        <w:ind w:left="1134"/>
        <w:jc w:val="both"/>
      </w:pPr>
      <w:r w:rsidRPr="00007450">
        <w:t>Approximately 42 patients would experience a grade ≥3 treatment-emergent AE over 4.1 years.</w:t>
      </w:r>
    </w:p>
    <w:p w14:paraId="436F5321" w14:textId="7DE4F279" w:rsidR="009905C4" w:rsidRPr="00007450" w:rsidRDefault="009905C4" w:rsidP="00864C4B">
      <w:pPr>
        <w:pStyle w:val="ListParagraph"/>
        <w:ind w:left="1134"/>
        <w:jc w:val="both"/>
      </w:pPr>
      <w:r w:rsidRPr="00007450">
        <w:t>Approximately 40 additional patients would experience neutropenia (abnormally low neutrophils, a type of white blood cell that helps fight infections</w:t>
      </w:r>
      <w:r w:rsidR="003B281E" w:rsidRPr="00007450">
        <w:t xml:space="preserve">, </w:t>
      </w:r>
      <w:r w:rsidR="003B281E" w:rsidRPr="00B144B7">
        <w:t>all grade</w:t>
      </w:r>
      <w:r w:rsidR="00375B94" w:rsidRPr="00B144B7">
        <w:t>s</w:t>
      </w:r>
      <w:r w:rsidRPr="00B144B7">
        <w:t>)</w:t>
      </w:r>
      <w:r w:rsidR="00862578" w:rsidRPr="00007450">
        <w:t xml:space="preserve"> over 4.1 years</w:t>
      </w:r>
      <w:r w:rsidRPr="00007450">
        <w:t xml:space="preserve">. </w:t>
      </w:r>
    </w:p>
    <w:p w14:paraId="20D4FC1F" w14:textId="5348A413" w:rsidR="009905C4" w:rsidRPr="00007450" w:rsidRDefault="009905C4" w:rsidP="00864C4B">
      <w:pPr>
        <w:pStyle w:val="ListParagraph"/>
        <w:ind w:left="1134"/>
        <w:jc w:val="both"/>
      </w:pPr>
      <w:r w:rsidRPr="00007450">
        <w:t>Approximately 12 additional patients would experience leukopenia (abnormally low leukocytes, another type of white blood cell that help fight infections)</w:t>
      </w:r>
      <w:r w:rsidR="00862578" w:rsidRPr="00007450">
        <w:t xml:space="preserve"> over 4.1 years</w:t>
      </w:r>
      <w:r w:rsidRPr="00007450">
        <w:t>.</w:t>
      </w:r>
    </w:p>
    <w:p w14:paraId="25D8F0A7" w14:textId="4A8A182A" w:rsidR="009905C4" w:rsidRPr="00007450" w:rsidRDefault="009905C4" w:rsidP="00864C4B">
      <w:pPr>
        <w:pStyle w:val="ListParagraph"/>
        <w:ind w:left="1134"/>
        <w:jc w:val="both"/>
      </w:pPr>
      <w:r w:rsidRPr="00007450">
        <w:t>Approximately 17 additional patients would have alanine aminotransferase increased (indicating liver damage or injury)</w:t>
      </w:r>
      <w:r w:rsidR="00862578" w:rsidRPr="00007450">
        <w:t xml:space="preserve"> over 4.1 years</w:t>
      </w:r>
      <w:r w:rsidRPr="00007450">
        <w:t>.</w:t>
      </w:r>
    </w:p>
    <w:p w14:paraId="1AA510E4" w14:textId="367E2EE8" w:rsidR="00D854AA" w:rsidRPr="00007450" w:rsidRDefault="00D854AA" w:rsidP="00864C4B">
      <w:pPr>
        <w:pStyle w:val="ListParagraph"/>
        <w:ind w:left="1134"/>
        <w:jc w:val="both"/>
      </w:pPr>
      <w:r w:rsidRPr="00007450">
        <w:t>Approximately 9 additional patients would have diarrhoea</w:t>
      </w:r>
      <w:r w:rsidR="00862578" w:rsidRPr="00007450">
        <w:t xml:space="preserve"> over 4.1 years.</w:t>
      </w:r>
    </w:p>
    <w:p w14:paraId="0E9503C6" w14:textId="77777777" w:rsidR="009905C4" w:rsidRPr="00007450" w:rsidRDefault="009905C4" w:rsidP="00864C4B">
      <w:pPr>
        <w:pStyle w:val="4-SubsectionHeading"/>
      </w:pPr>
      <w:bookmarkStart w:id="42" w:name="_Toc22897644"/>
      <w:bookmarkStart w:id="43" w:name="_Toc198724444"/>
      <w:r w:rsidRPr="00007450">
        <w:t>Clinical claim</w:t>
      </w:r>
      <w:bookmarkEnd w:id="42"/>
      <w:bookmarkEnd w:id="43"/>
    </w:p>
    <w:p w14:paraId="12FD73CC" w14:textId="77777777" w:rsidR="00E36C21" w:rsidRPr="00007450" w:rsidRDefault="009905C4" w:rsidP="00864C4B">
      <w:pPr>
        <w:pStyle w:val="3-BodyText"/>
        <w:numPr>
          <w:ilvl w:val="1"/>
          <w:numId w:val="1"/>
        </w:numPr>
        <w:rPr>
          <w:rFonts w:eastAsia="Calibri"/>
        </w:rPr>
      </w:pPr>
      <w:r w:rsidRPr="00007450">
        <w:rPr>
          <w:rFonts w:eastAsia="Calibri"/>
        </w:rPr>
        <w:t>The submission described ribociclib plus adjuvant ET as superior in terms of effectiveness compared to adjuvant ET alone</w:t>
      </w:r>
      <w:r w:rsidR="00FA6024" w:rsidRPr="00007450">
        <w:rPr>
          <w:rFonts w:eastAsia="Calibri"/>
        </w:rPr>
        <w:t>.</w:t>
      </w:r>
      <w:r w:rsidRPr="00007450">
        <w:rPr>
          <w:rFonts w:eastAsia="Calibri"/>
        </w:rPr>
        <w:t xml:space="preserve"> </w:t>
      </w:r>
    </w:p>
    <w:p w14:paraId="6BF2C5E8" w14:textId="3629ADBD" w:rsidR="00AD1EE6" w:rsidRPr="008301A5" w:rsidRDefault="00516AED" w:rsidP="00864C4B">
      <w:pPr>
        <w:pStyle w:val="3-BodyText"/>
        <w:numPr>
          <w:ilvl w:val="1"/>
          <w:numId w:val="1"/>
        </w:numPr>
        <w:rPr>
          <w:rFonts w:eastAsia="Calibri"/>
        </w:rPr>
      </w:pPr>
      <w:bookmarkStart w:id="44" w:name="_Ref205183544"/>
      <w:r w:rsidRPr="00007450">
        <w:rPr>
          <w:rFonts w:eastAsia="Calibri"/>
        </w:rPr>
        <w:t xml:space="preserve">The ESC considered the </w:t>
      </w:r>
      <w:r w:rsidR="009905C4" w:rsidRPr="00007450">
        <w:rPr>
          <w:rFonts w:eastAsia="Calibri"/>
        </w:rPr>
        <w:t>claim was adequately supported</w:t>
      </w:r>
      <w:r w:rsidR="009A315D" w:rsidRPr="00007450">
        <w:rPr>
          <w:rFonts w:eastAsia="Calibri"/>
        </w:rPr>
        <w:t xml:space="preserve"> for </w:t>
      </w:r>
      <w:r w:rsidR="008E3989" w:rsidRPr="00007450">
        <w:rPr>
          <w:rFonts w:eastAsia="Calibri"/>
        </w:rPr>
        <w:t>iDFS</w:t>
      </w:r>
      <w:r w:rsidR="009A315D" w:rsidRPr="00007450">
        <w:rPr>
          <w:rFonts w:eastAsia="Calibri"/>
        </w:rPr>
        <w:t>,</w:t>
      </w:r>
      <w:r w:rsidR="008E3989" w:rsidRPr="00007450">
        <w:rPr>
          <w:rFonts w:eastAsia="Calibri"/>
        </w:rPr>
        <w:t xml:space="preserve"> however considered that </w:t>
      </w:r>
      <w:r w:rsidR="009905C4" w:rsidRPr="00007450">
        <w:rPr>
          <w:rFonts w:eastAsia="Calibri"/>
        </w:rPr>
        <w:t xml:space="preserve">the absolute benefit was modest. </w:t>
      </w:r>
      <w:r w:rsidR="008D19F6" w:rsidRPr="00007450">
        <w:t>In the PBS subgroup of the NATALEE trial, treatment with ribociclib + ET, in comparison to ET alone, resulted in a</w:t>
      </w:r>
      <w:r w:rsidR="00D60D50" w:rsidRPr="00007450">
        <w:t>n absolute benefit</w:t>
      </w:r>
      <w:r w:rsidR="008D19F6" w:rsidRPr="00007450">
        <w:t xml:space="preserve"> of iDFS </w:t>
      </w:r>
      <w:r w:rsidR="00D60D50" w:rsidRPr="00007450">
        <w:t>of</w:t>
      </w:r>
      <w:r w:rsidR="006B349B" w:rsidRPr="00007450">
        <w:t xml:space="preserve"> 1.3% at 3 years and</w:t>
      </w:r>
      <w:r w:rsidR="00D60D50" w:rsidRPr="00007450">
        <w:t xml:space="preserve"> </w:t>
      </w:r>
      <w:r w:rsidR="006B349B" w:rsidRPr="00007450">
        <w:t>3.7% at 4 years</w:t>
      </w:r>
      <w:r w:rsidR="008D19F6" w:rsidRPr="00007450">
        <w:t xml:space="preserve"> </w:t>
      </w:r>
      <w:r w:rsidR="0096797C" w:rsidRPr="00007450">
        <w:t>and</w:t>
      </w:r>
      <w:r w:rsidR="008D19F6" w:rsidRPr="00007450">
        <w:t xml:space="preserve"> </w:t>
      </w:r>
      <w:r w:rsidR="00D60D50" w:rsidRPr="00007450">
        <w:t>an absolute benefit</w:t>
      </w:r>
      <w:r w:rsidR="008D19F6" w:rsidRPr="00007450">
        <w:t xml:space="preserve"> of </w:t>
      </w:r>
      <w:r w:rsidR="00321618" w:rsidRPr="00007450">
        <w:t>D</w:t>
      </w:r>
      <w:r w:rsidR="008D19F6" w:rsidRPr="00007450">
        <w:t>RFS</w:t>
      </w:r>
      <w:r w:rsidR="00E80C53" w:rsidRPr="00007450">
        <w:t xml:space="preserve"> of 1.3% at 3 years and 2.8% at 4 years</w:t>
      </w:r>
      <w:r w:rsidR="008D19F6" w:rsidRPr="00007450">
        <w:t>.</w:t>
      </w:r>
      <w:r w:rsidR="00D60D50" w:rsidRPr="00007450">
        <w:t xml:space="preserve"> </w:t>
      </w:r>
      <w:r w:rsidR="001A12A5" w:rsidRPr="00007450">
        <w:t>It was noted that the</w:t>
      </w:r>
      <w:r w:rsidR="00C235B4" w:rsidRPr="00007450">
        <w:t xml:space="preserve"> PBAC previously considered </w:t>
      </w:r>
      <w:r w:rsidR="00D87430" w:rsidRPr="00007450">
        <w:t>that a</w:t>
      </w:r>
      <w:r w:rsidR="00C235B4" w:rsidRPr="00007450">
        <w:t xml:space="preserve"> 3.5% absolute difference </w:t>
      </w:r>
      <w:r w:rsidR="00296548" w:rsidRPr="00007450">
        <w:t xml:space="preserve">in iDFS </w:t>
      </w:r>
      <w:r w:rsidR="00C235B4" w:rsidRPr="00007450">
        <w:t xml:space="preserve">may be clinically meaningful in the adjuvant </w:t>
      </w:r>
      <w:r w:rsidR="000F0BB5" w:rsidRPr="00007450">
        <w:t xml:space="preserve">eBC </w:t>
      </w:r>
      <w:r w:rsidR="00C235B4" w:rsidRPr="00007450">
        <w:t>setting where the goal is cure (para</w:t>
      </w:r>
      <w:r w:rsidR="00C235B4" w:rsidRPr="00007450">
        <w:rPr>
          <w:bCs/>
        </w:rPr>
        <w:t>.</w:t>
      </w:r>
      <w:r w:rsidR="00C235B4" w:rsidRPr="00007450">
        <w:t xml:space="preserve"> 7.8, abemaciclib PSD, March 2022 PBAC meeting).</w:t>
      </w:r>
      <w:r w:rsidR="006B349B" w:rsidRPr="00007450">
        <w:t xml:space="preserve"> </w:t>
      </w:r>
      <w:r w:rsidR="00E83EE7" w:rsidRPr="00007450">
        <w:t xml:space="preserve">However, it was noted that the clinical data at the 4-year follow-up point may be subject to reduced reliability due to </w:t>
      </w:r>
      <w:r w:rsidR="007150DB" w:rsidRPr="00007450">
        <w:t>a</w:t>
      </w:r>
      <w:r w:rsidR="00E83EE7" w:rsidRPr="00007450">
        <w:t xml:space="preserve"> </w:t>
      </w:r>
      <w:r w:rsidR="007150DB" w:rsidRPr="00007450">
        <w:t xml:space="preserve">lower </w:t>
      </w:r>
      <w:r w:rsidR="00E83EE7" w:rsidRPr="00007450">
        <w:t xml:space="preserve">number of patients remaining at risk </w:t>
      </w:r>
      <w:r w:rsidR="007150DB" w:rsidRPr="00007450">
        <w:t>(</w:t>
      </w:r>
      <w:r w:rsidR="00E83EE7" w:rsidRPr="00007450">
        <w:t>approximately 50% of the original cohort</w:t>
      </w:r>
      <w:r w:rsidR="007150DB" w:rsidRPr="00007450">
        <w:t>)</w:t>
      </w:r>
      <w:r w:rsidR="00E83EE7" w:rsidRPr="00007450">
        <w:t>.</w:t>
      </w:r>
      <w:bookmarkEnd w:id="44"/>
      <w:r w:rsidR="00593F8E" w:rsidRPr="00593F8E">
        <w:t xml:space="preserve"> </w:t>
      </w:r>
      <w:r w:rsidR="00B601F7" w:rsidRPr="00007450">
        <w:t xml:space="preserve">The ESC also noted the risk of recurrence in the ET alone arm was substantially lower in the proposed PBS population (8.6%) than the complement group which reflects the current PBS </w:t>
      </w:r>
      <w:r w:rsidR="00B601F7" w:rsidRPr="00007450">
        <w:lastRenderedPageBreak/>
        <w:t>population ((340-78)/(2552-903) = 15.9%).</w:t>
      </w:r>
      <w:r w:rsidR="008301A5">
        <w:rPr>
          <w:rFonts w:eastAsia="Calibri"/>
        </w:rPr>
        <w:t xml:space="preserve"> </w:t>
      </w:r>
      <w:r w:rsidR="00593F8E" w:rsidRPr="00007450">
        <w:t>The Pre-PBAC Response reiterated the iDFS benefit was greater than the 3.5% previously considered by the PBAC to be clinically meaningful and argued the recurrence rate of 8.6% in the ET alone arm reinforces the clinical need for improved treatments to reduce the risk of recurrence.</w:t>
      </w:r>
      <w:bookmarkStart w:id="45" w:name="_Ref205183554"/>
    </w:p>
    <w:p w14:paraId="6CA0543A" w14:textId="74342F7D" w:rsidR="008924D6" w:rsidRPr="00007450" w:rsidRDefault="00D573B7" w:rsidP="00864C4B">
      <w:pPr>
        <w:pStyle w:val="3-BodyText"/>
        <w:numPr>
          <w:ilvl w:val="1"/>
          <w:numId w:val="1"/>
        </w:numPr>
        <w:rPr>
          <w:rFonts w:eastAsia="Calibri"/>
        </w:rPr>
      </w:pPr>
      <w:r w:rsidRPr="00007450">
        <w:t xml:space="preserve">In the NATALEE trial, both the iDFS and OS data were immature. The results for OS showed no significant difference between the two arms in the ITT population or PBS subgroup population. </w:t>
      </w:r>
      <w:r w:rsidR="0044214C" w:rsidRPr="00007450">
        <w:t>Due to this the submission used iDFS as a surrogate for OS.</w:t>
      </w:r>
      <w:r w:rsidR="00ED0B06" w:rsidRPr="00007450">
        <w:t xml:space="preserve"> </w:t>
      </w:r>
      <w:r w:rsidR="00575430" w:rsidRPr="00007450">
        <w:t xml:space="preserve">The ESC noted that the </w:t>
      </w:r>
      <w:r w:rsidR="0044214C" w:rsidRPr="00007450">
        <w:t xml:space="preserve">PBAC previously considered that iDFS </w:t>
      </w:r>
      <w:r w:rsidR="001858DD" w:rsidRPr="00007450">
        <w:t>being employed as a surrogate for OS was</w:t>
      </w:r>
      <w:r w:rsidR="0044214C" w:rsidRPr="00007450">
        <w:t xml:space="preserve"> an uncertain, but generally plausible surrogate for OS </w:t>
      </w:r>
      <w:r w:rsidR="001858DD" w:rsidRPr="00007450">
        <w:t>in the eBC setting</w:t>
      </w:r>
      <w:r w:rsidR="0044214C" w:rsidRPr="00007450">
        <w:t xml:space="preserve">. However, the PBAC also noted that the relationship between </w:t>
      </w:r>
      <w:r w:rsidR="00C235B4" w:rsidRPr="00007450">
        <w:t>i</w:t>
      </w:r>
      <w:r w:rsidR="0044214C" w:rsidRPr="00007450">
        <w:t xml:space="preserve">DFS and OS </w:t>
      </w:r>
      <w:r w:rsidR="001B1FF4" w:rsidRPr="00007450">
        <w:t xml:space="preserve">was </w:t>
      </w:r>
      <w:r w:rsidR="0044214C" w:rsidRPr="00007450">
        <w:t>uncertain (for abemaciclib), given the OS data were immature and no difference in OS was observed at the most recent data cutoff (para</w:t>
      </w:r>
      <w:r w:rsidR="006F23C0" w:rsidRPr="00007450">
        <w:t>.</w:t>
      </w:r>
      <w:r w:rsidR="0044214C" w:rsidRPr="00007450">
        <w:t xml:space="preserve"> 7.8, abemaciclib PSD, March 2022 PBAC meeting). As OS was immature in </w:t>
      </w:r>
      <w:r w:rsidR="00791A8B">
        <w:t>this</w:t>
      </w:r>
      <w:r w:rsidR="00791A8B" w:rsidRPr="00007450">
        <w:t xml:space="preserve"> </w:t>
      </w:r>
      <w:r w:rsidR="0044214C" w:rsidRPr="00007450">
        <w:t>submission, the relationship between iDFS and OS for ribociclib is also uncertain.</w:t>
      </w:r>
      <w:r w:rsidR="001B1FF4" w:rsidRPr="00007450">
        <w:t xml:space="preserve"> The PSCR </w:t>
      </w:r>
      <w:r w:rsidR="00C2656C" w:rsidRPr="00007450">
        <w:t>stated that the immaturity of the data should be viewed in the context of an adjuvant treatment, where patients have undergone surgery with curative intent. Many patients are therefore likely to remain free of invasive disease long-term and a difference in OS may not be observed within the duration of a clinical trial.</w:t>
      </w:r>
      <w:bookmarkEnd w:id="45"/>
      <w:r w:rsidR="00C2656C" w:rsidRPr="00007450">
        <w:t xml:space="preserve"> </w:t>
      </w:r>
    </w:p>
    <w:p w14:paraId="764A2B87" w14:textId="07138C26" w:rsidR="009905C4" w:rsidRPr="00007450" w:rsidRDefault="009905C4" w:rsidP="00864C4B">
      <w:pPr>
        <w:pStyle w:val="3-BodyText"/>
        <w:numPr>
          <w:ilvl w:val="1"/>
          <w:numId w:val="1"/>
        </w:numPr>
        <w:rPr>
          <w:rFonts w:eastAsia="Calibri"/>
        </w:rPr>
      </w:pPr>
      <w:bookmarkStart w:id="46" w:name="_Ref205183558"/>
      <w:r w:rsidRPr="00007450">
        <w:rPr>
          <w:rFonts w:eastAsia="Calibri"/>
        </w:rPr>
        <w:t xml:space="preserve">The submission described ribociclib plus adjuvant ET as inferior in terms of safety compared to ET alone. </w:t>
      </w:r>
      <w:r w:rsidR="002A7E3B" w:rsidRPr="00007450">
        <w:rPr>
          <w:rFonts w:eastAsia="Calibri"/>
        </w:rPr>
        <w:t xml:space="preserve">The ESC considered that this </w:t>
      </w:r>
      <w:r w:rsidRPr="00007450">
        <w:rPr>
          <w:rFonts w:eastAsia="Calibri"/>
        </w:rPr>
        <w:t>claim was adequately supported.</w:t>
      </w:r>
      <w:r w:rsidR="008D19F6" w:rsidRPr="00007450">
        <w:rPr>
          <w:rFonts w:eastAsia="Calibri"/>
        </w:rPr>
        <w:t xml:space="preserve"> </w:t>
      </w:r>
      <w:r w:rsidR="008D19F6" w:rsidRPr="00007450">
        <w:t xml:space="preserve">Patients in the PBS subgroup who received ribociclib + ET experienced more TEAEs than patient who received ET alone (97.4% vs. 88.3%). This included the ribociclib arm experiencing more Grade </w:t>
      </w:r>
      <w:r w:rsidR="008D19F6" w:rsidRPr="00007450">
        <w:rPr>
          <w:rFonts w:cs="Calibri"/>
        </w:rPr>
        <w:t>≥</w:t>
      </w:r>
      <w:r w:rsidR="008D19F6" w:rsidRPr="00007450">
        <w:t>3 TEAEs (61.5% vs. 19.1%), more discontinuations due to AEs (22.6% vs. 6.7%), and more AEs of special interest (84.7% vs. 47.7%).</w:t>
      </w:r>
      <w:bookmarkEnd w:id="46"/>
      <w:r w:rsidR="004A2F0E">
        <w:t xml:space="preserve"> </w:t>
      </w:r>
    </w:p>
    <w:p w14:paraId="1F227E56" w14:textId="58F640CA" w:rsidR="00457B42" w:rsidRPr="00007450" w:rsidRDefault="00B3722A" w:rsidP="00864C4B">
      <w:pPr>
        <w:numPr>
          <w:ilvl w:val="1"/>
          <w:numId w:val="1"/>
        </w:numPr>
        <w:spacing w:after="120"/>
        <w:rPr>
          <w:rFonts w:asciiTheme="minorHAnsi" w:hAnsiTheme="minorHAnsi"/>
          <w:snapToGrid w:val="0"/>
          <w:szCs w:val="20"/>
        </w:rPr>
      </w:pPr>
      <w:bookmarkStart w:id="47" w:name="_Ref205183596"/>
      <w:r w:rsidRPr="00007450">
        <w:t>Overall, the</w:t>
      </w:r>
      <w:r w:rsidR="00370264" w:rsidRPr="00007450">
        <w:t xml:space="preserve"> ESC considered that when considering the drug toxicity associated with ribociclib</w:t>
      </w:r>
      <w:r w:rsidR="00C848B0" w:rsidRPr="00007450">
        <w:t xml:space="preserve"> and the</w:t>
      </w:r>
      <w:r w:rsidR="004D1022" w:rsidRPr="00007450">
        <w:t xml:space="preserve"> relatively</w:t>
      </w:r>
      <w:r w:rsidR="00C848B0" w:rsidRPr="00007450">
        <w:t xml:space="preserve"> low risk of recurrence in the prop</w:t>
      </w:r>
      <w:r w:rsidR="00A01AB8" w:rsidRPr="00007450">
        <w:t>osed incremental population</w:t>
      </w:r>
      <w:r w:rsidR="00370264" w:rsidRPr="00007450">
        <w:t xml:space="preserve">, the benefit-harm profile of ribociclib as adjuvant therapy is uncertain. </w:t>
      </w:r>
      <w:r w:rsidR="00DB34BC" w:rsidRPr="00007450">
        <w:t>In this context, t</w:t>
      </w:r>
      <w:r w:rsidR="00370264" w:rsidRPr="00007450">
        <w:t xml:space="preserve">he ESC advised that the use of adjuvant ribociclib should be considered carefully in the context of the </w:t>
      </w:r>
      <w:r w:rsidR="00D020FD" w:rsidRPr="00007450">
        <w:t>‘</w:t>
      </w:r>
      <w:r w:rsidR="00370264" w:rsidRPr="00007450">
        <w:t>Once in a lifetime</w:t>
      </w:r>
      <w:r w:rsidR="00D020FD" w:rsidRPr="00007450">
        <w:t>’</w:t>
      </w:r>
      <w:r w:rsidR="00370264" w:rsidRPr="00007450">
        <w:t xml:space="preserve"> rule for CDK4/6 inhibitors as its use in eBC would prevent patients from using ribociclib in the advanced setting where it is currently PBS listed.</w:t>
      </w:r>
      <w:bookmarkEnd w:id="47"/>
      <w:r w:rsidR="00370264" w:rsidRPr="00007450">
        <w:t xml:space="preserve"> </w:t>
      </w:r>
      <w:r w:rsidR="003710FD">
        <w:t>The Pre-PBAC response</w:t>
      </w:r>
      <w:r w:rsidR="00E90B84">
        <w:t xml:space="preserve"> disagreed that the benefit-harm profile was uncertain,</w:t>
      </w:r>
      <w:r w:rsidR="003710FD">
        <w:t xml:space="preserve"> </w:t>
      </w:r>
      <w:r w:rsidR="009333C8">
        <w:t>not</w:t>
      </w:r>
      <w:r w:rsidR="00E90B84">
        <w:t>ing</w:t>
      </w:r>
      <w:r w:rsidR="009333C8">
        <w:t xml:space="preserve"> that the TGA had</w:t>
      </w:r>
      <w:r w:rsidR="001B34F2">
        <w:t xml:space="preserve"> </w:t>
      </w:r>
      <w:r w:rsidR="008F2BA3">
        <w:t xml:space="preserve">previously </w:t>
      </w:r>
      <w:r w:rsidR="001B34F2">
        <w:t xml:space="preserve">considered that </w:t>
      </w:r>
      <w:r w:rsidR="00E90B84">
        <w:t>ribociclib</w:t>
      </w:r>
      <w:r w:rsidR="001B34F2">
        <w:t xml:space="preserve"> had a favourable benefit-</w:t>
      </w:r>
      <w:r w:rsidR="00946BD8">
        <w:t>harm profile in this population</w:t>
      </w:r>
      <w:r w:rsidR="00E90B84">
        <w:t>. The Response argued that the</w:t>
      </w:r>
      <w:r w:rsidR="00E90B84" w:rsidRPr="00E90B84">
        <w:t xml:space="preserve"> decision to treat eBC </w:t>
      </w:r>
      <w:r w:rsidR="008F1B24">
        <w:t>ultimately rests</w:t>
      </w:r>
      <w:r w:rsidR="00E90B84" w:rsidRPr="00E90B84">
        <w:t xml:space="preserve"> with the individual patient and clinician</w:t>
      </w:r>
      <w:r w:rsidR="008F1B24">
        <w:t>, who are best positioned to assess and determine</w:t>
      </w:r>
      <w:r w:rsidR="00E90B84" w:rsidRPr="00E90B84">
        <w:t xml:space="preserve"> the benefit-risk of available treatment</w:t>
      </w:r>
      <w:r w:rsidR="00437A2E">
        <w:t xml:space="preserve"> option</w:t>
      </w:r>
      <w:r w:rsidR="00E90B84" w:rsidRPr="00E90B84">
        <w:t>s.</w:t>
      </w:r>
      <w:r w:rsidR="00022522">
        <w:t xml:space="preserve"> It was noted that the TGA approved population </w:t>
      </w:r>
      <w:r w:rsidR="00B202D8">
        <w:t xml:space="preserve">related to the ITT population of the NATALEE trial, </w:t>
      </w:r>
      <w:r w:rsidR="00F0697F">
        <w:t>and was not specific to</w:t>
      </w:r>
      <w:r w:rsidR="00B202D8">
        <w:t xml:space="preserve"> </w:t>
      </w:r>
      <w:r w:rsidR="00577CC4">
        <w:t>the lower risk</w:t>
      </w:r>
      <w:r w:rsidR="00FF56C3">
        <w:t xml:space="preserve"> </w:t>
      </w:r>
      <w:r w:rsidR="00F0697F">
        <w:t>subset of patients</w:t>
      </w:r>
      <w:r w:rsidR="00FF56C3">
        <w:t xml:space="preserve"> being considered</w:t>
      </w:r>
      <w:r w:rsidR="00F0697F">
        <w:t xml:space="preserve"> in this submission</w:t>
      </w:r>
      <w:r w:rsidR="00FF56C3">
        <w:t>.</w:t>
      </w:r>
    </w:p>
    <w:p w14:paraId="61C75C38" w14:textId="78E72F8F" w:rsidR="00803AD4" w:rsidRPr="00803AD4" w:rsidRDefault="00803AD4" w:rsidP="00864C4B">
      <w:pPr>
        <w:numPr>
          <w:ilvl w:val="1"/>
          <w:numId w:val="1"/>
        </w:numPr>
        <w:spacing w:after="120"/>
        <w:rPr>
          <w:rFonts w:asciiTheme="minorHAnsi" w:hAnsiTheme="minorHAnsi"/>
          <w:snapToGrid w:val="0"/>
          <w:szCs w:val="20"/>
        </w:rPr>
      </w:pPr>
      <w:bookmarkStart w:id="48" w:name="_Hlk76376200"/>
      <w:r>
        <w:rPr>
          <w:snapToGrid w:val="0"/>
        </w:rPr>
        <w:t>The PBAC noted that whilst the reductions in i</w:t>
      </w:r>
      <w:r w:rsidRPr="005D1877">
        <w:rPr>
          <w:snapToGrid w:val="0"/>
        </w:rPr>
        <w:t>DFS</w:t>
      </w:r>
      <w:r>
        <w:rPr>
          <w:snapToGrid w:val="0"/>
        </w:rPr>
        <w:t xml:space="preserve"> and DRFS were statistically significant, they were smaller than observed for the currently listed </w:t>
      </w:r>
      <w:r w:rsidR="00CB0FB3">
        <w:rPr>
          <w:snapToGrid w:val="0"/>
        </w:rPr>
        <w:t>eBC</w:t>
      </w:r>
      <w:r>
        <w:rPr>
          <w:snapToGrid w:val="0"/>
        </w:rPr>
        <w:t xml:space="preserve"> patients. In the context of the increase in the number adverse events reported, and that patients treated in the adjuvant setting forego treatment with a CDK4/6 in the metastatic </w:t>
      </w:r>
      <w:r>
        <w:rPr>
          <w:snapToGrid w:val="0"/>
        </w:rPr>
        <w:lastRenderedPageBreak/>
        <w:t xml:space="preserve">setting, the PBAC considered the overall benefit associated with adding ribociclib to ET in </w:t>
      </w:r>
      <w:r w:rsidR="007B2E33">
        <w:rPr>
          <w:snapToGrid w:val="0"/>
        </w:rPr>
        <w:t>node negative/low</w:t>
      </w:r>
      <w:r>
        <w:rPr>
          <w:snapToGrid w:val="0"/>
        </w:rPr>
        <w:t xml:space="preserve"> patients had not been demonstrated to be clinically meaningful</w:t>
      </w:r>
      <w:r w:rsidR="00CB0FB3">
        <w:rPr>
          <w:snapToGrid w:val="0"/>
        </w:rPr>
        <w:t>.</w:t>
      </w:r>
    </w:p>
    <w:p w14:paraId="6D18CD79" w14:textId="24FB8FC6" w:rsidR="00457B42" w:rsidRPr="00CD334E" w:rsidRDefault="00457B42" w:rsidP="00864C4B">
      <w:pPr>
        <w:numPr>
          <w:ilvl w:val="1"/>
          <w:numId w:val="1"/>
        </w:numPr>
        <w:spacing w:after="120"/>
        <w:rPr>
          <w:rFonts w:asciiTheme="minorHAnsi" w:hAnsiTheme="minorHAnsi"/>
          <w:snapToGrid w:val="0"/>
          <w:szCs w:val="20"/>
        </w:rPr>
      </w:pPr>
      <w:r w:rsidRPr="00CD334E">
        <w:rPr>
          <w:rFonts w:asciiTheme="minorHAnsi" w:hAnsiTheme="minorHAnsi"/>
          <w:snapToGrid w:val="0"/>
          <w:szCs w:val="20"/>
        </w:rPr>
        <w:t>The PBAC considered that the claim of inferior comparative safety was reasonable</w:t>
      </w:r>
      <w:bookmarkEnd w:id="48"/>
      <w:r w:rsidR="0031285E" w:rsidRPr="00CD334E">
        <w:rPr>
          <w:rFonts w:asciiTheme="minorHAnsi" w:hAnsiTheme="minorHAnsi"/>
          <w:snapToGrid w:val="0"/>
          <w:szCs w:val="20"/>
        </w:rPr>
        <w:t xml:space="preserve">. </w:t>
      </w:r>
    </w:p>
    <w:p w14:paraId="74A1172E" w14:textId="128C170E" w:rsidR="00B60939" w:rsidRPr="00007450" w:rsidRDefault="00B60939" w:rsidP="00864C4B">
      <w:pPr>
        <w:pStyle w:val="4-SubsectionHeading"/>
      </w:pPr>
      <w:bookmarkStart w:id="49" w:name="_Toc107902078"/>
      <w:bookmarkStart w:id="50" w:name="_Toc22897645"/>
      <w:bookmarkStart w:id="51" w:name="_Toc198724445"/>
      <w:bookmarkEnd w:id="1"/>
      <w:bookmarkEnd w:id="2"/>
      <w:bookmarkEnd w:id="3"/>
      <w:bookmarkEnd w:id="4"/>
      <w:bookmarkEnd w:id="5"/>
      <w:bookmarkEnd w:id="49"/>
      <w:r w:rsidRPr="00007450">
        <w:t>Economic analysis</w:t>
      </w:r>
      <w:bookmarkEnd w:id="50"/>
      <w:bookmarkEnd w:id="51"/>
      <w:r w:rsidR="00491B3A" w:rsidRPr="00007450">
        <w:t xml:space="preserve"> </w:t>
      </w:r>
    </w:p>
    <w:p w14:paraId="36A3E4AF" w14:textId="04A64A28" w:rsidR="001C79E4" w:rsidRPr="00007450" w:rsidRDefault="001C79E4" w:rsidP="00864C4B">
      <w:pPr>
        <w:pStyle w:val="3-BodyText"/>
        <w:rPr>
          <w:b/>
          <w:bCs/>
        </w:rPr>
      </w:pPr>
      <w:bookmarkStart w:id="52" w:name="_Toc22897646"/>
      <w:r w:rsidRPr="00007450">
        <w:t xml:space="preserve">The submission presented a stepped economic evaluation comparing </w:t>
      </w:r>
      <w:r w:rsidR="005507E6" w:rsidRPr="00007450">
        <w:t xml:space="preserve">adjuvant </w:t>
      </w:r>
      <w:r w:rsidRPr="00007450">
        <w:t xml:space="preserve">ribociclib </w:t>
      </w:r>
      <w:r w:rsidR="00944B71" w:rsidRPr="00007450">
        <w:t xml:space="preserve">plus </w:t>
      </w:r>
      <w:r w:rsidRPr="00007450">
        <w:t xml:space="preserve">ET with ET alone, based on </w:t>
      </w:r>
      <w:r w:rsidR="00766F79" w:rsidRPr="00007450">
        <w:t xml:space="preserve">a </w:t>
      </w:r>
      <w:r w:rsidRPr="00007450">
        <w:t>subgroup of patients in</w:t>
      </w:r>
      <w:r w:rsidR="00766F79" w:rsidRPr="00007450">
        <w:t xml:space="preserve"> the</w:t>
      </w:r>
      <w:r w:rsidRPr="00007450">
        <w:t xml:space="preserve"> NATALEE trial in line with the proposed PBS population. The key components of the economic evaluation are summarised in </w:t>
      </w:r>
      <w:r w:rsidRPr="00007450">
        <w:fldChar w:fldCharType="begin"/>
      </w:r>
      <w:r w:rsidRPr="00007450">
        <w:instrText xml:space="preserve"> REF _Ref195344768 \h </w:instrText>
      </w:r>
      <w:r w:rsidRPr="00007450">
        <w:fldChar w:fldCharType="separate"/>
      </w:r>
      <w:r w:rsidR="00B36442" w:rsidRPr="00007450">
        <w:t xml:space="preserve">Table </w:t>
      </w:r>
      <w:r w:rsidR="00B36442">
        <w:rPr>
          <w:noProof/>
        </w:rPr>
        <w:t>9</w:t>
      </w:r>
      <w:r w:rsidRPr="00007450">
        <w:fldChar w:fldCharType="end"/>
      </w:r>
      <w:r w:rsidRPr="00007450">
        <w:t>.</w:t>
      </w:r>
    </w:p>
    <w:p w14:paraId="4888E3F8" w14:textId="77777777" w:rsidR="001C79E4" w:rsidRPr="00007450" w:rsidRDefault="001C79E4" w:rsidP="00864C4B">
      <w:pPr>
        <w:pStyle w:val="3-BodyText"/>
        <w:numPr>
          <w:ilvl w:val="0"/>
          <w:numId w:val="0"/>
        </w:numPr>
        <w:ind w:left="720"/>
        <w:rPr>
          <w:b/>
          <w:bCs/>
        </w:rPr>
      </w:pPr>
    </w:p>
    <w:p w14:paraId="469E7C22" w14:textId="1CED5830" w:rsidR="001C79E4" w:rsidRPr="00007450" w:rsidRDefault="001C79E4" w:rsidP="00864C4B">
      <w:pPr>
        <w:pStyle w:val="TableFigureHeading"/>
        <w:rPr>
          <w:rStyle w:val="CommentReference"/>
          <w:b/>
          <w:szCs w:val="24"/>
        </w:rPr>
      </w:pPr>
      <w:bookmarkStart w:id="53" w:name="_Ref195344768"/>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9</w:t>
      </w:r>
      <w:r w:rsidR="001C7776">
        <w:rPr>
          <w:noProof/>
        </w:rPr>
        <w:fldChar w:fldCharType="end"/>
      </w:r>
      <w:bookmarkEnd w:id="53"/>
      <w:r w:rsidRPr="00007450">
        <w:t>:</w:t>
      </w:r>
      <w:r w:rsidRPr="00007450">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414"/>
        <w:gridCol w:w="7603"/>
      </w:tblGrid>
      <w:tr w:rsidR="001C79E4" w:rsidRPr="00007450" w14:paraId="43125D83" w14:textId="77777777">
        <w:trPr>
          <w:cantSplit/>
          <w:tblHeader/>
        </w:trPr>
        <w:tc>
          <w:tcPr>
            <w:tcW w:w="784" w:type="pct"/>
          </w:tcPr>
          <w:p w14:paraId="490CF26D" w14:textId="77777777" w:rsidR="001C79E4" w:rsidRPr="00007450" w:rsidRDefault="001C79E4" w:rsidP="00864C4B">
            <w:pPr>
              <w:pStyle w:val="In-tableHeading"/>
              <w:keepLines w:val="0"/>
              <w:rPr>
                <w:lang w:val="en-AU"/>
              </w:rPr>
            </w:pPr>
            <w:r w:rsidRPr="00007450">
              <w:rPr>
                <w:lang w:val="en-AU"/>
              </w:rPr>
              <w:t>Component</w:t>
            </w:r>
          </w:p>
        </w:tc>
        <w:tc>
          <w:tcPr>
            <w:tcW w:w="4216" w:type="pct"/>
          </w:tcPr>
          <w:p w14:paraId="10BD23C8" w14:textId="77777777" w:rsidR="001C79E4" w:rsidRPr="00007450" w:rsidRDefault="001C79E4" w:rsidP="00864C4B">
            <w:pPr>
              <w:pStyle w:val="In-tableHeading"/>
              <w:keepLines w:val="0"/>
              <w:rPr>
                <w:lang w:val="en-AU"/>
              </w:rPr>
            </w:pPr>
            <w:r w:rsidRPr="00007450">
              <w:rPr>
                <w:lang w:val="en-AU"/>
              </w:rPr>
              <w:t>Description</w:t>
            </w:r>
          </w:p>
        </w:tc>
      </w:tr>
      <w:tr w:rsidR="001C79E4" w:rsidRPr="00007450" w14:paraId="58A63C0E" w14:textId="77777777">
        <w:trPr>
          <w:cantSplit/>
        </w:trPr>
        <w:tc>
          <w:tcPr>
            <w:tcW w:w="784" w:type="pct"/>
            <w:vAlign w:val="center"/>
          </w:tcPr>
          <w:p w14:paraId="329A4AB9" w14:textId="77777777" w:rsidR="001C79E4" w:rsidRPr="00007450" w:rsidRDefault="001C79E4" w:rsidP="00864C4B">
            <w:pPr>
              <w:pStyle w:val="TableText0"/>
              <w:keepLines w:val="0"/>
            </w:pPr>
            <w:r w:rsidRPr="00007450">
              <w:t>Treatments</w:t>
            </w:r>
          </w:p>
        </w:tc>
        <w:tc>
          <w:tcPr>
            <w:tcW w:w="4216" w:type="pct"/>
            <w:vAlign w:val="center"/>
          </w:tcPr>
          <w:p w14:paraId="643176C4" w14:textId="77777777" w:rsidR="001C79E4" w:rsidRPr="00007450" w:rsidRDefault="001C79E4" w:rsidP="00864C4B">
            <w:pPr>
              <w:pStyle w:val="TableText0"/>
              <w:keepLines w:val="0"/>
            </w:pPr>
            <w:r w:rsidRPr="00007450">
              <w:t>Adjuvant treatment with ribociclib + ET vs ET</w:t>
            </w:r>
          </w:p>
        </w:tc>
      </w:tr>
      <w:tr w:rsidR="001C79E4" w:rsidRPr="00007450" w14:paraId="32C00B0F" w14:textId="77777777">
        <w:trPr>
          <w:cantSplit/>
        </w:trPr>
        <w:tc>
          <w:tcPr>
            <w:tcW w:w="784" w:type="pct"/>
            <w:vAlign w:val="center"/>
          </w:tcPr>
          <w:p w14:paraId="7C5AD2C7" w14:textId="77777777" w:rsidR="001C79E4" w:rsidRPr="00007450" w:rsidRDefault="001C79E4" w:rsidP="00864C4B">
            <w:pPr>
              <w:pStyle w:val="TableText0"/>
              <w:keepLines w:val="0"/>
            </w:pPr>
            <w:r w:rsidRPr="00007450">
              <w:t>Time horizon</w:t>
            </w:r>
          </w:p>
        </w:tc>
        <w:tc>
          <w:tcPr>
            <w:tcW w:w="4216" w:type="pct"/>
            <w:vAlign w:val="center"/>
          </w:tcPr>
          <w:p w14:paraId="43551980" w14:textId="77777777" w:rsidR="001C79E4" w:rsidRPr="00007450" w:rsidRDefault="001C79E4" w:rsidP="00864C4B">
            <w:pPr>
              <w:pStyle w:val="TableText0"/>
              <w:keepLines w:val="0"/>
            </w:pPr>
            <w:r w:rsidRPr="00007450">
              <w:t xml:space="preserve">30 years in the base case </w:t>
            </w:r>
            <w:r w:rsidRPr="00007450">
              <w:rPr>
                <w:i/>
                <w:iCs/>
              </w:rPr>
              <w:t>versus</w:t>
            </w:r>
            <w:r w:rsidRPr="00007450">
              <w:t xml:space="preserve"> a median follow-up of 49.6 months in the NATALEE trial</w:t>
            </w:r>
          </w:p>
        </w:tc>
      </w:tr>
      <w:tr w:rsidR="001C79E4" w:rsidRPr="00007450" w14:paraId="08D254D4" w14:textId="77777777">
        <w:trPr>
          <w:cantSplit/>
        </w:trPr>
        <w:tc>
          <w:tcPr>
            <w:tcW w:w="784" w:type="pct"/>
            <w:vAlign w:val="center"/>
          </w:tcPr>
          <w:p w14:paraId="0C7503D6" w14:textId="77777777" w:rsidR="001C79E4" w:rsidRPr="00007450" w:rsidRDefault="001C79E4" w:rsidP="00864C4B">
            <w:pPr>
              <w:pStyle w:val="TableText0"/>
              <w:keepLines w:val="0"/>
            </w:pPr>
            <w:r w:rsidRPr="00007450">
              <w:t>Outcomes</w:t>
            </w:r>
          </w:p>
        </w:tc>
        <w:tc>
          <w:tcPr>
            <w:tcW w:w="4216" w:type="pct"/>
            <w:vAlign w:val="center"/>
          </w:tcPr>
          <w:p w14:paraId="0020E3DD" w14:textId="77777777" w:rsidR="001C79E4" w:rsidRPr="00007450" w:rsidRDefault="001C79E4" w:rsidP="00864C4B">
            <w:pPr>
              <w:pStyle w:val="TableText0"/>
              <w:keepLines w:val="0"/>
            </w:pPr>
            <w:r w:rsidRPr="00007450">
              <w:t>LYs and QALYs</w:t>
            </w:r>
          </w:p>
        </w:tc>
      </w:tr>
      <w:tr w:rsidR="001C79E4" w:rsidRPr="00007450" w14:paraId="7CFFFB3D" w14:textId="77777777">
        <w:trPr>
          <w:cantSplit/>
        </w:trPr>
        <w:tc>
          <w:tcPr>
            <w:tcW w:w="784" w:type="pct"/>
            <w:vAlign w:val="center"/>
          </w:tcPr>
          <w:p w14:paraId="080CFDB2" w14:textId="77777777" w:rsidR="001C79E4" w:rsidRPr="00007450" w:rsidRDefault="001C79E4" w:rsidP="00864C4B">
            <w:pPr>
              <w:pStyle w:val="TableText0"/>
              <w:keepLines w:val="0"/>
            </w:pPr>
            <w:r w:rsidRPr="00007450">
              <w:t>Methods used to generate results</w:t>
            </w:r>
          </w:p>
        </w:tc>
        <w:tc>
          <w:tcPr>
            <w:tcW w:w="4216" w:type="pct"/>
          </w:tcPr>
          <w:p w14:paraId="756D4BC0" w14:textId="77777777" w:rsidR="001C79E4" w:rsidRPr="00007450" w:rsidRDefault="001C79E4" w:rsidP="00864C4B">
            <w:pPr>
              <w:pStyle w:val="TableText0"/>
              <w:keepLines w:val="0"/>
            </w:pPr>
            <w:r w:rsidRPr="00007450">
              <w:t>Cohort expected value analysis (Markov model)</w:t>
            </w:r>
          </w:p>
        </w:tc>
      </w:tr>
      <w:tr w:rsidR="001C79E4" w:rsidRPr="00007450" w14:paraId="226F8531" w14:textId="77777777">
        <w:trPr>
          <w:cantSplit/>
          <w:trHeight w:val="343"/>
        </w:trPr>
        <w:tc>
          <w:tcPr>
            <w:tcW w:w="784" w:type="pct"/>
            <w:vAlign w:val="center"/>
          </w:tcPr>
          <w:p w14:paraId="03563B17" w14:textId="77777777" w:rsidR="001C79E4" w:rsidRPr="00007450" w:rsidRDefault="001C79E4" w:rsidP="00864C4B">
            <w:pPr>
              <w:pStyle w:val="TableText0"/>
              <w:keepLines w:val="0"/>
            </w:pPr>
            <w:r w:rsidRPr="00007450">
              <w:t>Health states</w:t>
            </w:r>
          </w:p>
        </w:tc>
        <w:tc>
          <w:tcPr>
            <w:tcW w:w="4216" w:type="pct"/>
          </w:tcPr>
          <w:p w14:paraId="1E259270" w14:textId="77777777" w:rsidR="001C79E4" w:rsidRPr="00007450" w:rsidRDefault="001C79E4" w:rsidP="00864C4B">
            <w:pPr>
              <w:pStyle w:val="TableText0"/>
              <w:keepLines w:val="0"/>
            </w:pPr>
            <w:r w:rsidRPr="00007450">
              <w:t>6 health states: iDF, NMR, remission, SPM, DR, and death</w:t>
            </w:r>
          </w:p>
        </w:tc>
      </w:tr>
      <w:tr w:rsidR="001C79E4" w:rsidRPr="00007450" w14:paraId="04E997CA" w14:textId="77777777">
        <w:trPr>
          <w:cantSplit/>
        </w:trPr>
        <w:tc>
          <w:tcPr>
            <w:tcW w:w="784" w:type="pct"/>
            <w:vAlign w:val="center"/>
          </w:tcPr>
          <w:p w14:paraId="2B556C9D" w14:textId="77777777" w:rsidR="001C79E4" w:rsidRPr="00007450" w:rsidRDefault="001C79E4" w:rsidP="00864C4B">
            <w:pPr>
              <w:pStyle w:val="TableText0"/>
              <w:keepLines w:val="0"/>
            </w:pPr>
            <w:r w:rsidRPr="00007450">
              <w:t>Cycle length</w:t>
            </w:r>
          </w:p>
        </w:tc>
        <w:tc>
          <w:tcPr>
            <w:tcW w:w="4216" w:type="pct"/>
            <w:vAlign w:val="center"/>
          </w:tcPr>
          <w:p w14:paraId="07348547" w14:textId="77777777" w:rsidR="001C79E4" w:rsidRPr="00007450" w:rsidRDefault="001C79E4" w:rsidP="00864C4B">
            <w:pPr>
              <w:pStyle w:val="TableText0"/>
              <w:keepLines w:val="0"/>
            </w:pPr>
            <w:r w:rsidRPr="00007450">
              <w:t>28 days</w:t>
            </w:r>
          </w:p>
        </w:tc>
      </w:tr>
      <w:tr w:rsidR="001C79E4" w:rsidRPr="00007450" w14:paraId="161F544D" w14:textId="77777777">
        <w:trPr>
          <w:cantSplit/>
        </w:trPr>
        <w:tc>
          <w:tcPr>
            <w:tcW w:w="784" w:type="pct"/>
            <w:vAlign w:val="center"/>
          </w:tcPr>
          <w:p w14:paraId="1070CD31" w14:textId="77777777" w:rsidR="001C79E4" w:rsidRPr="00007450" w:rsidRDefault="001C79E4" w:rsidP="00864C4B">
            <w:pPr>
              <w:pStyle w:val="TableText0"/>
              <w:keepLines w:val="0"/>
            </w:pPr>
            <w:r w:rsidRPr="00007450">
              <w:t>Transition probabilities</w:t>
            </w:r>
          </w:p>
        </w:tc>
        <w:tc>
          <w:tcPr>
            <w:tcW w:w="4216" w:type="pct"/>
          </w:tcPr>
          <w:p w14:paraId="527C9C1A" w14:textId="77777777" w:rsidR="001C79E4" w:rsidRPr="00007450" w:rsidRDefault="001C79E4" w:rsidP="00864C4B">
            <w:pPr>
              <w:pStyle w:val="PBACTableText"/>
              <w:keepNext/>
            </w:pPr>
            <w:r w:rsidRPr="00007450">
              <w:rPr>
                <w:u w:val="single"/>
              </w:rPr>
              <w:t>iDF</w:t>
            </w:r>
            <w:r w:rsidRPr="00007450">
              <w:t>: Probabilities of transitioning from the iDF health state to the NMR, DR, SPM, and death health states were estimated based on the iDFS KM curves by treatment up to 48 months from the PBS subgroup in the NATALEE trial, and the distribution of first iDFS events observed in this subgroup.</w:t>
            </w:r>
          </w:p>
          <w:p w14:paraId="117D8058" w14:textId="77777777" w:rsidR="001C79E4" w:rsidRPr="00007450" w:rsidRDefault="001C79E4" w:rsidP="00864C4B">
            <w:pPr>
              <w:pStyle w:val="PBACTableText"/>
              <w:keepNext/>
            </w:pPr>
            <w:r w:rsidRPr="00007450">
              <w:rPr>
                <w:u w:val="single"/>
              </w:rPr>
              <w:t>NMR</w:t>
            </w:r>
            <w:r w:rsidRPr="00007450">
              <w:t>: The probability of transitioning from the NMR to death was based on the age-specific general population mortality (ABS Life Tables 2020-2022). All patients remaining in the NMR health state after 1 year transitioned to the remission health state.</w:t>
            </w:r>
          </w:p>
          <w:p w14:paraId="16B15CDB" w14:textId="01533786" w:rsidR="001C79E4" w:rsidRPr="00007450" w:rsidRDefault="001C79E4" w:rsidP="00864C4B">
            <w:pPr>
              <w:pStyle w:val="PBACTableText"/>
              <w:keepNext/>
            </w:pPr>
            <w:r w:rsidRPr="00007450">
              <w:rPr>
                <w:u w:val="single"/>
              </w:rPr>
              <w:t>Remission</w:t>
            </w:r>
            <w:r w:rsidRPr="00007450">
              <w:t>: The probability of DR in patients in the remission health state was sourced from the NICE technology appraisal and the PBAC submission for abemaciclib + ET for eBC</w:t>
            </w:r>
            <w:r w:rsidR="003F69B0" w:rsidRPr="00007450">
              <w:t xml:space="preserve"> (based on Hamilton </w:t>
            </w:r>
            <w:r w:rsidR="00341A5D" w:rsidRPr="00007450">
              <w:rPr>
                <w:i/>
                <w:iCs/>
              </w:rPr>
              <w:t xml:space="preserve">et al </w:t>
            </w:r>
            <w:r w:rsidR="003F69B0" w:rsidRPr="00007450">
              <w:t>2015</w:t>
            </w:r>
            <w:r w:rsidR="00907918" w:rsidRPr="00007450">
              <w:rPr>
                <w:vertAlign w:val="superscript"/>
              </w:rPr>
              <w:t>a</w:t>
            </w:r>
            <w:r w:rsidR="003F69B0" w:rsidRPr="00007450">
              <w:t>)</w:t>
            </w:r>
            <w:r w:rsidRPr="00007450">
              <w:t>. The transition probability from remission to death was based on the age-specific general population mortality.</w:t>
            </w:r>
          </w:p>
          <w:p w14:paraId="2D43E978" w14:textId="29902DEE" w:rsidR="001C79E4" w:rsidRPr="00007450" w:rsidRDefault="001C79E4" w:rsidP="00864C4B">
            <w:pPr>
              <w:pStyle w:val="PBACTableText"/>
              <w:keepNext/>
            </w:pPr>
            <w:r w:rsidRPr="00007450">
              <w:rPr>
                <w:u w:val="single"/>
              </w:rPr>
              <w:t>DR</w:t>
            </w:r>
            <w:r w:rsidRPr="00007450">
              <w:t xml:space="preserve">: Absorbing health state (with two substates: ET-sensitive and ET-resistant) with patients entering this state receiving </w:t>
            </w:r>
            <w:r w:rsidR="00567648" w:rsidRPr="00007450">
              <w:t xml:space="preserve">one-off </w:t>
            </w:r>
            <w:r w:rsidRPr="00007450">
              <w:t>payoff</w:t>
            </w:r>
            <w:r w:rsidR="008E272A" w:rsidRPr="00007450">
              <w:t>s</w:t>
            </w:r>
            <w:r w:rsidRPr="00007450">
              <w:t xml:space="preserve"> of costs and LYs from embedded PSMs (with 3 health states: PFS, PPS, and death)</w:t>
            </w:r>
            <w:r w:rsidR="00567648" w:rsidRPr="00007450">
              <w:t xml:space="preserve"> on transition</w:t>
            </w:r>
            <w:r w:rsidRPr="00007450">
              <w:t>, based on external studies in advanced BC. Costs and health outcomes for each metastatic treatment option were weighted by the distribution of use with and without ribociclib in the adjuvant setting.</w:t>
            </w:r>
          </w:p>
          <w:p w14:paraId="21606501" w14:textId="77777777" w:rsidR="001C79E4" w:rsidRPr="00007450" w:rsidRDefault="001C79E4" w:rsidP="00864C4B">
            <w:pPr>
              <w:pStyle w:val="PBACTableText"/>
              <w:keepNext/>
            </w:pPr>
            <w:r w:rsidRPr="00007450">
              <w:rPr>
                <w:u w:val="single"/>
              </w:rPr>
              <w:t>SPM</w:t>
            </w:r>
            <w:r w:rsidRPr="00007450">
              <w:t>: All patients with a SPM were assumed to exit the model with a cost for diagnosis but no QALYs applied to these patients.</w:t>
            </w:r>
          </w:p>
          <w:p w14:paraId="0A0FAAFD" w14:textId="6B6147A4" w:rsidR="001C79E4" w:rsidRPr="00007450" w:rsidRDefault="001C79E4" w:rsidP="00864C4B">
            <w:pPr>
              <w:pStyle w:val="PBACTableText"/>
              <w:keepNext/>
            </w:pPr>
            <w:r w:rsidRPr="00007450">
              <w:rPr>
                <w:u w:val="single"/>
              </w:rPr>
              <w:t>TTD</w:t>
            </w:r>
            <w:r w:rsidRPr="00007450">
              <w:t xml:space="preserve">: Ribociclib: KM estimates from the PBS subgroup in the NATALEE trial used up to 36 months without extrapolation. ET (alone and in combination with ribociclib): KM estimates used up to 60 months with no need for extrapolation. </w:t>
            </w:r>
          </w:p>
        </w:tc>
      </w:tr>
      <w:tr w:rsidR="001C79E4" w:rsidRPr="00007450" w14:paraId="7F9F4980" w14:textId="77777777">
        <w:trPr>
          <w:cantSplit/>
        </w:trPr>
        <w:tc>
          <w:tcPr>
            <w:tcW w:w="784" w:type="pct"/>
            <w:vAlign w:val="center"/>
          </w:tcPr>
          <w:p w14:paraId="4AF1BDC7" w14:textId="77777777" w:rsidR="001C79E4" w:rsidRPr="00007450" w:rsidRDefault="001C79E4" w:rsidP="00864C4B">
            <w:pPr>
              <w:pStyle w:val="TableText0"/>
              <w:keepLines w:val="0"/>
            </w:pPr>
            <w:r w:rsidRPr="00007450">
              <w:t>Extrapolation method</w:t>
            </w:r>
          </w:p>
        </w:tc>
        <w:tc>
          <w:tcPr>
            <w:tcW w:w="4216" w:type="pct"/>
          </w:tcPr>
          <w:p w14:paraId="370A50C9" w14:textId="77777777" w:rsidR="001C79E4" w:rsidRPr="00007450" w:rsidRDefault="001C79E4" w:rsidP="00864C4B">
            <w:pPr>
              <w:pStyle w:val="TableText0"/>
              <w:keepLines w:val="0"/>
            </w:pPr>
            <w:r w:rsidRPr="00007450">
              <w:rPr>
                <w:u w:val="single"/>
              </w:rPr>
              <w:t>iDF</w:t>
            </w:r>
            <w:r w:rsidRPr="00007450">
              <w:t>: Trial-based KM were used until 48 months, after which data were extrapolated using restricted exponential functions fitted to the observed KM estimates for both ribociclib + ET and ET alone. The distribution of iDFS events was assumed to remain constant beyond the trial duration. The treatment effect of ribociclib in terms of the hazard of iDFS events and the distribution of iDFS events were assumed to wane between Years 8 and 16, after which no treatment benefits were assumed.</w:t>
            </w:r>
          </w:p>
          <w:p w14:paraId="21CA1287" w14:textId="77777777" w:rsidR="001C79E4" w:rsidRPr="00007450" w:rsidRDefault="001C79E4" w:rsidP="00864C4B">
            <w:pPr>
              <w:pStyle w:val="TableText0"/>
              <w:keepLines w:val="0"/>
              <w:rPr>
                <w:u w:val="single"/>
              </w:rPr>
            </w:pPr>
          </w:p>
          <w:p w14:paraId="603580E9" w14:textId="783BB534" w:rsidR="001C79E4" w:rsidRPr="00007450" w:rsidRDefault="001C79E4" w:rsidP="00864C4B">
            <w:pPr>
              <w:pStyle w:val="TableText0"/>
              <w:keepLines w:val="0"/>
            </w:pPr>
            <w:r w:rsidRPr="00007450">
              <w:t>LYs gained in the extrapolation period: 83% for ribociclib + ET and 81% for ET alone. The incremental survival benefits associated with ribociclib adjuvant were accrued entirely during the extrapolation period.</w:t>
            </w:r>
            <w:r w:rsidR="004A2F0E">
              <w:t xml:space="preserve"> </w:t>
            </w:r>
          </w:p>
        </w:tc>
      </w:tr>
      <w:tr w:rsidR="001C79E4" w:rsidRPr="00007450" w14:paraId="3478BF28" w14:textId="77777777">
        <w:trPr>
          <w:cantSplit/>
        </w:trPr>
        <w:tc>
          <w:tcPr>
            <w:tcW w:w="784" w:type="pct"/>
            <w:vAlign w:val="center"/>
          </w:tcPr>
          <w:p w14:paraId="1CD3B20E" w14:textId="77777777" w:rsidR="001C79E4" w:rsidRPr="00007450" w:rsidRDefault="001C79E4" w:rsidP="00864C4B">
            <w:pPr>
              <w:pStyle w:val="TableText0"/>
              <w:keepLines w:val="0"/>
            </w:pPr>
            <w:r w:rsidRPr="00007450">
              <w:t>Health related quality of life</w:t>
            </w:r>
          </w:p>
        </w:tc>
        <w:tc>
          <w:tcPr>
            <w:tcW w:w="4216" w:type="pct"/>
            <w:vAlign w:val="center"/>
          </w:tcPr>
          <w:p w14:paraId="006294FD" w14:textId="429F67AC" w:rsidR="001C79E4" w:rsidRPr="00007450" w:rsidRDefault="001C79E4" w:rsidP="00864C4B">
            <w:pPr>
              <w:pStyle w:val="TableText0"/>
              <w:keepLines w:val="0"/>
              <w:spacing w:before="40" w:after="40"/>
            </w:pPr>
            <w:r w:rsidRPr="00007450">
              <w:rPr>
                <w:u w:val="single"/>
              </w:rPr>
              <w:t>iDF</w:t>
            </w:r>
            <w:r w:rsidRPr="00007450">
              <w:t>: 0.8877 for ribociclib + ET on-treatment, 0.8857 for ET on-treatment, 0.8412 for off-treatment, based on QoL data from NATALEE. However, as the trial on-treatment utilities were higher than the utility of the general Australian population (0.87 for the age category of 45-54 years, McCaffrey et al 2016), the utility of the general population was used for patients receiving adjuvant treatment in the iDF health state instead.</w:t>
            </w:r>
            <w:r w:rsidR="004A2F0E">
              <w:t xml:space="preserve"> </w:t>
            </w:r>
          </w:p>
          <w:p w14:paraId="60FA4F7A" w14:textId="5C67BC73" w:rsidR="001C79E4" w:rsidRPr="00007450" w:rsidRDefault="001C79E4" w:rsidP="00864C4B">
            <w:pPr>
              <w:pStyle w:val="TableText0"/>
              <w:keepLines w:val="0"/>
              <w:spacing w:before="40" w:after="40"/>
            </w:pPr>
            <w:r w:rsidRPr="00007450">
              <w:rPr>
                <w:u w:val="single"/>
              </w:rPr>
              <w:t>NMR</w:t>
            </w:r>
            <w:r w:rsidRPr="00007450">
              <w:t>: 0.8222, based on NATALEE</w:t>
            </w:r>
            <w:r w:rsidR="00A52665">
              <w:t>.</w:t>
            </w:r>
            <w:r w:rsidRPr="00007450">
              <w:t xml:space="preserve"> </w:t>
            </w:r>
          </w:p>
          <w:p w14:paraId="7DC7E38B" w14:textId="4E5F0E54" w:rsidR="001C79E4" w:rsidRPr="00007450" w:rsidRDefault="001C79E4" w:rsidP="00864C4B">
            <w:pPr>
              <w:pStyle w:val="TableText0"/>
              <w:keepLines w:val="0"/>
              <w:spacing w:before="40" w:after="40"/>
            </w:pPr>
            <w:r w:rsidRPr="00007450">
              <w:rPr>
                <w:u w:val="single"/>
              </w:rPr>
              <w:t>Remission</w:t>
            </w:r>
            <w:r w:rsidRPr="00007450">
              <w:t>: same as the general population</w:t>
            </w:r>
            <w:r w:rsidR="00A52665">
              <w:t>.</w:t>
            </w:r>
          </w:p>
          <w:p w14:paraId="78714D1E" w14:textId="77777777" w:rsidR="001C79E4" w:rsidRPr="00007450" w:rsidRDefault="001C79E4" w:rsidP="00864C4B">
            <w:pPr>
              <w:pStyle w:val="TableText0"/>
              <w:keepLines w:val="0"/>
              <w:spacing w:before="40" w:after="40"/>
            </w:pPr>
            <w:r w:rsidRPr="00007450">
              <w:rPr>
                <w:u w:val="single"/>
              </w:rPr>
              <w:t>DR</w:t>
            </w:r>
            <w:r w:rsidRPr="00007450">
              <w:t xml:space="preserve">: 0.7867 for PFS (based on NATALEE) and 0.7508 for PPS (based on NATALEE and MONALEESA-2) </w:t>
            </w:r>
          </w:p>
          <w:p w14:paraId="2DA88165" w14:textId="77777777" w:rsidR="001C79E4" w:rsidRPr="00007450" w:rsidRDefault="001C79E4" w:rsidP="00864C4B">
            <w:pPr>
              <w:pStyle w:val="TableText0"/>
              <w:keepLines w:val="0"/>
              <w:spacing w:before="40" w:after="40"/>
            </w:pPr>
            <w:r w:rsidRPr="00007450">
              <w:t>All health state utilities were age-adjusted over time using the Australian general population utility by age category for the EQ-5D-5L (McCaffrey et al 2016).</w:t>
            </w:r>
          </w:p>
        </w:tc>
      </w:tr>
    </w:tbl>
    <w:p w14:paraId="174A359B" w14:textId="77777777" w:rsidR="001C79E4" w:rsidRPr="00007450" w:rsidRDefault="001C79E4" w:rsidP="00864C4B">
      <w:pPr>
        <w:pStyle w:val="TableFigureFooter"/>
      </w:pPr>
      <w:r w:rsidRPr="00007450">
        <w:t>Source: Table 3-1, pp90-91 of the submission.</w:t>
      </w:r>
    </w:p>
    <w:p w14:paraId="3BE6E1CA" w14:textId="518E34B7" w:rsidR="003F69B0" w:rsidRPr="00007450" w:rsidRDefault="001C79E4" w:rsidP="00864C4B">
      <w:pPr>
        <w:pStyle w:val="TableFigureFooter"/>
      </w:pPr>
      <w:r w:rsidRPr="00007450">
        <w:lastRenderedPageBreak/>
        <w:t xml:space="preserve">ABS = Australian Bureau of Statistics; BC = breast cancer; DR = distant recurrence; eBC = early breast cancer; EQ-5D-5L = EuroQoL 5-dimension 5-level; ET = endocrine therapy; iDF = invasive disease-free; iDFS = invasive disease-free survival; KM = Kaplan-Meier; LYs = life years; NICE = National Institute for Health and Care Excellence; NMR = non-metastatic recurrence; PBAC = Pharmaceutical Benefits Advisory Committee; PBS = Pharmaceutical Benefits Scheme; PFS = progression-free survival; PPS = post-progression survival; </w:t>
      </w:r>
      <w:r w:rsidR="00567648" w:rsidRPr="00007450">
        <w:t xml:space="preserve">PSM = partitioned survival model; </w:t>
      </w:r>
      <w:r w:rsidRPr="00007450">
        <w:t>QoL = quality of life; QALYs = quality-adjusted life years; SPM = second primary malignancy; TTD = time to treatment discontinuation</w:t>
      </w:r>
    </w:p>
    <w:p w14:paraId="3DBA7C2D" w14:textId="628E50C9" w:rsidR="00907918" w:rsidRPr="00007450" w:rsidRDefault="00907918" w:rsidP="00864C4B">
      <w:pPr>
        <w:pStyle w:val="TableFigureFooter"/>
      </w:pPr>
      <w:r w:rsidRPr="00007450">
        <w:rPr>
          <w:vertAlign w:val="superscript"/>
        </w:rPr>
        <w:t xml:space="preserve">a </w:t>
      </w:r>
      <w:r w:rsidRPr="00007450">
        <w:t xml:space="preserve">Hamilton SN, Tyldesley S, </w:t>
      </w:r>
      <w:r w:rsidRPr="00007450">
        <w:rPr>
          <w:i/>
          <w:iCs/>
        </w:rPr>
        <w:t>et al</w:t>
      </w:r>
      <w:r w:rsidRPr="00007450">
        <w:t xml:space="preserve">. Second malignancies after adjuvant radiation therapy for early stage breast cancer: is there increased risk with addition of regional radiation to local radiation? </w:t>
      </w:r>
      <w:r w:rsidRPr="00007450">
        <w:rPr>
          <w:i/>
          <w:iCs/>
        </w:rPr>
        <w:t>Int J Radiat Oncol Biol Phys</w:t>
      </w:r>
      <w:r w:rsidRPr="00007450">
        <w:t>. 2015;91(5):977-85.</w:t>
      </w:r>
    </w:p>
    <w:p w14:paraId="2C117CB4" w14:textId="70765BA4" w:rsidR="00911851" w:rsidRPr="00007450" w:rsidRDefault="006F377A" w:rsidP="00864C4B">
      <w:pPr>
        <w:pStyle w:val="3-BodyText"/>
      </w:pPr>
      <w:r w:rsidRPr="00007450">
        <w:t xml:space="preserve">The economic </w:t>
      </w:r>
      <w:r w:rsidR="00907918" w:rsidRPr="00007450">
        <w:t>evaluation</w:t>
      </w:r>
      <w:r w:rsidRPr="00007450">
        <w:t xml:space="preserve"> adopted a Markov model. A total </w:t>
      </w:r>
      <w:r w:rsidR="000D00CD">
        <w:t xml:space="preserve">of </w:t>
      </w:r>
      <w:r w:rsidRPr="00007450">
        <w:t>six health states were included, of which three were non-absorbing health states</w:t>
      </w:r>
      <w:r w:rsidR="003D2B04">
        <w:t xml:space="preserve">: </w:t>
      </w:r>
      <w:r w:rsidRPr="00007450">
        <w:t>invasive disease-free (iDF), non-metastatic recurrence (NMR), and remission</w:t>
      </w:r>
      <w:r w:rsidR="003D2B04">
        <w:t>;</w:t>
      </w:r>
      <w:r w:rsidRPr="00007450">
        <w:t xml:space="preserve"> and three were absorbing health states</w:t>
      </w:r>
      <w:r w:rsidR="003D2B04">
        <w:t xml:space="preserve">: </w:t>
      </w:r>
      <w:r w:rsidRPr="00007450">
        <w:t xml:space="preserve">second primary malignancy, distant recurrence (DR), and death. </w:t>
      </w:r>
      <w:r w:rsidR="00B35687" w:rsidRPr="00007450">
        <w:t xml:space="preserve">The DR health state was divided into two substates based on whether patients were resistant to ET (those who developed DR while on, or within 12 months of completion of, adjuvant ET) or who were sensitive to ET. The structure of the ribociclib economic model was </w:t>
      </w:r>
      <w:r w:rsidR="00907918" w:rsidRPr="00007450">
        <w:t>generally</w:t>
      </w:r>
      <w:r w:rsidR="008B40FA" w:rsidRPr="00007450">
        <w:t xml:space="preserve"> consistent with</w:t>
      </w:r>
      <w:r w:rsidR="008A7CB1" w:rsidRPr="00007450">
        <w:t xml:space="preserve"> the economic models for</w:t>
      </w:r>
      <w:r w:rsidR="00B35687" w:rsidRPr="00007450">
        <w:t xml:space="preserve"> abemaciclib previously </w:t>
      </w:r>
      <w:r w:rsidR="008A7CB1" w:rsidRPr="00007450">
        <w:t xml:space="preserve">considered </w:t>
      </w:r>
      <w:r w:rsidR="00B35687" w:rsidRPr="00007450">
        <w:t>by the PBAC (abemaciclib PSDs, March 2022, March 2023 and November 2023 PBAC meetings)</w:t>
      </w:r>
      <w:r w:rsidR="00CE3177" w:rsidRPr="00007450">
        <w:t xml:space="preserve">. The </w:t>
      </w:r>
      <w:r w:rsidR="008B40FA" w:rsidRPr="00007450">
        <w:t xml:space="preserve">ESC previously agreed with the evaluation that the two metastatic recurrence sub-states in the economic model added unwarranted </w:t>
      </w:r>
      <w:r w:rsidR="00FA038F" w:rsidRPr="00007450">
        <w:t>complexity,</w:t>
      </w:r>
      <w:r w:rsidR="008B40FA" w:rsidRPr="00007450">
        <w:t xml:space="preserve"> and their inclusion was not well justified (para</w:t>
      </w:r>
      <w:r w:rsidR="006F23C0" w:rsidRPr="00007450">
        <w:t>.</w:t>
      </w:r>
      <w:r w:rsidR="008B40FA" w:rsidRPr="00007450">
        <w:t xml:space="preserve"> 6.31, abemaciclib PSD, March 2022 PBAC meeting).</w:t>
      </w:r>
    </w:p>
    <w:p w14:paraId="68A573E1" w14:textId="164581B7" w:rsidR="001C79E4" w:rsidRPr="00007450" w:rsidRDefault="001C79E4" w:rsidP="00864C4B">
      <w:pPr>
        <w:pStyle w:val="3-BodyText"/>
      </w:pPr>
      <w:bookmarkStart w:id="54" w:name="_Ref201589020"/>
      <w:r w:rsidRPr="00007450">
        <w:t>The starting age of the model population was assumed to be 53.5 years, based on the PBS subgroup in the NATALEE trial. The submission acknowledged that the PBAC previously considered that the starting age for the modelled cohort in the abemaciclib for eBC economic evaluation should be approximately 60 years</w:t>
      </w:r>
      <w:r w:rsidR="00847433" w:rsidRPr="00007450">
        <w:t>,</w:t>
      </w:r>
      <w:r w:rsidRPr="00007450">
        <w:t xml:space="preserve"> based on data from the Chan et al (2021) study</w:t>
      </w:r>
      <w:r w:rsidR="00F166F4" w:rsidRPr="00007450">
        <w:t xml:space="preserve"> (abemaciclib PSD</w:t>
      </w:r>
      <w:r w:rsidR="00323ADA" w:rsidRPr="00007450">
        <w:t>s</w:t>
      </w:r>
      <w:r w:rsidR="00F166F4" w:rsidRPr="00007450">
        <w:t>, March 2023</w:t>
      </w:r>
      <w:r w:rsidR="00781CFB" w:rsidRPr="00007450">
        <w:t xml:space="preserve"> </w:t>
      </w:r>
      <w:r w:rsidR="00323ADA" w:rsidRPr="00007450">
        <w:t xml:space="preserve">and </w:t>
      </w:r>
      <w:r w:rsidR="00F166F4" w:rsidRPr="00007450">
        <w:t>November 2023</w:t>
      </w:r>
      <w:r w:rsidR="00781CFB" w:rsidRPr="00007450">
        <w:t xml:space="preserve"> PBAC meeting</w:t>
      </w:r>
      <w:r w:rsidR="00323ADA" w:rsidRPr="00007450">
        <w:t>s</w:t>
      </w:r>
      <w:r w:rsidR="00F166F4" w:rsidRPr="00007450">
        <w:t>)</w:t>
      </w:r>
      <w:r w:rsidR="00CD72CD" w:rsidRPr="00007450">
        <w:t>. This study included</w:t>
      </w:r>
      <w:r w:rsidRPr="00007450">
        <w:t xml:space="preserve"> patients diagnosed with eBC included in BreastSurgANZ, which reported a mean age of 61.4 years.</w:t>
      </w:r>
      <w:r w:rsidRPr="00007450">
        <w:rPr>
          <w:rStyle w:val="FootnoteReference"/>
        </w:rPr>
        <w:footnoteReference w:id="8"/>
      </w:r>
      <w:r w:rsidRPr="00007450">
        <w:t xml:space="preserve"> The submission argued that this is likely </w:t>
      </w:r>
      <w:r w:rsidR="00C47B22">
        <w:t xml:space="preserve">an </w:t>
      </w:r>
      <w:r w:rsidRPr="00007450">
        <w:t xml:space="preserve">overestimate, as </w:t>
      </w:r>
      <w:r w:rsidR="00E81BB0">
        <w:t>a</w:t>
      </w:r>
      <w:r w:rsidR="00E81BB0" w:rsidRPr="00007450">
        <w:t xml:space="preserve"> </w:t>
      </w:r>
      <w:r w:rsidRPr="00007450">
        <w:t>real-world analysis of patients enrolled in the Australian Capital Territory (ACT) and South-Eastern (SE) New South Wales (NSW) Breast Cancer Treatment Group (BCTG) showed that the median age of the NATALEE eligible cohort was 56 years.</w:t>
      </w:r>
      <w:bookmarkStart w:id="55" w:name="_Ref196167951"/>
      <w:r w:rsidRPr="00007450">
        <w:rPr>
          <w:rStyle w:val="FootnoteReference"/>
        </w:rPr>
        <w:footnoteReference w:id="9"/>
      </w:r>
      <w:bookmarkEnd w:id="55"/>
      <w:r w:rsidRPr="00007450">
        <w:t xml:space="preserve"> The mean age of the NATALEE eligible cohort from the ACT and SE NSW BCTG registry was not reported. The PBAC previously noted the mean age reported by Chan et al (2021) was based on approximately 100,000 patients diagnosed with eBC from 2002 to 2016 and that it included patient</w:t>
      </w:r>
      <w:r w:rsidR="00F63D3C">
        <w:t>s</w:t>
      </w:r>
      <w:r w:rsidRPr="00007450">
        <w:t xml:space="preserve"> with triple negative breast cancer who are approximately 10 years younger at diagnosis. In addition, the PBAC previously noted the abemaciclib sponsor’s analysis of Scottish Registry data reported a median age of diagnosis of 59 years (para</w:t>
      </w:r>
      <w:r w:rsidR="006F23C0" w:rsidRPr="00007450">
        <w:t>.</w:t>
      </w:r>
      <w:r w:rsidRPr="00007450">
        <w:t xml:space="preserve"> 7.12, abemaciclib PSD, March 2023 PBAC meeting). </w:t>
      </w:r>
      <w:r w:rsidR="00984BD9" w:rsidRPr="00007450">
        <w:t>Furthermore</w:t>
      </w:r>
      <w:r w:rsidRPr="00007450">
        <w:t xml:space="preserve">, the Chan et al study cited by the PBAC reported a trend of increase in the mean age at diagnosis of eBC in Australia, from </w:t>
      </w:r>
      <w:r w:rsidRPr="00007450">
        <w:lastRenderedPageBreak/>
        <w:t>59.0 years in 2002</w:t>
      </w:r>
      <w:r w:rsidR="008B31CA" w:rsidRPr="00007450">
        <w:rPr>
          <w:rFonts w:cstheme="minorHAnsi"/>
        </w:rPr>
        <w:t>−</w:t>
      </w:r>
      <w:r w:rsidRPr="00007450">
        <w:t>2006, to 60.1 years in 2007</w:t>
      </w:r>
      <w:r w:rsidR="001C6F66" w:rsidRPr="00007450">
        <w:rPr>
          <w:rFonts w:cstheme="minorHAnsi"/>
        </w:rPr>
        <w:t>−</w:t>
      </w:r>
      <w:r w:rsidRPr="00007450">
        <w:t>2011 to 61.4 years in 2012</w:t>
      </w:r>
      <w:r w:rsidR="001C6F66" w:rsidRPr="00007450">
        <w:rPr>
          <w:rFonts w:cstheme="minorHAnsi"/>
        </w:rPr>
        <w:t>−</w:t>
      </w:r>
      <w:r w:rsidRPr="00007450">
        <w:t>2016. Considering the time period when the patients in the ACT and SE NSW BCTG registry were enrolled (between 1997 and 2017), it is likely that the patient age in this real-world evidence has underestimated the age of the target population in the current Australian setting. Overall, the</w:t>
      </w:r>
      <w:r w:rsidR="00BD7134" w:rsidRPr="00007450">
        <w:t xml:space="preserve"> evaluation considered that the</w:t>
      </w:r>
      <w:r w:rsidRPr="00007450">
        <w:t xml:space="preserve"> age of patients entering the economic model was younger than expected in the context of Australian practice, and the model was sensitive to the change of this variable (</w:t>
      </w:r>
      <w:r w:rsidRPr="00007450">
        <w:fldChar w:fldCharType="begin"/>
      </w:r>
      <w:r w:rsidRPr="00007450">
        <w:instrText xml:space="preserve"> REF _Ref104804865 \h  \* MERGEFORMAT </w:instrText>
      </w:r>
      <w:r w:rsidRPr="00007450">
        <w:fldChar w:fldCharType="separate"/>
      </w:r>
      <w:r w:rsidR="00B36442" w:rsidRPr="00007450">
        <w:t xml:space="preserve">Table </w:t>
      </w:r>
      <w:r w:rsidR="00B36442">
        <w:rPr>
          <w:noProof/>
        </w:rPr>
        <w:t>15</w:t>
      </w:r>
      <w:r w:rsidRPr="00007450">
        <w:fldChar w:fldCharType="end"/>
      </w:r>
      <w:r w:rsidRPr="00007450">
        <w:t>).</w:t>
      </w:r>
      <w:r w:rsidR="00966F4E" w:rsidRPr="00007450">
        <w:t xml:space="preserve"> The PSCR </w:t>
      </w:r>
      <w:r w:rsidR="00E00586" w:rsidRPr="00007450">
        <w:t>stated</w:t>
      </w:r>
      <w:r w:rsidR="00966F4E" w:rsidRPr="00007450">
        <w:t xml:space="preserve"> that </w:t>
      </w:r>
      <w:r w:rsidR="00F07508" w:rsidRPr="00007450">
        <w:t xml:space="preserve">Chan et al (2021) </w:t>
      </w:r>
      <w:r w:rsidR="006B4E7B" w:rsidRPr="00007450">
        <w:t>did</w:t>
      </w:r>
      <w:r w:rsidR="00E00586" w:rsidRPr="00007450">
        <w:t xml:space="preserve"> not distinguish by molecular subtype of eBC or risk profile</w:t>
      </w:r>
      <w:r w:rsidR="00EF7248" w:rsidRPr="00007450">
        <w:t xml:space="preserve"> and </w:t>
      </w:r>
      <w:r w:rsidR="00DE6DAB" w:rsidRPr="00007450">
        <w:t>wa</w:t>
      </w:r>
      <w:r w:rsidR="002B608B" w:rsidRPr="00007450">
        <w:t>s therefore</w:t>
      </w:r>
      <w:r w:rsidR="00126520" w:rsidRPr="00007450">
        <w:t xml:space="preserve"> not representative of the proposed PBS population</w:t>
      </w:r>
      <w:r w:rsidR="00803CE8" w:rsidRPr="00007450">
        <w:t>.</w:t>
      </w:r>
      <w:r w:rsidR="00126520" w:rsidRPr="00007450">
        <w:t xml:space="preserve"> </w:t>
      </w:r>
      <w:r w:rsidR="00803CE8" w:rsidRPr="00007450">
        <w:t xml:space="preserve">The Response </w:t>
      </w:r>
      <w:r w:rsidR="002B608B" w:rsidRPr="00007450">
        <w:t>considered</w:t>
      </w:r>
      <w:r w:rsidR="00803CE8" w:rsidRPr="00007450">
        <w:t xml:space="preserve"> that the</w:t>
      </w:r>
      <w:r w:rsidR="00296857" w:rsidRPr="00007450">
        <w:t xml:space="preserve"> </w:t>
      </w:r>
      <w:r w:rsidR="00126520" w:rsidRPr="00007450">
        <w:t xml:space="preserve">only relevant data sources that </w:t>
      </w:r>
      <w:r w:rsidR="007E41F5" w:rsidRPr="00007450">
        <w:t>could accurately</w:t>
      </w:r>
      <w:r w:rsidR="00126520" w:rsidRPr="00007450">
        <w:t xml:space="preserve"> inform the average age o</w:t>
      </w:r>
      <w:r w:rsidR="007E41F5" w:rsidRPr="00007450">
        <w:t>f</w:t>
      </w:r>
      <w:r w:rsidR="00126520" w:rsidRPr="00007450">
        <w:t xml:space="preserve"> model entry </w:t>
      </w:r>
      <w:r w:rsidR="00A4034C" w:rsidRPr="00007450">
        <w:t>were</w:t>
      </w:r>
      <w:r w:rsidR="00126520" w:rsidRPr="00007450">
        <w:t xml:space="preserve"> NATALEE and the ribociclib eligible cohort in the ACT &amp; South-East NSW BCTC registry (Kanjanapan et al., 2024).</w:t>
      </w:r>
      <w:r w:rsidR="00AB069C" w:rsidRPr="00007450">
        <w:t xml:space="preserve"> </w:t>
      </w:r>
      <w:r w:rsidR="00A4034C" w:rsidRPr="00007450">
        <w:t>However, the</w:t>
      </w:r>
      <w:r w:rsidR="008E3F96" w:rsidRPr="00007450">
        <w:t xml:space="preserve"> ESC</w:t>
      </w:r>
      <w:r w:rsidR="00A4034C" w:rsidRPr="00007450">
        <w:t xml:space="preserve"> agreed with the evaluation </w:t>
      </w:r>
      <w:r w:rsidR="002F5FB1" w:rsidRPr="00007450">
        <w:t>that</w:t>
      </w:r>
      <w:r w:rsidR="008E3F96" w:rsidRPr="00007450">
        <w:t xml:space="preserve"> </w:t>
      </w:r>
      <w:r w:rsidR="00F12D88" w:rsidRPr="00007450">
        <w:t xml:space="preserve">the starting age </w:t>
      </w:r>
      <w:r w:rsidR="00E24F61" w:rsidRPr="00007450">
        <w:t>of the</w:t>
      </w:r>
      <w:r w:rsidR="00F12D88" w:rsidRPr="00007450">
        <w:t xml:space="preserve"> model </w:t>
      </w:r>
      <w:r w:rsidR="00E24F61" w:rsidRPr="00007450">
        <w:t xml:space="preserve">population </w:t>
      </w:r>
      <w:r w:rsidR="00F12D88" w:rsidRPr="00007450">
        <w:t>should be</w:t>
      </w:r>
      <w:r w:rsidR="00C31FA0" w:rsidRPr="00007450">
        <w:t xml:space="preserve"> consistent with previous consideration</w:t>
      </w:r>
      <w:r w:rsidR="00E81287" w:rsidRPr="00007450">
        <w:t xml:space="preserve">s in eBC </w:t>
      </w:r>
      <w:r w:rsidR="00C31FA0" w:rsidRPr="00007450">
        <w:t>(</w:t>
      </w:r>
      <w:r w:rsidR="00F12D88" w:rsidRPr="00007450">
        <w:t>61.4 years</w:t>
      </w:r>
      <w:r w:rsidR="00C31FA0" w:rsidRPr="00007450">
        <w:t>)</w:t>
      </w:r>
      <w:r w:rsidR="008E3F96" w:rsidRPr="00007450">
        <w:t xml:space="preserve"> and</w:t>
      </w:r>
      <w:r w:rsidR="00AB5ACB" w:rsidRPr="00007450">
        <w:t xml:space="preserve"> </w:t>
      </w:r>
      <w:r w:rsidR="00AB069C" w:rsidRPr="00007450">
        <w:t>advised</w:t>
      </w:r>
      <w:r w:rsidR="00AB5ACB" w:rsidRPr="00007450">
        <w:t xml:space="preserve"> </w:t>
      </w:r>
      <w:r w:rsidR="004716CB" w:rsidRPr="00007450">
        <w:t xml:space="preserve">that </w:t>
      </w:r>
      <w:r w:rsidR="008E3F96" w:rsidRPr="00007450">
        <w:t>this</w:t>
      </w:r>
      <w:r w:rsidR="004716CB" w:rsidRPr="00007450">
        <w:t xml:space="preserve"> should</w:t>
      </w:r>
      <w:r w:rsidR="008E3F96" w:rsidRPr="00007450">
        <w:t xml:space="preserve"> be</w:t>
      </w:r>
      <w:r w:rsidR="00AB5ACB" w:rsidRPr="00007450">
        <w:t xml:space="preserve"> included in a respecified base case.</w:t>
      </w:r>
      <w:bookmarkEnd w:id="54"/>
      <w:r w:rsidR="009221A0" w:rsidRPr="00007450">
        <w:t xml:space="preserve"> The ESC noted that using a model entry age of 61.4 years increased the</w:t>
      </w:r>
      <w:r w:rsidR="00D32F33">
        <w:t xml:space="preserve"> incremental cost-effectiveness ratio</w:t>
      </w:r>
      <w:r w:rsidR="009221A0" w:rsidRPr="00007450">
        <w:t xml:space="preserve"> </w:t>
      </w:r>
      <w:r w:rsidR="00D32F33">
        <w:t>(</w:t>
      </w:r>
      <w:r w:rsidR="009221A0" w:rsidRPr="00007450">
        <w:t>ICER</w:t>
      </w:r>
      <w:r w:rsidR="00D32F33">
        <w:t>)</w:t>
      </w:r>
      <w:r w:rsidR="009221A0" w:rsidRPr="00007450">
        <w:t xml:space="preserve"> by </w:t>
      </w:r>
      <w:r w:rsidR="00E44B9A" w:rsidRPr="004A2F0E">
        <w:rPr>
          <w:color w:val="000000"/>
          <w:spacing w:val="6"/>
          <w:w w:val="59"/>
          <w:shd w:val="solid" w:color="000000" w:fill="000000"/>
          <w:fitText w:val="460" w:id="-628909558"/>
          <w14:textFill>
            <w14:solidFill>
              <w14:srgbClr w14:val="000000">
                <w14:alpha w14:val="100000"/>
              </w14:srgbClr>
            </w14:solidFill>
          </w14:textFill>
        </w:rPr>
        <w:t>|||</w:t>
      </w:r>
      <w:r w:rsidR="004A2F0E" w:rsidRPr="004A2F0E">
        <w:rPr>
          <w:color w:val="000000"/>
          <w:spacing w:val="6"/>
          <w:w w:val="59"/>
          <w:shd w:val="solid" w:color="000000" w:fill="000000"/>
          <w:fitText w:val="460" w:id="-628909558"/>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558"/>
          <w14:textFill>
            <w14:solidFill>
              <w14:srgbClr w14:val="000000">
                <w14:alpha w14:val="100000"/>
              </w14:srgbClr>
            </w14:solidFill>
          </w14:textFill>
        </w:rPr>
        <w:t>||</w:t>
      </w:r>
      <w:r w:rsidR="00E44B9A" w:rsidRPr="004A2F0E">
        <w:rPr>
          <w:color w:val="000000"/>
          <w:spacing w:val="2"/>
          <w:w w:val="59"/>
          <w:shd w:val="solid" w:color="000000" w:fill="000000"/>
          <w:fitText w:val="460" w:id="-628909558"/>
          <w14:textFill>
            <w14:solidFill>
              <w14:srgbClr w14:val="000000">
                <w14:alpha w14:val="100000"/>
              </w14:srgbClr>
            </w14:solidFill>
          </w14:textFill>
        </w:rPr>
        <w:t>|</w:t>
      </w:r>
      <w:r w:rsidR="009221A0" w:rsidRPr="00007450">
        <w:t>% ($</w:t>
      </w:r>
      <w:r w:rsidR="00BE0720">
        <w:t>35,000 to &lt; $45,000</w:t>
      </w:r>
      <w:r w:rsidR="00550371">
        <w:t xml:space="preserve"> </w:t>
      </w:r>
      <w:r w:rsidR="00EC1C26">
        <w:t xml:space="preserve">per quality adjusted life </w:t>
      </w:r>
      <w:r w:rsidR="0083611E">
        <w:t>year [</w:t>
      </w:r>
      <w:r w:rsidR="009221A0" w:rsidRPr="00007450">
        <w:t>QALY</w:t>
      </w:r>
      <w:r w:rsidR="0083611E">
        <w:t>] gained</w:t>
      </w:r>
      <w:r w:rsidR="009221A0" w:rsidRPr="00007450">
        <w:t>).</w:t>
      </w:r>
      <w:r w:rsidR="00FF1CAF" w:rsidRPr="00007450">
        <w:t xml:space="preserve"> The Pre-PBAC Response</w:t>
      </w:r>
      <w:r w:rsidR="004A2F0E">
        <w:t xml:space="preserve"> </w:t>
      </w:r>
      <w:r w:rsidR="00FF1CAF" w:rsidRPr="00007450">
        <w:t xml:space="preserve">argued </w:t>
      </w:r>
      <w:r w:rsidR="00C256D7">
        <w:t xml:space="preserve">that </w:t>
      </w:r>
      <w:r w:rsidR="00270BB3" w:rsidRPr="00007450">
        <w:t xml:space="preserve">the starting age proposed by the ESC </w:t>
      </w:r>
      <w:r w:rsidR="00893EEA" w:rsidRPr="00007450">
        <w:t xml:space="preserve">does not represent the totality of patients in the study and is confounded by changes in national breast cancer screening that occurred at that time, and </w:t>
      </w:r>
      <w:r w:rsidR="00197DB7" w:rsidRPr="00007450">
        <w:t xml:space="preserve">that it is more appropriate to use an age aligned with the NATALEE trial (53.5 years). </w:t>
      </w:r>
      <w:r w:rsidR="00402116">
        <w:t xml:space="preserve">The Response </w:t>
      </w:r>
      <w:r w:rsidR="00E850FA">
        <w:t xml:space="preserve">also </w:t>
      </w:r>
      <w:r w:rsidR="004F651F">
        <w:t xml:space="preserve">noted </w:t>
      </w:r>
      <w:r w:rsidR="00B83EAC">
        <w:t>t</w:t>
      </w:r>
      <w:r w:rsidR="00D32F33">
        <w:t>w</w:t>
      </w:r>
      <w:r w:rsidR="00B83EAC">
        <w:t xml:space="preserve">o </w:t>
      </w:r>
      <w:r w:rsidR="004F651F">
        <w:t>retrospect</w:t>
      </w:r>
      <w:r w:rsidR="00E850FA">
        <w:t>ive</w:t>
      </w:r>
      <w:r w:rsidR="004F651F">
        <w:t xml:space="preserve"> studies report</w:t>
      </w:r>
      <w:r w:rsidR="00E850FA">
        <w:t>ing the</w:t>
      </w:r>
      <w:r w:rsidR="004F651F">
        <w:t xml:space="preserve"> median age</w:t>
      </w:r>
      <w:r w:rsidR="00E538F9">
        <w:t xml:space="preserve"> at</w:t>
      </w:r>
      <w:r w:rsidR="004F651F">
        <w:t xml:space="preserve"> diagnosis </w:t>
      </w:r>
      <w:r w:rsidR="00DA3B34">
        <w:t xml:space="preserve">as </w:t>
      </w:r>
      <w:r w:rsidR="00E850FA" w:rsidRPr="00F70F28">
        <w:t xml:space="preserve">50 years among women with </w:t>
      </w:r>
      <w:r w:rsidR="007B2E33">
        <w:t>node negative/low</w:t>
      </w:r>
      <w:r w:rsidR="00E850FA" w:rsidRPr="00F70F28">
        <w:t xml:space="preserve"> eBC</w:t>
      </w:r>
      <w:r w:rsidR="00E850FA">
        <w:rPr>
          <w:rStyle w:val="FootnoteReference"/>
        </w:rPr>
        <w:footnoteReference w:id="10"/>
      </w:r>
      <w:r w:rsidR="00E850FA" w:rsidRPr="00F70F28">
        <w:t xml:space="preserve"> and 55 years among women with HR+ eBC</w:t>
      </w:r>
      <w:r w:rsidR="00E850FA">
        <w:rPr>
          <w:rStyle w:val="FootnoteReference"/>
        </w:rPr>
        <w:footnoteReference w:id="11"/>
      </w:r>
      <w:r w:rsidR="00E850FA">
        <w:t>.</w:t>
      </w:r>
    </w:p>
    <w:p w14:paraId="5BFEE9FE" w14:textId="05C3A838" w:rsidR="00697D76" w:rsidRPr="00007450" w:rsidRDefault="001C79E4" w:rsidP="00864C4B">
      <w:pPr>
        <w:pStyle w:val="3-BodyText"/>
      </w:pPr>
      <w:bookmarkStart w:id="56" w:name="_Ref205183585"/>
      <w:r w:rsidRPr="00007450">
        <w:t xml:space="preserve">The OS benefit from adjuvant ribociclib was modelled indirectly through iDFS. The submission modelled both a reduction in the hazard of iDFS events with ribociclib and a lower proportion of iDFS events that were deaths or DRs (52.7% with ribociclib + ET vs. 59.0% with ET) based on data from the proposed PBS subgroup in NATALEE. Trial iDFS KM curves were used until Month 48, after which data were extrapolated using parametric models. </w:t>
      </w:r>
      <w:r w:rsidR="00697D76" w:rsidRPr="00007450">
        <w:t xml:space="preserve">The truncation time point was selected on the basis that less than 10% of patients in either treatment arm </w:t>
      </w:r>
      <w:r w:rsidR="00781CFB" w:rsidRPr="00007450">
        <w:t xml:space="preserve">were </w:t>
      </w:r>
      <w:r w:rsidR="00697D76" w:rsidRPr="00007450">
        <w:t xml:space="preserve">at risk of an iDFS event at the next available time point. At Month 48, </w:t>
      </w:r>
      <w:r w:rsidR="00781CFB" w:rsidRPr="00007450">
        <w:t xml:space="preserve">around half of patients in </w:t>
      </w:r>
      <w:r w:rsidR="006B50BF" w:rsidRPr="00007450">
        <w:t xml:space="preserve">each treatment arm remained at risk </w:t>
      </w:r>
      <w:r w:rsidR="00697D76" w:rsidRPr="00007450">
        <w:t>(</w:t>
      </w:r>
      <w:r w:rsidR="00697D76" w:rsidRPr="00592ED9">
        <w:t>456 patients in the ribociclib + ET arm and 425 patients in the ET arm</w:t>
      </w:r>
      <w:r w:rsidR="00697D76" w:rsidRPr="00007450">
        <w:t>)</w:t>
      </w:r>
      <w:r w:rsidR="006B50BF" w:rsidRPr="00007450">
        <w:t xml:space="preserve">, which </w:t>
      </w:r>
      <w:r w:rsidR="00697D76" w:rsidRPr="00007450">
        <w:t xml:space="preserve">resulted in the exclusion of </w:t>
      </w:r>
      <w:r w:rsidR="00A31C74" w:rsidRPr="00007450">
        <w:t xml:space="preserve">an amount of </w:t>
      </w:r>
      <w:r w:rsidR="00697D76" w:rsidRPr="00007450">
        <w:t xml:space="preserve">observed </w:t>
      </w:r>
      <w:r w:rsidR="004F3367" w:rsidRPr="00007450">
        <w:t>trial</w:t>
      </w:r>
      <w:r w:rsidR="00697D76" w:rsidRPr="00007450">
        <w:t xml:space="preserve"> data before they became unreliable. </w:t>
      </w:r>
      <w:r w:rsidR="004F3367" w:rsidRPr="00007450">
        <w:t>U</w:t>
      </w:r>
      <w:r w:rsidR="006B50BF" w:rsidRPr="00007450">
        <w:t xml:space="preserve">sing a later time point for extrapolation (e.g. 54 weeks; number of patients at risk: </w:t>
      </w:r>
      <w:r w:rsidR="006B50BF" w:rsidRPr="0085679D">
        <w:t>87 patients in the ribociclib + ET arm vs. 70 patients in the ET arm</w:t>
      </w:r>
      <w:r w:rsidR="006B50BF" w:rsidRPr="00007450">
        <w:t>)</w:t>
      </w:r>
      <w:r w:rsidR="004F3367" w:rsidRPr="00007450">
        <w:t>, however,</w:t>
      </w:r>
      <w:r w:rsidR="006B50BF" w:rsidRPr="00007450">
        <w:t xml:space="preserve"> did not have a big impact on the result</w:t>
      </w:r>
      <w:r w:rsidR="004F3367" w:rsidRPr="00007450">
        <w:t xml:space="preserve"> (</w:t>
      </w:r>
      <w:r w:rsidR="004F3367" w:rsidRPr="00007450">
        <w:fldChar w:fldCharType="begin"/>
      </w:r>
      <w:r w:rsidR="004F3367" w:rsidRPr="00007450">
        <w:instrText xml:space="preserve"> REF _Ref104804865 \h  \* MERGEFORMAT </w:instrText>
      </w:r>
      <w:r w:rsidR="004F3367" w:rsidRPr="00007450">
        <w:fldChar w:fldCharType="separate"/>
      </w:r>
      <w:r w:rsidR="00B36442" w:rsidRPr="00007450">
        <w:t xml:space="preserve">Table </w:t>
      </w:r>
      <w:r w:rsidR="00B36442">
        <w:rPr>
          <w:noProof/>
        </w:rPr>
        <w:t>15</w:t>
      </w:r>
      <w:r w:rsidR="004F3367" w:rsidRPr="00007450">
        <w:fldChar w:fldCharType="end"/>
      </w:r>
      <w:r w:rsidR="004F3367" w:rsidRPr="00007450">
        <w:t>)</w:t>
      </w:r>
      <w:r w:rsidR="006B50BF" w:rsidRPr="00007450">
        <w:t>.</w:t>
      </w:r>
      <w:bookmarkEnd w:id="56"/>
      <w:r w:rsidR="006B50BF" w:rsidRPr="00007450">
        <w:t xml:space="preserve"> </w:t>
      </w:r>
    </w:p>
    <w:p w14:paraId="01555FA3" w14:textId="16A42C30" w:rsidR="004F4A58" w:rsidRPr="00007450" w:rsidRDefault="001C79E4" w:rsidP="00864C4B">
      <w:pPr>
        <w:pStyle w:val="3-BodyText"/>
      </w:pPr>
      <w:bookmarkStart w:id="57" w:name="_Ref201589478"/>
      <w:r w:rsidRPr="00007450">
        <w:t xml:space="preserve">Restricted (dependent) exponential distributions were selected </w:t>
      </w:r>
      <w:r w:rsidR="00697D76" w:rsidRPr="00007450">
        <w:t xml:space="preserve">to extrapolate iDFS curves </w:t>
      </w:r>
      <w:r w:rsidRPr="00007450">
        <w:t xml:space="preserve">in the base case, on the basis of goodness of fit statistics, visual inspection, and clinical plausibility. The submission also assumed that the distribution of iDFS events </w:t>
      </w:r>
      <w:r w:rsidRPr="00007450">
        <w:lastRenderedPageBreak/>
        <w:t xml:space="preserve">would remain constant beyond </w:t>
      </w:r>
      <w:r w:rsidR="00F6300B">
        <w:t xml:space="preserve">the </w:t>
      </w:r>
      <w:r w:rsidRPr="00007450">
        <w:t xml:space="preserve">trial period until the treatment effect </w:t>
      </w:r>
      <w:r w:rsidR="00453DAE" w:rsidRPr="00007450">
        <w:t xml:space="preserve">was assumed to wane </w:t>
      </w:r>
      <w:r w:rsidR="00261A03" w:rsidRPr="00007450">
        <w:t>from</w:t>
      </w:r>
      <w:r w:rsidRPr="00007450">
        <w:t xml:space="preserve"> </w:t>
      </w:r>
      <w:r w:rsidRPr="0085679D">
        <w:t>Year 8</w:t>
      </w:r>
      <w:r w:rsidR="00261A03" w:rsidRPr="0085679D">
        <w:t xml:space="preserve"> to </w:t>
      </w:r>
      <w:r w:rsidR="000602E5" w:rsidRPr="0085679D">
        <w:t>Year 16</w:t>
      </w:r>
      <w:r w:rsidRPr="0085679D">
        <w:t>. At the latest data cutoff, less than 10% of patients in the PBS subgroup in NATALEE experienced an iDFS event (6.2% [n=55] for ribociclib + ET and 8.6% [n=78] for ET alone). The iDFS data were immature and not likely to provide a reliable basis both for</w:t>
      </w:r>
      <w:r w:rsidRPr="00007450">
        <w:t xml:space="preserve"> the long-term extrapolation of iDFS curves and for the determination of the distribution of iDFS events over time. </w:t>
      </w:r>
      <w:r w:rsidR="00A31C74" w:rsidRPr="00007450">
        <w:t xml:space="preserve">The </w:t>
      </w:r>
      <w:r w:rsidR="003609CB" w:rsidRPr="00007450">
        <w:t xml:space="preserve">evaluation considered that the </w:t>
      </w:r>
      <w:r w:rsidR="00A31C74" w:rsidRPr="00007450">
        <w:t xml:space="preserve">selection of restricted parametric functions for extrapolation </w:t>
      </w:r>
      <w:r w:rsidR="00EB48AC" w:rsidRPr="00007450">
        <w:t xml:space="preserve">were </w:t>
      </w:r>
      <w:r w:rsidR="00A31C74" w:rsidRPr="00007450">
        <w:t xml:space="preserve">not well justified. The results from transformation diagnostics and Schoenfeld residuals suggest the violation of the proportional hazards assumption. Of the diagnostic plots presented in the submission, the log-log survival curves of the two treatment arms were not parallel over time, and the Schoenfeld residuals plot clearly showed a non-zero slope over time. These do not support use of restricted parametric models. </w:t>
      </w:r>
      <w:r w:rsidR="00006068" w:rsidRPr="00007450">
        <w:t xml:space="preserve">Based on the goodness of fit statistics, exponential, Weibull, log-logistic and gamma distributions were the best fitting </w:t>
      </w:r>
      <w:r w:rsidR="00AD773C" w:rsidRPr="00007450">
        <w:t xml:space="preserve">restricted </w:t>
      </w:r>
      <w:r w:rsidR="00006068" w:rsidRPr="00007450">
        <w:t>distributions. Visual inspection indicated that a</w:t>
      </w:r>
      <w:r w:rsidRPr="00007450">
        <w:t>ll parametric functions provide</w:t>
      </w:r>
      <w:r w:rsidR="00DE1604" w:rsidRPr="00007450">
        <w:t>d</w:t>
      </w:r>
      <w:r w:rsidRPr="00007450">
        <w:t xml:space="preserve"> a good and very similar fit to the KM data before trial data became unreliable</w:t>
      </w:r>
      <w:r w:rsidR="00F27CA2" w:rsidRPr="00007450">
        <w:t xml:space="preserve"> (</w:t>
      </w:r>
      <w:r w:rsidR="00F27CA2" w:rsidRPr="00007450">
        <w:fldChar w:fldCharType="begin"/>
      </w:r>
      <w:r w:rsidR="00F27CA2" w:rsidRPr="00007450">
        <w:instrText xml:space="preserve"> REF _Ref198049952 \h </w:instrText>
      </w:r>
      <w:r w:rsidR="008A39F0" w:rsidRPr="00007450">
        <w:instrText xml:space="preserve"> \* MERGEFORMAT </w:instrText>
      </w:r>
      <w:r w:rsidR="00F27CA2" w:rsidRPr="00007450">
        <w:fldChar w:fldCharType="separate"/>
      </w:r>
      <w:r w:rsidR="00B36442" w:rsidRPr="00007450">
        <w:t xml:space="preserve">Figure </w:t>
      </w:r>
      <w:r w:rsidR="00B36442">
        <w:rPr>
          <w:noProof/>
        </w:rPr>
        <w:t>3</w:t>
      </w:r>
      <w:r w:rsidR="00F27CA2" w:rsidRPr="00007450">
        <w:fldChar w:fldCharType="end"/>
      </w:r>
      <w:r w:rsidR="00F27CA2" w:rsidRPr="00007450">
        <w:t>)</w:t>
      </w:r>
      <w:r w:rsidRPr="00007450">
        <w:t>.</w:t>
      </w:r>
      <w:bookmarkEnd w:id="57"/>
      <w:r w:rsidRPr="00007450">
        <w:t xml:space="preserve"> </w:t>
      </w:r>
    </w:p>
    <w:p w14:paraId="33C2A42B" w14:textId="35CF353B" w:rsidR="00006068" w:rsidRPr="00007450" w:rsidRDefault="001C79E4" w:rsidP="00864C4B">
      <w:pPr>
        <w:pStyle w:val="3-BodyText"/>
      </w:pPr>
      <w:bookmarkStart w:id="58" w:name="_Ref201589502"/>
      <w:r w:rsidRPr="00007450">
        <w:t xml:space="preserve">The </w:t>
      </w:r>
      <w:r w:rsidR="00BD2531" w:rsidRPr="00007450">
        <w:t xml:space="preserve">submission </w:t>
      </w:r>
      <w:r w:rsidRPr="00007450">
        <w:t>select</w:t>
      </w:r>
      <w:r w:rsidR="00BD2531" w:rsidRPr="00007450">
        <w:t>ed</w:t>
      </w:r>
      <w:r w:rsidRPr="00007450">
        <w:t xml:space="preserve"> </w:t>
      </w:r>
      <w:r w:rsidR="00006068" w:rsidRPr="00007450">
        <w:t xml:space="preserve">the exponential function for </w:t>
      </w:r>
      <w:r w:rsidRPr="00007450">
        <w:t xml:space="preserve">long-term extrapolation of iDFS </w:t>
      </w:r>
      <w:r w:rsidR="006269F6" w:rsidRPr="00007450">
        <w:t xml:space="preserve">based on </w:t>
      </w:r>
      <w:r w:rsidRPr="00007450">
        <w:t xml:space="preserve">the iDFS data in </w:t>
      </w:r>
      <w:r w:rsidR="00BD2531" w:rsidRPr="00007450">
        <w:t>patients</w:t>
      </w:r>
      <w:r w:rsidRPr="00007450">
        <w:t xml:space="preserve"> from the ACT and SE NSW BCTG registry</w:t>
      </w:r>
      <w:r w:rsidRPr="00007450">
        <w:rPr>
          <w:vertAlign w:val="superscript"/>
        </w:rPr>
        <w:fldChar w:fldCharType="begin"/>
      </w:r>
      <w:r w:rsidRPr="00007450">
        <w:rPr>
          <w:vertAlign w:val="superscript"/>
        </w:rPr>
        <w:instrText xml:space="preserve"> NOTEREF _Ref196167951 \h  \* MERGEFORMAT </w:instrText>
      </w:r>
      <w:r w:rsidRPr="00007450">
        <w:rPr>
          <w:vertAlign w:val="superscript"/>
        </w:rPr>
      </w:r>
      <w:r w:rsidRPr="00007450">
        <w:rPr>
          <w:vertAlign w:val="superscript"/>
        </w:rPr>
        <w:fldChar w:fldCharType="separate"/>
      </w:r>
      <w:r w:rsidR="00B36442">
        <w:rPr>
          <w:vertAlign w:val="superscript"/>
        </w:rPr>
        <w:t>8</w:t>
      </w:r>
      <w:r w:rsidRPr="00007450">
        <w:rPr>
          <w:vertAlign w:val="superscript"/>
        </w:rPr>
        <w:fldChar w:fldCharType="end"/>
      </w:r>
      <w:r w:rsidR="00BD2531" w:rsidRPr="00007450">
        <w:t xml:space="preserve"> </w:t>
      </w:r>
      <w:r w:rsidR="00D37B83" w:rsidRPr="00007450">
        <w:t xml:space="preserve">who were found to meet the NATALEE trial eligibility criteria. </w:t>
      </w:r>
      <w:r w:rsidR="00BD2531" w:rsidRPr="00007450">
        <w:t xml:space="preserve">It </w:t>
      </w:r>
      <w:r w:rsidR="003B4372" w:rsidRPr="00007450">
        <w:t xml:space="preserve">was </w:t>
      </w:r>
      <w:r w:rsidR="00BD2531" w:rsidRPr="00007450">
        <w:t xml:space="preserve">noted that the </w:t>
      </w:r>
      <w:r w:rsidR="00D37B83" w:rsidRPr="00007450">
        <w:t xml:space="preserve">NATALEE eligible cohort from the BCTG registry </w:t>
      </w:r>
      <w:r w:rsidR="00BD2531" w:rsidRPr="00007450">
        <w:t>included patients outside the proposed PBS population for ribociclib, e.g. with ≥4 ALNs, tumour size of &gt;</w:t>
      </w:r>
      <w:r w:rsidR="00550371">
        <w:t xml:space="preserve"> </w:t>
      </w:r>
      <w:r w:rsidR="00BD2531" w:rsidRPr="00007450">
        <w:t>5 cm, histological grade ≥3, but the proportion of these patients in the NATALEE-eligible cohort was unknown. This limited the use of the external data from the ACT &amp; SE NSW BCTG to validate the long-term extrapolation of iDFS for ET</w:t>
      </w:r>
      <w:r w:rsidRPr="00007450">
        <w:t>.</w:t>
      </w:r>
      <w:r w:rsidR="007B6495" w:rsidRPr="00007450">
        <w:t xml:space="preserve"> </w:t>
      </w:r>
      <w:r w:rsidR="00CE75D0" w:rsidRPr="00007450">
        <w:t>The PSCR</w:t>
      </w:r>
      <w:r w:rsidR="004A2F0E">
        <w:t xml:space="preserve"> </w:t>
      </w:r>
      <w:r w:rsidR="00400DC5" w:rsidRPr="00007450">
        <w:t>maintained that the</w:t>
      </w:r>
      <w:r w:rsidR="00CA727E" w:rsidRPr="00007450">
        <w:t xml:space="preserve"> extrapolation of iDFS in the economic model </w:t>
      </w:r>
      <w:r w:rsidR="00CB400B" w:rsidRPr="00007450">
        <w:t>wa</w:t>
      </w:r>
      <w:r w:rsidR="00CA727E" w:rsidRPr="00007450">
        <w:t>s reasonable and clinically plausible.</w:t>
      </w:r>
      <w:r w:rsidR="000619A6" w:rsidRPr="00007450">
        <w:t xml:space="preserve"> The PSCR noted that the long-term extrapolation of iDFS for ET alone </w:t>
      </w:r>
      <w:r w:rsidR="00E665F5" w:rsidRPr="00007450">
        <w:t>align</w:t>
      </w:r>
      <w:r w:rsidR="006B04AF" w:rsidRPr="00007450">
        <w:t>ed</w:t>
      </w:r>
      <w:r w:rsidR="000619A6" w:rsidRPr="00007450">
        <w:t xml:space="preserve"> with that reported by the ACT &amp; South-East NSW BCTC for the NATALEE eligible population up to </w:t>
      </w:r>
      <w:r w:rsidR="000B71F5" w:rsidRPr="00007450">
        <w:t xml:space="preserve">approximately </w:t>
      </w:r>
      <w:r w:rsidR="000619A6" w:rsidRPr="00007450">
        <w:t>15 years</w:t>
      </w:r>
      <w:r w:rsidR="00683FBA" w:rsidRPr="00007450">
        <w:t xml:space="preserve">, and the </w:t>
      </w:r>
      <w:r w:rsidR="00D81D66" w:rsidRPr="00007450">
        <w:t>3-, 5- and 7-year recurrence rates reported in Jhaveri et al 2024</w:t>
      </w:r>
      <w:r w:rsidR="00D81D66" w:rsidRPr="00007450">
        <w:rPr>
          <w:rStyle w:val="FootnoteReference"/>
        </w:rPr>
        <w:footnoteReference w:id="12"/>
      </w:r>
      <w:r w:rsidR="0059343B" w:rsidRPr="00007450">
        <w:t xml:space="preserve">. </w:t>
      </w:r>
      <w:r w:rsidR="007575E5" w:rsidRPr="00007450">
        <w:t xml:space="preserve">It was noted that the actual recurrence rates modelled in the ET alone arm of the ribociclib economic evaluation </w:t>
      </w:r>
      <w:r w:rsidR="00671A75" w:rsidRPr="00007450">
        <w:t>appeared to be</w:t>
      </w:r>
      <w:r w:rsidR="007575E5" w:rsidRPr="00007450">
        <w:t xml:space="preserve"> </w:t>
      </w:r>
      <w:r w:rsidR="008378EC" w:rsidRPr="00007450">
        <w:t>lower than presented in the PSC</w:t>
      </w:r>
      <w:r w:rsidR="00BC62C6" w:rsidRPr="00007450">
        <w:t>R</w:t>
      </w:r>
      <w:r w:rsidR="008378EC" w:rsidRPr="00007450">
        <w:t xml:space="preserve"> and </w:t>
      </w:r>
      <w:r w:rsidR="00BC62C6" w:rsidRPr="00007450">
        <w:t>that reported in</w:t>
      </w:r>
      <w:r w:rsidR="007575E5" w:rsidRPr="00007450">
        <w:t xml:space="preserve"> the Jhaveri et al (2024) data. Overall, the</w:t>
      </w:r>
      <w:r w:rsidR="00F83B9F" w:rsidRPr="00007450">
        <w:t xml:space="preserve"> ESC considered that </w:t>
      </w:r>
      <w:r w:rsidR="00C248DF" w:rsidRPr="00007450">
        <w:t xml:space="preserve">a </w:t>
      </w:r>
      <w:r w:rsidR="00D761BD" w:rsidRPr="00007450">
        <w:t>more conservative</w:t>
      </w:r>
      <w:r w:rsidR="00FF5F27" w:rsidRPr="00007450">
        <w:t xml:space="preserve"> parametric</w:t>
      </w:r>
      <w:r w:rsidR="00D761BD" w:rsidRPr="00007450">
        <w:t xml:space="preserve"> function</w:t>
      </w:r>
      <w:r w:rsidR="00CF1281" w:rsidRPr="00007450">
        <w:t xml:space="preserve"> should be applied to the</w:t>
      </w:r>
      <w:r w:rsidR="00C648B3" w:rsidRPr="00007450">
        <w:t xml:space="preserve"> extrapolation of</w:t>
      </w:r>
      <w:r w:rsidR="00CF1281" w:rsidRPr="00007450">
        <w:t xml:space="preserve"> </w:t>
      </w:r>
      <w:r w:rsidR="00C248DF" w:rsidRPr="00007450">
        <w:t>ribociclib + E</w:t>
      </w:r>
      <w:r w:rsidR="00C648B3" w:rsidRPr="00007450">
        <w:t>T iDFS</w:t>
      </w:r>
      <w:r w:rsidR="00CF1281" w:rsidRPr="00007450">
        <w:t xml:space="preserve">. The ESC advised </w:t>
      </w:r>
      <w:r w:rsidR="00E13BAB" w:rsidRPr="00007450">
        <w:t xml:space="preserve">that </w:t>
      </w:r>
      <w:r w:rsidR="00C648B3" w:rsidRPr="00007450">
        <w:t>the restrict</w:t>
      </w:r>
      <w:r w:rsidR="005E2F8C" w:rsidRPr="00007450">
        <w:t>ed</w:t>
      </w:r>
      <w:r w:rsidR="00C648B3" w:rsidRPr="00007450">
        <w:t xml:space="preserve"> Weibull function</w:t>
      </w:r>
      <w:r w:rsidR="003F1019" w:rsidRPr="00007450">
        <w:t xml:space="preserve"> </w:t>
      </w:r>
      <w:r w:rsidR="00E13BAB" w:rsidRPr="00007450">
        <w:t xml:space="preserve">for </w:t>
      </w:r>
      <w:r w:rsidR="00CB35F7" w:rsidRPr="00007450">
        <w:t xml:space="preserve">the </w:t>
      </w:r>
      <w:r w:rsidR="00E13BAB" w:rsidRPr="00007450">
        <w:t>ribociclib + ET</w:t>
      </w:r>
      <w:r w:rsidR="00CB35F7" w:rsidRPr="00007450">
        <w:t xml:space="preserve"> arm</w:t>
      </w:r>
      <w:r w:rsidR="00E13BAB" w:rsidRPr="00007450">
        <w:t xml:space="preserve"> would be more appropriate </w:t>
      </w:r>
      <w:r w:rsidR="00C248DF" w:rsidRPr="00007450">
        <w:t>and</w:t>
      </w:r>
      <w:r w:rsidR="00C648B3" w:rsidRPr="00007450">
        <w:t xml:space="preserve"> considered</w:t>
      </w:r>
      <w:r w:rsidR="00C248DF" w:rsidRPr="00007450">
        <w:t xml:space="preserve"> </w:t>
      </w:r>
      <w:r w:rsidR="00FF1ABA" w:rsidRPr="00007450">
        <w:t xml:space="preserve">that the </w:t>
      </w:r>
      <w:r w:rsidR="00B03D14" w:rsidRPr="00007450">
        <w:t xml:space="preserve">extrapolation for </w:t>
      </w:r>
      <w:r w:rsidR="00FF1ABA" w:rsidRPr="00007450">
        <w:t xml:space="preserve">ET should </w:t>
      </w:r>
      <w:r w:rsidR="00DE2B22" w:rsidRPr="00007450">
        <w:t>remain</w:t>
      </w:r>
      <w:r w:rsidR="00FF1ABA" w:rsidRPr="00007450">
        <w:t xml:space="preserve"> unchanged from the original base case.</w:t>
      </w:r>
      <w:bookmarkEnd w:id="58"/>
      <w:r w:rsidR="00B21C40" w:rsidRPr="00007450">
        <w:t xml:space="preserve"> </w:t>
      </w:r>
      <w:r w:rsidR="00DB3AE3" w:rsidRPr="00007450">
        <w:t xml:space="preserve">The ESC noted that this increased the ICER by </w:t>
      </w:r>
      <w:r w:rsidR="00E44B9A" w:rsidRPr="004A2F0E">
        <w:rPr>
          <w:color w:val="000000"/>
          <w:spacing w:val="6"/>
          <w:w w:val="61"/>
          <w:shd w:val="solid" w:color="000000" w:fill="000000"/>
          <w:fitText w:val="475" w:id="-628909557"/>
          <w14:textFill>
            <w14:solidFill>
              <w14:srgbClr w14:val="000000">
                <w14:alpha w14:val="100000"/>
              </w14:srgbClr>
            </w14:solidFill>
          </w14:textFill>
        </w:rPr>
        <w:t>|||</w:t>
      </w:r>
      <w:r w:rsidR="004A2F0E" w:rsidRPr="004A2F0E">
        <w:rPr>
          <w:color w:val="000000"/>
          <w:spacing w:val="6"/>
          <w:w w:val="61"/>
          <w:shd w:val="solid" w:color="000000" w:fill="000000"/>
          <w:fitText w:val="475" w:id="-628909557"/>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57"/>
          <w14:textFill>
            <w14:solidFill>
              <w14:srgbClr w14:val="000000">
                <w14:alpha w14:val="100000"/>
              </w14:srgbClr>
            </w14:solidFill>
          </w14:textFill>
        </w:rPr>
        <w:t>||</w:t>
      </w:r>
      <w:r w:rsidR="00E44B9A" w:rsidRPr="004A2F0E">
        <w:rPr>
          <w:color w:val="000000"/>
          <w:spacing w:val="3"/>
          <w:w w:val="61"/>
          <w:shd w:val="solid" w:color="000000" w:fill="000000"/>
          <w:fitText w:val="475" w:id="-628909557"/>
          <w14:textFill>
            <w14:solidFill>
              <w14:srgbClr w14:val="000000">
                <w14:alpha w14:val="100000"/>
              </w14:srgbClr>
            </w14:solidFill>
          </w14:textFill>
        </w:rPr>
        <w:t>|</w:t>
      </w:r>
      <w:r w:rsidR="00DB3AE3" w:rsidRPr="00007450">
        <w:t>% ($</w:t>
      </w:r>
      <w:r w:rsidR="00BE0720">
        <w:t>45,000 to &lt; $55,000</w:t>
      </w:r>
      <w:r w:rsidR="00DB3AE3" w:rsidRPr="00007450">
        <w:t>/QALY).</w:t>
      </w:r>
      <w:r w:rsidR="00DB3AE3" w:rsidRPr="00007450">
        <w:rPr>
          <w:i/>
          <w:iCs/>
        </w:rPr>
        <w:t xml:space="preserve"> </w:t>
      </w:r>
      <w:r w:rsidR="00FC617C" w:rsidRPr="00007450">
        <w:t xml:space="preserve">The Pre-PBAC Response </w:t>
      </w:r>
      <w:r w:rsidR="004C07D9">
        <w:t>stated</w:t>
      </w:r>
      <w:r w:rsidR="00AB740E">
        <w:t xml:space="preserve"> that the proportional hazards assumption </w:t>
      </w:r>
      <w:r w:rsidR="004C07D9">
        <w:t>had</w:t>
      </w:r>
      <w:r w:rsidR="00AB740E">
        <w:t xml:space="preserve"> not</w:t>
      </w:r>
      <w:r w:rsidR="004C07D9">
        <w:t xml:space="preserve"> been</w:t>
      </w:r>
      <w:r w:rsidR="00AB740E">
        <w:t xml:space="preserve"> violated</w:t>
      </w:r>
      <w:r w:rsidR="00D32F33">
        <w:t>,</w:t>
      </w:r>
      <w:r w:rsidR="00AB740E">
        <w:t xml:space="preserve"> </w:t>
      </w:r>
      <w:r w:rsidR="0012198E">
        <w:t xml:space="preserve">based on </w:t>
      </w:r>
      <w:r w:rsidR="0012198E" w:rsidRPr="0078568A">
        <w:t>Schoenfeld residuals test</w:t>
      </w:r>
      <w:r w:rsidR="00D32F33">
        <w:t>,</w:t>
      </w:r>
      <w:r w:rsidR="0012198E" w:rsidRPr="0012198E">
        <w:t xml:space="preserve"> </w:t>
      </w:r>
      <w:r w:rsidR="002A2733">
        <w:t xml:space="preserve">and </w:t>
      </w:r>
      <w:r w:rsidR="00551F27">
        <w:t>maintained</w:t>
      </w:r>
      <w:r w:rsidR="002A2733">
        <w:t xml:space="preserve"> that</w:t>
      </w:r>
      <w:r w:rsidR="00FC617C" w:rsidRPr="00007450">
        <w:t xml:space="preserve"> </w:t>
      </w:r>
      <w:r w:rsidR="000563EF" w:rsidRPr="00007450">
        <w:t xml:space="preserve">the exponential (restricted) function was best </w:t>
      </w:r>
      <w:r w:rsidR="000563EF" w:rsidRPr="00007450">
        <w:lastRenderedPageBreak/>
        <w:t xml:space="preserve">supported by the evidence. </w:t>
      </w:r>
      <w:r w:rsidR="00705BB9">
        <w:t>The</w:t>
      </w:r>
      <w:r w:rsidR="006D7932">
        <w:t xml:space="preserve"> visual signs of non-prop</w:t>
      </w:r>
      <w:r w:rsidR="00705BB9">
        <w:t>ortionality noted by the evaluation were not discussed in the response.</w:t>
      </w:r>
    </w:p>
    <w:p w14:paraId="46E4A7C4" w14:textId="14BCD812" w:rsidR="00F27CA2" w:rsidRPr="00007450" w:rsidRDefault="00F27CA2" w:rsidP="00864C4B">
      <w:pPr>
        <w:pStyle w:val="Caption"/>
      </w:pPr>
      <w:bookmarkStart w:id="59" w:name="_Ref198049952"/>
      <w:r w:rsidRPr="00007450">
        <w:t xml:space="preserve">Figure </w:t>
      </w:r>
      <w:r w:rsidR="001C7776">
        <w:fldChar w:fldCharType="begin"/>
      </w:r>
      <w:r w:rsidR="001C7776">
        <w:instrText xml:space="preserve"> SEQ Figure \* ARABIC </w:instrText>
      </w:r>
      <w:r w:rsidR="001C7776">
        <w:fldChar w:fldCharType="separate"/>
      </w:r>
      <w:r w:rsidR="00B36442">
        <w:rPr>
          <w:noProof/>
        </w:rPr>
        <w:t>3</w:t>
      </w:r>
      <w:r w:rsidR="001C7776">
        <w:rPr>
          <w:noProof/>
        </w:rPr>
        <w:fldChar w:fldCharType="end"/>
      </w:r>
      <w:bookmarkEnd w:id="59"/>
      <w:r w:rsidRPr="00007450">
        <w:t>:</w:t>
      </w:r>
      <w:r w:rsidRPr="00007450">
        <w:rPr>
          <w:noProof/>
        </w:rPr>
        <w:t xml:space="preserve"> Long-term iDFS projections for (A) ribociclib + ET and (B) ET alone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F70E24" w:rsidRPr="00007450" w14:paraId="48326286" w14:textId="77777777">
        <w:trPr>
          <w:trHeight w:val="2835"/>
        </w:trPr>
        <w:tc>
          <w:tcPr>
            <w:tcW w:w="567" w:type="dxa"/>
            <w:tcMar>
              <w:left w:w="0" w:type="dxa"/>
              <w:right w:w="0" w:type="dxa"/>
            </w:tcMar>
            <w:vAlign w:val="center"/>
          </w:tcPr>
          <w:p w14:paraId="4D04DC2D" w14:textId="77777777" w:rsidR="00F27CA2" w:rsidRPr="00007450" w:rsidRDefault="00F27CA2" w:rsidP="00864C4B">
            <w:pPr>
              <w:keepNext/>
              <w:spacing w:after="160"/>
              <w:jc w:val="left"/>
              <w:rPr>
                <w:b/>
                <w:bCs/>
              </w:rPr>
            </w:pPr>
            <w:r w:rsidRPr="00007450">
              <w:rPr>
                <w:b/>
                <w:bCs/>
              </w:rPr>
              <w:t>A</w:t>
            </w:r>
          </w:p>
          <w:p w14:paraId="4E7F793F" w14:textId="77777777" w:rsidR="00F27CA2" w:rsidRPr="00007450" w:rsidRDefault="00F27CA2" w:rsidP="00864C4B">
            <w:pPr>
              <w:keepNext/>
              <w:spacing w:after="160"/>
              <w:jc w:val="left"/>
              <w:rPr>
                <w:b/>
                <w:bCs/>
              </w:rPr>
            </w:pPr>
          </w:p>
        </w:tc>
        <w:tc>
          <w:tcPr>
            <w:tcW w:w="8505" w:type="dxa"/>
            <w:tcMar>
              <w:left w:w="0" w:type="dxa"/>
              <w:right w:w="0" w:type="dxa"/>
            </w:tcMar>
          </w:tcPr>
          <w:p w14:paraId="0B5B49FF" w14:textId="616F9B94" w:rsidR="00F27CA2" w:rsidRPr="00007450" w:rsidRDefault="00F70E24" w:rsidP="00864C4B">
            <w:pPr>
              <w:pStyle w:val="PBACTableText"/>
              <w:keepNext/>
              <w:rPr>
                <w:rFonts w:eastAsiaTheme="minorEastAsia"/>
              </w:rPr>
            </w:pPr>
            <w:r w:rsidRPr="00007450">
              <w:rPr>
                <w:rFonts w:eastAsiaTheme="minorEastAsia"/>
                <w:noProof/>
              </w:rPr>
              <w:drawing>
                <wp:inline distT="0" distB="0" distL="0" distR="0" wp14:anchorId="4C9BCEC3" wp14:editId="7BF088A7">
                  <wp:extent cx="5391004" cy="3291840"/>
                  <wp:effectExtent l="0" t="0" r="635" b="3810"/>
                  <wp:docPr id="627471752" name="Picture 627471752" descr="Figure 3a: Long-term iDFS projections for ribociclib + E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71752" name="Picture 627471752" descr="Figure 3a: Long-term iDFS projections for ribociclib + ET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4930" cy="3300344"/>
                          </a:xfrm>
                          <a:prstGeom prst="rect">
                            <a:avLst/>
                          </a:prstGeom>
                          <a:noFill/>
                        </pic:spPr>
                      </pic:pic>
                    </a:graphicData>
                  </a:graphic>
                </wp:inline>
              </w:drawing>
            </w:r>
          </w:p>
        </w:tc>
      </w:tr>
      <w:tr w:rsidR="00F70E24" w:rsidRPr="00007450" w14:paraId="2CC85A62" w14:textId="77777777">
        <w:trPr>
          <w:trHeight w:val="3727"/>
        </w:trPr>
        <w:tc>
          <w:tcPr>
            <w:tcW w:w="567" w:type="dxa"/>
            <w:tcMar>
              <w:left w:w="0" w:type="dxa"/>
              <w:right w:w="0" w:type="dxa"/>
            </w:tcMar>
            <w:vAlign w:val="center"/>
          </w:tcPr>
          <w:p w14:paraId="4FFA92EF" w14:textId="77777777" w:rsidR="00F27CA2" w:rsidRPr="00007450" w:rsidRDefault="00F27CA2" w:rsidP="00864C4B">
            <w:pPr>
              <w:keepNext/>
              <w:spacing w:after="160"/>
              <w:jc w:val="left"/>
              <w:rPr>
                <w:b/>
                <w:bCs/>
              </w:rPr>
            </w:pPr>
            <w:r w:rsidRPr="00007450">
              <w:rPr>
                <w:b/>
                <w:bCs/>
              </w:rPr>
              <w:t>B</w:t>
            </w:r>
          </w:p>
          <w:p w14:paraId="5AE3B603" w14:textId="77777777" w:rsidR="00F27CA2" w:rsidRPr="00007450" w:rsidRDefault="00F27CA2" w:rsidP="00864C4B">
            <w:pPr>
              <w:keepNext/>
              <w:spacing w:after="160"/>
              <w:jc w:val="left"/>
              <w:rPr>
                <w:b/>
                <w:bCs/>
              </w:rPr>
            </w:pPr>
          </w:p>
        </w:tc>
        <w:tc>
          <w:tcPr>
            <w:tcW w:w="8505" w:type="dxa"/>
            <w:tcMar>
              <w:left w:w="0" w:type="dxa"/>
              <w:right w:w="0" w:type="dxa"/>
            </w:tcMar>
          </w:tcPr>
          <w:p w14:paraId="6CCA6D19" w14:textId="0078322C" w:rsidR="00F27CA2" w:rsidRPr="00007450" w:rsidRDefault="001219AE" w:rsidP="00864C4B">
            <w:pPr>
              <w:pStyle w:val="PBACTableText"/>
              <w:keepNext/>
              <w:rPr>
                <w:rFonts w:eastAsiaTheme="minorEastAsia"/>
              </w:rPr>
            </w:pPr>
            <w:r w:rsidRPr="00007450">
              <w:rPr>
                <w:rFonts w:eastAsiaTheme="minorEastAsia"/>
                <w:noProof/>
              </w:rPr>
              <w:drawing>
                <wp:inline distT="0" distB="0" distL="0" distR="0" wp14:anchorId="57E41E17" wp14:editId="78DE3279">
                  <wp:extent cx="5389456" cy="3138221"/>
                  <wp:effectExtent l="0" t="0" r="1905" b="5080"/>
                  <wp:docPr id="848616494" name="Picture 848616494" descr="Figure 3b: Long-term iDFS projections for ET 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16494" name="Picture 848616494" descr="Figure 3b: Long-term iDFS projections for ET alon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2577" cy="3180798"/>
                          </a:xfrm>
                          <a:prstGeom prst="rect">
                            <a:avLst/>
                          </a:prstGeom>
                          <a:noFill/>
                        </pic:spPr>
                      </pic:pic>
                    </a:graphicData>
                  </a:graphic>
                </wp:inline>
              </w:drawing>
            </w:r>
          </w:p>
        </w:tc>
      </w:tr>
    </w:tbl>
    <w:p w14:paraId="1D4036A6" w14:textId="08B4344B" w:rsidR="00F27CA2" w:rsidRPr="00007450" w:rsidRDefault="00F27CA2" w:rsidP="00864C4B">
      <w:pPr>
        <w:pStyle w:val="TableFigureFooter"/>
      </w:pPr>
      <w:r w:rsidRPr="00007450">
        <w:t xml:space="preserve">Source: </w:t>
      </w:r>
      <w:r w:rsidR="00323ADA" w:rsidRPr="00007450">
        <w:t xml:space="preserve">Revised from </w:t>
      </w:r>
      <w:r w:rsidRPr="00007450">
        <w:t>Figure 3.11, p109 of the submission.</w:t>
      </w:r>
      <w:r w:rsidR="004A2F0E">
        <w:t xml:space="preserve"> </w:t>
      </w:r>
    </w:p>
    <w:p w14:paraId="437D3800" w14:textId="77777777" w:rsidR="00F27CA2" w:rsidRDefault="00F27CA2" w:rsidP="00864C4B">
      <w:pPr>
        <w:pStyle w:val="TableFigureFooter"/>
      </w:pPr>
      <w:r w:rsidRPr="00007450">
        <w:t>ET = endocrine therapy; iDFS = invasive disease-free survival; K-M = Kaplan-Meier; R = restricted</w:t>
      </w:r>
    </w:p>
    <w:p w14:paraId="34185EB1" w14:textId="2B057E45" w:rsidR="005F73CE" w:rsidRPr="005A0343" w:rsidRDefault="005F73CE" w:rsidP="00864C4B">
      <w:pPr>
        <w:pStyle w:val="TableFigureFooter"/>
        <w:rPr>
          <w:i/>
          <w:iCs/>
        </w:rPr>
      </w:pPr>
      <w:r w:rsidRPr="005A0343">
        <w:rPr>
          <w:i/>
          <w:iCs/>
        </w:rPr>
        <w:t>Note that the results presented in Figure 3 are derived from ad-hoc analyses conducted by the applicant specifically for the purposes of informing the PBAC consideration. These analyses were not part of the pre-specified statistical plan.</w:t>
      </w:r>
      <w:r w:rsidR="004A2F0E">
        <w:rPr>
          <w:i/>
          <w:iCs/>
        </w:rPr>
        <w:t xml:space="preserve"> </w:t>
      </w:r>
      <w:r w:rsidRPr="005A0343">
        <w:rPr>
          <w:i/>
          <w:iCs/>
        </w:rPr>
        <w:t>Interpretation of the results and their application should therefore be limited to seeking to understand the basis for the PBAC outcome and should not be used for any other purpose.</w:t>
      </w:r>
    </w:p>
    <w:p w14:paraId="237E9029" w14:textId="08696AEF" w:rsidR="001C79E4" w:rsidRPr="00007450" w:rsidRDefault="001C79E4" w:rsidP="00864C4B">
      <w:pPr>
        <w:pStyle w:val="3-BodyText"/>
      </w:pPr>
      <w:bookmarkStart w:id="60" w:name="_Ref201589749"/>
      <w:r w:rsidRPr="00007450">
        <w:lastRenderedPageBreak/>
        <w:t xml:space="preserve">As restricted parametric survival models were used, the extrapolations effectively assumed an ongoing treatment effect of ribociclib + ET over ET. </w:t>
      </w:r>
      <w:r w:rsidR="00E30E7B" w:rsidRPr="00007450">
        <w:t>Although ribociclib has a</w:t>
      </w:r>
      <w:r w:rsidRPr="00007450">
        <w:t xml:space="preserve"> limited duration of </w:t>
      </w:r>
      <w:r w:rsidR="004308DF" w:rsidRPr="00007450">
        <w:t xml:space="preserve">treatment </w:t>
      </w:r>
      <w:r w:rsidRPr="00007450">
        <w:t>(maximum of 3 years), this treatment effect was assumed to last for 8 years, after which, the effect of ribociclib was assumed to wane until the beginning of Year 16 (duration of waning: 8 years). Treatment effect waning was implemented such that the hazard of an iDFS event for ribociclib + ET linearly decrease</w:t>
      </w:r>
      <w:r w:rsidR="00DC3707" w:rsidRPr="00007450">
        <w:t>d</w:t>
      </w:r>
      <w:r w:rsidRPr="00007450">
        <w:t xml:space="preserve"> to that of ET alone starting at Year 8 and reaching the same hazard for iDFS between the two treatment arms after 8 years. </w:t>
      </w:r>
      <w:bookmarkStart w:id="61" w:name="_Ref195372281"/>
      <w:r w:rsidRPr="00007450">
        <w:t xml:space="preserve">The time point for treatment effect waning was based </w:t>
      </w:r>
      <w:r w:rsidR="004308DF" w:rsidRPr="00007450">
        <w:t xml:space="preserve">on </w:t>
      </w:r>
      <w:r w:rsidRPr="00007450">
        <w:t>the treatment effects for tamoxifen/anastrozole (endocrine inhibitor)</w:t>
      </w:r>
      <w:r w:rsidR="00DC3707" w:rsidRPr="00007450">
        <w:t>.</w:t>
      </w:r>
      <w:r w:rsidRPr="00007450">
        <w:rPr>
          <w:rStyle w:val="FootnoteReference"/>
        </w:rPr>
        <w:footnoteReference w:id="13"/>
      </w:r>
      <w:r w:rsidR="00F27CA2" w:rsidRPr="00007450">
        <w:rPr>
          <w:vertAlign w:val="superscript"/>
        </w:rPr>
        <w:t>,</w:t>
      </w:r>
      <w:r w:rsidR="00F27CA2" w:rsidRPr="00007450">
        <w:rPr>
          <w:rStyle w:val="FootnoteReference"/>
        </w:rPr>
        <w:footnoteReference w:id="14"/>
      </w:r>
      <w:r w:rsidRPr="00007450">
        <w:t xml:space="preserve"> </w:t>
      </w:r>
      <w:r w:rsidR="00DC3707" w:rsidRPr="00007450">
        <w:t xml:space="preserve">The evaluation considered that </w:t>
      </w:r>
      <w:r w:rsidR="00EB3C6D" w:rsidRPr="00007450">
        <w:t xml:space="preserve">this was </w:t>
      </w:r>
      <w:r w:rsidRPr="00007450">
        <w:t xml:space="preserve">unlikely to be applicable to the duration of the treatment effect of ribociclib (a CDK4/6 inhibitor) in addition to ET. </w:t>
      </w:r>
      <w:r w:rsidR="00D50CCA" w:rsidRPr="00007450">
        <w:t>T</w:t>
      </w:r>
      <w:r w:rsidRPr="00007450">
        <w:t xml:space="preserve">he PBAC </w:t>
      </w:r>
      <w:r w:rsidR="00D50CCA" w:rsidRPr="00007450">
        <w:t xml:space="preserve">previously </w:t>
      </w:r>
      <w:r w:rsidRPr="00007450">
        <w:t>considered that a treatment waning period of 5−8 years would be appropriate</w:t>
      </w:r>
      <w:r w:rsidR="00D50CCA" w:rsidRPr="00007450">
        <w:t xml:space="preserve"> for abemaciclib</w:t>
      </w:r>
      <w:r w:rsidR="00327990" w:rsidRPr="00007450">
        <w:t xml:space="preserve"> in eBC</w:t>
      </w:r>
      <w:r w:rsidR="00B16A63" w:rsidRPr="00007450">
        <w:t>,</w:t>
      </w:r>
      <w:r w:rsidRPr="00007450">
        <w:t xml:space="preserve"> based on </w:t>
      </w:r>
      <w:r w:rsidR="008206BB" w:rsidRPr="00007450">
        <w:t xml:space="preserve">a </w:t>
      </w:r>
      <w:r w:rsidRPr="00007450">
        <w:t xml:space="preserve">median follow-up of </w:t>
      </w:r>
      <w:r w:rsidR="0008041F" w:rsidRPr="00007450">
        <w:t xml:space="preserve">54 months </w:t>
      </w:r>
      <w:r w:rsidR="008206BB" w:rsidRPr="00007450">
        <w:t>in the pivotal trial</w:t>
      </w:r>
      <w:r w:rsidRPr="00007450">
        <w:t xml:space="preserve"> (para</w:t>
      </w:r>
      <w:r w:rsidR="006F23C0" w:rsidRPr="00007450">
        <w:t>.</w:t>
      </w:r>
      <w:r w:rsidRPr="00007450">
        <w:t xml:space="preserve"> 7.10, abemaciclib PSD, November 2023 PBAC meeting). </w:t>
      </w:r>
      <w:r w:rsidR="003F5A24">
        <w:t>The evaluation noted that c</w:t>
      </w:r>
      <w:r w:rsidRPr="00007450">
        <w:t xml:space="preserve">onsidering the available trial data for ribociclib (median follow-up in NATALEE: 49.5 months), a treatment effect waning assumption from Year 5 to Year 8 may be more reasonable and consistent with previous PBAC advice. A comparison of the modelled curves with various assumptions regarding treatment waning is presented in </w:t>
      </w:r>
      <w:r w:rsidRPr="00007450">
        <w:fldChar w:fldCharType="begin"/>
      </w:r>
      <w:r w:rsidRPr="00007450">
        <w:instrText xml:space="preserve"> REF _Ref195360321 \h  \* MERGEFORMAT </w:instrText>
      </w:r>
      <w:r w:rsidRPr="00007450">
        <w:fldChar w:fldCharType="separate"/>
      </w:r>
      <w:r w:rsidR="00B36442" w:rsidRPr="00007450">
        <w:t xml:space="preserve">Figure </w:t>
      </w:r>
      <w:r w:rsidR="00B36442">
        <w:rPr>
          <w:noProof/>
        </w:rPr>
        <w:t>4</w:t>
      </w:r>
      <w:r w:rsidRPr="00007450">
        <w:fldChar w:fldCharType="end"/>
      </w:r>
      <w:r w:rsidRPr="00007450">
        <w:t xml:space="preserve">. The ICER was very sensitive to this </w:t>
      </w:r>
      <w:r w:rsidR="009D0751" w:rsidRPr="00007450">
        <w:t>assumption</w:t>
      </w:r>
      <w:r w:rsidRPr="00007450">
        <w:t>.</w:t>
      </w:r>
      <w:bookmarkEnd w:id="61"/>
      <w:r w:rsidRPr="00007450">
        <w:t xml:space="preserve"> </w:t>
      </w:r>
      <w:r w:rsidR="00A06C4D" w:rsidRPr="00007450">
        <w:t>The PSCR</w:t>
      </w:r>
      <w:r w:rsidR="00AD4493" w:rsidRPr="00007450">
        <w:t xml:space="preserve"> </w:t>
      </w:r>
      <w:r w:rsidR="00A06C4D" w:rsidRPr="00007450">
        <w:t xml:space="preserve">noted </w:t>
      </w:r>
      <w:r w:rsidR="00C25C62" w:rsidRPr="00007450">
        <w:t xml:space="preserve">that </w:t>
      </w:r>
      <w:r w:rsidR="00787D81" w:rsidRPr="00007450">
        <w:t xml:space="preserve">treatment </w:t>
      </w:r>
      <w:r w:rsidR="00654A4B" w:rsidRPr="00007450">
        <w:t xml:space="preserve">with ribociclib </w:t>
      </w:r>
      <w:r w:rsidR="00787D81" w:rsidRPr="00007450">
        <w:t xml:space="preserve">was likely to be longer than treatment with </w:t>
      </w:r>
      <w:r w:rsidR="009006DA" w:rsidRPr="00007450">
        <w:t>abemaciclib</w:t>
      </w:r>
      <w:r w:rsidR="00787D81" w:rsidRPr="00007450">
        <w:t xml:space="preserve"> and therefore considered treatment waning should start later than considered for abemaciclib</w:t>
      </w:r>
      <w:r w:rsidR="00AD4493" w:rsidRPr="00007450">
        <w:t xml:space="preserve">. </w:t>
      </w:r>
      <w:r w:rsidR="0083473E" w:rsidRPr="00007450">
        <w:t xml:space="preserve">The PSCR </w:t>
      </w:r>
      <w:r w:rsidR="00B9519C" w:rsidRPr="00007450">
        <w:t xml:space="preserve">maintained that the </w:t>
      </w:r>
      <w:r w:rsidR="00C75A64" w:rsidRPr="00007450">
        <w:t>proposed waning period was appropriate and was supported by</w:t>
      </w:r>
      <w:r w:rsidR="0083473E" w:rsidRPr="00007450">
        <w:t xml:space="preserve"> </w:t>
      </w:r>
      <w:r w:rsidR="00EA7012" w:rsidRPr="00007450">
        <w:t xml:space="preserve">the results of the NATALEE trial showing a continued divergence of the ribociclib + ET and ET alone iDFS curves and improved </w:t>
      </w:r>
      <w:r w:rsidR="00D62DE2" w:rsidRPr="00007450">
        <w:t xml:space="preserve">HRs </w:t>
      </w:r>
      <w:r w:rsidR="00EA7012" w:rsidRPr="00007450">
        <w:t>in subsequent data cuts.</w:t>
      </w:r>
      <w:r w:rsidR="00C4113E" w:rsidRPr="00007450">
        <w:t xml:space="preserve"> </w:t>
      </w:r>
      <w:r w:rsidR="0031670B" w:rsidRPr="00007450">
        <w:t>However, the</w:t>
      </w:r>
      <w:r w:rsidR="001F03E2" w:rsidRPr="00007450">
        <w:t xml:space="preserve"> ESC </w:t>
      </w:r>
      <w:r w:rsidR="00CC50D9" w:rsidRPr="00007450">
        <w:t>advised that in consideration of</w:t>
      </w:r>
      <w:r w:rsidR="0031670B" w:rsidRPr="00007450">
        <w:t xml:space="preserve"> the available trial data for ribociclib,</w:t>
      </w:r>
      <w:r w:rsidR="00653F50" w:rsidRPr="00007450">
        <w:t xml:space="preserve"> a</w:t>
      </w:r>
      <w:r w:rsidR="00CA48EA" w:rsidRPr="00007450">
        <w:t xml:space="preserve"> </w:t>
      </w:r>
      <w:r w:rsidR="00EB7A14" w:rsidRPr="00007450">
        <w:t>more conservative treatment waning</w:t>
      </w:r>
      <w:r w:rsidR="00D57A22" w:rsidRPr="00007450">
        <w:t>,</w:t>
      </w:r>
      <w:r w:rsidR="00EB7A14" w:rsidRPr="00007450">
        <w:t xml:space="preserve"> from year 5 to year 8</w:t>
      </w:r>
      <w:r w:rsidR="00CF3716" w:rsidRPr="00007450">
        <w:t xml:space="preserve"> (</w:t>
      </w:r>
      <w:r w:rsidR="00037674" w:rsidRPr="00007450">
        <w:t xml:space="preserve">as </w:t>
      </w:r>
      <w:r w:rsidR="00CF3716" w:rsidRPr="00007450">
        <w:t>previously accepted by the PBAC for abemaciclib)</w:t>
      </w:r>
      <w:r w:rsidR="00D57A22" w:rsidRPr="00007450">
        <w:t>,</w:t>
      </w:r>
      <w:r w:rsidR="00EB7A14" w:rsidRPr="00007450">
        <w:t xml:space="preserve"> </w:t>
      </w:r>
      <w:r w:rsidR="00B21C40" w:rsidRPr="00007450">
        <w:t>should be included in a respecified base case.</w:t>
      </w:r>
      <w:bookmarkEnd w:id="60"/>
      <w:r w:rsidR="00DC1AA9" w:rsidRPr="00007450">
        <w:t xml:space="preserve"> The ESC noted that reducing the treatment waning period from 8−16 years to 5−8 years increased the ICER by </w:t>
      </w:r>
      <w:r w:rsidR="00E44B9A" w:rsidRPr="004A2F0E">
        <w:rPr>
          <w:color w:val="000000"/>
          <w:spacing w:val="6"/>
          <w:w w:val="61"/>
          <w:shd w:val="solid" w:color="000000" w:fill="000000"/>
          <w:fitText w:val="475" w:id="-628909556"/>
          <w14:textFill>
            <w14:solidFill>
              <w14:srgbClr w14:val="000000">
                <w14:alpha w14:val="100000"/>
              </w14:srgbClr>
            </w14:solidFill>
          </w14:textFill>
        </w:rPr>
        <w:t>|||</w:t>
      </w:r>
      <w:r w:rsidR="004A2F0E" w:rsidRPr="004A2F0E">
        <w:rPr>
          <w:color w:val="000000"/>
          <w:spacing w:val="6"/>
          <w:w w:val="61"/>
          <w:shd w:val="solid" w:color="000000" w:fill="000000"/>
          <w:fitText w:val="475" w:id="-628909556"/>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56"/>
          <w14:textFill>
            <w14:solidFill>
              <w14:srgbClr w14:val="000000">
                <w14:alpha w14:val="100000"/>
              </w14:srgbClr>
            </w14:solidFill>
          </w14:textFill>
        </w:rPr>
        <w:t>||</w:t>
      </w:r>
      <w:r w:rsidR="00E44B9A" w:rsidRPr="004A2F0E">
        <w:rPr>
          <w:color w:val="000000"/>
          <w:spacing w:val="3"/>
          <w:w w:val="61"/>
          <w:shd w:val="solid" w:color="000000" w:fill="000000"/>
          <w:fitText w:val="475" w:id="-628909556"/>
          <w14:textFill>
            <w14:solidFill>
              <w14:srgbClr w14:val="000000">
                <w14:alpha w14:val="100000"/>
              </w14:srgbClr>
            </w14:solidFill>
          </w14:textFill>
        </w:rPr>
        <w:t>|</w:t>
      </w:r>
      <w:r w:rsidR="00DC1AA9" w:rsidRPr="00007450">
        <w:t>% ($</w:t>
      </w:r>
      <w:r w:rsidR="00670A2A">
        <w:t>45,000 to &lt; $55,000</w:t>
      </w:r>
      <w:r w:rsidR="00BF18CE">
        <w:t>/</w:t>
      </w:r>
      <w:r w:rsidR="00DC1AA9" w:rsidRPr="00007450">
        <w:t>QALY).</w:t>
      </w:r>
      <w:r w:rsidR="00CE68FC" w:rsidRPr="00007450">
        <w:t xml:space="preserve"> The Pre-PBAC Response</w:t>
      </w:r>
      <w:r w:rsidR="004A2F0E">
        <w:t xml:space="preserve"> </w:t>
      </w:r>
      <w:r w:rsidR="00CE68FC" w:rsidRPr="00007450">
        <w:t>argued the monarchE 5-year iDF</w:t>
      </w:r>
      <w:r w:rsidR="006E5BA8">
        <w:t>S</w:t>
      </w:r>
      <w:r w:rsidR="00CE68FC" w:rsidRPr="00007450">
        <w:t xml:space="preserve"> data</w:t>
      </w:r>
      <w:r w:rsidR="00ED30E5">
        <w:t xml:space="preserve"> for abemaciclib</w:t>
      </w:r>
      <w:r w:rsidR="00CE68FC" w:rsidRPr="00007450">
        <w:t xml:space="preserve"> demonstrates</w:t>
      </w:r>
      <w:r w:rsidR="00723FB7">
        <w:t xml:space="preserve"> that</w:t>
      </w:r>
      <w:r w:rsidR="00CE68FC" w:rsidRPr="00007450">
        <w:t xml:space="preserve"> waning does not start at year 5</w:t>
      </w:r>
      <w:r w:rsidR="00ED30E5">
        <w:t xml:space="preserve"> and </w:t>
      </w:r>
      <w:r w:rsidR="00EC57AD">
        <w:t xml:space="preserve">while the 5-year data cut for NATALEE </w:t>
      </w:r>
      <w:r w:rsidR="00723FB7">
        <w:t>are</w:t>
      </w:r>
      <w:r w:rsidR="007131D2">
        <w:t xml:space="preserve"> pending, the </w:t>
      </w:r>
      <w:r w:rsidR="00142184">
        <w:t>R</w:t>
      </w:r>
      <w:r w:rsidR="007131D2">
        <w:t xml:space="preserve">esponse considered </w:t>
      </w:r>
      <w:r w:rsidR="004834B7">
        <w:t>the NATALEE</w:t>
      </w:r>
      <w:r w:rsidR="00723FB7">
        <w:t xml:space="preserve"> data to be</w:t>
      </w:r>
      <w:r w:rsidR="005869A9">
        <w:t xml:space="preserve"> consistent and more favourable</w:t>
      </w:r>
      <w:r w:rsidR="00723FB7">
        <w:t xml:space="preserve"> compared to monarchE</w:t>
      </w:r>
      <w:r w:rsidR="005869A9">
        <w:t xml:space="preserve">. The Response also noted the longer treatment duration of abemaciclib vs ribociclib </w:t>
      </w:r>
      <w:r w:rsidR="00061332" w:rsidRPr="00007450">
        <w:t xml:space="preserve">and reiterated the submission input of 8 years was appropriate. </w:t>
      </w:r>
    </w:p>
    <w:p w14:paraId="496D38A1" w14:textId="6B4233FB" w:rsidR="001C79E4" w:rsidRPr="00007450" w:rsidRDefault="001C79E4" w:rsidP="00864C4B">
      <w:pPr>
        <w:pStyle w:val="Caption"/>
      </w:pPr>
      <w:bookmarkStart w:id="62" w:name="_Ref195360321"/>
      <w:r w:rsidRPr="00007450">
        <w:lastRenderedPageBreak/>
        <w:t xml:space="preserve">Figure </w:t>
      </w:r>
      <w:r w:rsidR="001C7776">
        <w:fldChar w:fldCharType="begin"/>
      </w:r>
      <w:r w:rsidR="001C7776">
        <w:instrText xml:space="preserve"> SEQ Figure \* ARABIC </w:instrText>
      </w:r>
      <w:r w:rsidR="001C7776">
        <w:fldChar w:fldCharType="separate"/>
      </w:r>
      <w:r w:rsidR="00B36442">
        <w:rPr>
          <w:noProof/>
        </w:rPr>
        <w:t>4</w:t>
      </w:r>
      <w:r w:rsidR="001C7776">
        <w:rPr>
          <w:noProof/>
        </w:rPr>
        <w:fldChar w:fldCharType="end"/>
      </w:r>
      <w:bookmarkEnd w:id="62"/>
      <w:r w:rsidRPr="00007450">
        <w:t xml:space="preserve">: Modelled iDFS showing effect of alternative assumptions around treatment effect waning </w:t>
      </w:r>
    </w:p>
    <w:p w14:paraId="7E225A1E" w14:textId="77777777" w:rsidR="001C79E4" w:rsidRPr="00007450" w:rsidRDefault="001C79E4" w:rsidP="00864C4B">
      <w:r w:rsidRPr="00007450">
        <w:rPr>
          <w:noProof/>
        </w:rPr>
        <w:drawing>
          <wp:inline distT="0" distB="0" distL="0" distR="0" wp14:anchorId="7BD03AE2" wp14:editId="11A499C5">
            <wp:extent cx="5700805" cy="3206750"/>
            <wp:effectExtent l="0" t="0" r="0" b="0"/>
            <wp:docPr id="593733346" name="Picture 593733346" descr="Figure 4: Modelled iDFS showing effect of alternative assumptions around treatment effect w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3346" name="Picture 593733346" descr="Figure 4: Modelled iDFS showing effect of alternative assumptions around treatment effect waning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459" cy="3222868"/>
                    </a:xfrm>
                    <a:prstGeom prst="rect">
                      <a:avLst/>
                    </a:prstGeom>
                    <a:noFill/>
                  </pic:spPr>
                </pic:pic>
              </a:graphicData>
            </a:graphic>
          </wp:inline>
        </w:drawing>
      </w:r>
    </w:p>
    <w:p w14:paraId="06E824BE" w14:textId="02F87858" w:rsidR="001C79E4" w:rsidRPr="00007450" w:rsidRDefault="001C79E4" w:rsidP="00864C4B">
      <w:pPr>
        <w:pStyle w:val="TableFigureFooter"/>
      </w:pPr>
      <w:r w:rsidRPr="00007450">
        <w:t xml:space="preserve">Source: Figure constructed during the evaluation using “Kisqali (ribociclib) - eBC N0N1 - CEA” Excel workbook. </w:t>
      </w:r>
    </w:p>
    <w:p w14:paraId="12D6399C" w14:textId="77777777" w:rsidR="001C79E4" w:rsidRDefault="001C79E4" w:rsidP="00864C4B">
      <w:pPr>
        <w:pStyle w:val="TableFigureFooter"/>
      </w:pPr>
      <w:r w:rsidRPr="00007450">
        <w:t>ET = endocrine therapy; iDFS = invasion disease-free survival; RIB = ribociclib</w:t>
      </w:r>
    </w:p>
    <w:p w14:paraId="72E7FC6D" w14:textId="289B55BC" w:rsidR="005F73CE" w:rsidRPr="00CB7DEC" w:rsidRDefault="005F73CE" w:rsidP="00864C4B">
      <w:pPr>
        <w:pStyle w:val="TableFigureFooter"/>
        <w:rPr>
          <w:i/>
          <w:iCs/>
        </w:rPr>
      </w:pPr>
      <w:r w:rsidRPr="00CB7DEC">
        <w:rPr>
          <w:i/>
          <w:iCs/>
        </w:rPr>
        <w:t xml:space="preserve">Note that the results presented in Figure </w:t>
      </w:r>
      <w:r w:rsidR="00DB2368" w:rsidRPr="00CB7DEC">
        <w:rPr>
          <w:i/>
          <w:iCs/>
        </w:rPr>
        <w:t>4</w:t>
      </w:r>
      <w:r w:rsidRPr="00CB7DEC">
        <w:rPr>
          <w:i/>
          <w:iCs/>
        </w:rPr>
        <w:t xml:space="preserve"> are derived from ad-hoc analyses conducted by the applicant specifically for the purposes of informing the PBAC consideration. These analyses were not part of the pre-specified statistical plan.</w:t>
      </w:r>
      <w:r w:rsidR="004A2F0E">
        <w:rPr>
          <w:i/>
          <w:iCs/>
        </w:rPr>
        <w:t xml:space="preserve"> </w:t>
      </w:r>
      <w:r w:rsidRPr="00CB7DEC">
        <w:rPr>
          <w:i/>
          <w:iCs/>
        </w:rPr>
        <w:t>Interpretation of the results and their application should therefore be limited to seeking to understand the basis for the PBAC outcome and should not be used for any other purpose.</w:t>
      </w:r>
    </w:p>
    <w:p w14:paraId="3F6CCC12" w14:textId="223D4F5E" w:rsidR="001C79E4" w:rsidRPr="00007450" w:rsidRDefault="001C79E4" w:rsidP="00864C4B">
      <w:pPr>
        <w:pStyle w:val="3-BodyText"/>
      </w:pPr>
      <w:r w:rsidRPr="00007450">
        <w:t>The submission nominated a 30-year time horizon in the base case analysis. The submission considered this to be an appropriate time horizon as it was aligned with that recommended by the PBAC for abemaciclib for eBC (para</w:t>
      </w:r>
      <w:r w:rsidR="006F23C0" w:rsidRPr="00007450">
        <w:t>.</w:t>
      </w:r>
      <w:r w:rsidRPr="00007450">
        <w:t xml:space="preserve"> 7.13, abemaciclib PSD, March 2023 PBAC meeting). The PBAC previously considered that a 20-year time horizon would be more reasonable for the abemaciclib model, however, the 30-year time horizon would be reasonable in the context of a more conservative treatment waning (4 to 7 years) and older age at model entry (61.4 years) (para</w:t>
      </w:r>
      <w:r w:rsidR="006F23C0" w:rsidRPr="00007450">
        <w:t>.</w:t>
      </w:r>
      <w:r w:rsidRPr="00007450">
        <w:t xml:space="preserve"> 6.37, abemaciclib PSD, November 2023 PBAC </w:t>
      </w:r>
      <w:r w:rsidR="00F8771C" w:rsidRPr="00007450">
        <w:t>meeting</w:t>
      </w:r>
      <w:r w:rsidRPr="00007450">
        <w:t xml:space="preserve">). As previous discussed, the ribociclib model assumed an optimistic waning assumption and a younger age of the model population, therefore, an extended time horizon of 30 years was not </w:t>
      </w:r>
      <w:r w:rsidR="00794319" w:rsidRPr="00007450">
        <w:t>consistent</w:t>
      </w:r>
      <w:r w:rsidRPr="00007450">
        <w:t xml:space="preserve"> with previous PBAC advice. </w:t>
      </w:r>
      <w:r w:rsidR="00D75B4A" w:rsidRPr="00007450">
        <w:t xml:space="preserve">The PSCR </w:t>
      </w:r>
      <w:r w:rsidR="00B84FBB" w:rsidRPr="00007450">
        <w:t>stated that given the</w:t>
      </w:r>
      <w:r w:rsidR="009E6EA6" w:rsidRPr="00007450">
        <w:t xml:space="preserve"> generally</w:t>
      </w:r>
      <w:r w:rsidR="00B84FBB" w:rsidRPr="00007450">
        <w:t xml:space="preserve"> favourable </w:t>
      </w:r>
      <w:r w:rsidR="00D75B4A" w:rsidRPr="00007450">
        <w:t xml:space="preserve">prognosis of patients with eBC and the need to capture the long-term benefit of adjuvant treatment with ribociclib + ET and ET alone on disease recurrence, a 30-year time horizon was appropriate and previously supported by the PBAC. </w:t>
      </w:r>
      <w:r w:rsidR="00773F97" w:rsidRPr="00007450">
        <w:t>While t</w:t>
      </w:r>
      <w:r w:rsidR="00B76467" w:rsidRPr="00007450">
        <w:t xml:space="preserve">he </w:t>
      </w:r>
      <w:r w:rsidR="006850A7" w:rsidRPr="00007450">
        <w:t xml:space="preserve">ESC agreed </w:t>
      </w:r>
      <w:r w:rsidR="001B67D6" w:rsidRPr="00007450">
        <w:t>in principle</w:t>
      </w:r>
      <w:r w:rsidR="009E6EA6" w:rsidRPr="00007450">
        <w:t>, a</w:t>
      </w:r>
      <w:r w:rsidR="00652F44" w:rsidRPr="00007450">
        <w:t xml:space="preserve"> time horizon </w:t>
      </w:r>
      <w:r w:rsidR="009E6EA6" w:rsidRPr="00007450">
        <w:t>should</w:t>
      </w:r>
      <w:r w:rsidR="00B746CB" w:rsidRPr="00007450">
        <w:t xml:space="preserve"> </w:t>
      </w:r>
      <w:r w:rsidR="00C75C6B" w:rsidRPr="00007450">
        <w:t xml:space="preserve">capture </w:t>
      </w:r>
      <w:r w:rsidR="000D273A" w:rsidRPr="00007450">
        <w:t>all</w:t>
      </w:r>
      <w:r w:rsidR="00652F44" w:rsidRPr="00007450">
        <w:t xml:space="preserve"> costs and outcomes</w:t>
      </w:r>
      <w:r w:rsidR="00C75C6B" w:rsidRPr="00007450">
        <w:t xml:space="preserve"> </w:t>
      </w:r>
      <w:r w:rsidR="00652F44" w:rsidRPr="00007450">
        <w:t>in alignment with the disease’s natural cou</w:t>
      </w:r>
      <w:r w:rsidR="00B76467" w:rsidRPr="00007450">
        <w:t>r</w:t>
      </w:r>
      <w:r w:rsidR="00652F44" w:rsidRPr="00007450">
        <w:t>se</w:t>
      </w:r>
      <w:r w:rsidR="00C75C6B" w:rsidRPr="00007450">
        <w:t xml:space="preserve"> but </w:t>
      </w:r>
      <w:r w:rsidR="001B67D6" w:rsidRPr="00007450">
        <w:t xml:space="preserve">noted that it </w:t>
      </w:r>
      <w:r w:rsidR="00C75C6B" w:rsidRPr="00007450">
        <w:t xml:space="preserve">should also </w:t>
      </w:r>
      <w:r w:rsidR="00A031F9" w:rsidRPr="00007450">
        <w:t>consider the</w:t>
      </w:r>
      <w:r w:rsidR="00C75C6B" w:rsidRPr="00007450">
        <w:t xml:space="preserve"> decision context</w:t>
      </w:r>
      <w:r w:rsidR="0029693E" w:rsidRPr="00007450">
        <w:t>.</w:t>
      </w:r>
      <w:r w:rsidR="006850A7" w:rsidRPr="00007450">
        <w:t xml:space="preserve"> </w:t>
      </w:r>
      <w:r w:rsidR="00B66F7F" w:rsidRPr="00007450">
        <w:t>S</w:t>
      </w:r>
      <w:r w:rsidR="00F8074A" w:rsidRPr="00007450">
        <w:t>hort</w:t>
      </w:r>
      <w:r w:rsidR="00223E17" w:rsidRPr="00007450">
        <w:t>er</w:t>
      </w:r>
      <w:r w:rsidR="00F8074A" w:rsidRPr="00007450">
        <w:t xml:space="preserve"> time horizon</w:t>
      </w:r>
      <w:r w:rsidR="00CE18F0" w:rsidRPr="00007450">
        <w:t>s</w:t>
      </w:r>
      <w:r w:rsidR="00F8074A" w:rsidRPr="00007450">
        <w:t xml:space="preserve"> may be preferred </w:t>
      </w:r>
      <w:r w:rsidR="00B66F7F" w:rsidRPr="00007450">
        <w:t xml:space="preserve">for decision making </w:t>
      </w:r>
      <w:r w:rsidR="00F8074A" w:rsidRPr="00007450">
        <w:t xml:space="preserve">when </w:t>
      </w:r>
      <w:r w:rsidR="004B4811" w:rsidRPr="00007450">
        <w:t xml:space="preserve">the </w:t>
      </w:r>
      <w:r w:rsidR="00F8074A" w:rsidRPr="00007450">
        <w:t>long</w:t>
      </w:r>
      <w:r w:rsidR="00912388" w:rsidRPr="00007450">
        <w:t>-</w:t>
      </w:r>
      <w:r w:rsidR="00F8074A" w:rsidRPr="00007450">
        <w:t xml:space="preserve">term </w:t>
      </w:r>
      <w:r w:rsidR="004B4811" w:rsidRPr="00007450">
        <w:t xml:space="preserve">projections of </w:t>
      </w:r>
      <w:r w:rsidR="00F8074A" w:rsidRPr="00007450">
        <w:t xml:space="preserve">model parameters are highly uncertain. </w:t>
      </w:r>
    </w:p>
    <w:p w14:paraId="10D3AB73" w14:textId="08824CAC" w:rsidR="001C79E4" w:rsidRPr="00007450" w:rsidRDefault="008A1373" w:rsidP="00864C4B">
      <w:pPr>
        <w:pStyle w:val="3-BodyText"/>
      </w:pPr>
      <w:r w:rsidRPr="00007450">
        <w:t xml:space="preserve">All patients who experienced a DR in a cycle transitioned to one of two absorbing DR health substates: DR ET-sensitive and DR ET-resistant, with one-off costs and health </w:t>
      </w:r>
      <w:r w:rsidRPr="00007450">
        <w:lastRenderedPageBreak/>
        <w:t xml:space="preserve">outcomes applied on transitioning depending on whether the patients entered the DR ET-sensitive or DR ET-resistant substate. The </w:t>
      </w:r>
      <w:r w:rsidR="00F166F4" w:rsidRPr="00007450">
        <w:t xml:space="preserve">applied </w:t>
      </w:r>
      <w:r w:rsidR="001C79E4" w:rsidRPr="00007450">
        <w:t>discounted cost and outcome payoffs</w:t>
      </w:r>
      <w:r w:rsidR="00F166F4" w:rsidRPr="00007450">
        <w:t xml:space="preserve"> </w:t>
      </w:r>
      <w:r w:rsidR="001C79E4" w:rsidRPr="00007450">
        <w:t>were estimated from embedded partition</w:t>
      </w:r>
      <w:r w:rsidR="00567648" w:rsidRPr="00007450">
        <w:t>ed</w:t>
      </w:r>
      <w:r w:rsidR="001C79E4" w:rsidRPr="00007450">
        <w:t xml:space="preserve"> survival models (PSMs). The progression-free survival (PFS), OS and time to treatment discontinuation (TTD) curves for ribociclib + NSAI for the treatment of ET-sensitive DR were based on the MONALEESA-2 trial, which formed the basis of the PBS listing for ribociclib + NSAI for first-line treatment of patients with HR</w:t>
      </w:r>
      <w:r w:rsidR="000A4F9A" w:rsidRPr="00007450">
        <w:t>+</w:t>
      </w:r>
      <w:r w:rsidR="001C79E4" w:rsidRPr="00007450">
        <w:t>, HER2</w:t>
      </w:r>
      <w:r w:rsidR="000A4F9A" w:rsidRPr="00007450">
        <w:t>-</w:t>
      </w:r>
      <w:r w:rsidR="001C79E4" w:rsidRPr="00007450">
        <w:t xml:space="preserve"> advanced breast cancer (ribociclib PSDs, July 2017, November 2017, March 2018 PBAC meetings). The submission further assumed identical PFS, OS and TTD estimates for ribociclib + fulvestrant in the DR ET-resistant PSM to those for ribociclib + NSAI in the DR ET-sensitive PSM, as the PBAC previously </w:t>
      </w:r>
      <w:r w:rsidR="00A42BF4">
        <w:t>accepted</w:t>
      </w:r>
      <w:r w:rsidR="00A42BF4" w:rsidRPr="00007450">
        <w:t xml:space="preserve"> </w:t>
      </w:r>
      <w:r w:rsidR="001C79E4" w:rsidRPr="00007450">
        <w:t xml:space="preserve">that ribociclib + fulvestrant is non-inferior to ribociclib + NSAI in terms of PFS and safety, based on the clinical evidence from the treatment-naïve subgroup in MONALEESA-3 (for ribociclib + fulvestrant) and the MONALEESA-2 trial (for ribociclib + NSAI) in the first-line advanced setting (ribociclib PSD, July 2020 PBAC meeting). The survival curves of other metastatic breast cancer treatments were estimated by applying hazard ratios, which were sourced from published studies and previous PBAC considerations, to the survival curves for ribociclib + NSAI/fulvestrant. Results of the external metastatic breast cancer studies may not be applicable to the economic model. For example, the treatment-naïve subgroup in MONALEESA-3 </w:t>
      </w:r>
      <w:r w:rsidR="00EC5041">
        <w:t>does not</w:t>
      </w:r>
      <w:r w:rsidR="00EC5041" w:rsidRPr="00007450">
        <w:t xml:space="preserve"> </w:t>
      </w:r>
      <w:r w:rsidR="001C79E4" w:rsidRPr="00007450">
        <w:t>represent patients with ET-resistant DR as defined in the submission, as the vast majority (78.5% [</w:t>
      </w:r>
      <w:r w:rsidR="001C79E4" w:rsidRPr="004874C4">
        <w:t>237 out of 302</w:t>
      </w:r>
      <w:r w:rsidR="001C79E4" w:rsidRPr="00007450">
        <w:t xml:space="preserve">]) of patients in this MONALEESA-3 subgroup were first-line ET-sensitive, i.e. de novo or patients who had relapsed </w:t>
      </w:r>
      <w:r w:rsidR="001C79E4" w:rsidRPr="00007450">
        <w:rPr>
          <w:rFonts w:cstheme="minorHAnsi"/>
        </w:rPr>
        <w:t>≥</w:t>
      </w:r>
      <w:r w:rsidR="001C79E4" w:rsidRPr="00007450">
        <w:t xml:space="preserve"> 12 months after receiving ET in the (neo)adjuvant setting (Table 3, ribociclib PSD, July 2020 PBAC meeting). This is likely to result in an overestimate of survival associated with ribociclib + fulvestrant in the DR ET-resistant PSM.</w:t>
      </w:r>
      <w:r w:rsidR="00666D9E" w:rsidRPr="00007450">
        <w:t xml:space="preserve"> </w:t>
      </w:r>
    </w:p>
    <w:p w14:paraId="23651141" w14:textId="63BFC7B5" w:rsidR="001C79E4" w:rsidRPr="00007450" w:rsidRDefault="001C79E4" w:rsidP="00864C4B">
      <w:pPr>
        <w:pStyle w:val="3-BodyText"/>
      </w:pPr>
      <w:r w:rsidRPr="00007450">
        <w:t>Costs and outcomes attributed to DRs were assumed to vary by the treatment received in the adjuvant setting, as the submission assumed that use of a CDK4/6 inhibitor in the adjuvant setting would preclude its use in the metastatic setting. This</w:t>
      </w:r>
      <w:r w:rsidR="00A63BCD" w:rsidRPr="00007450">
        <w:t>, although</w:t>
      </w:r>
      <w:r w:rsidRPr="00007450">
        <w:t xml:space="preserve"> </w:t>
      </w:r>
      <w:r w:rsidR="00A63BCD" w:rsidRPr="00007450">
        <w:t xml:space="preserve">aligns with </w:t>
      </w:r>
      <w:r w:rsidRPr="00007450">
        <w:t>current</w:t>
      </w:r>
      <w:r w:rsidR="00406745" w:rsidRPr="00007450">
        <w:t xml:space="preserve"> PBS </w:t>
      </w:r>
      <w:r w:rsidRPr="00007450">
        <w:t>CDK4/6 once per lifetime restrictions</w:t>
      </w:r>
      <w:r w:rsidR="00A63BCD" w:rsidRPr="00007450">
        <w:t xml:space="preserve">, does </w:t>
      </w:r>
      <w:r w:rsidR="00A31C74" w:rsidRPr="00007450">
        <w:t xml:space="preserve">not </w:t>
      </w:r>
      <w:r w:rsidR="00A63BCD" w:rsidRPr="00007450">
        <w:t>reflect the requested restriction changes in the submission</w:t>
      </w:r>
      <w:r w:rsidRPr="00007450">
        <w:t xml:space="preserve">. </w:t>
      </w:r>
      <w:r w:rsidR="00A63BCD" w:rsidRPr="00007450">
        <w:t>In addition</w:t>
      </w:r>
      <w:r w:rsidR="00444FCA" w:rsidRPr="00007450">
        <w:t xml:space="preserve">, this </w:t>
      </w:r>
      <w:r w:rsidRPr="00007450">
        <w:t xml:space="preserve">was not </w:t>
      </w:r>
      <w:r w:rsidR="00444FCA" w:rsidRPr="00007450">
        <w:t>consistent</w:t>
      </w:r>
      <w:r w:rsidRPr="00007450">
        <w:t xml:space="preserve"> with previous PBAC consideration. </w:t>
      </w:r>
      <w:r w:rsidR="00444FCA" w:rsidRPr="00007450">
        <w:t>T</w:t>
      </w:r>
      <w:r w:rsidRPr="00007450">
        <w:t xml:space="preserve">he PBAC </w:t>
      </w:r>
      <w:r w:rsidR="00444FCA" w:rsidRPr="00007450">
        <w:t xml:space="preserve">previously </w:t>
      </w:r>
      <w:r w:rsidRPr="00007450">
        <w:t xml:space="preserve">considered that </w:t>
      </w:r>
      <w:r w:rsidR="0095396D" w:rsidRPr="00007450">
        <w:t xml:space="preserve">for metastatic recurrence, </w:t>
      </w:r>
      <w:r w:rsidRPr="00007450">
        <w:t xml:space="preserve">some CDK4/6 inhibitor </w:t>
      </w:r>
      <w:r w:rsidR="00E94350" w:rsidRPr="00007450">
        <w:t xml:space="preserve">re-challenge </w:t>
      </w:r>
      <w:r w:rsidRPr="00007450">
        <w:t>would be likely post adjuvant abemaciclib treatment, but it may also be reasonable to assume differences in use across model arms (para</w:t>
      </w:r>
      <w:r w:rsidR="006F23C0" w:rsidRPr="00007450">
        <w:t>.</w:t>
      </w:r>
      <w:r w:rsidRPr="00007450">
        <w:t xml:space="preserve"> 6.33, abemaciclib PSD, March 2022 PBAC meeting; para</w:t>
      </w:r>
      <w:r w:rsidR="006F23C0" w:rsidRPr="00007450">
        <w:t>.</w:t>
      </w:r>
      <w:r w:rsidRPr="00007450">
        <w:t xml:space="preserve"> 6.39, abemaciclib PSD, March 2023 PBAC meeting). The impact of re-challenging CDK4/6 inhibitors on the ICER cannot be reliably estimated, given the lack of clinical efficacy data to model associated health outcomes.</w:t>
      </w:r>
    </w:p>
    <w:p w14:paraId="5E324689" w14:textId="6E0D4530" w:rsidR="001C79E4" w:rsidRPr="00007450" w:rsidRDefault="001C79E4" w:rsidP="00864C4B">
      <w:pPr>
        <w:pStyle w:val="3-BodyText"/>
      </w:pPr>
      <w:r w:rsidRPr="00007450">
        <w:t xml:space="preserve">The modelled ICERs from the DR ET-resistant and ET-sensitive PSMs were calculated during the evaluation and are presented in </w:t>
      </w:r>
      <w:r w:rsidRPr="00007450">
        <w:fldChar w:fldCharType="begin"/>
      </w:r>
      <w:r w:rsidRPr="00007450">
        <w:instrText xml:space="preserve"> REF _Ref195367106 \h </w:instrText>
      </w:r>
      <w:r w:rsidR="00165F88" w:rsidRPr="00007450">
        <w:instrText xml:space="preserve"> \* MERGEFORMAT </w:instrText>
      </w:r>
      <w:r w:rsidRPr="00007450">
        <w:fldChar w:fldCharType="separate"/>
      </w:r>
      <w:r w:rsidR="00B36442" w:rsidRPr="00007450">
        <w:t xml:space="preserve">Table </w:t>
      </w:r>
      <w:r w:rsidR="00B36442">
        <w:rPr>
          <w:noProof/>
        </w:rPr>
        <w:t>10</w:t>
      </w:r>
      <w:r w:rsidRPr="00007450">
        <w:fldChar w:fldCharType="end"/>
      </w:r>
      <w:r w:rsidR="00DC4E14" w:rsidRPr="00007450">
        <w:t>, based</w:t>
      </w:r>
      <w:r w:rsidR="003F2E6A" w:rsidRPr="00007450">
        <w:t xml:space="preserve"> on </w:t>
      </w:r>
      <w:r w:rsidR="003D46FA" w:rsidRPr="00007450">
        <w:t>a discount assumption regarding the prices for abemaciclib and palbociclib</w:t>
      </w:r>
      <w:r w:rsidR="00A4394F" w:rsidRPr="00007450">
        <w:t>.</w:t>
      </w:r>
      <w:r w:rsidR="003F2E6A" w:rsidRPr="00007450">
        <w:t xml:space="preserve"> </w:t>
      </w:r>
      <w:r w:rsidRPr="00007450">
        <w:t>The results of DR PSMs reflect a mixture of treatment options for the treatment of advanced breast cancer, of which CDK4/6 inhibitors were used in around one-third of patients in the first-line DR ET-resistant setting and in around three-fourths of patients in the first-line DR ET-</w:t>
      </w:r>
      <w:r w:rsidRPr="00007450">
        <w:lastRenderedPageBreak/>
        <w:t>sensitive setting following adjuvant ET alone, but no patients were retreated with CDK4/6 inhibitors for the treatment of DR following ribociclib adjuvant therapy. Of note, the ICER of CDK4/6 inhibitor + ET (NSAI or fulvestrant) versus ET alone for the treatment of metastatic breast cancer as modelled in the economic evaluation varied between $</w:t>
      </w:r>
      <w:r w:rsidR="005D7DBE">
        <w:t>55,000 to &lt; $75,000</w:t>
      </w:r>
      <w:r w:rsidRPr="00007450">
        <w:t>/quality-adjusted life year (QALY) to $</w:t>
      </w:r>
      <w:r w:rsidR="005D7DBE">
        <w:t xml:space="preserve">75,000 to </w:t>
      </w:r>
      <w:r w:rsidR="00550371">
        <w:br/>
      </w:r>
      <w:r w:rsidR="005D7DBE">
        <w:t>&lt; $95,000</w:t>
      </w:r>
      <w:r w:rsidRPr="00007450">
        <w:t>/QALY, higher than what the PBAC had previously considered cost-effective ($15,000-$45,000) (para</w:t>
      </w:r>
      <w:r w:rsidR="006F23C0" w:rsidRPr="00007450">
        <w:t>.</w:t>
      </w:r>
      <w:r w:rsidRPr="00007450">
        <w:t xml:space="preserve"> 6.10, palbociclib PSD, March 2018 PBAC meeting). The incorporation of the less cost-effective treatment for advanced breast cancer in the comparator arm favoured ribociclib adjuvant therapy.</w:t>
      </w:r>
    </w:p>
    <w:p w14:paraId="79ACFD5D" w14:textId="0788FE70" w:rsidR="00A31C74" w:rsidRPr="00007450" w:rsidRDefault="00A31C74" w:rsidP="00864C4B">
      <w:pPr>
        <w:pStyle w:val="3-BodyText"/>
      </w:pPr>
      <w:r w:rsidRPr="00007450">
        <w:t xml:space="preserve">Of note, the submission erroneously applied the undiscounted, instead of discounted, cost and outcome payoffs to patients transitioning into the DR ET-resistant substate (Cells H16:I669, 'ET-Resistant PSM' spreadsheet, “Kisqali (ribociclib) - eBC N0N1 - CEA” Excel workbook). The results </w:t>
      </w:r>
      <w:r w:rsidR="00525205" w:rsidRPr="00007450">
        <w:t>herein</w:t>
      </w:r>
      <w:r w:rsidRPr="00007450">
        <w:t xml:space="preserve"> </w:t>
      </w:r>
      <w:r w:rsidR="00B023BE" w:rsidRPr="00007450">
        <w:t xml:space="preserve">are </w:t>
      </w:r>
      <w:r w:rsidRPr="00007450">
        <w:t xml:space="preserve">revised </w:t>
      </w:r>
      <w:r w:rsidR="00B023BE" w:rsidRPr="00007450">
        <w:t xml:space="preserve">and correct for </w:t>
      </w:r>
      <w:r w:rsidRPr="00007450">
        <w:t>this mistake.</w:t>
      </w:r>
      <w:r w:rsidR="004A2F0E">
        <w:t xml:space="preserve"> </w:t>
      </w:r>
    </w:p>
    <w:p w14:paraId="49C8D30E" w14:textId="05C64C08" w:rsidR="001C79E4" w:rsidRPr="00007450" w:rsidRDefault="001C79E4" w:rsidP="00864C4B">
      <w:pPr>
        <w:pStyle w:val="Caption"/>
      </w:pPr>
      <w:bookmarkStart w:id="63" w:name="_Ref195367106"/>
      <w:r w:rsidRPr="00007450">
        <w:t xml:space="preserve">Table </w:t>
      </w:r>
      <w:r w:rsidR="001C7776">
        <w:fldChar w:fldCharType="begin"/>
      </w:r>
      <w:r w:rsidR="001C7776">
        <w:instrText xml:space="preserve"> SEQ Table \* ARABIC </w:instrText>
      </w:r>
      <w:r w:rsidR="001C7776">
        <w:fldChar w:fldCharType="separate"/>
      </w:r>
      <w:r w:rsidR="00B36442">
        <w:rPr>
          <w:noProof/>
        </w:rPr>
        <w:t>10</w:t>
      </w:r>
      <w:r w:rsidR="001C7776">
        <w:rPr>
          <w:noProof/>
        </w:rPr>
        <w:fldChar w:fldCharType="end"/>
      </w:r>
      <w:bookmarkEnd w:id="63"/>
      <w:r w:rsidRPr="00007450">
        <w:t>: Incremental cost-effectiveness of modelled DR PSMs, with and without adjuvant ribociclib (discounted)</w:t>
      </w:r>
    </w:p>
    <w:tbl>
      <w:tblPr>
        <w:tblStyle w:val="TableGrid"/>
        <w:tblW w:w="5000" w:type="pct"/>
        <w:tblLook w:val="04A0" w:firstRow="1" w:lastRow="0" w:firstColumn="1" w:lastColumn="0" w:noHBand="0" w:noVBand="1"/>
        <w:tblCaption w:val="Table 10: Incremental cost-effectiveness of modelled DR PSMs, with and without adjuvant ribociclib (discounted)"/>
      </w:tblPr>
      <w:tblGrid>
        <w:gridCol w:w="3675"/>
        <w:gridCol w:w="1787"/>
        <w:gridCol w:w="1782"/>
        <w:gridCol w:w="1773"/>
      </w:tblGrid>
      <w:tr w:rsidR="001C79E4" w:rsidRPr="00007450" w14:paraId="5F22BE1F" w14:textId="77777777">
        <w:tc>
          <w:tcPr>
            <w:tcW w:w="2083" w:type="pct"/>
            <w:tcBorders>
              <w:bottom w:val="single" w:sz="4" w:space="0" w:color="auto"/>
            </w:tcBorders>
            <w:noWrap/>
            <w:hideMark/>
          </w:tcPr>
          <w:p w14:paraId="38559F65" w14:textId="77777777" w:rsidR="001C79E4" w:rsidRPr="00007450" w:rsidRDefault="001C79E4" w:rsidP="00864C4B">
            <w:pPr>
              <w:pStyle w:val="TableText0"/>
            </w:pPr>
          </w:p>
        </w:tc>
        <w:tc>
          <w:tcPr>
            <w:tcW w:w="976" w:type="pct"/>
            <w:tcBorders>
              <w:bottom w:val="single" w:sz="4" w:space="0" w:color="auto"/>
            </w:tcBorders>
            <w:noWrap/>
            <w:hideMark/>
          </w:tcPr>
          <w:p w14:paraId="47D0C154" w14:textId="77777777" w:rsidR="001C79E4" w:rsidRPr="00007450" w:rsidRDefault="001C79E4" w:rsidP="00864C4B">
            <w:pPr>
              <w:pStyle w:val="TableText0"/>
              <w:jc w:val="center"/>
              <w:rPr>
                <w:b/>
              </w:rPr>
            </w:pPr>
            <w:r w:rsidRPr="00007450">
              <w:rPr>
                <w:b/>
              </w:rPr>
              <w:t>ET</w:t>
            </w:r>
          </w:p>
        </w:tc>
        <w:tc>
          <w:tcPr>
            <w:tcW w:w="973" w:type="pct"/>
            <w:tcBorders>
              <w:bottom w:val="single" w:sz="4" w:space="0" w:color="auto"/>
            </w:tcBorders>
            <w:noWrap/>
            <w:hideMark/>
          </w:tcPr>
          <w:p w14:paraId="2E9592FA" w14:textId="77777777" w:rsidR="001C79E4" w:rsidRPr="00007450" w:rsidRDefault="001C79E4" w:rsidP="00864C4B">
            <w:pPr>
              <w:pStyle w:val="TableText0"/>
              <w:jc w:val="center"/>
              <w:rPr>
                <w:b/>
              </w:rPr>
            </w:pPr>
            <w:r w:rsidRPr="00007450">
              <w:rPr>
                <w:b/>
              </w:rPr>
              <w:t>Ribociclib + ET</w:t>
            </w:r>
          </w:p>
        </w:tc>
        <w:tc>
          <w:tcPr>
            <w:tcW w:w="968" w:type="pct"/>
            <w:tcBorders>
              <w:bottom w:val="single" w:sz="4" w:space="0" w:color="auto"/>
            </w:tcBorders>
            <w:noWrap/>
            <w:hideMark/>
          </w:tcPr>
          <w:p w14:paraId="3B344408" w14:textId="77777777" w:rsidR="001C79E4" w:rsidRPr="00007450" w:rsidRDefault="001C79E4" w:rsidP="00864C4B">
            <w:pPr>
              <w:pStyle w:val="TableText0"/>
              <w:jc w:val="center"/>
              <w:rPr>
                <w:b/>
              </w:rPr>
            </w:pPr>
            <w:r w:rsidRPr="00007450">
              <w:rPr>
                <w:b/>
              </w:rPr>
              <w:t>Increment</w:t>
            </w:r>
          </w:p>
        </w:tc>
      </w:tr>
      <w:tr w:rsidR="001C79E4" w:rsidRPr="00007450" w14:paraId="366E403C" w14:textId="77777777">
        <w:tc>
          <w:tcPr>
            <w:tcW w:w="5000" w:type="pct"/>
            <w:gridSpan w:val="4"/>
            <w:noWrap/>
            <w:hideMark/>
          </w:tcPr>
          <w:p w14:paraId="52E49596" w14:textId="77777777" w:rsidR="001C79E4" w:rsidRPr="00007450" w:rsidRDefault="001C79E4" w:rsidP="00864C4B">
            <w:pPr>
              <w:pStyle w:val="TableText0"/>
              <w:rPr>
                <w:b/>
              </w:rPr>
            </w:pPr>
            <w:r w:rsidRPr="00007450">
              <w:rPr>
                <w:b/>
              </w:rPr>
              <w:t xml:space="preserve">ET – resistant </w:t>
            </w:r>
          </w:p>
          <w:p w14:paraId="264B6BAB" w14:textId="0597CBCD" w:rsidR="001C79E4" w:rsidRPr="00007450" w:rsidRDefault="001C79E4" w:rsidP="00864C4B">
            <w:pPr>
              <w:pStyle w:val="TableText0"/>
            </w:pPr>
            <w:r w:rsidRPr="00007450">
              <w:t xml:space="preserve">Assuming 34.8% use of CDK4/6 inhibitor + fulvestrant after adjuvant ET, the remaining 65.2% in the ET arm and 100% in the ribociclib + ET arm using a mix therapies (fulvestrant, </w:t>
            </w:r>
            <w:r w:rsidR="0091776A" w:rsidRPr="00007450">
              <w:t xml:space="preserve">everolimus </w:t>
            </w:r>
            <w:r w:rsidRPr="00007450">
              <w:t xml:space="preserve">+ exemestane, exemestane, tamoxifen and capecitabine) for the treatment of DR </w:t>
            </w:r>
          </w:p>
        </w:tc>
      </w:tr>
      <w:tr w:rsidR="001C79E4" w:rsidRPr="00007450" w14:paraId="643AB99F" w14:textId="77777777">
        <w:tc>
          <w:tcPr>
            <w:tcW w:w="2083" w:type="pct"/>
            <w:tcBorders>
              <w:bottom w:val="single" w:sz="4" w:space="0" w:color="auto"/>
            </w:tcBorders>
            <w:noWrap/>
            <w:hideMark/>
          </w:tcPr>
          <w:p w14:paraId="3EA311B8" w14:textId="77777777" w:rsidR="001C79E4" w:rsidRPr="00007450" w:rsidRDefault="001C79E4" w:rsidP="00864C4B">
            <w:pPr>
              <w:pStyle w:val="TableText0"/>
            </w:pPr>
            <w:r w:rsidRPr="00007450">
              <w:t>Costs</w:t>
            </w:r>
          </w:p>
        </w:tc>
        <w:tc>
          <w:tcPr>
            <w:tcW w:w="976" w:type="pct"/>
            <w:tcBorders>
              <w:bottom w:val="single" w:sz="4" w:space="0" w:color="auto"/>
            </w:tcBorders>
            <w:noWrap/>
          </w:tcPr>
          <w:p w14:paraId="10EB841B" w14:textId="25627526" w:rsidR="001C79E4" w:rsidRPr="00007450" w:rsidRDefault="001C79E4" w:rsidP="00864C4B">
            <w:pPr>
              <w:pStyle w:val="TableText0"/>
              <w:jc w:val="right"/>
            </w:pPr>
            <w:r w:rsidRPr="00007450">
              <w:t>$</w:t>
            </w:r>
            <w:r w:rsidR="00E44B9A" w:rsidRPr="00E44B9A">
              <w:rPr>
                <w:color w:val="000000"/>
                <w:spacing w:val="53"/>
                <w:shd w:val="solid" w:color="000000" w:fill="000000"/>
                <w:fitText w:val="330" w:id="-628909555"/>
                <w14:textFill>
                  <w14:solidFill>
                    <w14:srgbClr w14:val="000000">
                      <w14:alpha w14:val="100000"/>
                    </w14:srgbClr>
                  </w14:solidFill>
                </w14:textFill>
              </w:rPr>
              <w:t>|||</w:t>
            </w:r>
            <w:r w:rsidR="00E44B9A" w:rsidRPr="00E44B9A">
              <w:rPr>
                <w:color w:val="000000"/>
                <w:spacing w:val="1"/>
                <w:shd w:val="solid" w:color="000000" w:fill="000000"/>
                <w:fitText w:val="330" w:id="-628909555"/>
                <w14:textFill>
                  <w14:solidFill>
                    <w14:srgbClr w14:val="000000">
                      <w14:alpha w14:val="100000"/>
                    </w14:srgbClr>
                  </w14:solidFill>
                </w14:textFill>
              </w:rPr>
              <w:t>|</w:t>
            </w:r>
            <w:r w:rsidRPr="00007450">
              <w:t xml:space="preserve"> </w:t>
            </w:r>
          </w:p>
        </w:tc>
        <w:tc>
          <w:tcPr>
            <w:tcW w:w="973" w:type="pct"/>
            <w:tcBorders>
              <w:bottom w:val="single" w:sz="4" w:space="0" w:color="auto"/>
            </w:tcBorders>
            <w:noWrap/>
          </w:tcPr>
          <w:p w14:paraId="3637C57E" w14:textId="7ED9CAE7" w:rsidR="001C79E4" w:rsidRPr="00007450" w:rsidRDefault="001C79E4" w:rsidP="00864C4B">
            <w:pPr>
              <w:pStyle w:val="TableText0"/>
              <w:jc w:val="right"/>
            </w:pPr>
            <w:r w:rsidRPr="00007450">
              <w:t>$</w:t>
            </w:r>
            <w:r w:rsidR="00E44B9A" w:rsidRPr="00E44B9A">
              <w:rPr>
                <w:color w:val="000000"/>
                <w:spacing w:val="48"/>
                <w:shd w:val="solid" w:color="000000" w:fill="000000"/>
                <w:fitText w:val="315" w:id="-628909554"/>
                <w14:textFill>
                  <w14:solidFill>
                    <w14:srgbClr w14:val="000000">
                      <w14:alpha w14:val="100000"/>
                    </w14:srgbClr>
                  </w14:solidFill>
                </w14:textFill>
              </w:rPr>
              <w:t>|||</w:t>
            </w:r>
            <w:r w:rsidR="00E44B9A" w:rsidRPr="00E44B9A">
              <w:rPr>
                <w:color w:val="000000"/>
                <w:spacing w:val="1"/>
                <w:shd w:val="solid" w:color="000000" w:fill="000000"/>
                <w:fitText w:val="315" w:id="-628909554"/>
                <w14:textFill>
                  <w14:solidFill>
                    <w14:srgbClr w14:val="000000">
                      <w14:alpha w14:val="100000"/>
                    </w14:srgbClr>
                  </w14:solidFill>
                </w14:textFill>
              </w:rPr>
              <w:t>|</w:t>
            </w:r>
          </w:p>
        </w:tc>
        <w:tc>
          <w:tcPr>
            <w:tcW w:w="968" w:type="pct"/>
            <w:tcBorders>
              <w:bottom w:val="single" w:sz="4" w:space="0" w:color="auto"/>
            </w:tcBorders>
            <w:noWrap/>
          </w:tcPr>
          <w:p w14:paraId="14A049C5" w14:textId="622D4F99" w:rsidR="001C79E4" w:rsidRPr="00007450" w:rsidRDefault="001C79E4" w:rsidP="00864C4B">
            <w:pPr>
              <w:pStyle w:val="TableText0"/>
              <w:jc w:val="right"/>
            </w:pPr>
            <w:r w:rsidRPr="00007450">
              <w:t>$</w:t>
            </w:r>
            <w:r w:rsidR="00E44B9A" w:rsidRPr="00E44B9A">
              <w:rPr>
                <w:color w:val="000000"/>
                <w:spacing w:val="53"/>
                <w:shd w:val="solid" w:color="000000" w:fill="000000"/>
                <w:fitText w:val="330" w:id="-628909553"/>
                <w14:textFill>
                  <w14:solidFill>
                    <w14:srgbClr w14:val="000000">
                      <w14:alpha w14:val="100000"/>
                    </w14:srgbClr>
                  </w14:solidFill>
                </w14:textFill>
              </w:rPr>
              <w:t>|||</w:t>
            </w:r>
            <w:r w:rsidR="00E44B9A" w:rsidRPr="00E44B9A">
              <w:rPr>
                <w:color w:val="000000"/>
                <w:spacing w:val="1"/>
                <w:shd w:val="solid" w:color="000000" w:fill="000000"/>
                <w:fitText w:val="330" w:id="-628909553"/>
                <w14:textFill>
                  <w14:solidFill>
                    <w14:srgbClr w14:val="000000">
                      <w14:alpha w14:val="100000"/>
                    </w14:srgbClr>
                  </w14:solidFill>
                </w14:textFill>
              </w:rPr>
              <w:t>|</w:t>
            </w:r>
          </w:p>
        </w:tc>
      </w:tr>
      <w:tr w:rsidR="001C79E4" w:rsidRPr="00007450" w14:paraId="12396D95" w14:textId="77777777">
        <w:tc>
          <w:tcPr>
            <w:tcW w:w="2083" w:type="pct"/>
            <w:tcBorders>
              <w:bottom w:val="single" w:sz="4" w:space="0" w:color="auto"/>
            </w:tcBorders>
            <w:noWrap/>
            <w:hideMark/>
          </w:tcPr>
          <w:p w14:paraId="3BEFE54C" w14:textId="77777777" w:rsidR="001C79E4" w:rsidRPr="00007450" w:rsidRDefault="001C79E4" w:rsidP="00864C4B">
            <w:pPr>
              <w:pStyle w:val="TableText0"/>
            </w:pPr>
            <w:r w:rsidRPr="00007450">
              <w:t>QALYs</w:t>
            </w:r>
          </w:p>
        </w:tc>
        <w:tc>
          <w:tcPr>
            <w:tcW w:w="976" w:type="pct"/>
            <w:tcBorders>
              <w:bottom w:val="single" w:sz="4" w:space="0" w:color="auto"/>
            </w:tcBorders>
            <w:noWrap/>
          </w:tcPr>
          <w:p w14:paraId="7D3C7AF5" w14:textId="77777777" w:rsidR="001C79E4" w:rsidRPr="00007450" w:rsidRDefault="001C79E4" w:rsidP="00864C4B">
            <w:pPr>
              <w:pStyle w:val="TableText0"/>
              <w:jc w:val="right"/>
            </w:pPr>
            <w:r w:rsidRPr="00007450">
              <w:t xml:space="preserve">3.65 </w:t>
            </w:r>
          </w:p>
        </w:tc>
        <w:tc>
          <w:tcPr>
            <w:tcW w:w="973" w:type="pct"/>
            <w:tcBorders>
              <w:bottom w:val="single" w:sz="4" w:space="0" w:color="auto"/>
            </w:tcBorders>
            <w:noWrap/>
          </w:tcPr>
          <w:p w14:paraId="14460DDB" w14:textId="77777777" w:rsidR="001C79E4" w:rsidRPr="00007450" w:rsidRDefault="001C79E4" w:rsidP="00864C4B">
            <w:pPr>
              <w:pStyle w:val="TableText0"/>
              <w:jc w:val="right"/>
            </w:pPr>
            <w:r w:rsidRPr="00007450">
              <w:t>3.41</w:t>
            </w:r>
          </w:p>
        </w:tc>
        <w:tc>
          <w:tcPr>
            <w:tcW w:w="968" w:type="pct"/>
            <w:tcBorders>
              <w:bottom w:val="single" w:sz="4" w:space="0" w:color="auto"/>
            </w:tcBorders>
            <w:noWrap/>
          </w:tcPr>
          <w:p w14:paraId="5E8E3FFB" w14:textId="77777777" w:rsidR="001C79E4" w:rsidRPr="00007450" w:rsidRDefault="001C79E4" w:rsidP="00864C4B">
            <w:pPr>
              <w:pStyle w:val="TableText0"/>
              <w:jc w:val="right"/>
            </w:pPr>
            <w:r w:rsidRPr="00007450">
              <w:t xml:space="preserve">0.24 </w:t>
            </w:r>
          </w:p>
        </w:tc>
      </w:tr>
      <w:tr w:rsidR="001C79E4" w:rsidRPr="00007450" w14:paraId="60E6EB23" w14:textId="77777777">
        <w:tc>
          <w:tcPr>
            <w:tcW w:w="2083" w:type="pct"/>
            <w:tcBorders>
              <w:bottom w:val="double" w:sz="4" w:space="0" w:color="auto"/>
              <w:right w:val="nil"/>
            </w:tcBorders>
            <w:noWrap/>
            <w:hideMark/>
          </w:tcPr>
          <w:p w14:paraId="402DA819" w14:textId="77777777" w:rsidR="001C79E4" w:rsidRPr="00007450" w:rsidRDefault="001C79E4" w:rsidP="00864C4B">
            <w:pPr>
              <w:pStyle w:val="TableText0"/>
              <w:rPr>
                <w:b/>
              </w:rPr>
            </w:pPr>
            <w:r w:rsidRPr="00007450">
              <w:rPr>
                <w:b/>
              </w:rPr>
              <w:t>ICER per additional QALY gained</w:t>
            </w:r>
          </w:p>
        </w:tc>
        <w:tc>
          <w:tcPr>
            <w:tcW w:w="976" w:type="pct"/>
            <w:tcBorders>
              <w:left w:val="nil"/>
              <w:bottom w:val="double" w:sz="4" w:space="0" w:color="auto"/>
              <w:right w:val="nil"/>
            </w:tcBorders>
            <w:noWrap/>
          </w:tcPr>
          <w:p w14:paraId="32969F0D" w14:textId="77777777" w:rsidR="001C79E4" w:rsidRPr="00007450" w:rsidRDefault="001C79E4" w:rsidP="00864C4B">
            <w:pPr>
              <w:pStyle w:val="TableText0"/>
              <w:jc w:val="right"/>
              <w:rPr>
                <w:b/>
              </w:rPr>
            </w:pPr>
          </w:p>
        </w:tc>
        <w:tc>
          <w:tcPr>
            <w:tcW w:w="973" w:type="pct"/>
            <w:tcBorders>
              <w:left w:val="nil"/>
              <w:bottom w:val="double" w:sz="4" w:space="0" w:color="auto"/>
            </w:tcBorders>
            <w:noWrap/>
          </w:tcPr>
          <w:p w14:paraId="576072A3" w14:textId="77777777" w:rsidR="001C79E4" w:rsidRPr="00007450" w:rsidRDefault="001C79E4" w:rsidP="00864C4B">
            <w:pPr>
              <w:pStyle w:val="TableText0"/>
              <w:jc w:val="right"/>
              <w:rPr>
                <w:b/>
              </w:rPr>
            </w:pPr>
          </w:p>
        </w:tc>
        <w:tc>
          <w:tcPr>
            <w:tcW w:w="968" w:type="pct"/>
            <w:tcBorders>
              <w:bottom w:val="double" w:sz="4" w:space="0" w:color="auto"/>
            </w:tcBorders>
            <w:noWrap/>
          </w:tcPr>
          <w:p w14:paraId="2A1ACAE8" w14:textId="52DC9BCD" w:rsidR="001C79E4" w:rsidRPr="00B83352" w:rsidRDefault="001C79E4" w:rsidP="00864C4B">
            <w:pPr>
              <w:pStyle w:val="TableText0"/>
              <w:jc w:val="right"/>
              <w:rPr>
                <w:b/>
                <w:vertAlign w:val="superscript"/>
              </w:rPr>
            </w:pPr>
            <w:r w:rsidRPr="00007450">
              <w:rPr>
                <w:b/>
              </w:rPr>
              <w:t>$</w:t>
            </w:r>
            <w:r w:rsidR="00E44B9A" w:rsidRPr="00E44B9A">
              <w:rPr>
                <w:b/>
                <w:color w:val="000000"/>
                <w:spacing w:val="58"/>
                <w:shd w:val="solid" w:color="000000" w:fill="000000"/>
                <w:fitText w:val="360" w:id="-628909552"/>
                <w14:textFill>
                  <w14:solidFill>
                    <w14:srgbClr w14:val="000000">
                      <w14:alpha w14:val="100000"/>
                    </w14:srgbClr>
                  </w14:solidFill>
                </w14:textFill>
              </w:rPr>
              <w:t>|||</w:t>
            </w:r>
            <w:r w:rsidR="00E44B9A" w:rsidRPr="00E44B9A">
              <w:rPr>
                <w:b/>
                <w:color w:val="000000"/>
                <w:spacing w:val="3"/>
                <w:shd w:val="solid" w:color="000000" w:fill="000000"/>
                <w:fitText w:val="360" w:id="-628909552"/>
                <w14:textFill>
                  <w14:solidFill>
                    <w14:srgbClr w14:val="000000">
                      <w14:alpha w14:val="100000"/>
                    </w14:srgbClr>
                  </w14:solidFill>
                </w14:textFill>
              </w:rPr>
              <w:t>|</w:t>
            </w:r>
            <w:r w:rsidR="00B83352">
              <w:rPr>
                <w:b/>
                <w:vertAlign w:val="superscript"/>
              </w:rPr>
              <w:t>1</w:t>
            </w:r>
          </w:p>
        </w:tc>
      </w:tr>
      <w:tr w:rsidR="001C79E4" w:rsidRPr="00007450" w14:paraId="24DDBB6F" w14:textId="77777777">
        <w:tc>
          <w:tcPr>
            <w:tcW w:w="5000" w:type="pct"/>
            <w:gridSpan w:val="4"/>
            <w:tcBorders>
              <w:top w:val="double" w:sz="4" w:space="0" w:color="auto"/>
            </w:tcBorders>
            <w:noWrap/>
            <w:hideMark/>
          </w:tcPr>
          <w:p w14:paraId="15D79B26" w14:textId="77777777" w:rsidR="001C79E4" w:rsidRPr="00007450" w:rsidRDefault="001C79E4" w:rsidP="00864C4B">
            <w:pPr>
              <w:pStyle w:val="TableText0"/>
            </w:pPr>
            <w:r w:rsidRPr="00007450">
              <w:rPr>
                <w:b/>
              </w:rPr>
              <w:t>ET – sensitive</w:t>
            </w:r>
          </w:p>
          <w:p w14:paraId="0B67B6D5" w14:textId="77777777" w:rsidR="001C79E4" w:rsidRPr="00007450" w:rsidRDefault="001C79E4" w:rsidP="00864C4B">
            <w:pPr>
              <w:pStyle w:val="TableText0"/>
              <w:rPr>
                <w:b/>
              </w:rPr>
            </w:pPr>
            <w:r w:rsidRPr="00007450">
              <w:t>Assuming 73.4% use of CDK4/6 inhibitor + NSAI after adjuvant ET, the remaining 26.6% in the ET arm and 100% in the ribociclib + ET arm using a mix therapies (letrozole, anastrozole, exemestane, tamoxifen, fulvestrant, and capecitabine) for the treatment of DR</w:t>
            </w:r>
          </w:p>
        </w:tc>
      </w:tr>
      <w:tr w:rsidR="001C79E4" w:rsidRPr="00007450" w14:paraId="6D9A8879" w14:textId="77777777">
        <w:tc>
          <w:tcPr>
            <w:tcW w:w="2083" w:type="pct"/>
            <w:tcBorders>
              <w:bottom w:val="single" w:sz="4" w:space="0" w:color="auto"/>
            </w:tcBorders>
            <w:noWrap/>
            <w:hideMark/>
          </w:tcPr>
          <w:p w14:paraId="696C51AF" w14:textId="77777777" w:rsidR="001C79E4" w:rsidRPr="00007450" w:rsidRDefault="001C79E4" w:rsidP="00864C4B">
            <w:pPr>
              <w:pStyle w:val="TableText0"/>
            </w:pPr>
            <w:r w:rsidRPr="00007450">
              <w:t>Costs</w:t>
            </w:r>
          </w:p>
        </w:tc>
        <w:tc>
          <w:tcPr>
            <w:tcW w:w="976" w:type="pct"/>
            <w:tcBorders>
              <w:bottom w:val="single" w:sz="4" w:space="0" w:color="auto"/>
            </w:tcBorders>
            <w:noWrap/>
          </w:tcPr>
          <w:p w14:paraId="7B86A7E6" w14:textId="0AA39EF7" w:rsidR="001C79E4" w:rsidRPr="00007450" w:rsidRDefault="001C79E4" w:rsidP="00864C4B">
            <w:pPr>
              <w:pStyle w:val="TableText0"/>
              <w:jc w:val="right"/>
            </w:pPr>
            <w:r w:rsidRPr="00007450">
              <w:t>$</w:t>
            </w:r>
            <w:r w:rsidR="00E44B9A" w:rsidRPr="00E44B9A">
              <w:rPr>
                <w:color w:val="000000"/>
                <w:spacing w:val="53"/>
                <w:shd w:val="solid" w:color="000000" w:fill="000000"/>
                <w:fitText w:val="330" w:id="-628909568"/>
                <w14:textFill>
                  <w14:solidFill>
                    <w14:srgbClr w14:val="000000">
                      <w14:alpha w14:val="100000"/>
                    </w14:srgbClr>
                  </w14:solidFill>
                </w14:textFill>
              </w:rPr>
              <w:t>|||</w:t>
            </w:r>
            <w:r w:rsidR="00E44B9A" w:rsidRPr="00E44B9A">
              <w:rPr>
                <w:color w:val="000000"/>
                <w:spacing w:val="1"/>
                <w:shd w:val="solid" w:color="000000" w:fill="000000"/>
                <w:fitText w:val="330" w:id="-628909568"/>
                <w14:textFill>
                  <w14:solidFill>
                    <w14:srgbClr w14:val="000000">
                      <w14:alpha w14:val="100000"/>
                    </w14:srgbClr>
                  </w14:solidFill>
                </w14:textFill>
              </w:rPr>
              <w:t>|</w:t>
            </w:r>
            <w:r w:rsidRPr="00007450">
              <w:t xml:space="preserve"> </w:t>
            </w:r>
          </w:p>
        </w:tc>
        <w:tc>
          <w:tcPr>
            <w:tcW w:w="973" w:type="pct"/>
            <w:tcBorders>
              <w:bottom w:val="single" w:sz="4" w:space="0" w:color="auto"/>
            </w:tcBorders>
            <w:noWrap/>
          </w:tcPr>
          <w:p w14:paraId="77E41006" w14:textId="3196E2E9" w:rsidR="001C79E4" w:rsidRPr="00007450" w:rsidRDefault="001C79E4" w:rsidP="00864C4B">
            <w:pPr>
              <w:pStyle w:val="TableText0"/>
              <w:jc w:val="right"/>
            </w:pPr>
            <w:r w:rsidRPr="00007450">
              <w:t>$</w:t>
            </w:r>
            <w:r w:rsidR="00E44B9A" w:rsidRPr="00E44B9A">
              <w:rPr>
                <w:color w:val="000000"/>
                <w:spacing w:val="48"/>
                <w:shd w:val="solid" w:color="000000" w:fill="000000"/>
                <w:fitText w:val="315" w:id="-628909567"/>
                <w14:textFill>
                  <w14:solidFill>
                    <w14:srgbClr w14:val="000000">
                      <w14:alpha w14:val="100000"/>
                    </w14:srgbClr>
                  </w14:solidFill>
                </w14:textFill>
              </w:rPr>
              <w:t>|||</w:t>
            </w:r>
            <w:r w:rsidR="00E44B9A" w:rsidRPr="00E44B9A">
              <w:rPr>
                <w:color w:val="000000"/>
                <w:spacing w:val="1"/>
                <w:shd w:val="solid" w:color="000000" w:fill="000000"/>
                <w:fitText w:val="315" w:id="-628909567"/>
                <w14:textFill>
                  <w14:solidFill>
                    <w14:srgbClr w14:val="000000">
                      <w14:alpha w14:val="100000"/>
                    </w14:srgbClr>
                  </w14:solidFill>
                </w14:textFill>
              </w:rPr>
              <w:t>|</w:t>
            </w:r>
          </w:p>
        </w:tc>
        <w:tc>
          <w:tcPr>
            <w:tcW w:w="968" w:type="pct"/>
            <w:tcBorders>
              <w:bottom w:val="single" w:sz="4" w:space="0" w:color="auto"/>
            </w:tcBorders>
            <w:noWrap/>
            <w:hideMark/>
          </w:tcPr>
          <w:p w14:paraId="03479E8F" w14:textId="3E260C82" w:rsidR="001C79E4" w:rsidRPr="00007450" w:rsidRDefault="001C79E4" w:rsidP="00864C4B">
            <w:pPr>
              <w:pStyle w:val="TableText0"/>
              <w:jc w:val="right"/>
            </w:pPr>
            <w:r w:rsidRPr="00007450">
              <w:t>$</w:t>
            </w:r>
            <w:r w:rsidR="00E44B9A" w:rsidRPr="00E44B9A">
              <w:rPr>
                <w:color w:val="000000"/>
                <w:spacing w:val="53"/>
                <w:shd w:val="solid" w:color="000000" w:fill="000000"/>
                <w:fitText w:val="330" w:id="-628909566"/>
                <w14:textFill>
                  <w14:solidFill>
                    <w14:srgbClr w14:val="000000">
                      <w14:alpha w14:val="100000"/>
                    </w14:srgbClr>
                  </w14:solidFill>
                </w14:textFill>
              </w:rPr>
              <w:t>|||</w:t>
            </w:r>
            <w:r w:rsidR="00E44B9A" w:rsidRPr="00E44B9A">
              <w:rPr>
                <w:color w:val="000000"/>
                <w:spacing w:val="1"/>
                <w:shd w:val="solid" w:color="000000" w:fill="000000"/>
                <w:fitText w:val="330" w:id="-628909566"/>
                <w14:textFill>
                  <w14:solidFill>
                    <w14:srgbClr w14:val="000000">
                      <w14:alpha w14:val="100000"/>
                    </w14:srgbClr>
                  </w14:solidFill>
                </w14:textFill>
              </w:rPr>
              <w:t>|</w:t>
            </w:r>
          </w:p>
        </w:tc>
      </w:tr>
      <w:tr w:rsidR="001C79E4" w:rsidRPr="00007450" w14:paraId="775D880E" w14:textId="77777777">
        <w:trPr>
          <w:trHeight w:val="63"/>
        </w:trPr>
        <w:tc>
          <w:tcPr>
            <w:tcW w:w="2083" w:type="pct"/>
            <w:tcBorders>
              <w:bottom w:val="single" w:sz="4" w:space="0" w:color="auto"/>
            </w:tcBorders>
            <w:noWrap/>
            <w:hideMark/>
          </w:tcPr>
          <w:p w14:paraId="5C727076" w14:textId="77777777" w:rsidR="001C79E4" w:rsidRPr="00007450" w:rsidRDefault="001C79E4" w:rsidP="00864C4B">
            <w:pPr>
              <w:pStyle w:val="TableText0"/>
            </w:pPr>
            <w:r w:rsidRPr="00007450">
              <w:t>QALYs</w:t>
            </w:r>
          </w:p>
        </w:tc>
        <w:tc>
          <w:tcPr>
            <w:tcW w:w="976" w:type="pct"/>
            <w:tcBorders>
              <w:bottom w:val="single" w:sz="4" w:space="0" w:color="auto"/>
            </w:tcBorders>
            <w:noWrap/>
          </w:tcPr>
          <w:p w14:paraId="2D513C01" w14:textId="77777777" w:rsidR="001C79E4" w:rsidRPr="00007450" w:rsidRDefault="001C79E4" w:rsidP="00864C4B">
            <w:pPr>
              <w:pStyle w:val="TableText0"/>
              <w:jc w:val="right"/>
            </w:pPr>
            <w:r w:rsidRPr="00007450">
              <w:t>3.98</w:t>
            </w:r>
          </w:p>
        </w:tc>
        <w:tc>
          <w:tcPr>
            <w:tcW w:w="973" w:type="pct"/>
            <w:tcBorders>
              <w:bottom w:val="single" w:sz="4" w:space="0" w:color="auto"/>
            </w:tcBorders>
            <w:noWrap/>
          </w:tcPr>
          <w:p w14:paraId="2077C3BD" w14:textId="77777777" w:rsidR="001C79E4" w:rsidRPr="00007450" w:rsidRDefault="001C79E4" w:rsidP="00864C4B">
            <w:pPr>
              <w:pStyle w:val="TableText0"/>
              <w:jc w:val="right"/>
            </w:pPr>
            <w:r w:rsidRPr="00007450">
              <w:t>3.64</w:t>
            </w:r>
          </w:p>
        </w:tc>
        <w:tc>
          <w:tcPr>
            <w:tcW w:w="968" w:type="pct"/>
            <w:tcBorders>
              <w:bottom w:val="single" w:sz="4" w:space="0" w:color="auto"/>
            </w:tcBorders>
            <w:noWrap/>
            <w:hideMark/>
          </w:tcPr>
          <w:p w14:paraId="2D9CE72E" w14:textId="77777777" w:rsidR="001C79E4" w:rsidRPr="00007450" w:rsidRDefault="001C79E4" w:rsidP="00864C4B">
            <w:pPr>
              <w:pStyle w:val="TableText0"/>
              <w:jc w:val="right"/>
            </w:pPr>
            <w:r w:rsidRPr="00007450">
              <w:t>0.34</w:t>
            </w:r>
          </w:p>
        </w:tc>
      </w:tr>
      <w:tr w:rsidR="001C79E4" w:rsidRPr="00007450" w14:paraId="4B28F5A3" w14:textId="77777777">
        <w:tc>
          <w:tcPr>
            <w:tcW w:w="2083" w:type="pct"/>
            <w:tcBorders>
              <w:right w:val="nil"/>
            </w:tcBorders>
            <w:noWrap/>
            <w:hideMark/>
          </w:tcPr>
          <w:p w14:paraId="5A3971B4" w14:textId="77777777" w:rsidR="001C79E4" w:rsidRPr="00007450" w:rsidRDefault="001C79E4" w:rsidP="00864C4B">
            <w:pPr>
              <w:pStyle w:val="TableText0"/>
              <w:rPr>
                <w:b/>
              </w:rPr>
            </w:pPr>
            <w:r w:rsidRPr="00007450">
              <w:rPr>
                <w:b/>
              </w:rPr>
              <w:t>ICER per additional QALY gained</w:t>
            </w:r>
          </w:p>
        </w:tc>
        <w:tc>
          <w:tcPr>
            <w:tcW w:w="976" w:type="pct"/>
            <w:tcBorders>
              <w:left w:val="nil"/>
              <w:right w:val="nil"/>
            </w:tcBorders>
            <w:noWrap/>
            <w:hideMark/>
          </w:tcPr>
          <w:p w14:paraId="68CBE087" w14:textId="77777777" w:rsidR="001C79E4" w:rsidRPr="00007450" w:rsidRDefault="001C79E4" w:rsidP="00864C4B">
            <w:pPr>
              <w:pStyle w:val="TableText0"/>
              <w:jc w:val="right"/>
              <w:rPr>
                <w:b/>
              </w:rPr>
            </w:pPr>
          </w:p>
        </w:tc>
        <w:tc>
          <w:tcPr>
            <w:tcW w:w="973" w:type="pct"/>
            <w:tcBorders>
              <w:left w:val="nil"/>
            </w:tcBorders>
            <w:noWrap/>
            <w:hideMark/>
          </w:tcPr>
          <w:p w14:paraId="70718896" w14:textId="77777777" w:rsidR="001C79E4" w:rsidRPr="00007450" w:rsidRDefault="001C79E4" w:rsidP="00864C4B">
            <w:pPr>
              <w:pStyle w:val="TableText0"/>
              <w:jc w:val="right"/>
              <w:rPr>
                <w:b/>
              </w:rPr>
            </w:pPr>
          </w:p>
        </w:tc>
        <w:tc>
          <w:tcPr>
            <w:tcW w:w="968" w:type="pct"/>
            <w:noWrap/>
            <w:hideMark/>
          </w:tcPr>
          <w:p w14:paraId="4E91D1C3" w14:textId="44B9CEEB" w:rsidR="001C79E4" w:rsidRPr="00B83352" w:rsidRDefault="001C79E4" w:rsidP="00864C4B">
            <w:pPr>
              <w:pStyle w:val="TableText0"/>
              <w:jc w:val="right"/>
              <w:rPr>
                <w:b/>
                <w:vertAlign w:val="superscript"/>
              </w:rPr>
            </w:pPr>
            <w:r w:rsidRPr="00007450">
              <w:rPr>
                <w:b/>
              </w:rPr>
              <w:t>$</w:t>
            </w:r>
            <w:r w:rsidR="00E44B9A">
              <w:rPr>
                <w:b/>
                <w:color w:val="000000"/>
                <w:spacing w:val="58"/>
                <w:shd w:val="solid" w:color="000000" w:fill="000000"/>
                <w:fitText w:val="360" w:id="-628909565"/>
                <w14:textFill>
                  <w14:solidFill>
                    <w14:srgbClr w14:val="000000">
                      <w14:alpha w14:val="100000"/>
                    </w14:srgbClr>
                  </w14:solidFill>
                </w14:textFill>
              </w:rPr>
              <w:t>|||</w:t>
            </w:r>
            <w:r w:rsidR="00E44B9A">
              <w:rPr>
                <w:b/>
                <w:color w:val="000000"/>
                <w:spacing w:val="2"/>
                <w:shd w:val="solid" w:color="000000" w:fill="000000"/>
                <w:fitText w:val="360" w:id="-628909565"/>
                <w14:textFill>
                  <w14:solidFill>
                    <w14:srgbClr w14:val="000000">
                      <w14:alpha w14:val="100000"/>
                    </w14:srgbClr>
                  </w14:solidFill>
                </w14:textFill>
              </w:rPr>
              <w:t>|</w:t>
            </w:r>
            <w:r w:rsidR="00B83352">
              <w:rPr>
                <w:b/>
                <w:vertAlign w:val="superscript"/>
              </w:rPr>
              <w:t>2</w:t>
            </w:r>
          </w:p>
        </w:tc>
      </w:tr>
    </w:tbl>
    <w:p w14:paraId="7D645936" w14:textId="112D8903" w:rsidR="001C79E4" w:rsidRPr="00007450" w:rsidRDefault="001C79E4" w:rsidP="00864C4B">
      <w:pPr>
        <w:pStyle w:val="TableFigureFooter"/>
      </w:pPr>
      <w:r w:rsidRPr="00007450">
        <w:t>Source: Analyses performed during the evaluation using “Kisqali (ribociclib) - eBC N0N1 - CEA” Excel workbook.</w:t>
      </w:r>
    </w:p>
    <w:p w14:paraId="0DBF5525" w14:textId="77777777" w:rsidR="001C79E4" w:rsidRPr="00007450" w:rsidRDefault="001C79E4" w:rsidP="00864C4B">
      <w:pPr>
        <w:pStyle w:val="TableFigureFooter"/>
      </w:pPr>
      <w:r w:rsidRPr="00007450">
        <w:t xml:space="preserve">CDK4/6 = cyclin-dependent kinase 4 and 6; DR = distant recurrence; ET = endocrine therapy; ICER = incremental cost-effectiveness ratio; NSAI = non-steroidal aromatase inhibitor; PSM = partitioned survival model; QALY = quality adjusted life year </w:t>
      </w:r>
    </w:p>
    <w:p w14:paraId="00322EE8" w14:textId="77777777" w:rsidR="001C79E4" w:rsidRDefault="001C79E4" w:rsidP="00864C4B">
      <w:pPr>
        <w:pStyle w:val="TableFigureFooter"/>
      </w:pPr>
      <w:r w:rsidRPr="00007450">
        <w:t>Note: Analyses were revised during the evaluation to correct the fixed outcome and cost payoffs from the DR ET-resistant PSM, using the discounted payoffs instead of undiscounted payoffs.</w:t>
      </w:r>
    </w:p>
    <w:p w14:paraId="60C896C6" w14:textId="0F006FDD" w:rsidR="005D7DBE" w:rsidRDefault="005D7DBE" w:rsidP="00864C4B">
      <w:pPr>
        <w:pStyle w:val="TableFigureFooter"/>
        <w:rPr>
          <w:i/>
          <w:iCs/>
        </w:rPr>
      </w:pPr>
      <w:r>
        <w:rPr>
          <w:i/>
          <w:iCs/>
        </w:rPr>
        <w:t>The redacted values correspond to the following ranges:</w:t>
      </w:r>
    </w:p>
    <w:p w14:paraId="26B2897F" w14:textId="074D2965" w:rsidR="005D7DBE" w:rsidRPr="005D7DBE" w:rsidRDefault="005D7DBE" w:rsidP="00864C4B">
      <w:pPr>
        <w:pStyle w:val="TableFigureFooter"/>
        <w:rPr>
          <w:i/>
          <w:iCs/>
        </w:rPr>
      </w:pPr>
      <w:r w:rsidRPr="005D7DBE">
        <w:rPr>
          <w:i/>
          <w:iCs/>
          <w:vertAlign w:val="superscript"/>
        </w:rPr>
        <w:t>1</w:t>
      </w:r>
      <w:r>
        <w:rPr>
          <w:i/>
          <w:iCs/>
        </w:rPr>
        <w:t xml:space="preserve"> $</w:t>
      </w:r>
      <w:r w:rsidR="00B83352">
        <w:rPr>
          <w:i/>
          <w:iCs/>
        </w:rPr>
        <w:t>45,000 to &lt; $55,000</w:t>
      </w:r>
    </w:p>
    <w:p w14:paraId="2B7236AC" w14:textId="2133109E" w:rsidR="005D7DBE" w:rsidRPr="005D7DBE" w:rsidRDefault="005D7DBE" w:rsidP="00864C4B">
      <w:pPr>
        <w:pStyle w:val="TableFigureFooter"/>
        <w:rPr>
          <w:i/>
          <w:iCs/>
          <w:vertAlign w:val="superscript"/>
        </w:rPr>
      </w:pPr>
      <w:r w:rsidRPr="005D7DBE">
        <w:rPr>
          <w:i/>
          <w:iCs/>
          <w:vertAlign w:val="superscript"/>
        </w:rPr>
        <w:t>2</w:t>
      </w:r>
      <w:r w:rsidR="00B83352">
        <w:rPr>
          <w:i/>
          <w:iCs/>
          <w:vertAlign w:val="superscript"/>
        </w:rPr>
        <w:t xml:space="preserve"> </w:t>
      </w:r>
      <w:r w:rsidR="00B83352" w:rsidRPr="00B83352">
        <w:rPr>
          <w:i/>
          <w:iCs/>
        </w:rPr>
        <w:t>$</w:t>
      </w:r>
      <w:r w:rsidR="00B83352">
        <w:rPr>
          <w:i/>
          <w:iCs/>
        </w:rPr>
        <w:t>75,000 to &lt; $95,000</w:t>
      </w:r>
    </w:p>
    <w:p w14:paraId="203E322E" w14:textId="018E96E5" w:rsidR="001C79E4" w:rsidRPr="00007450" w:rsidRDefault="001C79E4" w:rsidP="00864C4B">
      <w:pPr>
        <w:pStyle w:val="3-BodyText"/>
      </w:pPr>
      <w:bookmarkStart w:id="64" w:name="_Ref201590343"/>
      <w:r w:rsidRPr="00007450">
        <w:t>The health state utilities were initially estimated based on the EQ-5D-5L data collected in the PBS subgroup in NATALEE, mapped into utilities using the Australian value set by Norman et al (2023).</w:t>
      </w:r>
      <w:r w:rsidRPr="00007450">
        <w:rPr>
          <w:rStyle w:val="FootnoteReference"/>
        </w:rPr>
        <w:footnoteReference w:id="15"/>
      </w:r>
      <w:r w:rsidRPr="00007450">
        <w:t xml:space="preserve"> All health state utilities were capped and age-adjusted over time using the Australian general population utilities by age category for the EQ-5D-5L as reported in McCaffrey et al (2016).</w:t>
      </w:r>
      <w:r w:rsidRPr="00007450">
        <w:rPr>
          <w:rStyle w:val="FootnoteReference"/>
        </w:rPr>
        <w:footnoteReference w:id="16"/>
      </w:r>
      <w:r w:rsidRPr="00007450">
        <w:t xml:space="preserve"> Given that the trial-based utilities for iDFS on-treatment were higher than the utility for the general Australian population </w:t>
      </w:r>
      <w:r w:rsidRPr="00007450">
        <w:lastRenderedPageBreak/>
        <w:t>(0.8857</w:t>
      </w:r>
      <w:r w:rsidR="00E3716F" w:rsidRPr="00007450">
        <w:rPr>
          <w:rFonts w:cstheme="minorHAnsi"/>
        </w:rPr>
        <w:t>−</w:t>
      </w:r>
      <w:r w:rsidRPr="00007450">
        <w:t xml:space="preserve">0.8877 vs. 0.8702), the general population utility was used as the health state utility for </w:t>
      </w:r>
      <w:r w:rsidR="006F377A" w:rsidRPr="00007450">
        <w:t>iDF</w:t>
      </w:r>
      <w:r w:rsidRPr="00007450">
        <w:t xml:space="preserve"> in patients who were on adjuvant therapy. The</w:t>
      </w:r>
      <w:r w:rsidR="0046031C" w:rsidRPr="00007450">
        <w:t xml:space="preserve"> ESC agreed with the evaluation that the</w:t>
      </w:r>
      <w:r w:rsidRPr="00007450">
        <w:t xml:space="preserve"> HRQoL data collected in NATALEE </w:t>
      </w:r>
      <w:r w:rsidR="00E934FD" w:rsidRPr="00007450">
        <w:t xml:space="preserve">likely </w:t>
      </w:r>
      <w:r w:rsidRPr="00007450">
        <w:t>lack</w:t>
      </w:r>
      <w:r w:rsidR="00B2152C" w:rsidRPr="00007450">
        <w:t>ed</w:t>
      </w:r>
      <w:r w:rsidRPr="00007450">
        <w:t xml:space="preserve"> face validity and use of the utility in the general population as a proxy for the iDF on-treatment utility overestimated the utility value of this health state. The health state utilities used in the abemaciclib eBC model previously accepted by the PBAC were consistently lower than the utilities applied to the ribociclib model </w:t>
      </w:r>
      <w:r w:rsidR="00DC4E14" w:rsidRPr="00007450">
        <w:t>(e.g. 0.841</w:t>
      </w:r>
      <w:r w:rsidR="00311087">
        <w:rPr>
          <w:rFonts w:cstheme="minorHAnsi"/>
        </w:rPr>
        <w:t>−</w:t>
      </w:r>
      <w:r w:rsidR="00DC4E14" w:rsidRPr="00007450">
        <w:t xml:space="preserve">0.870 vs. 0.785 for iDF, </w:t>
      </w:r>
      <w:r w:rsidR="007A407E" w:rsidRPr="00007450">
        <w:t xml:space="preserve">0.787 vs. 0.748 for </w:t>
      </w:r>
      <w:r w:rsidR="00F117B8" w:rsidRPr="00007450">
        <w:t xml:space="preserve">PFS in the </w:t>
      </w:r>
      <w:r w:rsidR="007A407E" w:rsidRPr="00007450">
        <w:t>DR</w:t>
      </w:r>
      <w:r w:rsidR="00F117B8" w:rsidRPr="00007450">
        <w:t xml:space="preserve"> PSMs</w:t>
      </w:r>
      <w:r w:rsidR="007A407E" w:rsidRPr="00007450">
        <w:t xml:space="preserve">) </w:t>
      </w:r>
      <w:r w:rsidRPr="00007450">
        <w:t xml:space="preserve">and these estimates were used in univariate and multivariate sensitivity analyses, </w:t>
      </w:r>
      <w:r w:rsidR="00C20C6C" w:rsidRPr="00007450">
        <w:t xml:space="preserve">however </w:t>
      </w:r>
      <w:r w:rsidRPr="00007450">
        <w:t>the model was not very sensitive to these utility inputs (</w:t>
      </w:r>
      <w:r w:rsidRPr="00007450">
        <w:fldChar w:fldCharType="begin"/>
      </w:r>
      <w:r w:rsidRPr="00007450">
        <w:instrText xml:space="preserve"> REF _Ref104804865 \h  \* MERGEFORMAT </w:instrText>
      </w:r>
      <w:r w:rsidRPr="00007450">
        <w:fldChar w:fldCharType="separate"/>
      </w:r>
      <w:r w:rsidR="00B36442" w:rsidRPr="00007450">
        <w:t xml:space="preserve">Table </w:t>
      </w:r>
      <w:r w:rsidR="00B36442">
        <w:rPr>
          <w:noProof/>
        </w:rPr>
        <w:t>15</w:t>
      </w:r>
      <w:r w:rsidRPr="00007450">
        <w:fldChar w:fldCharType="end"/>
      </w:r>
      <w:r w:rsidRPr="00007450">
        <w:t>).</w:t>
      </w:r>
      <w:r w:rsidR="00B91D50" w:rsidRPr="00007450">
        <w:t xml:space="preserve"> The ES</w:t>
      </w:r>
      <w:r w:rsidR="00BE76D5" w:rsidRPr="00007450">
        <w:t xml:space="preserve">C </w:t>
      </w:r>
      <w:r w:rsidR="00B91D50" w:rsidRPr="00007450">
        <w:t>considered</w:t>
      </w:r>
      <w:r w:rsidR="007C2CA3" w:rsidRPr="00007450">
        <w:t xml:space="preserve"> that</w:t>
      </w:r>
      <w:r w:rsidR="00B844FB" w:rsidRPr="00007450">
        <w:t xml:space="preserve"> </w:t>
      </w:r>
      <w:bookmarkEnd w:id="64"/>
      <w:r w:rsidR="00FD7E4A" w:rsidRPr="00007450">
        <w:t>the utilities applied to the base case of the</w:t>
      </w:r>
      <w:r w:rsidR="00906F0C" w:rsidRPr="00007450">
        <w:t xml:space="preserve"> economic</w:t>
      </w:r>
      <w:r w:rsidR="00FD7E4A" w:rsidRPr="00007450">
        <w:t xml:space="preserve"> model likely lacked face validity and alternate utilities should be applied</w:t>
      </w:r>
      <w:r w:rsidR="009D2D16" w:rsidRPr="00007450">
        <w:t xml:space="preserve">. </w:t>
      </w:r>
      <w:r w:rsidR="00A172E7" w:rsidRPr="00007450">
        <w:t>The</w:t>
      </w:r>
      <w:r w:rsidR="009D2D16" w:rsidRPr="00007450">
        <w:t xml:space="preserve"> ESC advised the</w:t>
      </w:r>
      <w:r w:rsidR="00FD7E4A" w:rsidRPr="00007450">
        <w:t xml:space="preserve"> us</w:t>
      </w:r>
      <w:r w:rsidR="009D2D16" w:rsidRPr="00007450">
        <w:t>e</w:t>
      </w:r>
      <w:r w:rsidR="00906F0C" w:rsidRPr="00007450">
        <w:t xml:space="preserve"> of</w:t>
      </w:r>
      <w:r w:rsidR="00A172E7" w:rsidRPr="00007450">
        <w:t xml:space="preserve"> the</w:t>
      </w:r>
      <w:r w:rsidR="009D2D16" w:rsidRPr="00007450">
        <w:t xml:space="preserve"> utilities </w:t>
      </w:r>
      <w:r w:rsidR="007C2CA3" w:rsidRPr="00007450">
        <w:t>applied to</w:t>
      </w:r>
      <w:r w:rsidR="00FD7E4A" w:rsidRPr="00007450">
        <w:t xml:space="preserve"> the previous abemaciclib eBC model</w:t>
      </w:r>
      <w:r w:rsidR="00FE090C" w:rsidRPr="00007450">
        <w:t xml:space="preserve"> would likely be appropriate</w:t>
      </w:r>
      <w:r w:rsidR="00FD7E4A" w:rsidRPr="00007450">
        <w:t>.</w:t>
      </w:r>
      <w:r w:rsidR="008A5B01" w:rsidRPr="00007450">
        <w:t xml:space="preserve"> The Pre-PBAC Response argued the </w:t>
      </w:r>
      <w:r w:rsidR="00694A10" w:rsidRPr="00007450">
        <w:t xml:space="preserve">utilities should be informed by the ribociclib data, rather than rely on those previously accepted for abemaciclib. </w:t>
      </w:r>
    </w:p>
    <w:p w14:paraId="66672A21" w14:textId="3FCA9056" w:rsidR="001C79E4" w:rsidRPr="00007450" w:rsidRDefault="001C79E4" w:rsidP="00864C4B">
      <w:pPr>
        <w:pStyle w:val="3-BodyText"/>
      </w:pPr>
      <w:r w:rsidRPr="00007450">
        <w:t xml:space="preserve">A summary of the key drivers of the model is shown below. </w:t>
      </w:r>
    </w:p>
    <w:p w14:paraId="1EC81386" w14:textId="098A1F6D" w:rsidR="001C79E4" w:rsidRPr="00007450" w:rsidRDefault="001C79E4" w:rsidP="00864C4B">
      <w:pPr>
        <w:pStyle w:val="TableFigureHeading"/>
        <w:rPr>
          <w:rStyle w:val="CommentReference"/>
          <w:b/>
          <w:szCs w:val="24"/>
        </w:rPr>
      </w:pPr>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11</w:t>
      </w:r>
      <w:r w:rsidR="001C7776">
        <w:rPr>
          <w:noProof/>
        </w:rPr>
        <w:fldChar w:fldCharType="end"/>
      </w:r>
      <w:r w:rsidRPr="00007450">
        <w:t xml:space="preserve">: </w:t>
      </w:r>
      <w:r w:rsidRPr="00007450">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555"/>
        <w:gridCol w:w="4678"/>
        <w:gridCol w:w="2784"/>
      </w:tblGrid>
      <w:tr w:rsidR="001C79E4" w:rsidRPr="00007450" w14:paraId="6D72B90C" w14:textId="77777777">
        <w:trPr>
          <w:tblHeader/>
        </w:trPr>
        <w:tc>
          <w:tcPr>
            <w:tcW w:w="862" w:type="pct"/>
            <w:vAlign w:val="center"/>
          </w:tcPr>
          <w:p w14:paraId="7CA1C5DB" w14:textId="77777777" w:rsidR="001C79E4" w:rsidRPr="00007450" w:rsidRDefault="001C79E4" w:rsidP="00864C4B">
            <w:pPr>
              <w:pStyle w:val="In-tableHeading"/>
              <w:jc w:val="center"/>
              <w:rPr>
                <w:lang w:val="en-AU"/>
              </w:rPr>
            </w:pPr>
            <w:r w:rsidRPr="00007450">
              <w:rPr>
                <w:lang w:val="en-AU"/>
              </w:rPr>
              <w:t>Description</w:t>
            </w:r>
          </w:p>
        </w:tc>
        <w:tc>
          <w:tcPr>
            <w:tcW w:w="2594" w:type="pct"/>
            <w:vAlign w:val="center"/>
          </w:tcPr>
          <w:p w14:paraId="65305C04" w14:textId="77777777" w:rsidR="001C79E4" w:rsidRPr="00007450" w:rsidRDefault="001C79E4" w:rsidP="00864C4B">
            <w:pPr>
              <w:pStyle w:val="In-tableHeading"/>
              <w:jc w:val="center"/>
              <w:rPr>
                <w:lang w:val="en-AU"/>
              </w:rPr>
            </w:pPr>
            <w:r w:rsidRPr="00007450">
              <w:rPr>
                <w:lang w:val="en-AU"/>
              </w:rPr>
              <w:t>Method/Value</w:t>
            </w:r>
          </w:p>
        </w:tc>
        <w:tc>
          <w:tcPr>
            <w:tcW w:w="1544" w:type="pct"/>
            <w:vAlign w:val="center"/>
          </w:tcPr>
          <w:p w14:paraId="0B46F03B" w14:textId="77777777" w:rsidR="001C79E4" w:rsidRPr="00007450" w:rsidRDefault="001C79E4" w:rsidP="00864C4B">
            <w:pPr>
              <w:pStyle w:val="In-tableHeading"/>
              <w:jc w:val="center"/>
              <w:rPr>
                <w:lang w:val="en-AU"/>
              </w:rPr>
            </w:pPr>
            <w:r w:rsidRPr="00007450">
              <w:rPr>
                <w:lang w:val="en-AU"/>
              </w:rPr>
              <w:t>Impact</w:t>
            </w:r>
          </w:p>
          <w:p w14:paraId="3B7AB4B1" w14:textId="693C381E" w:rsidR="001C79E4" w:rsidRPr="00007450" w:rsidRDefault="001C79E4" w:rsidP="00864C4B">
            <w:pPr>
              <w:pStyle w:val="In-tableHeading"/>
              <w:jc w:val="center"/>
              <w:rPr>
                <w:vertAlign w:val="superscript"/>
                <w:lang w:val="en-AU"/>
              </w:rPr>
            </w:pPr>
            <w:r w:rsidRPr="00007450">
              <w:rPr>
                <w:rFonts w:cs="Arial"/>
                <w:szCs w:val="20"/>
                <w:lang w:val="en-AU"/>
              </w:rPr>
              <w:t>Base case ICER: $</w:t>
            </w:r>
            <w:r w:rsidR="00E44B9A" w:rsidRPr="00E44B9A">
              <w:rPr>
                <w:rFonts w:cs="Arial"/>
                <w:color w:val="000000"/>
                <w:spacing w:val="58"/>
                <w:szCs w:val="20"/>
                <w:shd w:val="solid" w:color="000000" w:fill="000000"/>
                <w:fitText w:val="360" w:id="-628909564"/>
                <w:lang w:val="en-AU"/>
                <w14:textFill>
                  <w14:solidFill>
                    <w14:srgbClr w14:val="000000">
                      <w14:alpha w14:val="100000"/>
                    </w14:srgbClr>
                  </w14:solidFill>
                </w14:textFill>
              </w:rPr>
              <w:t>|||</w:t>
            </w:r>
            <w:r w:rsidR="00E44B9A" w:rsidRPr="00E44B9A">
              <w:rPr>
                <w:rFonts w:cs="Arial"/>
                <w:color w:val="000000"/>
                <w:spacing w:val="3"/>
                <w:szCs w:val="20"/>
                <w:shd w:val="solid" w:color="000000" w:fill="000000"/>
                <w:fitText w:val="360" w:id="-628909564"/>
                <w:lang w:val="en-AU"/>
                <w14:textFill>
                  <w14:solidFill>
                    <w14:srgbClr w14:val="000000">
                      <w14:alpha w14:val="100000"/>
                    </w14:srgbClr>
                  </w14:solidFill>
                </w14:textFill>
              </w:rPr>
              <w:t>|</w:t>
            </w:r>
            <w:r w:rsidR="0001709C">
              <w:rPr>
                <w:rFonts w:cs="Arial"/>
                <w:szCs w:val="20"/>
                <w:vertAlign w:val="superscript"/>
                <w:lang w:val="en-AU"/>
              </w:rPr>
              <w:t>1</w:t>
            </w:r>
            <w:r w:rsidRPr="00007450">
              <w:rPr>
                <w:rFonts w:cs="Arial"/>
                <w:szCs w:val="20"/>
                <w:lang w:val="en-AU"/>
              </w:rPr>
              <w:t>/QALY (revised)</w:t>
            </w:r>
          </w:p>
        </w:tc>
      </w:tr>
      <w:tr w:rsidR="001C79E4" w:rsidRPr="00007450" w14:paraId="26013D43" w14:textId="77777777" w:rsidTr="00055FF8">
        <w:tc>
          <w:tcPr>
            <w:tcW w:w="862" w:type="pct"/>
          </w:tcPr>
          <w:p w14:paraId="6531FDE3" w14:textId="77777777" w:rsidR="001C79E4" w:rsidRPr="00007450" w:rsidRDefault="001C79E4" w:rsidP="00864C4B">
            <w:pPr>
              <w:pStyle w:val="TableText0"/>
            </w:pPr>
            <w:r w:rsidRPr="00007450">
              <w:t>Duration of treatment effect</w:t>
            </w:r>
          </w:p>
        </w:tc>
        <w:tc>
          <w:tcPr>
            <w:tcW w:w="2594" w:type="pct"/>
          </w:tcPr>
          <w:p w14:paraId="49E5E979" w14:textId="001C33CE" w:rsidR="001C79E4" w:rsidRPr="00007450" w:rsidRDefault="001C79E4" w:rsidP="00864C4B">
            <w:pPr>
              <w:pStyle w:val="TableText0"/>
            </w:pPr>
            <w:r w:rsidRPr="00007450">
              <w:t>The treatment effect based on the restricted parametric extrapolations was assumed to continue beyond the trial period from 4 years until 8 years. Thereafter, a waning of the treatment effect was implemented until</w:t>
            </w:r>
            <w:r w:rsidR="00650AE6" w:rsidRPr="00007450">
              <w:t xml:space="preserve"> </w:t>
            </w:r>
            <w:r w:rsidR="00622B17" w:rsidRPr="00007450">
              <w:t>Year 16</w:t>
            </w:r>
            <w:r w:rsidR="004E5BEB" w:rsidRPr="00007450">
              <w:t xml:space="preserve">. At this point </w:t>
            </w:r>
            <w:r w:rsidRPr="00007450">
              <w:t>the hazard of iDFS events in the ribociclib + ET arm equal</w:t>
            </w:r>
            <w:r w:rsidR="00283177">
              <w:t>l</w:t>
            </w:r>
            <w:r w:rsidR="004E5BEB" w:rsidRPr="00007450">
              <w:t>ed</w:t>
            </w:r>
            <w:r w:rsidRPr="00007450">
              <w:t xml:space="preserve"> that in the comparator ET alone arm. The time points in the treatment effect waning assumption were not adequately justified. </w:t>
            </w:r>
          </w:p>
        </w:tc>
        <w:tc>
          <w:tcPr>
            <w:tcW w:w="1544" w:type="pct"/>
          </w:tcPr>
          <w:p w14:paraId="143A920A" w14:textId="6D2D0178" w:rsidR="001C79E4" w:rsidRPr="00007450" w:rsidRDefault="001C79E4" w:rsidP="00864C4B">
            <w:pPr>
              <w:pStyle w:val="TableText0"/>
            </w:pPr>
            <w:r w:rsidRPr="00007450">
              <w:t>High, favours ribociclib. Assuming that the treatment effect wanes from Year 5 to Year 8 increases the ICER to $</w:t>
            </w:r>
            <w:r w:rsidR="00E44B9A" w:rsidRPr="00E44B9A">
              <w:rPr>
                <w:color w:val="000000"/>
                <w:spacing w:val="48"/>
                <w:shd w:val="solid" w:color="000000" w:fill="000000"/>
                <w:fitText w:val="315" w:id="-628909563"/>
                <w14:textFill>
                  <w14:solidFill>
                    <w14:srgbClr w14:val="000000">
                      <w14:alpha w14:val="100000"/>
                    </w14:srgbClr>
                  </w14:solidFill>
                </w14:textFill>
              </w:rPr>
              <w:t>|||</w:t>
            </w:r>
            <w:r w:rsidR="00E44B9A" w:rsidRPr="00E44B9A">
              <w:rPr>
                <w:color w:val="000000"/>
                <w:spacing w:val="1"/>
                <w:shd w:val="solid" w:color="000000" w:fill="000000"/>
                <w:fitText w:val="315" w:id="-628909563"/>
                <w14:textFill>
                  <w14:solidFill>
                    <w14:srgbClr w14:val="000000">
                      <w14:alpha w14:val="100000"/>
                    </w14:srgbClr>
                  </w14:solidFill>
                </w14:textFill>
              </w:rPr>
              <w:t>|</w:t>
            </w:r>
            <w:r w:rsidR="00AE4F1E">
              <w:rPr>
                <w:vertAlign w:val="superscript"/>
              </w:rPr>
              <w:t>2</w:t>
            </w:r>
            <w:r w:rsidRPr="00007450">
              <w:t xml:space="preserve">/QALY. </w:t>
            </w:r>
          </w:p>
        </w:tc>
      </w:tr>
      <w:tr w:rsidR="001C79E4" w:rsidRPr="00007450" w14:paraId="05AF254D" w14:textId="77777777" w:rsidTr="00055FF8">
        <w:tc>
          <w:tcPr>
            <w:tcW w:w="862" w:type="pct"/>
          </w:tcPr>
          <w:p w14:paraId="1897EC96" w14:textId="77777777" w:rsidR="001C79E4" w:rsidRPr="00007450" w:rsidRDefault="001C79E4" w:rsidP="00864C4B">
            <w:pPr>
              <w:pStyle w:val="TableText0"/>
            </w:pPr>
            <w:r w:rsidRPr="00007450">
              <w:t>Time horizon</w:t>
            </w:r>
          </w:p>
        </w:tc>
        <w:tc>
          <w:tcPr>
            <w:tcW w:w="2594" w:type="pct"/>
          </w:tcPr>
          <w:p w14:paraId="175C07A4" w14:textId="77777777" w:rsidR="001C79E4" w:rsidRPr="00007450" w:rsidRDefault="001C79E4" w:rsidP="00864C4B">
            <w:pPr>
              <w:pStyle w:val="TableText0"/>
            </w:pPr>
            <w:r w:rsidRPr="00007450">
              <w:t xml:space="preserve">30 years in the base case. This was too long given the optimistic assumption of treatment effect waning, and the younger age of the model population. </w:t>
            </w:r>
          </w:p>
        </w:tc>
        <w:tc>
          <w:tcPr>
            <w:tcW w:w="1544" w:type="pct"/>
          </w:tcPr>
          <w:p w14:paraId="409DED8E" w14:textId="6236B909" w:rsidR="001C79E4" w:rsidRPr="00007450" w:rsidRDefault="001C79E4" w:rsidP="00864C4B">
            <w:pPr>
              <w:pStyle w:val="TableText0"/>
            </w:pPr>
            <w:r w:rsidRPr="00007450">
              <w:t>High, favours ribociclib. Reducing the time horizon to 20 years increases the ICER to $</w:t>
            </w:r>
            <w:r w:rsidR="00E44B9A" w:rsidRPr="00E44B9A">
              <w:rPr>
                <w:color w:val="000000"/>
                <w:spacing w:val="53"/>
                <w:shd w:val="solid" w:color="000000" w:fill="000000"/>
                <w:fitText w:val="330" w:id="-628909562"/>
                <w14:textFill>
                  <w14:solidFill>
                    <w14:srgbClr w14:val="000000">
                      <w14:alpha w14:val="100000"/>
                    </w14:srgbClr>
                  </w14:solidFill>
                </w14:textFill>
              </w:rPr>
              <w:t>|||</w:t>
            </w:r>
            <w:r w:rsidR="00E44B9A" w:rsidRPr="00E44B9A">
              <w:rPr>
                <w:color w:val="000000"/>
                <w:spacing w:val="1"/>
                <w:shd w:val="solid" w:color="000000" w:fill="000000"/>
                <w:fitText w:val="330" w:id="-628909562"/>
                <w14:textFill>
                  <w14:solidFill>
                    <w14:srgbClr w14:val="000000">
                      <w14:alpha w14:val="100000"/>
                    </w14:srgbClr>
                  </w14:solidFill>
                </w14:textFill>
              </w:rPr>
              <w:t>|</w:t>
            </w:r>
            <w:r w:rsidR="001F6FA1" w:rsidRPr="001F6FA1">
              <w:rPr>
                <w:vertAlign w:val="superscript"/>
              </w:rPr>
              <w:t>2</w:t>
            </w:r>
            <w:r w:rsidRPr="00007450">
              <w:t>/QALY.</w:t>
            </w:r>
          </w:p>
        </w:tc>
      </w:tr>
      <w:tr w:rsidR="001C79E4" w:rsidRPr="00007450" w14:paraId="33D79EA1" w14:textId="77777777" w:rsidTr="00055FF8">
        <w:tc>
          <w:tcPr>
            <w:tcW w:w="862" w:type="pct"/>
            <w:tcBorders>
              <w:top w:val="single" w:sz="4" w:space="0" w:color="auto"/>
              <w:left w:val="single" w:sz="4" w:space="0" w:color="auto"/>
              <w:bottom w:val="single" w:sz="4" w:space="0" w:color="auto"/>
              <w:right w:val="single" w:sz="4" w:space="0" w:color="auto"/>
            </w:tcBorders>
          </w:tcPr>
          <w:p w14:paraId="2B369DBE" w14:textId="77777777" w:rsidR="001C79E4" w:rsidRPr="00007450" w:rsidRDefault="001C79E4" w:rsidP="00864C4B">
            <w:pPr>
              <w:pStyle w:val="TableText0"/>
            </w:pPr>
            <w:r w:rsidRPr="00007450">
              <w:t>Extrapolation of iDFS</w:t>
            </w:r>
          </w:p>
        </w:tc>
        <w:tc>
          <w:tcPr>
            <w:tcW w:w="2594" w:type="pct"/>
            <w:tcBorders>
              <w:top w:val="single" w:sz="4" w:space="0" w:color="auto"/>
              <w:left w:val="single" w:sz="4" w:space="0" w:color="auto"/>
              <w:bottom w:val="single" w:sz="4" w:space="0" w:color="auto"/>
              <w:right w:val="single" w:sz="4" w:space="0" w:color="auto"/>
            </w:tcBorders>
          </w:tcPr>
          <w:p w14:paraId="694E4049" w14:textId="77777777" w:rsidR="001C79E4" w:rsidRPr="00007450" w:rsidRDefault="001C79E4" w:rsidP="00864C4B">
            <w:pPr>
              <w:pStyle w:val="TableText0"/>
            </w:pPr>
            <w:r w:rsidRPr="00007450">
              <w:t xml:space="preserve">The trial iDFS curves for ribociclib + ET and for ET were extrapolated using restricted exponential distributions. The selection of the extrapolation function, especially for iDFS in the ribociclib + ET arm, was not adequately justified in the submission primarily due to the immaturity of the iDFS data from NATALEE. </w:t>
            </w:r>
          </w:p>
        </w:tc>
        <w:tc>
          <w:tcPr>
            <w:tcW w:w="1544" w:type="pct"/>
            <w:tcBorders>
              <w:top w:val="single" w:sz="4" w:space="0" w:color="auto"/>
              <w:left w:val="single" w:sz="4" w:space="0" w:color="auto"/>
              <w:bottom w:val="single" w:sz="4" w:space="0" w:color="auto"/>
              <w:right w:val="single" w:sz="4" w:space="0" w:color="auto"/>
            </w:tcBorders>
          </w:tcPr>
          <w:p w14:paraId="7A052E8C" w14:textId="65D93055" w:rsidR="001C79E4" w:rsidRPr="00007450" w:rsidRDefault="001C79E4" w:rsidP="00864C4B">
            <w:pPr>
              <w:pStyle w:val="TableText0"/>
            </w:pPr>
            <w:r w:rsidRPr="00007450">
              <w:t xml:space="preserve">High, possibly favours ribociclib. Using a Weibull extrapolation function for ribociclib + ET but </w:t>
            </w:r>
            <w:r w:rsidR="000019FD" w:rsidRPr="00007450">
              <w:t xml:space="preserve">leaving </w:t>
            </w:r>
            <w:r w:rsidRPr="00007450">
              <w:t>the parametric function for ET unchanged from the base case increases the ICER to $</w:t>
            </w:r>
            <w:r w:rsidR="00E44B9A" w:rsidRPr="00E44B9A">
              <w:rPr>
                <w:color w:val="000000"/>
                <w:spacing w:val="53"/>
                <w:shd w:val="solid" w:color="000000" w:fill="000000"/>
                <w:fitText w:val="330" w:id="-628909561"/>
                <w14:textFill>
                  <w14:solidFill>
                    <w14:srgbClr w14:val="000000">
                      <w14:alpha w14:val="100000"/>
                    </w14:srgbClr>
                  </w14:solidFill>
                </w14:textFill>
              </w:rPr>
              <w:t>|||</w:t>
            </w:r>
            <w:r w:rsidR="00E44B9A" w:rsidRPr="00E44B9A">
              <w:rPr>
                <w:color w:val="000000"/>
                <w:spacing w:val="1"/>
                <w:shd w:val="solid" w:color="000000" w:fill="000000"/>
                <w:fitText w:val="330" w:id="-628909561"/>
                <w14:textFill>
                  <w14:solidFill>
                    <w14:srgbClr w14:val="000000">
                      <w14:alpha w14:val="100000"/>
                    </w14:srgbClr>
                  </w14:solidFill>
                </w14:textFill>
              </w:rPr>
              <w:t>|</w:t>
            </w:r>
            <w:r w:rsidR="001F6FA1">
              <w:rPr>
                <w:vertAlign w:val="superscript"/>
              </w:rPr>
              <w:t>2</w:t>
            </w:r>
            <w:r w:rsidRPr="00007450">
              <w:t>/QALY.</w:t>
            </w:r>
            <w:r w:rsidR="004A2F0E">
              <w:t xml:space="preserve"> </w:t>
            </w:r>
          </w:p>
        </w:tc>
      </w:tr>
      <w:tr w:rsidR="001C79E4" w:rsidRPr="00007450" w14:paraId="0A66A832" w14:textId="77777777" w:rsidTr="00055FF8">
        <w:tc>
          <w:tcPr>
            <w:tcW w:w="862" w:type="pct"/>
            <w:tcBorders>
              <w:top w:val="single" w:sz="4" w:space="0" w:color="auto"/>
              <w:left w:val="single" w:sz="4" w:space="0" w:color="auto"/>
              <w:bottom w:val="single" w:sz="4" w:space="0" w:color="auto"/>
              <w:right w:val="single" w:sz="4" w:space="0" w:color="auto"/>
            </w:tcBorders>
          </w:tcPr>
          <w:p w14:paraId="71ED645F" w14:textId="77777777" w:rsidR="001C79E4" w:rsidRPr="00007450" w:rsidRDefault="001C79E4" w:rsidP="00864C4B">
            <w:pPr>
              <w:pStyle w:val="TableText0"/>
            </w:pPr>
            <w:r w:rsidRPr="00007450">
              <w:t>Distribution of iDFS events</w:t>
            </w:r>
          </w:p>
        </w:tc>
        <w:tc>
          <w:tcPr>
            <w:tcW w:w="2594" w:type="pct"/>
            <w:tcBorders>
              <w:top w:val="single" w:sz="4" w:space="0" w:color="auto"/>
              <w:left w:val="single" w:sz="4" w:space="0" w:color="auto"/>
              <w:bottom w:val="single" w:sz="4" w:space="0" w:color="auto"/>
              <w:right w:val="single" w:sz="4" w:space="0" w:color="auto"/>
            </w:tcBorders>
          </w:tcPr>
          <w:p w14:paraId="3B308134" w14:textId="77777777" w:rsidR="001C79E4" w:rsidRPr="00007450" w:rsidRDefault="001C79E4" w:rsidP="00864C4B">
            <w:pPr>
              <w:pStyle w:val="TableText0"/>
            </w:pPr>
            <w:r w:rsidRPr="00007450">
              <w:t xml:space="preserve">The submission assumed a lower proportion of iDFS events that were DRs or deaths (52.7% for ribociclib + ET vs. 59.0% for ET) in the ribociclib + ET arm compared with the ET alone arm, and this difference maintained over time until the start of the treatment effect waning. This was inadequately supported given the low number of iDFS events at the latest data cutoff in the trial. </w:t>
            </w:r>
          </w:p>
        </w:tc>
        <w:tc>
          <w:tcPr>
            <w:tcW w:w="1544" w:type="pct"/>
            <w:tcBorders>
              <w:top w:val="single" w:sz="4" w:space="0" w:color="auto"/>
              <w:left w:val="single" w:sz="4" w:space="0" w:color="auto"/>
              <w:bottom w:val="single" w:sz="4" w:space="0" w:color="auto"/>
              <w:right w:val="single" w:sz="4" w:space="0" w:color="auto"/>
            </w:tcBorders>
          </w:tcPr>
          <w:p w14:paraId="4ED988EC" w14:textId="629CD0C2" w:rsidR="001C79E4" w:rsidRPr="00007450" w:rsidRDefault="001C79E4" w:rsidP="00864C4B">
            <w:pPr>
              <w:pStyle w:val="TableText0"/>
            </w:pPr>
            <w:r w:rsidRPr="00007450">
              <w:t>High, possibly favours ribociclib. Using identical distribution of iDFS events between the two treatment arms increases the ICER to $</w:t>
            </w:r>
            <w:r w:rsidR="00E44B9A" w:rsidRPr="00E44B9A">
              <w:rPr>
                <w:color w:val="000000"/>
                <w:spacing w:val="53"/>
                <w:shd w:val="solid" w:color="000000" w:fill="000000"/>
                <w:fitText w:val="330" w:id="-628909560"/>
                <w14:textFill>
                  <w14:solidFill>
                    <w14:srgbClr w14:val="000000">
                      <w14:alpha w14:val="100000"/>
                    </w14:srgbClr>
                  </w14:solidFill>
                </w14:textFill>
              </w:rPr>
              <w:t>|||</w:t>
            </w:r>
            <w:r w:rsidR="00E44B9A" w:rsidRPr="00E44B9A">
              <w:rPr>
                <w:color w:val="000000"/>
                <w:spacing w:val="1"/>
                <w:shd w:val="solid" w:color="000000" w:fill="000000"/>
                <w:fitText w:val="330" w:id="-628909560"/>
                <w14:textFill>
                  <w14:solidFill>
                    <w14:srgbClr w14:val="000000">
                      <w14:alpha w14:val="100000"/>
                    </w14:srgbClr>
                  </w14:solidFill>
                </w14:textFill>
              </w:rPr>
              <w:t>|</w:t>
            </w:r>
            <w:r w:rsidR="001F6FA1">
              <w:rPr>
                <w:vertAlign w:val="superscript"/>
              </w:rPr>
              <w:t>2</w:t>
            </w:r>
            <w:r w:rsidRPr="00007450">
              <w:t>/QALY.</w:t>
            </w:r>
            <w:r w:rsidR="004A2F0E">
              <w:t xml:space="preserve"> </w:t>
            </w:r>
          </w:p>
        </w:tc>
      </w:tr>
      <w:tr w:rsidR="001C79E4" w:rsidRPr="00007450" w14:paraId="66717A24" w14:textId="77777777" w:rsidTr="00055FF8">
        <w:tc>
          <w:tcPr>
            <w:tcW w:w="862" w:type="pct"/>
          </w:tcPr>
          <w:p w14:paraId="1F4F2D34" w14:textId="77777777" w:rsidR="001C79E4" w:rsidRPr="00007450" w:rsidRDefault="001C79E4" w:rsidP="00864C4B">
            <w:pPr>
              <w:pStyle w:val="TableText0"/>
            </w:pPr>
            <w:r w:rsidRPr="00007450">
              <w:t>Starting age of the model patients</w:t>
            </w:r>
          </w:p>
        </w:tc>
        <w:tc>
          <w:tcPr>
            <w:tcW w:w="2594" w:type="pct"/>
          </w:tcPr>
          <w:p w14:paraId="3B85EFB8" w14:textId="7C7CC873" w:rsidR="001C79E4" w:rsidRPr="00007450" w:rsidRDefault="001C79E4" w:rsidP="00864C4B">
            <w:pPr>
              <w:pStyle w:val="TableText0"/>
            </w:pPr>
            <w:r w:rsidRPr="00007450">
              <w:t>53.5 years. This is likely</w:t>
            </w:r>
            <w:r w:rsidR="001E5685" w:rsidRPr="00007450">
              <w:t xml:space="preserve"> an</w:t>
            </w:r>
            <w:r w:rsidRPr="00007450">
              <w:t xml:space="preserve"> underestimate of the age of the patients who are eligible for ribociclib adjuvant therapy in Australian clinical practice.</w:t>
            </w:r>
          </w:p>
        </w:tc>
        <w:tc>
          <w:tcPr>
            <w:tcW w:w="1544" w:type="pct"/>
          </w:tcPr>
          <w:p w14:paraId="1C4A38CB" w14:textId="6BB251D4" w:rsidR="001C79E4" w:rsidRPr="00007450" w:rsidRDefault="001C79E4" w:rsidP="00864C4B">
            <w:pPr>
              <w:pStyle w:val="TableText0"/>
            </w:pPr>
            <w:r w:rsidRPr="00007450">
              <w:t>Moderate, favours ribociclib. Assuming a starting age of 61.4 years increases the ICER to $</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r w:rsidR="001F6FA1">
              <w:rPr>
                <w:vertAlign w:val="superscript"/>
              </w:rPr>
              <w:t>1</w:t>
            </w:r>
            <w:r w:rsidRPr="00007450">
              <w:t>/QALY.</w:t>
            </w:r>
          </w:p>
        </w:tc>
      </w:tr>
      <w:tr w:rsidR="001C79E4" w:rsidRPr="00007450" w14:paraId="480F62A0" w14:textId="77777777" w:rsidTr="00055FF8">
        <w:tc>
          <w:tcPr>
            <w:tcW w:w="862" w:type="pct"/>
            <w:tcBorders>
              <w:top w:val="single" w:sz="4" w:space="0" w:color="auto"/>
              <w:left w:val="single" w:sz="4" w:space="0" w:color="auto"/>
              <w:bottom w:val="single" w:sz="4" w:space="0" w:color="auto"/>
              <w:right w:val="single" w:sz="4" w:space="0" w:color="auto"/>
            </w:tcBorders>
          </w:tcPr>
          <w:p w14:paraId="2A67B256" w14:textId="77777777" w:rsidR="001C79E4" w:rsidRPr="00007450" w:rsidRDefault="001C79E4" w:rsidP="00864C4B">
            <w:pPr>
              <w:pStyle w:val="TableText0"/>
            </w:pPr>
            <w:r w:rsidRPr="00007450">
              <w:t>Fixed payoffs applied to patients transitioning into DR</w:t>
            </w:r>
          </w:p>
        </w:tc>
        <w:tc>
          <w:tcPr>
            <w:tcW w:w="2594" w:type="pct"/>
            <w:tcBorders>
              <w:top w:val="single" w:sz="4" w:space="0" w:color="auto"/>
              <w:left w:val="single" w:sz="4" w:space="0" w:color="auto"/>
              <w:bottom w:val="single" w:sz="4" w:space="0" w:color="auto"/>
              <w:right w:val="single" w:sz="4" w:space="0" w:color="auto"/>
            </w:tcBorders>
          </w:tcPr>
          <w:p w14:paraId="67315F5D" w14:textId="77777777" w:rsidR="001C79E4" w:rsidRPr="00007450" w:rsidRDefault="001C79E4" w:rsidP="00864C4B">
            <w:pPr>
              <w:pStyle w:val="TableText0"/>
            </w:pPr>
            <w:r w:rsidRPr="00007450">
              <w:t xml:space="preserve">The distribution of treatments for DR in Australian clinical practice with and without adjuvant ribociclib was uncertain. In addition, the populations in advanced breast cancer studies used to estimate the fixed payoffs may not be applicable to the modelled population. </w:t>
            </w:r>
          </w:p>
        </w:tc>
        <w:tc>
          <w:tcPr>
            <w:tcW w:w="1544" w:type="pct"/>
            <w:tcBorders>
              <w:top w:val="single" w:sz="4" w:space="0" w:color="auto"/>
              <w:left w:val="single" w:sz="4" w:space="0" w:color="auto"/>
              <w:bottom w:val="single" w:sz="4" w:space="0" w:color="auto"/>
              <w:right w:val="single" w:sz="4" w:space="0" w:color="auto"/>
            </w:tcBorders>
          </w:tcPr>
          <w:p w14:paraId="6C244F9E" w14:textId="77777777" w:rsidR="001C79E4" w:rsidRPr="00007450" w:rsidRDefault="001C79E4" w:rsidP="00864C4B">
            <w:pPr>
              <w:pStyle w:val="TableText0"/>
            </w:pPr>
            <w:r w:rsidRPr="00007450">
              <w:t xml:space="preserve">Unclear impact. Assumptions in relevant sensitivity analyses cannot be determined based on evidence presented. </w:t>
            </w:r>
          </w:p>
        </w:tc>
      </w:tr>
    </w:tbl>
    <w:p w14:paraId="11476247" w14:textId="77777777" w:rsidR="001C79E4" w:rsidRPr="00007450" w:rsidRDefault="001C79E4" w:rsidP="00864C4B">
      <w:pPr>
        <w:pStyle w:val="TableFigureFooter"/>
      </w:pPr>
      <w:r w:rsidRPr="00007450">
        <w:t>Source: Constructed during the evaluation.</w:t>
      </w:r>
    </w:p>
    <w:p w14:paraId="7A920293" w14:textId="77777777" w:rsidR="001C79E4" w:rsidRPr="00007450" w:rsidRDefault="001C79E4" w:rsidP="00864C4B">
      <w:pPr>
        <w:pStyle w:val="TableFigureFooter"/>
      </w:pPr>
      <w:r w:rsidRPr="00007450">
        <w:t xml:space="preserve">DR = distant recurrence; ET = endocrine therapy; ICER = incremental cost-effectiveness ratio; iDFS = invasive disease-free survival; PSM = partitioned survival model; QALY = quality adjusted life year </w:t>
      </w:r>
    </w:p>
    <w:p w14:paraId="4E79B7DD" w14:textId="1AEDED0E" w:rsidR="001C79E4" w:rsidRDefault="001C79E4" w:rsidP="00864C4B">
      <w:pPr>
        <w:pStyle w:val="TableFigureFooter"/>
      </w:pPr>
      <w:r w:rsidRPr="00007450">
        <w:t>Note: The health outcomes and costs in the DR ET-resistant PSM were undiscounted (Cells H16:I669, 'ET-Resistant PSM' spreadsheet in the “Kisqali (ribociclib) - eBC N0N1 - CEA” Excel workbook). This was corrected during the evaluation.</w:t>
      </w:r>
    </w:p>
    <w:p w14:paraId="7010AA7E" w14:textId="17648B3B" w:rsidR="0001709C" w:rsidRDefault="0001709C" w:rsidP="00864C4B">
      <w:pPr>
        <w:pStyle w:val="TableFigureFooter"/>
        <w:rPr>
          <w:i/>
          <w:iCs/>
        </w:rPr>
      </w:pPr>
      <w:r>
        <w:rPr>
          <w:i/>
          <w:iCs/>
        </w:rPr>
        <w:t>The redacted values correspond to the following ranges:</w:t>
      </w:r>
    </w:p>
    <w:p w14:paraId="1FF37C50" w14:textId="2B39354C" w:rsidR="0001709C" w:rsidRDefault="0001709C" w:rsidP="00864C4B">
      <w:pPr>
        <w:pStyle w:val="TableFigureFooter"/>
        <w:rPr>
          <w:i/>
          <w:iCs/>
        </w:rPr>
      </w:pPr>
      <w:r>
        <w:rPr>
          <w:i/>
          <w:iCs/>
          <w:vertAlign w:val="superscript"/>
        </w:rPr>
        <w:t>1</w:t>
      </w:r>
      <w:r>
        <w:rPr>
          <w:i/>
          <w:iCs/>
        </w:rPr>
        <w:t xml:space="preserve"> $35,000 to &lt; $45,000</w:t>
      </w:r>
    </w:p>
    <w:p w14:paraId="7130B7BE" w14:textId="3D06E9D3" w:rsidR="0001709C" w:rsidRPr="0001709C" w:rsidRDefault="0001709C" w:rsidP="00864C4B">
      <w:pPr>
        <w:pStyle w:val="TableFigureFooter"/>
        <w:rPr>
          <w:i/>
          <w:iCs/>
        </w:rPr>
      </w:pPr>
      <w:r w:rsidRPr="0001709C">
        <w:rPr>
          <w:i/>
          <w:iCs/>
          <w:vertAlign w:val="superscript"/>
        </w:rPr>
        <w:t>2</w:t>
      </w:r>
      <w:r>
        <w:rPr>
          <w:i/>
          <w:iCs/>
        </w:rPr>
        <w:t xml:space="preserve"> </w:t>
      </w:r>
      <w:r w:rsidR="00AE4F1E">
        <w:rPr>
          <w:i/>
          <w:iCs/>
        </w:rPr>
        <w:t>$</w:t>
      </w:r>
      <w:r w:rsidR="001F6FA1">
        <w:rPr>
          <w:i/>
          <w:iCs/>
        </w:rPr>
        <w:t>45,000 to &lt; $55,000</w:t>
      </w:r>
    </w:p>
    <w:p w14:paraId="2E8F79DE" w14:textId="51BC5D03" w:rsidR="001C79E4" w:rsidRPr="00007450" w:rsidRDefault="001C79E4" w:rsidP="00864C4B">
      <w:pPr>
        <w:pStyle w:val="3-BodyText"/>
      </w:pPr>
      <w:r w:rsidRPr="00007450">
        <w:t xml:space="preserve">The results of the stepped economic analysis are presented in </w:t>
      </w:r>
      <w:r w:rsidRPr="00007450">
        <w:fldChar w:fldCharType="begin"/>
      </w:r>
      <w:r w:rsidRPr="00007450">
        <w:instrText xml:space="preserve"> REF _Ref195370807 \h </w:instrText>
      </w:r>
      <w:r w:rsidR="00165F88" w:rsidRPr="00007450">
        <w:instrText xml:space="preserve"> \* MERGEFORMAT </w:instrText>
      </w:r>
      <w:r w:rsidRPr="00007450">
        <w:fldChar w:fldCharType="separate"/>
      </w:r>
      <w:r w:rsidR="00B36442" w:rsidRPr="00007450">
        <w:t xml:space="preserve">Table </w:t>
      </w:r>
      <w:r w:rsidR="00B36442">
        <w:rPr>
          <w:noProof/>
        </w:rPr>
        <w:t>12</w:t>
      </w:r>
      <w:r w:rsidRPr="00007450">
        <w:fldChar w:fldCharType="end"/>
      </w:r>
      <w:r w:rsidRPr="00007450">
        <w:t xml:space="preserve">. </w:t>
      </w:r>
      <w:r w:rsidR="00634DD6" w:rsidRPr="00007450">
        <w:t>R</w:t>
      </w:r>
      <w:r w:rsidRPr="00007450">
        <w:t xml:space="preserve">esults of the economic evaluation were corrected during the evaluation by incorporating a 5% annual discounting rate for health outcomes and costs accrued in the DR ET-resistant PSM. </w:t>
      </w:r>
    </w:p>
    <w:p w14:paraId="514318A8" w14:textId="52621C37" w:rsidR="001C79E4" w:rsidRPr="00007450" w:rsidRDefault="001C79E4" w:rsidP="00864C4B">
      <w:pPr>
        <w:pStyle w:val="3-BodyText"/>
      </w:pPr>
      <w:r w:rsidRPr="00007450">
        <w:t>Results presented in the table below were based on the prices for abemaciclib and palbociclib for the treatment of advanced breast cancer assumed by the submission</w:t>
      </w:r>
      <w:r w:rsidR="003D46FA" w:rsidRPr="00007450">
        <w:t xml:space="preserve"> </w:t>
      </w:r>
      <w:r w:rsidR="003D46FA" w:rsidRPr="00EF4BB7">
        <w:t>(</w:t>
      </w:r>
      <w:r w:rsidR="001C7DED" w:rsidRPr="00B36442">
        <w:rPr>
          <w:w w:val="15"/>
          <w:shd w:val="solid" w:color="000000" w:fill="000000"/>
          <w:fitText w:val="-20" w:id="-613117952"/>
          <w14:textFill>
            <w14:solidFill>
              <w14:srgbClr w14:val="000000">
                <w14:alpha w14:val="100000"/>
              </w14:srgbClr>
            </w14:solidFill>
          </w14:textFill>
        </w:rPr>
        <w:t xml:space="preserve">|  </w:t>
      </w:r>
      <w:r w:rsidR="001C7DED" w:rsidRPr="00B36442">
        <w:rPr>
          <w:spacing w:val="-69"/>
          <w:w w:val="15"/>
          <w:shd w:val="solid" w:color="000000" w:fill="000000"/>
          <w:fitText w:val="-20" w:id="-613117952"/>
          <w14:textFill>
            <w14:solidFill>
              <w14:srgbClr w14:val="000000">
                <w14:alpha w14:val="100000"/>
              </w14:srgbClr>
            </w14:solidFill>
          </w14:textFill>
        </w:rPr>
        <w:t>|</w:t>
      </w:r>
      <w:r w:rsidR="00C278C1" w:rsidRPr="00EF4BB7">
        <w:rPr>
          <w:rFonts w:cstheme="minorHAnsi"/>
        </w:rPr>
        <w:t>−</w:t>
      </w:r>
      <w:r w:rsidR="001C7DED" w:rsidRPr="00B36442">
        <w:rPr>
          <w:w w:val="15"/>
          <w:shd w:val="solid" w:color="000000" w:fill="000000"/>
          <w:fitText w:val="-20" w:id="-613117951"/>
          <w14:textFill>
            <w14:solidFill>
              <w14:srgbClr w14:val="000000">
                <w14:alpha w14:val="100000"/>
              </w14:srgbClr>
            </w14:solidFill>
          </w14:textFill>
        </w:rPr>
        <w:t xml:space="preserve">|  </w:t>
      </w:r>
      <w:r w:rsidR="001C7DED" w:rsidRPr="00B36442">
        <w:rPr>
          <w:spacing w:val="-69"/>
          <w:w w:val="15"/>
          <w:shd w:val="solid" w:color="000000" w:fill="000000"/>
          <w:fitText w:val="-20" w:id="-613117951"/>
          <w14:textFill>
            <w14:solidFill>
              <w14:srgbClr w14:val="000000">
                <w14:alpha w14:val="100000"/>
              </w14:srgbClr>
            </w14:solidFill>
          </w14:textFill>
        </w:rPr>
        <w:t>|</w:t>
      </w:r>
      <w:r w:rsidR="003D46FA" w:rsidRPr="00EF4BB7">
        <w:t xml:space="preserve">% </w:t>
      </w:r>
      <w:r w:rsidR="00087813" w:rsidRPr="00EF4BB7">
        <w:t>discount</w:t>
      </w:r>
      <w:r w:rsidR="003D46FA" w:rsidRPr="00007450">
        <w:t xml:space="preserve"> </w:t>
      </w:r>
      <w:r w:rsidR="00087813" w:rsidRPr="00007450">
        <w:t>on</w:t>
      </w:r>
      <w:r w:rsidR="003D46FA" w:rsidRPr="00007450">
        <w:t xml:space="preserve"> the published prices for abemaciclib and palbociclib)</w:t>
      </w:r>
      <w:r w:rsidRPr="00007450">
        <w:t xml:space="preserve">. </w:t>
      </w:r>
    </w:p>
    <w:p w14:paraId="1615CB29" w14:textId="116FCF20" w:rsidR="001C79E4" w:rsidRPr="00007450" w:rsidRDefault="001C79E4" w:rsidP="00864C4B">
      <w:pPr>
        <w:pStyle w:val="Caption"/>
        <w:rPr>
          <w:rStyle w:val="CommentReference"/>
          <w:b/>
          <w:szCs w:val="24"/>
        </w:rPr>
      </w:pPr>
      <w:bookmarkStart w:id="65" w:name="_Ref195370807"/>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12</w:t>
      </w:r>
      <w:r w:rsidR="001C7776">
        <w:rPr>
          <w:noProof/>
        </w:rPr>
        <w:fldChar w:fldCharType="end"/>
      </w:r>
      <w:bookmarkEnd w:id="65"/>
      <w:r w:rsidRPr="00007450">
        <w:t>:</w:t>
      </w:r>
      <w:r w:rsidRPr="00007450">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57"/>
        <w:gridCol w:w="2451"/>
        <w:gridCol w:w="2298"/>
        <w:gridCol w:w="1511"/>
      </w:tblGrid>
      <w:tr w:rsidR="001C79E4" w:rsidRPr="00007450" w14:paraId="03BE4A1D" w14:textId="77777777">
        <w:trPr>
          <w:tblHeader/>
        </w:trPr>
        <w:tc>
          <w:tcPr>
            <w:tcW w:w="1529" w:type="pct"/>
            <w:vAlign w:val="center"/>
          </w:tcPr>
          <w:p w14:paraId="5D1FAD79" w14:textId="77777777" w:rsidR="001C79E4" w:rsidRPr="00007450" w:rsidRDefault="001C79E4" w:rsidP="00864C4B">
            <w:pPr>
              <w:pStyle w:val="In-tableHeading"/>
              <w:rPr>
                <w:lang w:val="en-AU"/>
              </w:rPr>
            </w:pPr>
            <w:r w:rsidRPr="00007450">
              <w:rPr>
                <w:lang w:val="en-AU"/>
              </w:rPr>
              <w:t>Step and component</w:t>
            </w:r>
          </w:p>
        </w:tc>
        <w:tc>
          <w:tcPr>
            <w:tcW w:w="1359" w:type="pct"/>
            <w:vAlign w:val="center"/>
          </w:tcPr>
          <w:p w14:paraId="234EE309" w14:textId="77777777" w:rsidR="001C79E4" w:rsidRPr="00007450" w:rsidRDefault="001C79E4" w:rsidP="00864C4B">
            <w:pPr>
              <w:pStyle w:val="In-tableHeading"/>
              <w:jc w:val="center"/>
              <w:rPr>
                <w:lang w:val="en-AU"/>
              </w:rPr>
            </w:pPr>
            <w:r w:rsidRPr="00007450">
              <w:rPr>
                <w:lang w:val="en-AU"/>
              </w:rPr>
              <w:t>Ribociclib + ET</w:t>
            </w:r>
          </w:p>
        </w:tc>
        <w:tc>
          <w:tcPr>
            <w:tcW w:w="1274" w:type="pct"/>
            <w:vAlign w:val="center"/>
          </w:tcPr>
          <w:p w14:paraId="24688F36" w14:textId="77777777" w:rsidR="001C79E4" w:rsidRPr="00007450" w:rsidRDefault="001C79E4" w:rsidP="00864C4B">
            <w:pPr>
              <w:pStyle w:val="In-tableHeading"/>
              <w:jc w:val="center"/>
              <w:rPr>
                <w:lang w:val="en-AU"/>
              </w:rPr>
            </w:pPr>
            <w:r w:rsidRPr="00007450">
              <w:rPr>
                <w:lang w:val="en-AU"/>
              </w:rPr>
              <w:t>ET alone</w:t>
            </w:r>
          </w:p>
        </w:tc>
        <w:tc>
          <w:tcPr>
            <w:tcW w:w="838" w:type="pct"/>
            <w:vAlign w:val="center"/>
          </w:tcPr>
          <w:p w14:paraId="5A4AD445" w14:textId="77777777" w:rsidR="001C79E4" w:rsidRPr="00007450" w:rsidRDefault="001C79E4" w:rsidP="00864C4B">
            <w:pPr>
              <w:pStyle w:val="In-tableHeading"/>
              <w:jc w:val="center"/>
              <w:rPr>
                <w:lang w:val="en-AU"/>
              </w:rPr>
            </w:pPr>
            <w:r w:rsidRPr="00007450">
              <w:rPr>
                <w:lang w:val="en-AU"/>
              </w:rPr>
              <w:t>Increment</w:t>
            </w:r>
          </w:p>
        </w:tc>
      </w:tr>
      <w:tr w:rsidR="001C79E4" w:rsidRPr="00007450" w14:paraId="1C2A6E17" w14:textId="77777777">
        <w:tc>
          <w:tcPr>
            <w:tcW w:w="5000" w:type="pct"/>
            <w:gridSpan w:val="4"/>
            <w:vAlign w:val="center"/>
          </w:tcPr>
          <w:p w14:paraId="362DF55B" w14:textId="56573B27" w:rsidR="001C79E4" w:rsidRPr="00007450" w:rsidRDefault="001C79E4" w:rsidP="00864C4B">
            <w:pPr>
              <w:pStyle w:val="In-tableHeading"/>
              <w:rPr>
                <w:lang w:val="en-AU"/>
              </w:rPr>
            </w:pPr>
            <w:r w:rsidRPr="00007450">
              <w:rPr>
                <w:lang w:val="en-AU"/>
              </w:rPr>
              <w:t>Step 1: trial-based economic evaluation (drug costs only, a time horizon of 4 years</w:t>
            </w:r>
            <w:r w:rsidR="00296954" w:rsidRPr="00007450">
              <w:rPr>
                <w:lang w:val="en-AU"/>
              </w:rPr>
              <w:t>, applying a 5% discount rate for both costs and health outcomes</w:t>
            </w:r>
            <w:r w:rsidRPr="00007450">
              <w:rPr>
                <w:lang w:val="en-AU"/>
              </w:rPr>
              <w:t>)</w:t>
            </w:r>
          </w:p>
        </w:tc>
      </w:tr>
      <w:tr w:rsidR="001C79E4" w:rsidRPr="00007450" w14:paraId="713245AC" w14:textId="77777777">
        <w:tc>
          <w:tcPr>
            <w:tcW w:w="1529" w:type="pct"/>
            <w:vAlign w:val="center"/>
          </w:tcPr>
          <w:p w14:paraId="22CE2D84" w14:textId="77777777" w:rsidR="001C79E4" w:rsidRPr="00007450" w:rsidRDefault="001C79E4" w:rsidP="00864C4B">
            <w:pPr>
              <w:pStyle w:val="TableText0"/>
              <w:rPr>
                <w:rFonts w:ascii="Times" w:hAnsi="Times"/>
              </w:rPr>
            </w:pPr>
            <w:r w:rsidRPr="00007450">
              <w:t>Costs</w:t>
            </w:r>
          </w:p>
        </w:tc>
        <w:tc>
          <w:tcPr>
            <w:tcW w:w="1359" w:type="pct"/>
            <w:vAlign w:val="bottom"/>
          </w:tcPr>
          <w:p w14:paraId="5AB4ED87" w14:textId="56278DDE"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48"/>
                <w:shd w:val="solid" w:color="000000" w:fill="000000"/>
                <w:fitText w:val="315" w:id="-628909558"/>
                <w14:textFill>
                  <w14:solidFill>
                    <w14:srgbClr w14:val="000000">
                      <w14:alpha w14:val="100000"/>
                    </w14:srgbClr>
                  </w14:solidFill>
                </w14:textFill>
              </w:rPr>
              <w:t>|||</w:t>
            </w:r>
            <w:r w:rsidR="00E44B9A" w:rsidRPr="00E44B9A">
              <w:rPr>
                <w:rFonts w:cs="Calibri"/>
                <w:color w:val="000000"/>
                <w:spacing w:val="1"/>
                <w:shd w:val="solid" w:color="000000" w:fill="000000"/>
                <w:fitText w:val="315" w:id="-628909558"/>
                <w14:textFill>
                  <w14:solidFill>
                    <w14:srgbClr w14:val="000000">
                      <w14:alpha w14:val="100000"/>
                    </w14:srgbClr>
                  </w14:solidFill>
                </w14:textFill>
              </w:rPr>
              <w:t>|</w:t>
            </w:r>
          </w:p>
        </w:tc>
        <w:tc>
          <w:tcPr>
            <w:tcW w:w="1274" w:type="pct"/>
            <w:vAlign w:val="bottom"/>
          </w:tcPr>
          <w:p w14:paraId="6A09464E" w14:textId="77777777" w:rsidR="001C79E4" w:rsidRPr="00007450" w:rsidRDefault="001C79E4" w:rsidP="00864C4B">
            <w:pPr>
              <w:pStyle w:val="TableText0"/>
              <w:jc w:val="center"/>
              <w:rPr>
                <w:rFonts w:ascii="Times" w:hAnsi="Times"/>
              </w:rPr>
            </w:pPr>
            <w:r w:rsidRPr="00007450">
              <w:rPr>
                <w:rFonts w:cs="Calibri"/>
              </w:rPr>
              <w:t>$4,741</w:t>
            </w:r>
          </w:p>
        </w:tc>
        <w:tc>
          <w:tcPr>
            <w:tcW w:w="838" w:type="pct"/>
            <w:vAlign w:val="bottom"/>
          </w:tcPr>
          <w:p w14:paraId="00DB1E9E" w14:textId="5709CA6B"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53"/>
                <w:shd w:val="solid" w:color="000000" w:fill="000000"/>
                <w:fitText w:val="330" w:id="-628909557"/>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57"/>
                <w14:textFill>
                  <w14:solidFill>
                    <w14:srgbClr w14:val="000000">
                      <w14:alpha w14:val="100000"/>
                    </w14:srgbClr>
                  </w14:solidFill>
                </w14:textFill>
              </w:rPr>
              <w:t>|</w:t>
            </w:r>
          </w:p>
        </w:tc>
      </w:tr>
      <w:tr w:rsidR="001C79E4" w:rsidRPr="00007450" w14:paraId="16B8231B" w14:textId="77777777">
        <w:tc>
          <w:tcPr>
            <w:tcW w:w="1529" w:type="pct"/>
            <w:vAlign w:val="center"/>
          </w:tcPr>
          <w:p w14:paraId="30A7D31E" w14:textId="77777777" w:rsidR="001C79E4" w:rsidRPr="00007450" w:rsidRDefault="001C79E4" w:rsidP="00864C4B">
            <w:pPr>
              <w:pStyle w:val="TableText0"/>
              <w:rPr>
                <w:rFonts w:ascii="Times" w:hAnsi="Times"/>
              </w:rPr>
            </w:pPr>
            <w:r w:rsidRPr="00007450">
              <w:t>LYs gained</w:t>
            </w:r>
          </w:p>
        </w:tc>
        <w:tc>
          <w:tcPr>
            <w:tcW w:w="1359" w:type="pct"/>
            <w:vAlign w:val="bottom"/>
          </w:tcPr>
          <w:p w14:paraId="315B000A" w14:textId="77777777" w:rsidR="001C79E4" w:rsidRPr="00007450" w:rsidRDefault="001C79E4" w:rsidP="00864C4B">
            <w:pPr>
              <w:pStyle w:val="TableText0"/>
              <w:jc w:val="center"/>
              <w:rPr>
                <w:rFonts w:ascii="Times" w:hAnsi="Times"/>
              </w:rPr>
            </w:pPr>
            <w:r w:rsidRPr="00007450">
              <w:rPr>
                <w:rFonts w:cs="Calibri"/>
              </w:rPr>
              <w:t>3.77</w:t>
            </w:r>
          </w:p>
        </w:tc>
        <w:tc>
          <w:tcPr>
            <w:tcW w:w="1274" w:type="pct"/>
            <w:vAlign w:val="bottom"/>
          </w:tcPr>
          <w:p w14:paraId="0B1D46D1" w14:textId="77777777" w:rsidR="001C79E4" w:rsidRPr="00007450" w:rsidRDefault="001C79E4" w:rsidP="00864C4B">
            <w:pPr>
              <w:pStyle w:val="TableText0"/>
              <w:jc w:val="center"/>
              <w:rPr>
                <w:rFonts w:ascii="Times" w:hAnsi="Times"/>
              </w:rPr>
            </w:pPr>
            <w:r w:rsidRPr="00007450">
              <w:rPr>
                <w:rFonts w:cs="Calibri"/>
              </w:rPr>
              <w:t>3.81</w:t>
            </w:r>
          </w:p>
        </w:tc>
        <w:tc>
          <w:tcPr>
            <w:tcW w:w="838" w:type="pct"/>
            <w:vAlign w:val="bottom"/>
          </w:tcPr>
          <w:p w14:paraId="7D3288D4" w14:textId="77777777" w:rsidR="001C79E4" w:rsidRPr="00007450" w:rsidRDefault="001C79E4" w:rsidP="00864C4B">
            <w:pPr>
              <w:pStyle w:val="TableText0"/>
              <w:jc w:val="center"/>
            </w:pPr>
            <w:r w:rsidRPr="00007450">
              <w:rPr>
                <w:rFonts w:cs="Calibri"/>
              </w:rPr>
              <w:t>-0.05</w:t>
            </w:r>
          </w:p>
        </w:tc>
      </w:tr>
      <w:tr w:rsidR="001C79E4" w:rsidRPr="00007450" w14:paraId="53039252" w14:textId="77777777">
        <w:tc>
          <w:tcPr>
            <w:tcW w:w="4162" w:type="pct"/>
            <w:gridSpan w:val="3"/>
            <w:vAlign w:val="center"/>
          </w:tcPr>
          <w:p w14:paraId="3127807A" w14:textId="77777777" w:rsidR="001C79E4" w:rsidRPr="00007450" w:rsidRDefault="001C79E4" w:rsidP="00864C4B">
            <w:pPr>
              <w:pStyle w:val="TableText0"/>
              <w:rPr>
                <w:rFonts w:ascii="Times" w:hAnsi="Times"/>
              </w:rPr>
            </w:pPr>
            <w:r w:rsidRPr="00007450">
              <w:t>Incremental cost/extra LY gained</w:t>
            </w:r>
          </w:p>
        </w:tc>
        <w:tc>
          <w:tcPr>
            <w:tcW w:w="838" w:type="pct"/>
            <w:vAlign w:val="center"/>
          </w:tcPr>
          <w:p w14:paraId="53788E9A" w14:textId="77777777" w:rsidR="001C79E4" w:rsidRPr="00007450" w:rsidRDefault="001C79E4" w:rsidP="00864C4B">
            <w:pPr>
              <w:pStyle w:val="TableText0"/>
              <w:jc w:val="center"/>
              <w:rPr>
                <w:rFonts w:ascii="Times" w:hAnsi="Times"/>
              </w:rPr>
            </w:pPr>
            <w:r w:rsidRPr="00007450">
              <w:rPr>
                <w:rFonts w:cs="Calibri"/>
              </w:rPr>
              <w:t>Dominated</w:t>
            </w:r>
          </w:p>
        </w:tc>
      </w:tr>
      <w:tr w:rsidR="001C79E4" w:rsidRPr="00007450" w14:paraId="6D35A97A" w14:textId="77777777">
        <w:tc>
          <w:tcPr>
            <w:tcW w:w="5000" w:type="pct"/>
            <w:gridSpan w:val="4"/>
            <w:vAlign w:val="center"/>
          </w:tcPr>
          <w:p w14:paraId="4B112E9A" w14:textId="77777777" w:rsidR="001C79E4" w:rsidRPr="00007450" w:rsidRDefault="001C79E4" w:rsidP="00864C4B">
            <w:pPr>
              <w:pStyle w:val="In-tableHeading"/>
              <w:rPr>
                <w:lang w:val="en-AU"/>
              </w:rPr>
            </w:pPr>
            <w:r w:rsidRPr="00007450">
              <w:rPr>
                <w:lang w:val="en-AU"/>
              </w:rPr>
              <w:t>Step 2: Time horizon extended to 30 years</w:t>
            </w:r>
          </w:p>
        </w:tc>
      </w:tr>
      <w:tr w:rsidR="001C79E4" w:rsidRPr="00007450" w14:paraId="3CDEAF62" w14:textId="77777777">
        <w:tc>
          <w:tcPr>
            <w:tcW w:w="1529" w:type="pct"/>
            <w:vAlign w:val="center"/>
          </w:tcPr>
          <w:p w14:paraId="3EB39DDD" w14:textId="77777777" w:rsidR="001C79E4" w:rsidRPr="00007450" w:rsidRDefault="001C79E4" w:rsidP="00864C4B">
            <w:pPr>
              <w:pStyle w:val="TableText0"/>
              <w:rPr>
                <w:rFonts w:ascii="Times" w:hAnsi="Times"/>
              </w:rPr>
            </w:pPr>
            <w:r w:rsidRPr="00007450">
              <w:t>Costs</w:t>
            </w:r>
          </w:p>
        </w:tc>
        <w:tc>
          <w:tcPr>
            <w:tcW w:w="1359" w:type="pct"/>
            <w:vAlign w:val="bottom"/>
          </w:tcPr>
          <w:p w14:paraId="0BBBFA89" w14:textId="5B5B9BB1"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48"/>
                <w:shd w:val="solid" w:color="000000" w:fill="000000"/>
                <w:fitText w:val="315" w:id="-628909556"/>
                <w14:textFill>
                  <w14:solidFill>
                    <w14:srgbClr w14:val="000000">
                      <w14:alpha w14:val="100000"/>
                    </w14:srgbClr>
                  </w14:solidFill>
                </w14:textFill>
              </w:rPr>
              <w:t>|||</w:t>
            </w:r>
            <w:r w:rsidR="00E44B9A" w:rsidRPr="00E44B9A">
              <w:rPr>
                <w:rFonts w:cs="Calibri"/>
                <w:color w:val="000000"/>
                <w:spacing w:val="1"/>
                <w:shd w:val="solid" w:color="000000" w:fill="000000"/>
                <w:fitText w:val="315" w:id="-628909556"/>
                <w14:textFill>
                  <w14:solidFill>
                    <w14:srgbClr w14:val="000000">
                      <w14:alpha w14:val="100000"/>
                    </w14:srgbClr>
                  </w14:solidFill>
                </w14:textFill>
              </w:rPr>
              <w:t>|</w:t>
            </w:r>
          </w:p>
        </w:tc>
        <w:tc>
          <w:tcPr>
            <w:tcW w:w="1274" w:type="pct"/>
            <w:vAlign w:val="bottom"/>
          </w:tcPr>
          <w:p w14:paraId="458705AD" w14:textId="77777777" w:rsidR="001C79E4" w:rsidRPr="00007450" w:rsidRDefault="001C79E4" w:rsidP="00864C4B">
            <w:pPr>
              <w:pStyle w:val="TableText0"/>
              <w:jc w:val="center"/>
              <w:rPr>
                <w:rFonts w:ascii="Times" w:hAnsi="Times"/>
              </w:rPr>
            </w:pPr>
            <w:r w:rsidRPr="00007450">
              <w:rPr>
                <w:rFonts w:cs="Calibri"/>
              </w:rPr>
              <w:t>$5,550</w:t>
            </w:r>
          </w:p>
        </w:tc>
        <w:tc>
          <w:tcPr>
            <w:tcW w:w="838" w:type="pct"/>
            <w:vAlign w:val="bottom"/>
          </w:tcPr>
          <w:p w14:paraId="67F1A89E" w14:textId="44C06087"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53"/>
                <w:shd w:val="solid" w:color="000000" w:fill="000000"/>
                <w:fitText w:val="330" w:id="-628909555"/>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55"/>
                <w14:textFill>
                  <w14:solidFill>
                    <w14:srgbClr w14:val="000000">
                      <w14:alpha w14:val="100000"/>
                    </w14:srgbClr>
                  </w14:solidFill>
                </w14:textFill>
              </w:rPr>
              <w:t>|</w:t>
            </w:r>
          </w:p>
        </w:tc>
      </w:tr>
      <w:tr w:rsidR="001C79E4" w:rsidRPr="00007450" w14:paraId="546B7B57" w14:textId="77777777">
        <w:tc>
          <w:tcPr>
            <w:tcW w:w="1529" w:type="pct"/>
            <w:vAlign w:val="center"/>
          </w:tcPr>
          <w:p w14:paraId="45FB115A" w14:textId="77777777" w:rsidR="001C79E4" w:rsidRPr="00007450" w:rsidRDefault="001C79E4" w:rsidP="00864C4B">
            <w:pPr>
              <w:pStyle w:val="TableText0"/>
              <w:rPr>
                <w:rFonts w:ascii="Times" w:hAnsi="Times"/>
              </w:rPr>
            </w:pPr>
            <w:r w:rsidRPr="00007450">
              <w:t>LYs gained</w:t>
            </w:r>
          </w:p>
        </w:tc>
        <w:tc>
          <w:tcPr>
            <w:tcW w:w="1359" w:type="pct"/>
            <w:vAlign w:val="bottom"/>
          </w:tcPr>
          <w:p w14:paraId="4BD57FDD" w14:textId="77777777" w:rsidR="001C79E4" w:rsidRPr="00007450" w:rsidRDefault="001C79E4" w:rsidP="00864C4B">
            <w:pPr>
              <w:pStyle w:val="TableText0"/>
              <w:jc w:val="center"/>
              <w:rPr>
                <w:rFonts w:ascii="Times" w:hAnsi="Times"/>
              </w:rPr>
            </w:pPr>
            <w:r w:rsidRPr="00007450">
              <w:rPr>
                <w:rFonts w:cs="Calibri"/>
              </w:rPr>
              <w:t>13.83</w:t>
            </w:r>
          </w:p>
        </w:tc>
        <w:tc>
          <w:tcPr>
            <w:tcW w:w="1274" w:type="pct"/>
            <w:vAlign w:val="bottom"/>
          </w:tcPr>
          <w:p w14:paraId="589716C7" w14:textId="77777777" w:rsidR="001C79E4" w:rsidRPr="00007450" w:rsidRDefault="001C79E4" w:rsidP="00864C4B">
            <w:pPr>
              <w:pStyle w:val="TableText0"/>
              <w:jc w:val="center"/>
              <w:rPr>
                <w:rFonts w:ascii="Times" w:hAnsi="Times"/>
              </w:rPr>
            </w:pPr>
            <w:r w:rsidRPr="00007450">
              <w:rPr>
                <w:rFonts w:cs="Calibri"/>
              </w:rPr>
              <w:t>13.28</w:t>
            </w:r>
          </w:p>
        </w:tc>
        <w:tc>
          <w:tcPr>
            <w:tcW w:w="838" w:type="pct"/>
            <w:vAlign w:val="bottom"/>
          </w:tcPr>
          <w:p w14:paraId="3751B3CC" w14:textId="77777777" w:rsidR="001C79E4" w:rsidRPr="00007450" w:rsidRDefault="001C79E4" w:rsidP="00864C4B">
            <w:pPr>
              <w:pStyle w:val="TableText0"/>
              <w:jc w:val="center"/>
            </w:pPr>
            <w:r w:rsidRPr="00007450">
              <w:rPr>
                <w:rFonts w:cs="Calibri"/>
              </w:rPr>
              <w:t>0.55</w:t>
            </w:r>
          </w:p>
        </w:tc>
      </w:tr>
      <w:tr w:rsidR="001C79E4" w:rsidRPr="00007450" w14:paraId="01C0690F" w14:textId="77777777">
        <w:tc>
          <w:tcPr>
            <w:tcW w:w="4162" w:type="pct"/>
            <w:gridSpan w:val="3"/>
            <w:vAlign w:val="center"/>
          </w:tcPr>
          <w:p w14:paraId="3A679777" w14:textId="77777777" w:rsidR="001C79E4" w:rsidRPr="00007450" w:rsidRDefault="001C79E4" w:rsidP="00864C4B">
            <w:pPr>
              <w:pStyle w:val="TableText0"/>
              <w:rPr>
                <w:rFonts w:ascii="Times" w:hAnsi="Times"/>
              </w:rPr>
            </w:pPr>
            <w:r w:rsidRPr="00007450">
              <w:t>Incremental cost/extra LY gained</w:t>
            </w:r>
          </w:p>
        </w:tc>
        <w:tc>
          <w:tcPr>
            <w:tcW w:w="838" w:type="pct"/>
            <w:vAlign w:val="center"/>
          </w:tcPr>
          <w:p w14:paraId="332A886C" w14:textId="451700F6" w:rsidR="001C79E4" w:rsidRPr="009C793D" w:rsidRDefault="001C79E4" w:rsidP="00864C4B">
            <w:pPr>
              <w:pStyle w:val="TableText0"/>
              <w:jc w:val="center"/>
              <w:rPr>
                <w:rFonts w:ascii="Times" w:hAnsi="Times"/>
                <w:vertAlign w:val="superscript"/>
              </w:rPr>
            </w:pPr>
            <w:r w:rsidRPr="00007450">
              <w:rPr>
                <w:rFonts w:cs="Calibri"/>
              </w:rPr>
              <w:t>$</w:t>
            </w:r>
            <w:r w:rsidR="00E44B9A" w:rsidRPr="00E44B9A">
              <w:rPr>
                <w:rFonts w:cs="Calibri"/>
                <w:color w:val="000000"/>
                <w:spacing w:val="53"/>
                <w:shd w:val="solid" w:color="000000" w:fill="000000"/>
                <w:fitText w:val="330" w:id="-628909554"/>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54"/>
                <w14:textFill>
                  <w14:solidFill>
                    <w14:srgbClr w14:val="000000">
                      <w14:alpha w14:val="100000"/>
                    </w14:srgbClr>
                  </w14:solidFill>
                </w14:textFill>
              </w:rPr>
              <w:t>|</w:t>
            </w:r>
            <w:r w:rsidR="009C793D">
              <w:rPr>
                <w:rFonts w:cs="Calibri"/>
                <w:vertAlign w:val="superscript"/>
              </w:rPr>
              <w:t>1</w:t>
            </w:r>
          </w:p>
        </w:tc>
      </w:tr>
      <w:tr w:rsidR="001C79E4" w:rsidRPr="00007450" w14:paraId="6E27197E" w14:textId="77777777">
        <w:tc>
          <w:tcPr>
            <w:tcW w:w="5000" w:type="pct"/>
            <w:gridSpan w:val="4"/>
            <w:vAlign w:val="center"/>
          </w:tcPr>
          <w:p w14:paraId="4D8B2569" w14:textId="77777777" w:rsidR="001C79E4" w:rsidRPr="00007450" w:rsidRDefault="001C79E4" w:rsidP="00864C4B">
            <w:pPr>
              <w:pStyle w:val="In-tableHeading"/>
              <w:rPr>
                <w:lang w:val="en-AU"/>
              </w:rPr>
            </w:pPr>
            <w:r w:rsidRPr="00007450">
              <w:rPr>
                <w:lang w:val="en-AU"/>
              </w:rPr>
              <w:t>Step 3: Incorporation of medical resource costs</w:t>
            </w:r>
          </w:p>
        </w:tc>
      </w:tr>
      <w:tr w:rsidR="001C79E4" w:rsidRPr="00007450" w14:paraId="77B9BA83" w14:textId="77777777">
        <w:tc>
          <w:tcPr>
            <w:tcW w:w="1529" w:type="pct"/>
            <w:vAlign w:val="center"/>
          </w:tcPr>
          <w:p w14:paraId="6D09DA47" w14:textId="77777777" w:rsidR="001C79E4" w:rsidRPr="00007450" w:rsidRDefault="001C79E4" w:rsidP="00864C4B">
            <w:pPr>
              <w:pStyle w:val="TableText0"/>
              <w:rPr>
                <w:rFonts w:ascii="Times" w:hAnsi="Times"/>
              </w:rPr>
            </w:pPr>
            <w:r w:rsidRPr="00007450">
              <w:t>Costs</w:t>
            </w:r>
          </w:p>
        </w:tc>
        <w:tc>
          <w:tcPr>
            <w:tcW w:w="1359" w:type="pct"/>
            <w:vAlign w:val="bottom"/>
          </w:tcPr>
          <w:p w14:paraId="2E07B806" w14:textId="01E296B5"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48"/>
                <w:shd w:val="solid" w:color="000000" w:fill="000000"/>
                <w:fitText w:val="315" w:id="-628909553"/>
                <w14:textFill>
                  <w14:solidFill>
                    <w14:srgbClr w14:val="000000">
                      <w14:alpha w14:val="100000"/>
                    </w14:srgbClr>
                  </w14:solidFill>
                </w14:textFill>
              </w:rPr>
              <w:t>|||</w:t>
            </w:r>
            <w:r w:rsidR="00E44B9A" w:rsidRPr="00E44B9A">
              <w:rPr>
                <w:rFonts w:cs="Calibri"/>
                <w:color w:val="000000"/>
                <w:spacing w:val="1"/>
                <w:shd w:val="solid" w:color="000000" w:fill="000000"/>
                <w:fitText w:val="315" w:id="-628909553"/>
                <w14:textFill>
                  <w14:solidFill>
                    <w14:srgbClr w14:val="000000">
                      <w14:alpha w14:val="100000"/>
                    </w14:srgbClr>
                  </w14:solidFill>
                </w14:textFill>
              </w:rPr>
              <w:t>|</w:t>
            </w:r>
          </w:p>
        </w:tc>
        <w:tc>
          <w:tcPr>
            <w:tcW w:w="1274" w:type="pct"/>
            <w:vAlign w:val="bottom"/>
          </w:tcPr>
          <w:p w14:paraId="792B9D1C" w14:textId="77777777" w:rsidR="001C79E4" w:rsidRPr="00007450" w:rsidRDefault="001C79E4" w:rsidP="00864C4B">
            <w:pPr>
              <w:pStyle w:val="TableText0"/>
              <w:jc w:val="center"/>
              <w:rPr>
                <w:rFonts w:ascii="Times" w:hAnsi="Times"/>
              </w:rPr>
            </w:pPr>
            <w:r w:rsidRPr="00007450">
              <w:rPr>
                <w:rFonts w:cs="Calibri"/>
              </w:rPr>
              <w:t>$26,185</w:t>
            </w:r>
          </w:p>
        </w:tc>
        <w:tc>
          <w:tcPr>
            <w:tcW w:w="838" w:type="pct"/>
            <w:vAlign w:val="bottom"/>
          </w:tcPr>
          <w:p w14:paraId="193740B2" w14:textId="1C7D9BF0"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53"/>
                <w:shd w:val="solid" w:color="000000" w:fill="000000"/>
                <w:fitText w:val="330" w:id="-628909552"/>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52"/>
                <w14:textFill>
                  <w14:solidFill>
                    <w14:srgbClr w14:val="000000">
                      <w14:alpha w14:val="100000"/>
                    </w14:srgbClr>
                  </w14:solidFill>
                </w14:textFill>
              </w:rPr>
              <w:t>|</w:t>
            </w:r>
          </w:p>
        </w:tc>
      </w:tr>
      <w:tr w:rsidR="001C79E4" w:rsidRPr="00007450" w14:paraId="157C45CF" w14:textId="77777777">
        <w:tc>
          <w:tcPr>
            <w:tcW w:w="1529" w:type="pct"/>
            <w:vAlign w:val="center"/>
          </w:tcPr>
          <w:p w14:paraId="2B35293B" w14:textId="77777777" w:rsidR="001C79E4" w:rsidRPr="00007450" w:rsidRDefault="001C79E4" w:rsidP="00864C4B">
            <w:pPr>
              <w:pStyle w:val="TableText0"/>
              <w:rPr>
                <w:rFonts w:ascii="Times" w:hAnsi="Times"/>
              </w:rPr>
            </w:pPr>
            <w:r w:rsidRPr="00007450">
              <w:t>LY gained</w:t>
            </w:r>
          </w:p>
        </w:tc>
        <w:tc>
          <w:tcPr>
            <w:tcW w:w="1359" w:type="pct"/>
            <w:vAlign w:val="bottom"/>
          </w:tcPr>
          <w:p w14:paraId="317B76CE" w14:textId="77777777" w:rsidR="001C79E4" w:rsidRPr="00007450" w:rsidRDefault="001C79E4" w:rsidP="00864C4B">
            <w:pPr>
              <w:pStyle w:val="TableText0"/>
              <w:jc w:val="center"/>
              <w:rPr>
                <w:rFonts w:ascii="Times" w:hAnsi="Times"/>
              </w:rPr>
            </w:pPr>
            <w:r w:rsidRPr="00007450">
              <w:rPr>
                <w:rFonts w:cs="Calibri"/>
              </w:rPr>
              <w:t>13.83</w:t>
            </w:r>
          </w:p>
        </w:tc>
        <w:tc>
          <w:tcPr>
            <w:tcW w:w="1274" w:type="pct"/>
            <w:vAlign w:val="bottom"/>
          </w:tcPr>
          <w:p w14:paraId="6889836B" w14:textId="77777777" w:rsidR="001C79E4" w:rsidRPr="00007450" w:rsidRDefault="001C79E4" w:rsidP="00864C4B">
            <w:pPr>
              <w:pStyle w:val="TableText0"/>
              <w:jc w:val="center"/>
              <w:rPr>
                <w:rFonts w:ascii="Times" w:hAnsi="Times"/>
              </w:rPr>
            </w:pPr>
            <w:r w:rsidRPr="00007450">
              <w:rPr>
                <w:rFonts w:cs="Calibri"/>
              </w:rPr>
              <w:t>13.28</w:t>
            </w:r>
          </w:p>
        </w:tc>
        <w:tc>
          <w:tcPr>
            <w:tcW w:w="838" w:type="pct"/>
            <w:vAlign w:val="bottom"/>
          </w:tcPr>
          <w:p w14:paraId="7E837DC1" w14:textId="77777777" w:rsidR="001C79E4" w:rsidRPr="00007450" w:rsidRDefault="001C79E4" w:rsidP="00864C4B">
            <w:pPr>
              <w:pStyle w:val="TableText0"/>
              <w:jc w:val="center"/>
            </w:pPr>
            <w:r w:rsidRPr="00007450">
              <w:rPr>
                <w:rFonts w:cs="Calibri"/>
              </w:rPr>
              <w:t>0.55</w:t>
            </w:r>
          </w:p>
        </w:tc>
      </w:tr>
      <w:tr w:rsidR="001C79E4" w:rsidRPr="00007450" w14:paraId="57505435" w14:textId="77777777">
        <w:tc>
          <w:tcPr>
            <w:tcW w:w="4162" w:type="pct"/>
            <w:gridSpan w:val="3"/>
            <w:vAlign w:val="center"/>
          </w:tcPr>
          <w:p w14:paraId="5B8ED0DE" w14:textId="77777777" w:rsidR="001C79E4" w:rsidRPr="00007450" w:rsidRDefault="001C79E4" w:rsidP="00864C4B">
            <w:pPr>
              <w:pStyle w:val="TableText0"/>
              <w:rPr>
                <w:rFonts w:ascii="Times" w:hAnsi="Times"/>
              </w:rPr>
            </w:pPr>
            <w:r w:rsidRPr="00007450">
              <w:t>Incremental cost/extra LY gained</w:t>
            </w:r>
          </w:p>
        </w:tc>
        <w:tc>
          <w:tcPr>
            <w:tcW w:w="838" w:type="pct"/>
            <w:vAlign w:val="center"/>
          </w:tcPr>
          <w:p w14:paraId="10EFB71B" w14:textId="647E75FE" w:rsidR="001C79E4" w:rsidRPr="00B839DB" w:rsidRDefault="001C79E4" w:rsidP="00864C4B">
            <w:pPr>
              <w:pStyle w:val="TableText0"/>
              <w:jc w:val="center"/>
              <w:rPr>
                <w:rFonts w:ascii="Times" w:hAnsi="Times"/>
                <w:vertAlign w:val="superscript"/>
              </w:rPr>
            </w:pPr>
            <w:r w:rsidRPr="00007450">
              <w:rPr>
                <w:rFonts w:cs="Calibri"/>
              </w:rPr>
              <w:t>$</w:t>
            </w:r>
            <w:r w:rsidR="00E44B9A" w:rsidRPr="00E44B9A">
              <w:rPr>
                <w:rFonts w:cs="Calibri"/>
                <w:color w:val="000000"/>
                <w:spacing w:val="53"/>
                <w:shd w:val="solid" w:color="000000" w:fill="000000"/>
                <w:fitText w:val="330" w:id="-628909568"/>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68"/>
                <w14:textFill>
                  <w14:solidFill>
                    <w14:srgbClr w14:val="000000">
                      <w14:alpha w14:val="100000"/>
                    </w14:srgbClr>
                  </w14:solidFill>
                </w14:textFill>
              </w:rPr>
              <w:t>|</w:t>
            </w:r>
            <w:r w:rsidR="00B839DB">
              <w:rPr>
                <w:rFonts w:cs="Calibri"/>
                <w:vertAlign w:val="superscript"/>
              </w:rPr>
              <w:t>2</w:t>
            </w:r>
          </w:p>
        </w:tc>
      </w:tr>
      <w:tr w:rsidR="001C79E4" w:rsidRPr="00007450" w14:paraId="137C535D" w14:textId="77777777">
        <w:tc>
          <w:tcPr>
            <w:tcW w:w="5000" w:type="pct"/>
            <w:gridSpan w:val="4"/>
            <w:vAlign w:val="center"/>
          </w:tcPr>
          <w:p w14:paraId="3FBB6772" w14:textId="77777777" w:rsidR="001C79E4" w:rsidRPr="00007450" w:rsidRDefault="001C79E4" w:rsidP="00864C4B">
            <w:pPr>
              <w:pStyle w:val="In-tableHeading"/>
              <w:rPr>
                <w:lang w:val="en-AU"/>
              </w:rPr>
            </w:pPr>
            <w:r w:rsidRPr="00007450">
              <w:rPr>
                <w:lang w:val="en-AU"/>
              </w:rPr>
              <w:t>Step 4: Utility weights applied</w:t>
            </w:r>
          </w:p>
        </w:tc>
      </w:tr>
      <w:tr w:rsidR="001C79E4" w:rsidRPr="00007450" w14:paraId="0E3133CB" w14:textId="77777777">
        <w:tc>
          <w:tcPr>
            <w:tcW w:w="1529" w:type="pct"/>
            <w:vAlign w:val="center"/>
          </w:tcPr>
          <w:p w14:paraId="2396CD2F" w14:textId="77777777" w:rsidR="001C79E4" w:rsidRPr="00007450" w:rsidRDefault="001C79E4" w:rsidP="00864C4B">
            <w:pPr>
              <w:pStyle w:val="TableText0"/>
              <w:rPr>
                <w:rFonts w:ascii="Times" w:hAnsi="Times"/>
              </w:rPr>
            </w:pPr>
            <w:r w:rsidRPr="00007450">
              <w:t>Costs</w:t>
            </w:r>
          </w:p>
        </w:tc>
        <w:tc>
          <w:tcPr>
            <w:tcW w:w="1359" w:type="pct"/>
            <w:vAlign w:val="bottom"/>
          </w:tcPr>
          <w:p w14:paraId="6B4A58F7" w14:textId="268267C6"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48"/>
                <w:shd w:val="solid" w:color="000000" w:fill="000000"/>
                <w:fitText w:val="315" w:id="-628909567"/>
                <w14:textFill>
                  <w14:solidFill>
                    <w14:srgbClr w14:val="000000">
                      <w14:alpha w14:val="100000"/>
                    </w14:srgbClr>
                  </w14:solidFill>
                </w14:textFill>
              </w:rPr>
              <w:t>|||</w:t>
            </w:r>
            <w:r w:rsidR="00E44B9A" w:rsidRPr="00E44B9A">
              <w:rPr>
                <w:rFonts w:cs="Calibri"/>
                <w:color w:val="000000"/>
                <w:spacing w:val="1"/>
                <w:shd w:val="solid" w:color="000000" w:fill="000000"/>
                <w:fitText w:val="315" w:id="-628909567"/>
                <w14:textFill>
                  <w14:solidFill>
                    <w14:srgbClr w14:val="000000">
                      <w14:alpha w14:val="100000"/>
                    </w14:srgbClr>
                  </w14:solidFill>
                </w14:textFill>
              </w:rPr>
              <w:t>|</w:t>
            </w:r>
          </w:p>
        </w:tc>
        <w:tc>
          <w:tcPr>
            <w:tcW w:w="1274" w:type="pct"/>
            <w:vAlign w:val="bottom"/>
          </w:tcPr>
          <w:p w14:paraId="1E43F438" w14:textId="77777777" w:rsidR="001C79E4" w:rsidRPr="00007450" w:rsidRDefault="001C79E4" w:rsidP="00864C4B">
            <w:pPr>
              <w:pStyle w:val="TableText0"/>
              <w:jc w:val="center"/>
              <w:rPr>
                <w:rFonts w:ascii="Times" w:hAnsi="Times"/>
              </w:rPr>
            </w:pPr>
            <w:r w:rsidRPr="00007450">
              <w:rPr>
                <w:rFonts w:cs="Calibri"/>
              </w:rPr>
              <w:t>$26,185</w:t>
            </w:r>
          </w:p>
        </w:tc>
        <w:tc>
          <w:tcPr>
            <w:tcW w:w="838" w:type="pct"/>
            <w:vAlign w:val="bottom"/>
          </w:tcPr>
          <w:p w14:paraId="2FFCBED1" w14:textId="2BE12E38" w:rsidR="001C79E4" w:rsidRPr="00007450" w:rsidRDefault="001C79E4" w:rsidP="00864C4B">
            <w:pPr>
              <w:pStyle w:val="TableText0"/>
              <w:jc w:val="center"/>
              <w:rPr>
                <w:rFonts w:ascii="Times" w:hAnsi="Times"/>
              </w:rPr>
            </w:pPr>
            <w:r w:rsidRPr="00007450">
              <w:rPr>
                <w:rFonts w:cs="Calibri"/>
              </w:rPr>
              <w:t>$</w:t>
            </w:r>
            <w:r w:rsidR="00E44B9A" w:rsidRPr="00E44B9A">
              <w:rPr>
                <w:rFonts w:cs="Calibri"/>
                <w:color w:val="000000"/>
                <w:spacing w:val="53"/>
                <w:shd w:val="solid" w:color="000000" w:fill="000000"/>
                <w:fitText w:val="330" w:id="-628909566"/>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66"/>
                <w14:textFill>
                  <w14:solidFill>
                    <w14:srgbClr w14:val="000000">
                      <w14:alpha w14:val="100000"/>
                    </w14:srgbClr>
                  </w14:solidFill>
                </w14:textFill>
              </w:rPr>
              <w:t>|</w:t>
            </w:r>
          </w:p>
        </w:tc>
      </w:tr>
      <w:tr w:rsidR="001C79E4" w:rsidRPr="00007450" w14:paraId="5B7405EE" w14:textId="77777777">
        <w:tc>
          <w:tcPr>
            <w:tcW w:w="1529" w:type="pct"/>
            <w:tcBorders>
              <w:bottom w:val="single" w:sz="4" w:space="0" w:color="auto"/>
            </w:tcBorders>
            <w:vAlign w:val="center"/>
          </w:tcPr>
          <w:p w14:paraId="109C9A63" w14:textId="77777777" w:rsidR="001C79E4" w:rsidRPr="00007450" w:rsidRDefault="001C79E4" w:rsidP="00864C4B">
            <w:pPr>
              <w:pStyle w:val="TableText0"/>
              <w:rPr>
                <w:rFonts w:ascii="Times" w:hAnsi="Times"/>
              </w:rPr>
            </w:pPr>
            <w:r w:rsidRPr="00007450">
              <w:t>QALYs</w:t>
            </w:r>
          </w:p>
        </w:tc>
        <w:tc>
          <w:tcPr>
            <w:tcW w:w="1359" w:type="pct"/>
            <w:tcBorders>
              <w:bottom w:val="single" w:sz="4" w:space="0" w:color="auto"/>
            </w:tcBorders>
            <w:vAlign w:val="bottom"/>
          </w:tcPr>
          <w:p w14:paraId="62DB7ED0" w14:textId="77777777" w:rsidR="001C79E4" w:rsidRPr="00007450" w:rsidRDefault="001C79E4" w:rsidP="00864C4B">
            <w:pPr>
              <w:pStyle w:val="TableText0"/>
              <w:jc w:val="center"/>
              <w:rPr>
                <w:rFonts w:ascii="Times" w:hAnsi="Times"/>
              </w:rPr>
            </w:pPr>
            <w:r w:rsidRPr="00007450">
              <w:rPr>
                <w:rFonts w:cs="Calibri"/>
              </w:rPr>
              <w:t>11.87</w:t>
            </w:r>
          </w:p>
        </w:tc>
        <w:tc>
          <w:tcPr>
            <w:tcW w:w="1274" w:type="pct"/>
            <w:tcBorders>
              <w:bottom w:val="single" w:sz="4" w:space="0" w:color="auto"/>
            </w:tcBorders>
            <w:vAlign w:val="bottom"/>
          </w:tcPr>
          <w:p w14:paraId="199CC9E8" w14:textId="77777777" w:rsidR="001C79E4" w:rsidRPr="00007450" w:rsidRDefault="001C79E4" w:rsidP="00864C4B">
            <w:pPr>
              <w:pStyle w:val="TableText0"/>
              <w:jc w:val="center"/>
              <w:rPr>
                <w:rFonts w:ascii="Times" w:hAnsi="Times"/>
              </w:rPr>
            </w:pPr>
            <w:r w:rsidRPr="00007450">
              <w:rPr>
                <w:rFonts w:cs="Calibri"/>
              </w:rPr>
              <w:t>11.38</w:t>
            </w:r>
          </w:p>
        </w:tc>
        <w:tc>
          <w:tcPr>
            <w:tcW w:w="838" w:type="pct"/>
            <w:tcBorders>
              <w:bottom w:val="single" w:sz="4" w:space="0" w:color="auto"/>
            </w:tcBorders>
            <w:vAlign w:val="bottom"/>
          </w:tcPr>
          <w:p w14:paraId="2EFA82AD" w14:textId="77777777" w:rsidR="001C79E4" w:rsidRPr="00007450" w:rsidRDefault="001C79E4" w:rsidP="00864C4B">
            <w:pPr>
              <w:pStyle w:val="TableText0"/>
              <w:jc w:val="center"/>
            </w:pPr>
            <w:r w:rsidRPr="00007450">
              <w:rPr>
                <w:rFonts w:cs="Calibri"/>
              </w:rPr>
              <w:t>0.49</w:t>
            </w:r>
          </w:p>
        </w:tc>
      </w:tr>
      <w:tr w:rsidR="001C79E4" w:rsidRPr="00007450" w14:paraId="77E8AD3A" w14:textId="77777777">
        <w:tc>
          <w:tcPr>
            <w:tcW w:w="4162" w:type="pct"/>
            <w:gridSpan w:val="3"/>
            <w:tcBorders>
              <w:bottom w:val="nil"/>
            </w:tcBorders>
            <w:vAlign w:val="center"/>
          </w:tcPr>
          <w:p w14:paraId="0D14688F" w14:textId="77777777" w:rsidR="001C79E4" w:rsidRPr="00007450" w:rsidRDefault="001C79E4" w:rsidP="00864C4B">
            <w:pPr>
              <w:pStyle w:val="TableText0"/>
              <w:rPr>
                <w:rFonts w:ascii="Times" w:hAnsi="Times"/>
              </w:rPr>
            </w:pPr>
            <w:r w:rsidRPr="00007450">
              <w:t>Incremental cost/extra QALY gained</w:t>
            </w:r>
          </w:p>
        </w:tc>
        <w:tc>
          <w:tcPr>
            <w:tcW w:w="838" w:type="pct"/>
            <w:tcBorders>
              <w:bottom w:val="nil"/>
            </w:tcBorders>
            <w:vAlign w:val="center"/>
          </w:tcPr>
          <w:p w14:paraId="62FBFB68" w14:textId="01E3714D" w:rsidR="001C79E4" w:rsidRPr="00B839DB" w:rsidRDefault="001C79E4" w:rsidP="00864C4B">
            <w:pPr>
              <w:pStyle w:val="TableText0"/>
              <w:jc w:val="center"/>
              <w:rPr>
                <w:rFonts w:ascii="Times" w:hAnsi="Times"/>
                <w:vertAlign w:val="superscript"/>
              </w:rPr>
            </w:pPr>
            <w:r w:rsidRPr="00007450">
              <w:rPr>
                <w:rFonts w:cs="Calibri"/>
              </w:rPr>
              <w:t>$</w:t>
            </w:r>
            <w:r w:rsidR="00E44B9A" w:rsidRPr="00E44B9A">
              <w:rPr>
                <w:rFonts w:cs="Calibri"/>
                <w:color w:val="000000"/>
                <w:spacing w:val="53"/>
                <w:shd w:val="solid" w:color="000000" w:fill="000000"/>
                <w:fitText w:val="330" w:id="-628909565"/>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65"/>
                <w14:textFill>
                  <w14:solidFill>
                    <w14:srgbClr w14:val="000000">
                      <w14:alpha w14:val="100000"/>
                    </w14:srgbClr>
                  </w14:solidFill>
                </w14:textFill>
              </w:rPr>
              <w:t>|</w:t>
            </w:r>
            <w:r w:rsidR="00B839DB">
              <w:rPr>
                <w:rFonts w:cs="Calibri"/>
                <w:vertAlign w:val="superscript"/>
              </w:rPr>
              <w:t>2</w:t>
            </w:r>
          </w:p>
        </w:tc>
      </w:tr>
      <w:tr w:rsidR="001C79E4" w:rsidRPr="00007450" w14:paraId="2BD82378" w14:textId="77777777">
        <w:tc>
          <w:tcPr>
            <w:tcW w:w="5000" w:type="pct"/>
            <w:gridSpan w:val="4"/>
            <w:tcBorders>
              <w:bottom w:val="single" w:sz="4" w:space="0" w:color="auto"/>
            </w:tcBorders>
            <w:vAlign w:val="center"/>
          </w:tcPr>
          <w:p w14:paraId="344A9237" w14:textId="77777777" w:rsidR="001C79E4" w:rsidRPr="00007450" w:rsidRDefault="001C79E4" w:rsidP="00864C4B">
            <w:pPr>
              <w:pStyle w:val="In-tableHeading"/>
              <w:rPr>
                <w:vertAlign w:val="superscript"/>
                <w:lang w:val="en-AU"/>
              </w:rPr>
            </w:pPr>
            <w:r w:rsidRPr="00007450">
              <w:rPr>
                <w:lang w:val="en-AU"/>
              </w:rPr>
              <w:t>Revised</w:t>
            </w:r>
            <w:r w:rsidRPr="00007450">
              <w:rPr>
                <w:vertAlign w:val="superscript"/>
                <w:lang w:val="en-AU"/>
              </w:rPr>
              <w:t>a</w:t>
            </w:r>
          </w:p>
        </w:tc>
      </w:tr>
      <w:tr w:rsidR="001C79E4" w:rsidRPr="00007450" w14:paraId="34CF3C5D" w14:textId="77777777">
        <w:tc>
          <w:tcPr>
            <w:tcW w:w="1529" w:type="pct"/>
            <w:vAlign w:val="center"/>
          </w:tcPr>
          <w:p w14:paraId="1DD5841E" w14:textId="77777777" w:rsidR="001C79E4" w:rsidRPr="00007450" w:rsidRDefault="001C79E4" w:rsidP="00864C4B">
            <w:pPr>
              <w:pStyle w:val="TableText0"/>
              <w:rPr>
                <w:rFonts w:ascii="Times" w:hAnsi="Times"/>
              </w:rPr>
            </w:pPr>
            <w:r w:rsidRPr="00007450">
              <w:t>Costs</w:t>
            </w:r>
          </w:p>
        </w:tc>
        <w:tc>
          <w:tcPr>
            <w:tcW w:w="1359" w:type="pct"/>
            <w:vAlign w:val="bottom"/>
          </w:tcPr>
          <w:p w14:paraId="233A3E5A" w14:textId="55F937CD" w:rsidR="001C79E4" w:rsidRPr="00007450" w:rsidRDefault="001C79E4" w:rsidP="00864C4B">
            <w:pPr>
              <w:pStyle w:val="TableText0"/>
              <w:jc w:val="center"/>
              <w:rPr>
                <w:rFonts w:cs="Calibri"/>
              </w:rPr>
            </w:pPr>
            <w:r w:rsidRPr="00007450">
              <w:rPr>
                <w:rFonts w:cs="Calibri"/>
              </w:rPr>
              <w:t>$</w:t>
            </w:r>
            <w:r w:rsidR="00E44B9A" w:rsidRPr="00E44B9A">
              <w:rPr>
                <w:rFonts w:cs="Calibri"/>
                <w:color w:val="000000"/>
                <w:spacing w:val="48"/>
                <w:shd w:val="solid" w:color="000000" w:fill="000000"/>
                <w:fitText w:val="315" w:id="-628909564"/>
                <w14:textFill>
                  <w14:solidFill>
                    <w14:srgbClr w14:val="000000">
                      <w14:alpha w14:val="100000"/>
                    </w14:srgbClr>
                  </w14:solidFill>
                </w14:textFill>
              </w:rPr>
              <w:t>|||</w:t>
            </w:r>
            <w:r w:rsidR="00E44B9A" w:rsidRPr="00E44B9A">
              <w:rPr>
                <w:rFonts w:cs="Calibri"/>
                <w:color w:val="000000"/>
                <w:spacing w:val="1"/>
                <w:shd w:val="solid" w:color="000000" w:fill="000000"/>
                <w:fitText w:val="315" w:id="-628909564"/>
                <w14:textFill>
                  <w14:solidFill>
                    <w14:srgbClr w14:val="000000">
                      <w14:alpha w14:val="100000"/>
                    </w14:srgbClr>
                  </w14:solidFill>
                </w14:textFill>
              </w:rPr>
              <w:t>|</w:t>
            </w:r>
          </w:p>
        </w:tc>
        <w:tc>
          <w:tcPr>
            <w:tcW w:w="1274" w:type="pct"/>
            <w:vAlign w:val="bottom"/>
          </w:tcPr>
          <w:p w14:paraId="0C76D92B" w14:textId="77777777" w:rsidR="001C79E4" w:rsidRPr="00007450" w:rsidRDefault="001C79E4" w:rsidP="00864C4B">
            <w:pPr>
              <w:pStyle w:val="TableText0"/>
              <w:jc w:val="center"/>
              <w:rPr>
                <w:rFonts w:cs="Calibri"/>
              </w:rPr>
            </w:pPr>
            <w:r w:rsidRPr="00007450">
              <w:rPr>
                <w:rFonts w:cs="Calibri"/>
              </w:rPr>
              <w:t>$24,854</w:t>
            </w:r>
          </w:p>
        </w:tc>
        <w:tc>
          <w:tcPr>
            <w:tcW w:w="838" w:type="pct"/>
            <w:vAlign w:val="bottom"/>
          </w:tcPr>
          <w:p w14:paraId="4675EB43" w14:textId="77E8306C" w:rsidR="001C79E4" w:rsidRPr="00007450" w:rsidRDefault="001C79E4" w:rsidP="00864C4B">
            <w:pPr>
              <w:pStyle w:val="TableText0"/>
              <w:jc w:val="center"/>
              <w:rPr>
                <w:rFonts w:cs="Calibri"/>
              </w:rPr>
            </w:pPr>
            <w:r w:rsidRPr="00007450">
              <w:rPr>
                <w:rFonts w:cs="Calibri"/>
              </w:rPr>
              <w:t>$</w:t>
            </w:r>
            <w:r w:rsidR="00E44B9A" w:rsidRPr="00E44B9A">
              <w:rPr>
                <w:rFonts w:cs="Calibri"/>
                <w:color w:val="000000"/>
                <w:spacing w:val="53"/>
                <w:shd w:val="solid" w:color="000000" w:fill="000000"/>
                <w:fitText w:val="330" w:id="-628909563"/>
                <w14:textFill>
                  <w14:solidFill>
                    <w14:srgbClr w14:val="000000">
                      <w14:alpha w14:val="100000"/>
                    </w14:srgbClr>
                  </w14:solidFill>
                </w14:textFill>
              </w:rPr>
              <w:t>|||</w:t>
            </w:r>
            <w:r w:rsidR="00E44B9A" w:rsidRPr="00E44B9A">
              <w:rPr>
                <w:rFonts w:cs="Calibri"/>
                <w:color w:val="000000"/>
                <w:spacing w:val="1"/>
                <w:shd w:val="solid" w:color="000000" w:fill="000000"/>
                <w:fitText w:val="330" w:id="-628909563"/>
                <w14:textFill>
                  <w14:solidFill>
                    <w14:srgbClr w14:val="000000">
                      <w14:alpha w14:val="100000"/>
                    </w14:srgbClr>
                  </w14:solidFill>
                </w14:textFill>
              </w:rPr>
              <w:t>|</w:t>
            </w:r>
          </w:p>
        </w:tc>
      </w:tr>
      <w:tr w:rsidR="001C79E4" w:rsidRPr="00007450" w14:paraId="117D261C" w14:textId="77777777">
        <w:tc>
          <w:tcPr>
            <w:tcW w:w="1529" w:type="pct"/>
            <w:tcBorders>
              <w:bottom w:val="single" w:sz="4" w:space="0" w:color="auto"/>
            </w:tcBorders>
            <w:vAlign w:val="center"/>
          </w:tcPr>
          <w:p w14:paraId="0D4B7928" w14:textId="77777777" w:rsidR="001C79E4" w:rsidRPr="00007450" w:rsidRDefault="001C79E4" w:rsidP="00864C4B">
            <w:pPr>
              <w:pStyle w:val="TableText0"/>
              <w:rPr>
                <w:rFonts w:ascii="Times" w:hAnsi="Times"/>
              </w:rPr>
            </w:pPr>
            <w:r w:rsidRPr="00007450">
              <w:t>QALYs</w:t>
            </w:r>
          </w:p>
        </w:tc>
        <w:tc>
          <w:tcPr>
            <w:tcW w:w="1359" w:type="pct"/>
            <w:tcBorders>
              <w:bottom w:val="single" w:sz="4" w:space="0" w:color="auto"/>
            </w:tcBorders>
            <w:vAlign w:val="bottom"/>
          </w:tcPr>
          <w:p w14:paraId="23739DF1" w14:textId="77777777" w:rsidR="001C79E4" w:rsidRPr="00007450" w:rsidRDefault="001C79E4" w:rsidP="00864C4B">
            <w:pPr>
              <w:pStyle w:val="TableText0"/>
              <w:jc w:val="center"/>
              <w:rPr>
                <w:rFonts w:cs="Calibri"/>
              </w:rPr>
            </w:pPr>
            <w:r w:rsidRPr="00007450">
              <w:rPr>
                <w:rFonts w:cs="Calibri"/>
              </w:rPr>
              <w:t>11.85</w:t>
            </w:r>
          </w:p>
        </w:tc>
        <w:tc>
          <w:tcPr>
            <w:tcW w:w="1274" w:type="pct"/>
            <w:tcBorders>
              <w:bottom w:val="single" w:sz="4" w:space="0" w:color="auto"/>
            </w:tcBorders>
            <w:vAlign w:val="bottom"/>
          </w:tcPr>
          <w:p w14:paraId="257EF90C" w14:textId="77777777" w:rsidR="001C79E4" w:rsidRPr="00007450" w:rsidRDefault="001C79E4" w:rsidP="00864C4B">
            <w:pPr>
              <w:pStyle w:val="TableText0"/>
              <w:jc w:val="center"/>
              <w:rPr>
                <w:rFonts w:cs="Calibri"/>
              </w:rPr>
            </w:pPr>
            <w:r w:rsidRPr="00007450">
              <w:rPr>
                <w:rFonts w:cs="Calibri"/>
              </w:rPr>
              <w:t>11.33</w:t>
            </w:r>
          </w:p>
        </w:tc>
        <w:tc>
          <w:tcPr>
            <w:tcW w:w="838" w:type="pct"/>
            <w:tcBorders>
              <w:bottom w:val="single" w:sz="4" w:space="0" w:color="auto"/>
            </w:tcBorders>
            <w:vAlign w:val="bottom"/>
          </w:tcPr>
          <w:p w14:paraId="13251AAD" w14:textId="77777777" w:rsidR="001C79E4" w:rsidRPr="00007450" w:rsidRDefault="001C79E4" w:rsidP="00864C4B">
            <w:pPr>
              <w:pStyle w:val="TableText0"/>
              <w:jc w:val="center"/>
              <w:rPr>
                <w:rFonts w:cs="Calibri"/>
              </w:rPr>
            </w:pPr>
            <w:r w:rsidRPr="00007450">
              <w:rPr>
                <w:rFonts w:cs="Calibri"/>
              </w:rPr>
              <w:t>0.52</w:t>
            </w:r>
          </w:p>
        </w:tc>
      </w:tr>
      <w:tr w:rsidR="001C79E4" w:rsidRPr="00007450" w14:paraId="490B24C0" w14:textId="77777777">
        <w:tc>
          <w:tcPr>
            <w:tcW w:w="4162" w:type="pct"/>
            <w:gridSpan w:val="3"/>
            <w:tcBorders>
              <w:bottom w:val="single" w:sz="4" w:space="0" w:color="auto"/>
            </w:tcBorders>
            <w:vAlign w:val="center"/>
          </w:tcPr>
          <w:p w14:paraId="092BA9B0" w14:textId="77777777" w:rsidR="001C79E4" w:rsidRPr="00007450" w:rsidRDefault="001C79E4" w:rsidP="00864C4B">
            <w:pPr>
              <w:pStyle w:val="TableText0"/>
              <w:rPr>
                <w:rFonts w:ascii="Times" w:hAnsi="Times"/>
                <w:b/>
                <w:bCs w:val="0"/>
              </w:rPr>
            </w:pPr>
            <w:r w:rsidRPr="00007450">
              <w:rPr>
                <w:b/>
                <w:bCs w:val="0"/>
              </w:rPr>
              <w:t>Incremental cost/extra QALY gained</w:t>
            </w:r>
          </w:p>
        </w:tc>
        <w:tc>
          <w:tcPr>
            <w:tcW w:w="838" w:type="pct"/>
            <w:tcBorders>
              <w:bottom w:val="single" w:sz="4" w:space="0" w:color="auto"/>
            </w:tcBorders>
            <w:vAlign w:val="center"/>
          </w:tcPr>
          <w:p w14:paraId="6B196A2D" w14:textId="55605C13" w:rsidR="001C79E4" w:rsidRPr="00B839DB" w:rsidRDefault="001C79E4" w:rsidP="00864C4B">
            <w:pPr>
              <w:pStyle w:val="TableText0"/>
              <w:jc w:val="center"/>
              <w:rPr>
                <w:rFonts w:ascii="Times" w:hAnsi="Times"/>
                <w:b/>
                <w:bCs w:val="0"/>
                <w:vertAlign w:val="superscript"/>
              </w:rPr>
            </w:pPr>
            <w:r w:rsidRPr="00007450">
              <w:rPr>
                <w:rFonts w:cs="Calibri"/>
                <w:b/>
                <w:bCs w:val="0"/>
              </w:rPr>
              <w:t>$</w:t>
            </w:r>
            <w:r w:rsidR="00E44B9A" w:rsidRPr="00E44B9A">
              <w:rPr>
                <w:rFonts w:cs="Calibri"/>
                <w:b/>
                <w:bCs w:val="0"/>
                <w:color w:val="000000"/>
                <w:spacing w:val="53"/>
                <w:shd w:val="solid" w:color="000000" w:fill="000000"/>
                <w:fitText w:val="345" w:id="-628909562"/>
                <w14:textFill>
                  <w14:solidFill>
                    <w14:srgbClr w14:val="000000">
                      <w14:alpha w14:val="100000"/>
                    </w14:srgbClr>
                  </w14:solidFill>
                </w14:textFill>
              </w:rPr>
              <w:t>|||</w:t>
            </w:r>
            <w:r w:rsidR="00E44B9A" w:rsidRPr="00E44B9A">
              <w:rPr>
                <w:rFonts w:cs="Calibri"/>
                <w:b/>
                <w:bCs w:val="0"/>
                <w:color w:val="000000"/>
                <w:spacing w:val="3"/>
                <w:shd w:val="solid" w:color="000000" w:fill="000000"/>
                <w:fitText w:val="345" w:id="-628909562"/>
                <w14:textFill>
                  <w14:solidFill>
                    <w14:srgbClr w14:val="000000">
                      <w14:alpha w14:val="100000"/>
                    </w14:srgbClr>
                  </w14:solidFill>
                </w14:textFill>
              </w:rPr>
              <w:t>|</w:t>
            </w:r>
            <w:r w:rsidR="00B839DB">
              <w:rPr>
                <w:rFonts w:cs="Calibri"/>
                <w:b/>
                <w:bCs w:val="0"/>
                <w:vertAlign w:val="superscript"/>
              </w:rPr>
              <w:t>2</w:t>
            </w:r>
          </w:p>
        </w:tc>
      </w:tr>
    </w:tbl>
    <w:p w14:paraId="4B8DC2E0" w14:textId="77777777" w:rsidR="001C79E4" w:rsidRPr="00007450" w:rsidRDefault="001C79E4" w:rsidP="00864C4B">
      <w:pPr>
        <w:pStyle w:val="TableFigureFooter"/>
      </w:pPr>
      <w:r w:rsidRPr="00007450">
        <w:t>Source: Table 3.22, p141 of the submission.</w:t>
      </w:r>
    </w:p>
    <w:p w14:paraId="1879DF26" w14:textId="77777777" w:rsidR="001C79E4" w:rsidRPr="00007450" w:rsidRDefault="001C79E4" w:rsidP="00864C4B">
      <w:pPr>
        <w:pStyle w:val="TableFigureFooter"/>
      </w:pPr>
      <w:r w:rsidRPr="00007450">
        <w:t xml:space="preserve">DR = distant recurrence; ET = endocrine therapy; LY = life year; PSM = partitioned survival model; QALY = quality adjusted life year </w:t>
      </w:r>
    </w:p>
    <w:p w14:paraId="16726B21" w14:textId="34ABF5C9" w:rsidR="001C79E4" w:rsidRDefault="001C79E4" w:rsidP="00864C4B">
      <w:pPr>
        <w:pStyle w:val="TableFigureFooter"/>
      </w:pPr>
      <w:r w:rsidRPr="00007450">
        <w:rPr>
          <w:vertAlign w:val="superscript"/>
        </w:rPr>
        <w:t xml:space="preserve">a </w:t>
      </w:r>
      <w:r w:rsidRPr="00007450">
        <w:t xml:space="preserve">The health outcomes and costs in the DR ET-resistant PSM were undiscounted (Cells H16:I669, 'ET-Resistant PSM' spreadsheet in the “Kisqali (ribociclib) - eBC N0N1 - CEA” Excel workbook). This was corrected during the evaluation. </w:t>
      </w:r>
    </w:p>
    <w:p w14:paraId="28CE6541" w14:textId="111A4E66" w:rsidR="009C793D" w:rsidRDefault="009C793D" w:rsidP="00864C4B">
      <w:pPr>
        <w:pStyle w:val="TableFigureFooter"/>
        <w:rPr>
          <w:i/>
          <w:iCs/>
        </w:rPr>
      </w:pPr>
      <w:r>
        <w:rPr>
          <w:i/>
          <w:iCs/>
        </w:rPr>
        <w:t>The redacted values correspond to the following ranges:</w:t>
      </w:r>
    </w:p>
    <w:p w14:paraId="2F0D2B2F" w14:textId="619F8BE3" w:rsidR="009C793D" w:rsidRDefault="00C053E4" w:rsidP="00864C4B">
      <w:pPr>
        <w:pStyle w:val="TableFigureFooter"/>
        <w:rPr>
          <w:i/>
          <w:iCs/>
        </w:rPr>
      </w:pPr>
      <w:r>
        <w:rPr>
          <w:i/>
          <w:iCs/>
          <w:vertAlign w:val="superscript"/>
        </w:rPr>
        <w:t>1</w:t>
      </w:r>
      <w:r>
        <w:rPr>
          <w:i/>
          <w:iCs/>
        </w:rPr>
        <w:t xml:space="preserve"> $35,000 to &lt; $45,000</w:t>
      </w:r>
    </w:p>
    <w:p w14:paraId="0D3E8B3E" w14:textId="33B25324" w:rsidR="00B839DB" w:rsidRPr="00B839DB" w:rsidRDefault="00B839DB" w:rsidP="00864C4B">
      <w:pPr>
        <w:pStyle w:val="TableFigureFooter"/>
        <w:rPr>
          <w:i/>
          <w:iCs/>
          <w:sz w:val="20"/>
        </w:rPr>
      </w:pPr>
      <w:r>
        <w:rPr>
          <w:i/>
          <w:iCs/>
          <w:vertAlign w:val="superscript"/>
        </w:rPr>
        <w:t>2</w:t>
      </w:r>
      <w:r>
        <w:rPr>
          <w:i/>
          <w:iCs/>
        </w:rPr>
        <w:t xml:space="preserve"> $25,000 to &lt; $35,000</w:t>
      </w:r>
    </w:p>
    <w:p w14:paraId="3E849EEA" w14:textId="29400CBA" w:rsidR="001C79E4" w:rsidRPr="00007450" w:rsidRDefault="001C79E4" w:rsidP="00864C4B">
      <w:pPr>
        <w:pStyle w:val="3-BodyText"/>
      </w:pPr>
      <w:r w:rsidRPr="00007450">
        <w:t xml:space="preserve">The disaggregated results of the economic evaluation in terms of costs and health outcomes are summarised in </w:t>
      </w:r>
      <w:r w:rsidRPr="00007450">
        <w:fldChar w:fldCharType="begin"/>
      </w:r>
      <w:r w:rsidRPr="00007450">
        <w:instrText xml:space="preserve"> REF _Ref195372189 \h </w:instrText>
      </w:r>
      <w:r w:rsidR="00D236EC" w:rsidRPr="00007450">
        <w:instrText xml:space="preserve"> \* MERGEFORMAT </w:instrText>
      </w:r>
      <w:r w:rsidRPr="00007450">
        <w:fldChar w:fldCharType="separate"/>
      </w:r>
      <w:r w:rsidR="00B36442" w:rsidRPr="00007450">
        <w:t xml:space="preserve">Table </w:t>
      </w:r>
      <w:r w:rsidR="00B36442">
        <w:rPr>
          <w:noProof/>
        </w:rPr>
        <w:t>13</w:t>
      </w:r>
      <w:r w:rsidRPr="00007450">
        <w:fldChar w:fldCharType="end"/>
      </w:r>
      <w:r w:rsidRPr="00007450">
        <w:t>.</w:t>
      </w:r>
    </w:p>
    <w:p w14:paraId="00D14D41" w14:textId="77777777" w:rsidR="001C79E4" w:rsidRPr="00007450" w:rsidRDefault="001C79E4" w:rsidP="00864C4B">
      <w:pPr>
        <w:pStyle w:val="3-BodyText"/>
        <w:numPr>
          <w:ilvl w:val="0"/>
          <w:numId w:val="0"/>
        </w:numPr>
      </w:pPr>
    </w:p>
    <w:p w14:paraId="788D6CB5" w14:textId="373CA566" w:rsidR="001C79E4" w:rsidRPr="00007450" w:rsidRDefault="001C79E4" w:rsidP="00864C4B">
      <w:pPr>
        <w:pStyle w:val="Caption"/>
      </w:pPr>
      <w:bookmarkStart w:id="66" w:name="_Ref195372189"/>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13</w:t>
      </w:r>
      <w:r w:rsidR="001C7776">
        <w:rPr>
          <w:noProof/>
        </w:rPr>
        <w:fldChar w:fldCharType="end"/>
      </w:r>
      <w:bookmarkEnd w:id="66"/>
      <w:r w:rsidRPr="00007450">
        <w:t>: Disaggregated summary of cost impacts and health outcomes (discounted)</w:t>
      </w:r>
    </w:p>
    <w:tbl>
      <w:tblPr>
        <w:tblStyle w:val="TableGrid"/>
        <w:tblW w:w="5006" w:type="pct"/>
        <w:tblInd w:w="-5" w:type="dxa"/>
        <w:tblLayout w:type="fixed"/>
        <w:tblLook w:val="04A0" w:firstRow="1" w:lastRow="0" w:firstColumn="1" w:lastColumn="0" w:noHBand="0" w:noVBand="1"/>
        <w:tblCaption w:val="Table 13: Disaggregated summary of cost impacts and health outcomes (discounted)"/>
      </w:tblPr>
      <w:tblGrid>
        <w:gridCol w:w="2228"/>
        <w:gridCol w:w="1699"/>
        <w:gridCol w:w="1701"/>
        <w:gridCol w:w="1701"/>
        <w:gridCol w:w="1699"/>
      </w:tblGrid>
      <w:tr w:rsidR="001C79E4" w:rsidRPr="00007450" w14:paraId="2100C018" w14:textId="77777777">
        <w:tc>
          <w:tcPr>
            <w:tcW w:w="1234" w:type="pct"/>
            <w:noWrap/>
            <w:hideMark/>
          </w:tcPr>
          <w:p w14:paraId="64906180" w14:textId="77777777" w:rsidR="001C79E4" w:rsidRPr="00007450" w:rsidRDefault="001C79E4" w:rsidP="00864C4B">
            <w:pPr>
              <w:pStyle w:val="TableText0"/>
              <w:keepLines w:val="0"/>
              <w:rPr>
                <w:b/>
              </w:rPr>
            </w:pPr>
          </w:p>
        </w:tc>
        <w:tc>
          <w:tcPr>
            <w:tcW w:w="941" w:type="pct"/>
            <w:noWrap/>
            <w:hideMark/>
          </w:tcPr>
          <w:p w14:paraId="11F959B9" w14:textId="77777777" w:rsidR="001C79E4" w:rsidRPr="00007450" w:rsidRDefault="001C79E4" w:rsidP="00864C4B">
            <w:pPr>
              <w:pStyle w:val="TableText0"/>
              <w:keepLines w:val="0"/>
              <w:jc w:val="center"/>
              <w:rPr>
                <w:b/>
              </w:rPr>
            </w:pPr>
            <w:r w:rsidRPr="00007450">
              <w:rPr>
                <w:b/>
              </w:rPr>
              <w:t>Ribociclib + ET</w:t>
            </w:r>
          </w:p>
        </w:tc>
        <w:tc>
          <w:tcPr>
            <w:tcW w:w="942" w:type="pct"/>
            <w:noWrap/>
            <w:hideMark/>
          </w:tcPr>
          <w:p w14:paraId="25F3C91A" w14:textId="77777777" w:rsidR="001C79E4" w:rsidRPr="00007450" w:rsidRDefault="001C79E4" w:rsidP="00864C4B">
            <w:pPr>
              <w:pStyle w:val="TableText0"/>
              <w:keepLines w:val="0"/>
              <w:jc w:val="center"/>
              <w:rPr>
                <w:b/>
              </w:rPr>
            </w:pPr>
            <w:r w:rsidRPr="00007450">
              <w:rPr>
                <w:b/>
              </w:rPr>
              <w:t>ET alone</w:t>
            </w:r>
          </w:p>
        </w:tc>
        <w:tc>
          <w:tcPr>
            <w:tcW w:w="942" w:type="pct"/>
            <w:noWrap/>
            <w:hideMark/>
          </w:tcPr>
          <w:p w14:paraId="1476BB72" w14:textId="77777777" w:rsidR="001C79E4" w:rsidRPr="00007450" w:rsidRDefault="001C79E4" w:rsidP="00864C4B">
            <w:pPr>
              <w:pStyle w:val="TableText0"/>
              <w:keepLines w:val="0"/>
              <w:jc w:val="center"/>
              <w:rPr>
                <w:b/>
              </w:rPr>
            </w:pPr>
            <w:r w:rsidRPr="00007450">
              <w:rPr>
                <w:b/>
              </w:rPr>
              <w:t>Incremental</w:t>
            </w:r>
          </w:p>
        </w:tc>
        <w:tc>
          <w:tcPr>
            <w:tcW w:w="941" w:type="pct"/>
            <w:noWrap/>
            <w:hideMark/>
          </w:tcPr>
          <w:p w14:paraId="2A01C574" w14:textId="77777777" w:rsidR="001C79E4" w:rsidRPr="00007450" w:rsidRDefault="001C79E4" w:rsidP="00864C4B">
            <w:pPr>
              <w:pStyle w:val="TableText0"/>
              <w:keepLines w:val="0"/>
              <w:jc w:val="center"/>
              <w:rPr>
                <w:b/>
              </w:rPr>
            </w:pPr>
            <w:r w:rsidRPr="00007450">
              <w:rPr>
                <w:b/>
              </w:rPr>
              <w:t>% incremental</w:t>
            </w:r>
          </w:p>
        </w:tc>
      </w:tr>
      <w:tr w:rsidR="001C79E4" w:rsidRPr="00007450" w14:paraId="15C0A7C2" w14:textId="77777777">
        <w:tc>
          <w:tcPr>
            <w:tcW w:w="5000" w:type="pct"/>
            <w:gridSpan w:val="5"/>
            <w:noWrap/>
          </w:tcPr>
          <w:p w14:paraId="34D6211A" w14:textId="77777777" w:rsidR="001C79E4" w:rsidRPr="00007450" w:rsidRDefault="001C79E4" w:rsidP="00864C4B">
            <w:pPr>
              <w:pStyle w:val="TableText0"/>
              <w:keepLines w:val="0"/>
              <w:rPr>
                <w:b/>
              </w:rPr>
            </w:pPr>
            <w:r w:rsidRPr="00007450">
              <w:rPr>
                <w:b/>
              </w:rPr>
              <w:t>Costs</w:t>
            </w:r>
          </w:p>
        </w:tc>
      </w:tr>
      <w:tr w:rsidR="001C79E4" w:rsidRPr="00007450" w14:paraId="2658110E" w14:textId="77777777">
        <w:tc>
          <w:tcPr>
            <w:tcW w:w="1234" w:type="pct"/>
            <w:noWrap/>
          </w:tcPr>
          <w:p w14:paraId="1AF071A1" w14:textId="77777777" w:rsidR="001C79E4" w:rsidRPr="00007450" w:rsidRDefault="001C79E4" w:rsidP="00864C4B">
            <w:pPr>
              <w:pStyle w:val="TableText0"/>
              <w:keepLines w:val="0"/>
              <w:rPr>
                <w:bCs w:val="0"/>
              </w:rPr>
            </w:pPr>
            <w:r w:rsidRPr="00007450">
              <w:rPr>
                <w:bCs w:val="0"/>
              </w:rPr>
              <w:t>Drug acquisition</w:t>
            </w:r>
          </w:p>
        </w:tc>
        <w:tc>
          <w:tcPr>
            <w:tcW w:w="941" w:type="pct"/>
            <w:noWrap/>
          </w:tcPr>
          <w:p w14:paraId="1543F127" w14:textId="4CB3E625"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61"/>
                <w14:textFill>
                  <w14:solidFill>
                    <w14:srgbClr w14:val="000000">
                      <w14:alpha w14:val="100000"/>
                    </w14:srgbClr>
                  </w14:solidFill>
                </w14:textFill>
              </w:rPr>
              <w:t>|||</w:t>
            </w:r>
            <w:r w:rsidR="00E44B9A" w:rsidRPr="00E44B9A">
              <w:rPr>
                <w:bCs w:val="0"/>
                <w:color w:val="000000"/>
                <w:spacing w:val="1"/>
                <w:shd w:val="solid" w:color="000000" w:fill="000000"/>
                <w:fitText w:val="330" w:id="-628909561"/>
                <w14:textFill>
                  <w14:solidFill>
                    <w14:srgbClr w14:val="000000">
                      <w14:alpha w14:val="100000"/>
                    </w14:srgbClr>
                  </w14:solidFill>
                </w14:textFill>
              </w:rPr>
              <w:t>|</w:t>
            </w:r>
          </w:p>
        </w:tc>
        <w:tc>
          <w:tcPr>
            <w:tcW w:w="942" w:type="pct"/>
            <w:noWrap/>
          </w:tcPr>
          <w:p w14:paraId="6A871977" w14:textId="77777777" w:rsidR="001C79E4" w:rsidRPr="001926C1" w:rsidRDefault="001C79E4" w:rsidP="00864C4B">
            <w:pPr>
              <w:pStyle w:val="TableText0"/>
              <w:keepLines w:val="0"/>
              <w:jc w:val="center"/>
              <w:rPr>
                <w:bCs w:val="0"/>
              </w:rPr>
            </w:pPr>
            <w:r w:rsidRPr="001926C1">
              <w:rPr>
                <w:bCs w:val="0"/>
              </w:rPr>
              <w:t>$12,003</w:t>
            </w:r>
          </w:p>
        </w:tc>
        <w:tc>
          <w:tcPr>
            <w:tcW w:w="942" w:type="pct"/>
            <w:noWrap/>
          </w:tcPr>
          <w:p w14:paraId="5BE8E230" w14:textId="4DFAE616"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60"/>
                <w14:textFill>
                  <w14:solidFill>
                    <w14:srgbClr w14:val="000000">
                      <w14:alpha w14:val="100000"/>
                    </w14:srgbClr>
                  </w14:solidFill>
                </w14:textFill>
              </w:rPr>
              <w:t>|||</w:t>
            </w:r>
            <w:r w:rsidR="00E44B9A" w:rsidRPr="00E44B9A">
              <w:rPr>
                <w:bCs w:val="0"/>
                <w:color w:val="000000"/>
                <w:spacing w:val="1"/>
                <w:shd w:val="solid" w:color="000000" w:fill="000000"/>
                <w:fitText w:val="330" w:id="-628909560"/>
                <w14:textFill>
                  <w14:solidFill>
                    <w14:srgbClr w14:val="000000">
                      <w14:alpha w14:val="100000"/>
                    </w14:srgbClr>
                  </w14:solidFill>
                </w14:textFill>
              </w:rPr>
              <w:t>|</w:t>
            </w:r>
          </w:p>
        </w:tc>
        <w:tc>
          <w:tcPr>
            <w:tcW w:w="941" w:type="pct"/>
            <w:noWrap/>
          </w:tcPr>
          <w:p w14:paraId="103A443A" w14:textId="7124E85A" w:rsidR="001C79E4" w:rsidRPr="0006073C" w:rsidRDefault="00E44B9A" w:rsidP="00864C4B">
            <w:pPr>
              <w:pStyle w:val="TableText0"/>
              <w:keepLines w:val="0"/>
              <w:jc w:val="center"/>
              <w:rPr>
                <w:bCs w:val="0"/>
              </w:rPr>
            </w:pPr>
            <w:r w:rsidRPr="00E44B9A">
              <w:rPr>
                <w:bCs w:val="0"/>
                <w:color w:val="000000"/>
                <w:spacing w:val="53"/>
                <w:shd w:val="solid" w:color="000000" w:fill="000000"/>
                <w:fitText w:val="330" w:id="-628909559"/>
                <w14:textFill>
                  <w14:solidFill>
                    <w14:srgbClr w14:val="000000">
                      <w14:alpha w14:val="100000"/>
                    </w14:srgbClr>
                  </w14:solidFill>
                </w14:textFill>
              </w:rPr>
              <w:t>|||</w:t>
            </w:r>
            <w:r w:rsidRPr="00E44B9A">
              <w:rPr>
                <w:bCs w:val="0"/>
                <w:color w:val="000000"/>
                <w:spacing w:val="1"/>
                <w:shd w:val="solid" w:color="000000" w:fill="000000"/>
                <w:fitText w:val="330" w:id="-628909559"/>
                <w14:textFill>
                  <w14:solidFill>
                    <w14:srgbClr w14:val="000000">
                      <w14:alpha w14:val="100000"/>
                    </w14:srgbClr>
                  </w14:solidFill>
                </w14:textFill>
              </w:rPr>
              <w:t>|</w:t>
            </w:r>
            <w:r w:rsidR="001C79E4" w:rsidRPr="0006073C">
              <w:rPr>
                <w:bCs w:val="0"/>
              </w:rPr>
              <w:t>%</w:t>
            </w:r>
          </w:p>
        </w:tc>
      </w:tr>
      <w:tr w:rsidR="001C79E4" w:rsidRPr="00007450" w14:paraId="3B001E79" w14:textId="77777777">
        <w:tc>
          <w:tcPr>
            <w:tcW w:w="1234" w:type="pct"/>
            <w:noWrap/>
          </w:tcPr>
          <w:p w14:paraId="1B931177" w14:textId="77777777" w:rsidR="001C79E4" w:rsidRPr="00007450" w:rsidRDefault="001C79E4" w:rsidP="00864C4B">
            <w:pPr>
              <w:pStyle w:val="TableText0"/>
              <w:keepLines w:val="0"/>
              <w:ind w:left="174"/>
              <w:rPr>
                <w:bCs w:val="0"/>
              </w:rPr>
            </w:pPr>
            <w:r w:rsidRPr="00007450">
              <w:rPr>
                <w:bCs w:val="0"/>
              </w:rPr>
              <w:t>Adjuvant therapy in iDF</w:t>
            </w:r>
          </w:p>
        </w:tc>
        <w:tc>
          <w:tcPr>
            <w:tcW w:w="941" w:type="pct"/>
            <w:noWrap/>
          </w:tcPr>
          <w:p w14:paraId="7411D1BA" w14:textId="5512549D"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58"/>
                <w14:textFill>
                  <w14:solidFill>
                    <w14:srgbClr w14:val="000000">
                      <w14:alpha w14:val="100000"/>
                    </w14:srgbClr>
                  </w14:solidFill>
                </w14:textFill>
              </w:rPr>
              <w:t>|||</w:t>
            </w:r>
            <w:r w:rsidR="00E44B9A" w:rsidRPr="00E44B9A">
              <w:rPr>
                <w:bCs w:val="0"/>
                <w:color w:val="000000"/>
                <w:spacing w:val="1"/>
                <w:shd w:val="solid" w:color="000000" w:fill="000000"/>
                <w:fitText w:val="330" w:id="-628909558"/>
                <w14:textFill>
                  <w14:solidFill>
                    <w14:srgbClr w14:val="000000">
                      <w14:alpha w14:val="100000"/>
                    </w14:srgbClr>
                  </w14:solidFill>
                </w14:textFill>
              </w:rPr>
              <w:t>|</w:t>
            </w:r>
          </w:p>
        </w:tc>
        <w:tc>
          <w:tcPr>
            <w:tcW w:w="942" w:type="pct"/>
            <w:noWrap/>
          </w:tcPr>
          <w:p w14:paraId="6AA7C20E" w14:textId="77777777" w:rsidR="001C79E4" w:rsidRPr="001926C1" w:rsidRDefault="001C79E4" w:rsidP="00864C4B">
            <w:pPr>
              <w:pStyle w:val="TableText0"/>
              <w:keepLines w:val="0"/>
              <w:jc w:val="center"/>
              <w:rPr>
                <w:bCs w:val="0"/>
              </w:rPr>
            </w:pPr>
            <w:r w:rsidRPr="001926C1">
              <w:rPr>
                <w:bCs w:val="0"/>
              </w:rPr>
              <w:t>$5,550</w:t>
            </w:r>
          </w:p>
        </w:tc>
        <w:tc>
          <w:tcPr>
            <w:tcW w:w="942" w:type="pct"/>
            <w:noWrap/>
          </w:tcPr>
          <w:p w14:paraId="40CC8C18" w14:textId="64E16128"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57"/>
                <w14:textFill>
                  <w14:solidFill>
                    <w14:srgbClr w14:val="000000">
                      <w14:alpha w14:val="100000"/>
                    </w14:srgbClr>
                  </w14:solidFill>
                </w14:textFill>
              </w:rPr>
              <w:t>|||</w:t>
            </w:r>
            <w:r w:rsidR="00E44B9A" w:rsidRPr="00E44B9A">
              <w:rPr>
                <w:bCs w:val="0"/>
                <w:color w:val="000000"/>
                <w:spacing w:val="1"/>
                <w:shd w:val="solid" w:color="000000" w:fill="000000"/>
                <w:fitText w:val="330" w:id="-628909557"/>
                <w14:textFill>
                  <w14:solidFill>
                    <w14:srgbClr w14:val="000000">
                      <w14:alpha w14:val="100000"/>
                    </w14:srgbClr>
                  </w14:solidFill>
                </w14:textFill>
              </w:rPr>
              <w:t>|</w:t>
            </w:r>
          </w:p>
        </w:tc>
        <w:tc>
          <w:tcPr>
            <w:tcW w:w="941" w:type="pct"/>
            <w:noWrap/>
          </w:tcPr>
          <w:p w14:paraId="02275BF9" w14:textId="5E6CBEB2" w:rsidR="001C79E4" w:rsidRPr="0006073C" w:rsidRDefault="00E44B9A" w:rsidP="00864C4B">
            <w:pPr>
              <w:pStyle w:val="TableText0"/>
              <w:keepLines w:val="0"/>
              <w:jc w:val="center"/>
              <w:rPr>
                <w:bCs w:val="0"/>
              </w:rPr>
            </w:pPr>
            <w:r w:rsidRPr="00E44B9A">
              <w:rPr>
                <w:bCs w:val="0"/>
                <w:color w:val="000000"/>
                <w:spacing w:val="53"/>
                <w:shd w:val="solid" w:color="000000" w:fill="000000"/>
                <w:fitText w:val="330" w:id="-628909556"/>
                <w14:textFill>
                  <w14:solidFill>
                    <w14:srgbClr w14:val="000000">
                      <w14:alpha w14:val="100000"/>
                    </w14:srgbClr>
                  </w14:solidFill>
                </w14:textFill>
              </w:rPr>
              <w:t>|||</w:t>
            </w:r>
            <w:r w:rsidRPr="00E44B9A">
              <w:rPr>
                <w:bCs w:val="0"/>
                <w:color w:val="000000"/>
                <w:spacing w:val="1"/>
                <w:shd w:val="solid" w:color="000000" w:fill="000000"/>
                <w:fitText w:val="330" w:id="-628909556"/>
                <w14:textFill>
                  <w14:solidFill>
                    <w14:srgbClr w14:val="000000">
                      <w14:alpha w14:val="100000"/>
                    </w14:srgbClr>
                  </w14:solidFill>
                </w14:textFill>
              </w:rPr>
              <w:t>|</w:t>
            </w:r>
            <w:r w:rsidR="001C79E4" w:rsidRPr="0006073C">
              <w:rPr>
                <w:bCs w:val="0"/>
              </w:rPr>
              <w:t>%</w:t>
            </w:r>
          </w:p>
        </w:tc>
      </w:tr>
      <w:tr w:rsidR="001C79E4" w:rsidRPr="00007450" w14:paraId="45BFEFA7" w14:textId="77777777">
        <w:tc>
          <w:tcPr>
            <w:tcW w:w="1234" w:type="pct"/>
            <w:noWrap/>
          </w:tcPr>
          <w:p w14:paraId="0E9DD896" w14:textId="40DD5747" w:rsidR="001C79E4" w:rsidRPr="00007450" w:rsidRDefault="00695C20" w:rsidP="00864C4B">
            <w:pPr>
              <w:pStyle w:val="TableText0"/>
              <w:keepLines w:val="0"/>
              <w:ind w:left="174"/>
              <w:rPr>
                <w:bCs w:val="0"/>
              </w:rPr>
            </w:pPr>
            <w:r>
              <w:rPr>
                <w:bCs w:val="0"/>
              </w:rPr>
              <w:t>NMR</w:t>
            </w:r>
          </w:p>
        </w:tc>
        <w:tc>
          <w:tcPr>
            <w:tcW w:w="941" w:type="pct"/>
            <w:noWrap/>
          </w:tcPr>
          <w:p w14:paraId="588AA7B1" w14:textId="7C0A63A4"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55"/>
                <w14:textFill>
                  <w14:solidFill>
                    <w14:srgbClr w14:val="000000">
                      <w14:alpha w14:val="100000"/>
                    </w14:srgbClr>
                  </w14:solidFill>
                </w14:textFill>
              </w:rPr>
              <w:t>|||</w:t>
            </w:r>
            <w:r w:rsidR="00E44B9A" w:rsidRPr="00E44B9A">
              <w:rPr>
                <w:bCs w:val="0"/>
                <w:color w:val="000000"/>
                <w:spacing w:val="1"/>
                <w:shd w:val="solid" w:color="000000" w:fill="000000"/>
                <w:fitText w:val="330" w:id="-628909555"/>
                <w14:textFill>
                  <w14:solidFill>
                    <w14:srgbClr w14:val="000000">
                      <w14:alpha w14:val="100000"/>
                    </w14:srgbClr>
                  </w14:solidFill>
                </w14:textFill>
              </w:rPr>
              <w:t>|</w:t>
            </w:r>
          </w:p>
        </w:tc>
        <w:tc>
          <w:tcPr>
            <w:tcW w:w="942" w:type="pct"/>
            <w:noWrap/>
          </w:tcPr>
          <w:p w14:paraId="5A5009CA" w14:textId="77777777" w:rsidR="001C79E4" w:rsidRPr="001926C1" w:rsidRDefault="001C79E4" w:rsidP="00864C4B">
            <w:pPr>
              <w:pStyle w:val="TableText0"/>
              <w:keepLines w:val="0"/>
              <w:jc w:val="center"/>
              <w:rPr>
                <w:bCs w:val="0"/>
              </w:rPr>
            </w:pPr>
            <w:r w:rsidRPr="001926C1">
              <w:rPr>
                <w:bCs w:val="0"/>
              </w:rPr>
              <w:t>$16</w:t>
            </w:r>
          </w:p>
        </w:tc>
        <w:tc>
          <w:tcPr>
            <w:tcW w:w="942" w:type="pct"/>
            <w:noWrap/>
          </w:tcPr>
          <w:p w14:paraId="4B947814" w14:textId="71542A47"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54"/>
                <w14:textFill>
                  <w14:solidFill>
                    <w14:srgbClr w14:val="000000">
                      <w14:alpha w14:val="100000"/>
                    </w14:srgbClr>
                  </w14:solidFill>
                </w14:textFill>
              </w:rPr>
              <w:t>|||</w:t>
            </w:r>
            <w:r w:rsidR="00E44B9A" w:rsidRPr="00E44B9A">
              <w:rPr>
                <w:bCs w:val="0"/>
                <w:color w:val="000000"/>
                <w:spacing w:val="1"/>
                <w:shd w:val="solid" w:color="000000" w:fill="000000"/>
                <w:fitText w:val="330" w:id="-628909554"/>
                <w14:textFill>
                  <w14:solidFill>
                    <w14:srgbClr w14:val="000000">
                      <w14:alpha w14:val="100000"/>
                    </w14:srgbClr>
                  </w14:solidFill>
                </w14:textFill>
              </w:rPr>
              <w:t>|</w:t>
            </w:r>
          </w:p>
        </w:tc>
        <w:tc>
          <w:tcPr>
            <w:tcW w:w="941" w:type="pct"/>
            <w:noWrap/>
          </w:tcPr>
          <w:p w14:paraId="19CF6E1C" w14:textId="14628C19" w:rsidR="001C79E4" w:rsidRPr="0006073C" w:rsidRDefault="00E44B9A" w:rsidP="00864C4B">
            <w:pPr>
              <w:pStyle w:val="TableText0"/>
              <w:keepLines w:val="0"/>
              <w:jc w:val="center"/>
              <w:rPr>
                <w:bCs w:val="0"/>
              </w:rPr>
            </w:pPr>
            <w:r w:rsidRPr="00E44B9A">
              <w:rPr>
                <w:bCs w:val="0"/>
                <w:color w:val="000000"/>
                <w:spacing w:val="53"/>
                <w:shd w:val="solid" w:color="000000" w:fill="000000"/>
                <w:fitText w:val="330" w:id="-628909553"/>
                <w14:textFill>
                  <w14:solidFill>
                    <w14:srgbClr w14:val="000000">
                      <w14:alpha w14:val="100000"/>
                    </w14:srgbClr>
                  </w14:solidFill>
                </w14:textFill>
              </w:rPr>
              <w:t>|||</w:t>
            </w:r>
            <w:r w:rsidRPr="00E44B9A">
              <w:rPr>
                <w:bCs w:val="0"/>
                <w:color w:val="000000"/>
                <w:spacing w:val="1"/>
                <w:shd w:val="solid" w:color="000000" w:fill="000000"/>
                <w:fitText w:val="330" w:id="-628909553"/>
                <w14:textFill>
                  <w14:solidFill>
                    <w14:srgbClr w14:val="000000">
                      <w14:alpha w14:val="100000"/>
                    </w14:srgbClr>
                  </w14:solidFill>
                </w14:textFill>
              </w:rPr>
              <w:t>|</w:t>
            </w:r>
            <w:r w:rsidR="001C79E4" w:rsidRPr="0006073C">
              <w:rPr>
                <w:bCs w:val="0"/>
              </w:rPr>
              <w:t>%</w:t>
            </w:r>
          </w:p>
        </w:tc>
      </w:tr>
      <w:tr w:rsidR="001C79E4" w:rsidRPr="00007450" w14:paraId="21E8C4B3" w14:textId="77777777">
        <w:tc>
          <w:tcPr>
            <w:tcW w:w="1234" w:type="pct"/>
            <w:noWrap/>
          </w:tcPr>
          <w:p w14:paraId="6F59BE72" w14:textId="77777777" w:rsidR="001C79E4" w:rsidRPr="00007450" w:rsidRDefault="001C79E4" w:rsidP="00864C4B">
            <w:pPr>
              <w:pStyle w:val="TableText0"/>
              <w:keepLines w:val="0"/>
              <w:ind w:left="174"/>
              <w:rPr>
                <w:bCs w:val="0"/>
              </w:rPr>
            </w:pPr>
            <w:r w:rsidRPr="00007450">
              <w:rPr>
                <w:bCs w:val="0"/>
              </w:rPr>
              <w:t>DR</w:t>
            </w:r>
          </w:p>
        </w:tc>
        <w:tc>
          <w:tcPr>
            <w:tcW w:w="941" w:type="pct"/>
            <w:noWrap/>
          </w:tcPr>
          <w:p w14:paraId="60EC0104" w14:textId="4256BE51"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52"/>
                <w14:textFill>
                  <w14:solidFill>
                    <w14:srgbClr w14:val="000000">
                      <w14:alpha w14:val="100000"/>
                    </w14:srgbClr>
                  </w14:solidFill>
                </w14:textFill>
              </w:rPr>
              <w:t>|||</w:t>
            </w:r>
            <w:r w:rsidR="00E44B9A" w:rsidRPr="00E44B9A">
              <w:rPr>
                <w:bCs w:val="0"/>
                <w:color w:val="000000"/>
                <w:spacing w:val="1"/>
                <w:shd w:val="solid" w:color="000000" w:fill="000000"/>
                <w:fitText w:val="330" w:id="-628909552"/>
                <w14:textFill>
                  <w14:solidFill>
                    <w14:srgbClr w14:val="000000">
                      <w14:alpha w14:val="100000"/>
                    </w14:srgbClr>
                  </w14:solidFill>
                </w14:textFill>
              </w:rPr>
              <w:t>|</w:t>
            </w:r>
          </w:p>
        </w:tc>
        <w:tc>
          <w:tcPr>
            <w:tcW w:w="942" w:type="pct"/>
            <w:noWrap/>
          </w:tcPr>
          <w:p w14:paraId="58EFDBFB" w14:textId="77777777" w:rsidR="001C79E4" w:rsidRPr="001926C1" w:rsidRDefault="001C79E4" w:rsidP="00864C4B">
            <w:pPr>
              <w:pStyle w:val="TableText0"/>
              <w:keepLines w:val="0"/>
              <w:jc w:val="center"/>
              <w:rPr>
                <w:bCs w:val="0"/>
              </w:rPr>
            </w:pPr>
            <w:r w:rsidRPr="001926C1">
              <w:rPr>
                <w:bCs w:val="0"/>
              </w:rPr>
              <w:t>$6,438</w:t>
            </w:r>
          </w:p>
        </w:tc>
        <w:tc>
          <w:tcPr>
            <w:tcW w:w="942" w:type="pct"/>
            <w:noWrap/>
          </w:tcPr>
          <w:p w14:paraId="04D70ABF" w14:textId="67B2BBC9" w:rsidR="001C79E4" w:rsidRPr="001926C1" w:rsidRDefault="001C79E4" w:rsidP="00864C4B">
            <w:pPr>
              <w:pStyle w:val="TableText0"/>
              <w:keepLines w:val="0"/>
              <w:jc w:val="center"/>
              <w:rPr>
                <w:bCs w:val="0"/>
              </w:rPr>
            </w:pPr>
            <w:r w:rsidRPr="001926C1">
              <w:rPr>
                <w:bCs w:val="0"/>
              </w:rPr>
              <w:t>-$</w:t>
            </w:r>
            <w:r w:rsidR="00E44B9A" w:rsidRPr="00E44B9A">
              <w:rPr>
                <w:bCs w:val="0"/>
                <w:color w:val="000000"/>
                <w:spacing w:val="53"/>
                <w:shd w:val="solid" w:color="000000" w:fill="000000"/>
                <w:fitText w:val="330" w:id="-628909568"/>
                <w14:textFill>
                  <w14:solidFill>
                    <w14:srgbClr w14:val="000000">
                      <w14:alpha w14:val="100000"/>
                    </w14:srgbClr>
                  </w14:solidFill>
                </w14:textFill>
              </w:rPr>
              <w:t>|||</w:t>
            </w:r>
            <w:r w:rsidR="00E44B9A" w:rsidRPr="00E44B9A">
              <w:rPr>
                <w:bCs w:val="0"/>
                <w:color w:val="000000"/>
                <w:spacing w:val="1"/>
                <w:shd w:val="solid" w:color="000000" w:fill="000000"/>
                <w:fitText w:val="330" w:id="-628909568"/>
                <w14:textFill>
                  <w14:solidFill>
                    <w14:srgbClr w14:val="000000">
                      <w14:alpha w14:val="100000"/>
                    </w14:srgbClr>
                  </w14:solidFill>
                </w14:textFill>
              </w:rPr>
              <w:t>|</w:t>
            </w:r>
          </w:p>
        </w:tc>
        <w:tc>
          <w:tcPr>
            <w:tcW w:w="941" w:type="pct"/>
            <w:noWrap/>
          </w:tcPr>
          <w:p w14:paraId="48C3FDB4" w14:textId="746CC7E1" w:rsidR="001C79E4" w:rsidRPr="0006073C" w:rsidRDefault="001C79E4" w:rsidP="00864C4B">
            <w:pPr>
              <w:pStyle w:val="TableText0"/>
              <w:keepLines w:val="0"/>
              <w:jc w:val="center"/>
              <w:rPr>
                <w:bCs w:val="0"/>
              </w:rPr>
            </w:pPr>
            <w:r w:rsidRPr="0006073C">
              <w:rPr>
                <w:bCs w:val="0"/>
              </w:rPr>
              <w:t>-</w:t>
            </w:r>
            <w:r w:rsidR="00E44B9A" w:rsidRPr="00E44B9A">
              <w:rPr>
                <w:bCs w:val="0"/>
                <w:color w:val="000000"/>
                <w:spacing w:val="53"/>
                <w:shd w:val="solid" w:color="000000" w:fill="000000"/>
                <w:fitText w:val="330" w:id="-628909567"/>
                <w14:textFill>
                  <w14:solidFill>
                    <w14:srgbClr w14:val="000000">
                      <w14:alpha w14:val="100000"/>
                    </w14:srgbClr>
                  </w14:solidFill>
                </w14:textFill>
              </w:rPr>
              <w:t>|||</w:t>
            </w:r>
            <w:r w:rsidR="00E44B9A" w:rsidRPr="00E44B9A">
              <w:rPr>
                <w:bCs w:val="0"/>
                <w:color w:val="000000"/>
                <w:spacing w:val="1"/>
                <w:shd w:val="solid" w:color="000000" w:fill="000000"/>
                <w:fitText w:val="330" w:id="-628909567"/>
                <w14:textFill>
                  <w14:solidFill>
                    <w14:srgbClr w14:val="000000">
                      <w14:alpha w14:val="100000"/>
                    </w14:srgbClr>
                  </w14:solidFill>
                </w14:textFill>
              </w:rPr>
              <w:t>|</w:t>
            </w:r>
            <w:r w:rsidRPr="0006073C">
              <w:rPr>
                <w:bCs w:val="0"/>
              </w:rPr>
              <w:t>%</w:t>
            </w:r>
          </w:p>
        </w:tc>
      </w:tr>
      <w:tr w:rsidR="001C79E4" w:rsidRPr="00007450" w14:paraId="3DE5CBDE" w14:textId="77777777">
        <w:tc>
          <w:tcPr>
            <w:tcW w:w="1234" w:type="pct"/>
            <w:noWrap/>
          </w:tcPr>
          <w:p w14:paraId="79CEC67D" w14:textId="77777777" w:rsidR="001C79E4" w:rsidRPr="00007450" w:rsidRDefault="001C79E4" w:rsidP="00864C4B">
            <w:pPr>
              <w:pStyle w:val="TableText0"/>
              <w:keepLines w:val="0"/>
              <w:rPr>
                <w:bCs w:val="0"/>
              </w:rPr>
            </w:pPr>
            <w:r w:rsidRPr="00007450">
              <w:rPr>
                <w:bCs w:val="0"/>
              </w:rPr>
              <w:t>Disease management and monitoring</w:t>
            </w:r>
          </w:p>
        </w:tc>
        <w:tc>
          <w:tcPr>
            <w:tcW w:w="941" w:type="pct"/>
            <w:noWrap/>
          </w:tcPr>
          <w:p w14:paraId="0CA1A3D9" w14:textId="77777777" w:rsidR="001C79E4" w:rsidRPr="001926C1" w:rsidRDefault="001C79E4" w:rsidP="00864C4B">
            <w:pPr>
              <w:pStyle w:val="TableText0"/>
              <w:keepLines w:val="0"/>
              <w:jc w:val="center"/>
              <w:rPr>
                <w:bCs w:val="0"/>
              </w:rPr>
            </w:pPr>
            <w:r w:rsidRPr="001926C1">
              <w:rPr>
                <w:bCs w:val="0"/>
              </w:rPr>
              <w:t>$4,830</w:t>
            </w:r>
          </w:p>
        </w:tc>
        <w:tc>
          <w:tcPr>
            <w:tcW w:w="942" w:type="pct"/>
            <w:noWrap/>
          </w:tcPr>
          <w:p w14:paraId="301767D1" w14:textId="77777777" w:rsidR="001C79E4" w:rsidRPr="001926C1" w:rsidRDefault="001C79E4" w:rsidP="00864C4B">
            <w:pPr>
              <w:pStyle w:val="TableText0"/>
              <w:keepLines w:val="0"/>
              <w:jc w:val="center"/>
              <w:rPr>
                <w:bCs w:val="0"/>
              </w:rPr>
            </w:pPr>
            <w:r w:rsidRPr="001926C1">
              <w:rPr>
                <w:bCs w:val="0"/>
              </w:rPr>
              <w:t>$6,407</w:t>
            </w:r>
          </w:p>
        </w:tc>
        <w:tc>
          <w:tcPr>
            <w:tcW w:w="942" w:type="pct"/>
            <w:noWrap/>
          </w:tcPr>
          <w:p w14:paraId="0CF6884F" w14:textId="77777777" w:rsidR="001C79E4" w:rsidRPr="001926C1" w:rsidRDefault="001C79E4" w:rsidP="00864C4B">
            <w:pPr>
              <w:pStyle w:val="TableText0"/>
              <w:keepLines w:val="0"/>
              <w:jc w:val="center"/>
              <w:rPr>
                <w:bCs w:val="0"/>
              </w:rPr>
            </w:pPr>
            <w:r w:rsidRPr="001926C1">
              <w:rPr>
                <w:bCs w:val="0"/>
              </w:rPr>
              <w:t>-$1,576</w:t>
            </w:r>
          </w:p>
        </w:tc>
        <w:tc>
          <w:tcPr>
            <w:tcW w:w="941" w:type="pct"/>
            <w:noWrap/>
          </w:tcPr>
          <w:p w14:paraId="68D7E7D5" w14:textId="77777777" w:rsidR="001C79E4" w:rsidRPr="0006073C" w:rsidRDefault="001C79E4" w:rsidP="00864C4B">
            <w:pPr>
              <w:pStyle w:val="TableText0"/>
              <w:keepLines w:val="0"/>
              <w:jc w:val="center"/>
              <w:rPr>
                <w:bCs w:val="0"/>
              </w:rPr>
            </w:pPr>
            <w:r w:rsidRPr="0006073C">
              <w:rPr>
                <w:bCs w:val="0"/>
              </w:rPr>
              <w:t>-9.1%</w:t>
            </w:r>
          </w:p>
        </w:tc>
      </w:tr>
      <w:tr w:rsidR="001C79E4" w:rsidRPr="00007450" w14:paraId="6C6FB6B5" w14:textId="77777777">
        <w:tc>
          <w:tcPr>
            <w:tcW w:w="1234" w:type="pct"/>
            <w:noWrap/>
            <w:hideMark/>
          </w:tcPr>
          <w:p w14:paraId="33CAD64C" w14:textId="77777777" w:rsidR="001C79E4" w:rsidRPr="00007450" w:rsidRDefault="001C79E4" w:rsidP="00864C4B">
            <w:pPr>
              <w:pStyle w:val="TableText0"/>
              <w:keepLines w:val="0"/>
              <w:ind w:left="174"/>
              <w:rPr>
                <w:bCs w:val="0"/>
              </w:rPr>
            </w:pPr>
            <w:r w:rsidRPr="00007450">
              <w:rPr>
                <w:bCs w:val="0"/>
              </w:rPr>
              <w:t>iDF</w:t>
            </w:r>
          </w:p>
        </w:tc>
        <w:tc>
          <w:tcPr>
            <w:tcW w:w="941" w:type="pct"/>
            <w:noWrap/>
          </w:tcPr>
          <w:p w14:paraId="078BE280" w14:textId="77777777" w:rsidR="001C79E4" w:rsidRPr="001926C1" w:rsidRDefault="001C79E4" w:rsidP="00864C4B">
            <w:pPr>
              <w:pStyle w:val="TableText0"/>
              <w:keepLines w:val="0"/>
              <w:jc w:val="center"/>
              <w:rPr>
                <w:bCs w:val="0"/>
              </w:rPr>
            </w:pPr>
            <w:r w:rsidRPr="001926C1">
              <w:rPr>
                <w:bCs w:val="0"/>
              </w:rPr>
              <w:t>$767</w:t>
            </w:r>
          </w:p>
        </w:tc>
        <w:tc>
          <w:tcPr>
            <w:tcW w:w="942" w:type="pct"/>
            <w:noWrap/>
          </w:tcPr>
          <w:p w14:paraId="1C7D0784" w14:textId="77777777" w:rsidR="001C79E4" w:rsidRPr="001926C1" w:rsidRDefault="001C79E4" w:rsidP="00864C4B">
            <w:pPr>
              <w:pStyle w:val="TableText0"/>
              <w:keepLines w:val="0"/>
              <w:jc w:val="center"/>
              <w:rPr>
                <w:bCs w:val="0"/>
              </w:rPr>
            </w:pPr>
            <w:r w:rsidRPr="001926C1">
              <w:rPr>
                <w:bCs w:val="0"/>
              </w:rPr>
              <w:t>$726</w:t>
            </w:r>
          </w:p>
        </w:tc>
        <w:tc>
          <w:tcPr>
            <w:tcW w:w="942" w:type="pct"/>
            <w:noWrap/>
          </w:tcPr>
          <w:p w14:paraId="03962394" w14:textId="77777777" w:rsidR="001C79E4" w:rsidRPr="001926C1" w:rsidRDefault="001C79E4" w:rsidP="00864C4B">
            <w:pPr>
              <w:pStyle w:val="TableText0"/>
              <w:keepLines w:val="0"/>
              <w:jc w:val="center"/>
              <w:rPr>
                <w:bCs w:val="0"/>
              </w:rPr>
            </w:pPr>
            <w:r w:rsidRPr="001926C1">
              <w:rPr>
                <w:bCs w:val="0"/>
              </w:rPr>
              <w:t>$41</w:t>
            </w:r>
          </w:p>
        </w:tc>
        <w:tc>
          <w:tcPr>
            <w:tcW w:w="941" w:type="pct"/>
            <w:noWrap/>
          </w:tcPr>
          <w:p w14:paraId="31DFA954" w14:textId="77777777" w:rsidR="001C79E4" w:rsidRPr="0006073C" w:rsidRDefault="001C79E4" w:rsidP="00864C4B">
            <w:pPr>
              <w:pStyle w:val="TableText0"/>
              <w:keepLines w:val="0"/>
              <w:jc w:val="center"/>
              <w:rPr>
                <w:bCs w:val="0"/>
              </w:rPr>
            </w:pPr>
            <w:r w:rsidRPr="0006073C">
              <w:rPr>
                <w:bCs w:val="0"/>
              </w:rPr>
              <w:t>0.2%</w:t>
            </w:r>
          </w:p>
        </w:tc>
      </w:tr>
      <w:tr w:rsidR="001C79E4" w:rsidRPr="00007450" w14:paraId="5ED9A654" w14:textId="77777777">
        <w:tc>
          <w:tcPr>
            <w:tcW w:w="1234" w:type="pct"/>
            <w:noWrap/>
          </w:tcPr>
          <w:p w14:paraId="14C12AA1" w14:textId="77777777" w:rsidR="001C79E4" w:rsidRPr="00007450" w:rsidRDefault="001C79E4" w:rsidP="00864C4B">
            <w:pPr>
              <w:pStyle w:val="TableText0"/>
              <w:keepLines w:val="0"/>
              <w:ind w:left="174"/>
              <w:rPr>
                <w:bCs w:val="0"/>
              </w:rPr>
            </w:pPr>
            <w:r w:rsidRPr="00007450">
              <w:rPr>
                <w:bCs w:val="0"/>
              </w:rPr>
              <w:t>NMR</w:t>
            </w:r>
          </w:p>
        </w:tc>
        <w:tc>
          <w:tcPr>
            <w:tcW w:w="941" w:type="pct"/>
            <w:noWrap/>
          </w:tcPr>
          <w:p w14:paraId="518D131E" w14:textId="77777777" w:rsidR="001C79E4" w:rsidRPr="001926C1" w:rsidRDefault="001C79E4" w:rsidP="00864C4B">
            <w:pPr>
              <w:pStyle w:val="TableText0"/>
              <w:keepLines w:val="0"/>
              <w:jc w:val="center"/>
              <w:rPr>
                <w:bCs w:val="0"/>
              </w:rPr>
            </w:pPr>
            <w:r w:rsidRPr="001926C1">
              <w:rPr>
                <w:bCs w:val="0"/>
              </w:rPr>
              <w:t>$352</w:t>
            </w:r>
          </w:p>
        </w:tc>
        <w:tc>
          <w:tcPr>
            <w:tcW w:w="942" w:type="pct"/>
            <w:noWrap/>
          </w:tcPr>
          <w:p w14:paraId="2C233B51" w14:textId="77777777" w:rsidR="001C79E4" w:rsidRPr="001926C1" w:rsidRDefault="001C79E4" w:rsidP="00864C4B">
            <w:pPr>
              <w:pStyle w:val="TableText0"/>
              <w:keepLines w:val="0"/>
              <w:jc w:val="center"/>
              <w:rPr>
                <w:bCs w:val="0"/>
              </w:rPr>
            </w:pPr>
            <w:r w:rsidRPr="001926C1">
              <w:rPr>
                <w:bCs w:val="0"/>
              </w:rPr>
              <w:t>$337</w:t>
            </w:r>
          </w:p>
        </w:tc>
        <w:tc>
          <w:tcPr>
            <w:tcW w:w="942" w:type="pct"/>
            <w:noWrap/>
          </w:tcPr>
          <w:p w14:paraId="5EA76EF6" w14:textId="77777777" w:rsidR="001C79E4" w:rsidRPr="001926C1" w:rsidRDefault="001C79E4" w:rsidP="00864C4B">
            <w:pPr>
              <w:pStyle w:val="TableText0"/>
              <w:keepLines w:val="0"/>
              <w:jc w:val="center"/>
              <w:rPr>
                <w:bCs w:val="0"/>
              </w:rPr>
            </w:pPr>
            <w:r w:rsidRPr="001926C1">
              <w:rPr>
                <w:bCs w:val="0"/>
              </w:rPr>
              <w:t>$15</w:t>
            </w:r>
          </w:p>
        </w:tc>
        <w:tc>
          <w:tcPr>
            <w:tcW w:w="941" w:type="pct"/>
            <w:noWrap/>
          </w:tcPr>
          <w:p w14:paraId="5858B9B8" w14:textId="77777777" w:rsidR="001C79E4" w:rsidRPr="0006073C" w:rsidRDefault="001C79E4" w:rsidP="00864C4B">
            <w:pPr>
              <w:pStyle w:val="TableText0"/>
              <w:keepLines w:val="0"/>
              <w:jc w:val="center"/>
              <w:rPr>
                <w:bCs w:val="0"/>
              </w:rPr>
            </w:pPr>
            <w:r w:rsidRPr="0006073C">
              <w:rPr>
                <w:bCs w:val="0"/>
              </w:rPr>
              <w:t>0.1%</w:t>
            </w:r>
          </w:p>
        </w:tc>
      </w:tr>
      <w:tr w:rsidR="001C79E4" w:rsidRPr="00007450" w14:paraId="05666BC9" w14:textId="77777777">
        <w:tc>
          <w:tcPr>
            <w:tcW w:w="1234" w:type="pct"/>
            <w:noWrap/>
          </w:tcPr>
          <w:p w14:paraId="5ECEC03A" w14:textId="77777777" w:rsidR="001C79E4" w:rsidRPr="00007450" w:rsidRDefault="001C79E4" w:rsidP="00864C4B">
            <w:pPr>
              <w:pStyle w:val="TableText0"/>
              <w:keepLines w:val="0"/>
              <w:ind w:left="174"/>
              <w:rPr>
                <w:bCs w:val="0"/>
              </w:rPr>
            </w:pPr>
            <w:r w:rsidRPr="00007450">
              <w:rPr>
                <w:bCs w:val="0"/>
              </w:rPr>
              <w:t>Remission</w:t>
            </w:r>
          </w:p>
        </w:tc>
        <w:tc>
          <w:tcPr>
            <w:tcW w:w="941" w:type="pct"/>
            <w:noWrap/>
          </w:tcPr>
          <w:p w14:paraId="3CB1577F" w14:textId="77777777" w:rsidR="001C79E4" w:rsidRPr="001926C1" w:rsidRDefault="001C79E4" w:rsidP="00864C4B">
            <w:pPr>
              <w:pStyle w:val="TableText0"/>
              <w:keepLines w:val="0"/>
              <w:jc w:val="center"/>
              <w:rPr>
                <w:bCs w:val="0"/>
              </w:rPr>
            </w:pPr>
            <w:r w:rsidRPr="001926C1">
              <w:rPr>
                <w:bCs w:val="0"/>
              </w:rPr>
              <w:t>$98</w:t>
            </w:r>
          </w:p>
        </w:tc>
        <w:tc>
          <w:tcPr>
            <w:tcW w:w="942" w:type="pct"/>
            <w:noWrap/>
          </w:tcPr>
          <w:p w14:paraId="7A768896" w14:textId="77777777" w:rsidR="001C79E4" w:rsidRPr="001926C1" w:rsidRDefault="001C79E4" w:rsidP="00864C4B">
            <w:pPr>
              <w:pStyle w:val="TableText0"/>
              <w:keepLines w:val="0"/>
              <w:jc w:val="center"/>
              <w:rPr>
                <w:bCs w:val="0"/>
              </w:rPr>
            </w:pPr>
            <w:r w:rsidRPr="001926C1">
              <w:rPr>
                <w:bCs w:val="0"/>
              </w:rPr>
              <w:t>$95</w:t>
            </w:r>
          </w:p>
        </w:tc>
        <w:tc>
          <w:tcPr>
            <w:tcW w:w="942" w:type="pct"/>
            <w:noWrap/>
          </w:tcPr>
          <w:p w14:paraId="3062E073" w14:textId="77777777" w:rsidR="001C79E4" w:rsidRPr="001926C1" w:rsidRDefault="001C79E4" w:rsidP="00864C4B">
            <w:pPr>
              <w:pStyle w:val="TableText0"/>
              <w:keepLines w:val="0"/>
              <w:jc w:val="center"/>
              <w:rPr>
                <w:bCs w:val="0"/>
              </w:rPr>
            </w:pPr>
            <w:r w:rsidRPr="001926C1">
              <w:rPr>
                <w:bCs w:val="0"/>
              </w:rPr>
              <w:t>$4</w:t>
            </w:r>
          </w:p>
        </w:tc>
        <w:tc>
          <w:tcPr>
            <w:tcW w:w="941" w:type="pct"/>
            <w:noWrap/>
          </w:tcPr>
          <w:p w14:paraId="5C495C4A" w14:textId="77777777" w:rsidR="001C79E4" w:rsidRPr="0006073C" w:rsidRDefault="001C79E4" w:rsidP="00864C4B">
            <w:pPr>
              <w:pStyle w:val="TableText0"/>
              <w:keepLines w:val="0"/>
              <w:jc w:val="center"/>
              <w:rPr>
                <w:bCs w:val="0"/>
              </w:rPr>
            </w:pPr>
            <w:r w:rsidRPr="0006073C">
              <w:rPr>
                <w:bCs w:val="0"/>
              </w:rPr>
              <w:t>0.0%</w:t>
            </w:r>
          </w:p>
        </w:tc>
      </w:tr>
      <w:tr w:rsidR="001C79E4" w:rsidRPr="00007450" w14:paraId="1990455C" w14:textId="77777777">
        <w:tc>
          <w:tcPr>
            <w:tcW w:w="1234" w:type="pct"/>
            <w:noWrap/>
          </w:tcPr>
          <w:p w14:paraId="4541BCE2" w14:textId="77777777" w:rsidR="001C79E4" w:rsidRPr="00007450" w:rsidRDefault="001C79E4" w:rsidP="00864C4B">
            <w:pPr>
              <w:pStyle w:val="TableText0"/>
              <w:keepLines w:val="0"/>
              <w:ind w:left="174"/>
              <w:rPr>
                <w:bCs w:val="0"/>
              </w:rPr>
            </w:pPr>
            <w:r w:rsidRPr="00007450">
              <w:rPr>
                <w:bCs w:val="0"/>
              </w:rPr>
              <w:t>DR</w:t>
            </w:r>
          </w:p>
        </w:tc>
        <w:tc>
          <w:tcPr>
            <w:tcW w:w="941" w:type="pct"/>
            <w:noWrap/>
          </w:tcPr>
          <w:p w14:paraId="05F81328" w14:textId="77777777" w:rsidR="001C79E4" w:rsidRPr="001926C1" w:rsidRDefault="001C79E4" w:rsidP="00864C4B">
            <w:pPr>
              <w:pStyle w:val="TableText0"/>
              <w:keepLines w:val="0"/>
              <w:jc w:val="center"/>
              <w:rPr>
                <w:bCs w:val="0"/>
              </w:rPr>
            </w:pPr>
            <w:r w:rsidRPr="001926C1">
              <w:rPr>
                <w:bCs w:val="0"/>
              </w:rPr>
              <w:t>$3,608</w:t>
            </w:r>
          </w:p>
        </w:tc>
        <w:tc>
          <w:tcPr>
            <w:tcW w:w="942" w:type="pct"/>
            <w:noWrap/>
          </w:tcPr>
          <w:p w14:paraId="19038BF9" w14:textId="77777777" w:rsidR="001C79E4" w:rsidRPr="001926C1" w:rsidRDefault="001C79E4" w:rsidP="00864C4B">
            <w:pPr>
              <w:pStyle w:val="TableText0"/>
              <w:keepLines w:val="0"/>
              <w:jc w:val="center"/>
              <w:rPr>
                <w:bCs w:val="0"/>
              </w:rPr>
            </w:pPr>
            <w:r w:rsidRPr="001926C1">
              <w:rPr>
                <w:bCs w:val="0"/>
              </w:rPr>
              <w:t>$5,244</w:t>
            </w:r>
          </w:p>
        </w:tc>
        <w:tc>
          <w:tcPr>
            <w:tcW w:w="942" w:type="pct"/>
            <w:noWrap/>
          </w:tcPr>
          <w:p w14:paraId="381D89E7" w14:textId="77777777" w:rsidR="001C79E4" w:rsidRPr="001926C1" w:rsidRDefault="001C79E4" w:rsidP="00864C4B">
            <w:pPr>
              <w:pStyle w:val="TableText0"/>
              <w:keepLines w:val="0"/>
              <w:jc w:val="center"/>
              <w:rPr>
                <w:bCs w:val="0"/>
              </w:rPr>
            </w:pPr>
            <w:r w:rsidRPr="001926C1">
              <w:rPr>
                <w:bCs w:val="0"/>
              </w:rPr>
              <w:t>-$1,635</w:t>
            </w:r>
          </w:p>
        </w:tc>
        <w:tc>
          <w:tcPr>
            <w:tcW w:w="941" w:type="pct"/>
            <w:noWrap/>
          </w:tcPr>
          <w:p w14:paraId="60403078" w14:textId="77777777" w:rsidR="001C79E4" w:rsidRPr="0006073C" w:rsidRDefault="001C79E4" w:rsidP="00864C4B">
            <w:pPr>
              <w:pStyle w:val="TableText0"/>
              <w:keepLines w:val="0"/>
              <w:jc w:val="center"/>
              <w:rPr>
                <w:bCs w:val="0"/>
              </w:rPr>
            </w:pPr>
            <w:r w:rsidRPr="0006073C">
              <w:rPr>
                <w:bCs w:val="0"/>
              </w:rPr>
              <w:t>-9.4%</w:t>
            </w:r>
          </w:p>
        </w:tc>
      </w:tr>
      <w:tr w:rsidR="001C79E4" w:rsidRPr="00007450" w14:paraId="5D3389B1" w14:textId="77777777">
        <w:tc>
          <w:tcPr>
            <w:tcW w:w="1234" w:type="pct"/>
            <w:noWrap/>
          </w:tcPr>
          <w:p w14:paraId="4EC1A520" w14:textId="77777777" w:rsidR="001C79E4" w:rsidRPr="00007450" w:rsidRDefault="001C79E4" w:rsidP="00864C4B">
            <w:pPr>
              <w:pStyle w:val="TableText0"/>
              <w:keepLines w:val="0"/>
              <w:ind w:left="174"/>
              <w:rPr>
                <w:bCs w:val="0"/>
              </w:rPr>
            </w:pPr>
            <w:r w:rsidRPr="00007450">
              <w:rPr>
                <w:bCs w:val="0"/>
              </w:rPr>
              <w:t>SPM transition</w:t>
            </w:r>
          </w:p>
        </w:tc>
        <w:tc>
          <w:tcPr>
            <w:tcW w:w="941" w:type="pct"/>
            <w:noWrap/>
          </w:tcPr>
          <w:p w14:paraId="75E89A22" w14:textId="77777777" w:rsidR="001C79E4" w:rsidRPr="001926C1" w:rsidRDefault="001C79E4" w:rsidP="00864C4B">
            <w:pPr>
              <w:pStyle w:val="TableText0"/>
              <w:keepLines w:val="0"/>
              <w:jc w:val="center"/>
              <w:rPr>
                <w:bCs w:val="0"/>
              </w:rPr>
            </w:pPr>
            <w:r w:rsidRPr="001926C1">
              <w:rPr>
                <w:bCs w:val="0"/>
              </w:rPr>
              <w:t>$5</w:t>
            </w:r>
          </w:p>
        </w:tc>
        <w:tc>
          <w:tcPr>
            <w:tcW w:w="942" w:type="pct"/>
            <w:noWrap/>
          </w:tcPr>
          <w:p w14:paraId="776DFE90" w14:textId="77777777" w:rsidR="001C79E4" w:rsidRPr="001926C1" w:rsidRDefault="001C79E4" w:rsidP="00864C4B">
            <w:pPr>
              <w:pStyle w:val="TableText0"/>
              <w:keepLines w:val="0"/>
              <w:jc w:val="center"/>
              <w:rPr>
                <w:bCs w:val="0"/>
              </w:rPr>
            </w:pPr>
            <w:r w:rsidRPr="001926C1">
              <w:rPr>
                <w:bCs w:val="0"/>
              </w:rPr>
              <w:t>$6</w:t>
            </w:r>
          </w:p>
        </w:tc>
        <w:tc>
          <w:tcPr>
            <w:tcW w:w="942" w:type="pct"/>
            <w:noWrap/>
          </w:tcPr>
          <w:p w14:paraId="51CBD006" w14:textId="77777777" w:rsidR="001C79E4" w:rsidRPr="001926C1" w:rsidRDefault="001C79E4" w:rsidP="00864C4B">
            <w:pPr>
              <w:pStyle w:val="TableText0"/>
              <w:keepLines w:val="0"/>
              <w:jc w:val="center"/>
              <w:rPr>
                <w:bCs w:val="0"/>
              </w:rPr>
            </w:pPr>
            <w:r w:rsidRPr="001926C1">
              <w:rPr>
                <w:bCs w:val="0"/>
              </w:rPr>
              <w:t>-$1</w:t>
            </w:r>
          </w:p>
        </w:tc>
        <w:tc>
          <w:tcPr>
            <w:tcW w:w="941" w:type="pct"/>
            <w:noWrap/>
          </w:tcPr>
          <w:p w14:paraId="12F85DCF" w14:textId="77777777" w:rsidR="001C79E4" w:rsidRPr="0006073C" w:rsidRDefault="001C79E4" w:rsidP="00864C4B">
            <w:pPr>
              <w:pStyle w:val="TableText0"/>
              <w:keepLines w:val="0"/>
              <w:jc w:val="center"/>
              <w:rPr>
                <w:bCs w:val="0"/>
              </w:rPr>
            </w:pPr>
            <w:r w:rsidRPr="0006073C">
              <w:rPr>
                <w:bCs w:val="0"/>
              </w:rPr>
              <w:t>0.0%</w:t>
            </w:r>
          </w:p>
        </w:tc>
      </w:tr>
      <w:tr w:rsidR="001C79E4" w:rsidRPr="00007450" w14:paraId="4BC492BE" w14:textId="77777777">
        <w:tc>
          <w:tcPr>
            <w:tcW w:w="1234" w:type="pct"/>
            <w:noWrap/>
          </w:tcPr>
          <w:p w14:paraId="1D362DAF" w14:textId="77777777" w:rsidR="001C79E4" w:rsidRPr="00007450" w:rsidRDefault="001C79E4" w:rsidP="00864C4B">
            <w:pPr>
              <w:pStyle w:val="TableText0"/>
              <w:keepLines w:val="0"/>
              <w:rPr>
                <w:bCs w:val="0"/>
              </w:rPr>
            </w:pPr>
            <w:r w:rsidRPr="00007450">
              <w:rPr>
                <w:bCs w:val="0"/>
              </w:rPr>
              <w:t>AEs</w:t>
            </w:r>
          </w:p>
        </w:tc>
        <w:tc>
          <w:tcPr>
            <w:tcW w:w="941" w:type="pct"/>
            <w:noWrap/>
          </w:tcPr>
          <w:p w14:paraId="42835902" w14:textId="77777777" w:rsidR="001C79E4" w:rsidRPr="001926C1" w:rsidRDefault="001C79E4" w:rsidP="00864C4B">
            <w:pPr>
              <w:pStyle w:val="TableText0"/>
              <w:keepLines w:val="0"/>
              <w:jc w:val="center"/>
              <w:rPr>
                <w:bCs w:val="0"/>
              </w:rPr>
            </w:pPr>
            <w:r w:rsidRPr="001926C1">
              <w:rPr>
                <w:bCs w:val="0"/>
              </w:rPr>
              <w:t>$2,832</w:t>
            </w:r>
          </w:p>
        </w:tc>
        <w:tc>
          <w:tcPr>
            <w:tcW w:w="942" w:type="pct"/>
            <w:noWrap/>
          </w:tcPr>
          <w:p w14:paraId="43FA71AD" w14:textId="77777777" w:rsidR="001C79E4" w:rsidRPr="001926C1" w:rsidRDefault="001C79E4" w:rsidP="00864C4B">
            <w:pPr>
              <w:pStyle w:val="TableText0"/>
              <w:keepLines w:val="0"/>
              <w:jc w:val="center"/>
              <w:rPr>
                <w:bCs w:val="0"/>
              </w:rPr>
            </w:pPr>
            <w:r w:rsidRPr="001926C1">
              <w:rPr>
                <w:bCs w:val="0"/>
              </w:rPr>
              <w:t>$189</w:t>
            </w:r>
          </w:p>
        </w:tc>
        <w:tc>
          <w:tcPr>
            <w:tcW w:w="942" w:type="pct"/>
            <w:noWrap/>
          </w:tcPr>
          <w:p w14:paraId="79E7CC6A" w14:textId="77777777" w:rsidR="001C79E4" w:rsidRPr="001926C1" w:rsidRDefault="001C79E4" w:rsidP="00864C4B">
            <w:pPr>
              <w:pStyle w:val="TableText0"/>
              <w:keepLines w:val="0"/>
              <w:jc w:val="center"/>
              <w:rPr>
                <w:bCs w:val="0"/>
              </w:rPr>
            </w:pPr>
            <w:r w:rsidRPr="001926C1">
              <w:rPr>
                <w:bCs w:val="0"/>
              </w:rPr>
              <w:t>$2,643</w:t>
            </w:r>
          </w:p>
        </w:tc>
        <w:tc>
          <w:tcPr>
            <w:tcW w:w="941" w:type="pct"/>
            <w:noWrap/>
          </w:tcPr>
          <w:p w14:paraId="4C9A0527" w14:textId="77777777" w:rsidR="001C79E4" w:rsidRPr="0006073C" w:rsidRDefault="001C79E4" w:rsidP="00864C4B">
            <w:pPr>
              <w:pStyle w:val="TableText0"/>
              <w:keepLines w:val="0"/>
              <w:jc w:val="center"/>
              <w:rPr>
                <w:bCs w:val="0"/>
              </w:rPr>
            </w:pPr>
            <w:r w:rsidRPr="0006073C">
              <w:rPr>
                <w:bCs w:val="0"/>
              </w:rPr>
              <w:t>15.2%</w:t>
            </w:r>
          </w:p>
        </w:tc>
      </w:tr>
      <w:tr w:rsidR="001C79E4" w:rsidRPr="00007450" w14:paraId="5B8513E0" w14:textId="77777777">
        <w:tc>
          <w:tcPr>
            <w:tcW w:w="1234" w:type="pct"/>
          </w:tcPr>
          <w:p w14:paraId="4F3E5A3D" w14:textId="77777777" w:rsidR="001C79E4" w:rsidRPr="00007450" w:rsidRDefault="001C79E4" w:rsidP="00864C4B">
            <w:pPr>
              <w:pStyle w:val="PbacTableHeading"/>
              <w:keepNext/>
              <w:spacing w:after="0"/>
              <w:rPr>
                <w:b w:val="0"/>
              </w:rPr>
            </w:pPr>
            <w:r w:rsidRPr="00007450">
              <w:rPr>
                <w:b w:val="0"/>
              </w:rPr>
              <w:t>Terminal care</w:t>
            </w:r>
          </w:p>
        </w:tc>
        <w:tc>
          <w:tcPr>
            <w:tcW w:w="941" w:type="pct"/>
          </w:tcPr>
          <w:p w14:paraId="2618C07C" w14:textId="77777777" w:rsidR="001C79E4" w:rsidRPr="001926C1" w:rsidRDefault="001C79E4" w:rsidP="00864C4B">
            <w:pPr>
              <w:pStyle w:val="PbacTableHeading"/>
              <w:keepNext/>
              <w:spacing w:after="0"/>
              <w:jc w:val="center"/>
              <w:rPr>
                <w:b w:val="0"/>
              </w:rPr>
            </w:pPr>
            <w:r w:rsidRPr="001926C1">
              <w:rPr>
                <w:b w:val="0"/>
              </w:rPr>
              <w:t>$5,524</w:t>
            </w:r>
          </w:p>
        </w:tc>
        <w:tc>
          <w:tcPr>
            <w:tcW w:w="942" w:type="pct"/>
          </w:tcPr>
          <w:p w14:paraId="1E9D2539" w14:textId="77777777" w:rsidR="001C79E4" w:rsidRPr="001926C1" w:rsidRDefault="001C79E4" w:rsidP="00864C4B">
            <w:pPr>
              <w:pStyle w:val="PbacTableHeading"/>
              <w:keepNext/>
              <w:spacing w:after="0"/>
              <w:jc w:val="center"/>
              <w:rPr>
                <w:b w:val="0"/>
              </w:rPr>
            </w:pPr>
            <w:r w:rsidRPr="001926C1">
              <w:rPr>
                <w:b w:val="0"/>
              </w:rPr>
              <w:t>$6,255</w:t>
            </w:r>
          </w:p>
        </w:tc>
        <w:tc>
          <w:tcPr>
            <w:tcW w:w="942" w:type="pct"/>
          </w:tcPr>
          <w:p w14:paraId="0DA9BCD3" w14:textId="77777777" w:rsidR="001C79E4" w:rsidRPr="001926C1" w:rsidRDefault="001C79E4" w:rsidP="00864C4B">
            <w:pPr>
              <w:pStyle w:val="PbacTableHeading"/>
              <w:keepNext/>
              <w:spacing w:after="0"/>
              <w:jc w:val="center"/>
              <w:rPr>
                <w:b w:val="0"/>
              </w:rPr>
            </w:pPr>
            <w:r w:rsidRPr="001926C1">
              <w:rPr>
                <w:b w:val="0"/>
              </w:rPr>
              <w:t>-$731</w:t>
            </w:r>
          </w:p>
        </w:tc>
        <w:tc>
          <w:tcPr>
            <w:tcW w:w="941" w:type="pct"/>
          </w:tcPr>
          <w:p w14:paraId="43BD9835" w14:textId="77777777" w:rsidR="001C79E4" w:rsidRPr="0006073C" w:rsidRDefault="001C79E4" w:rsidP="00864C4B">
            <w:pPr>
              <w:pStyle w:val="PbacTableHeading"/>
              <w:keepNext/>
              <w:spacing w:after="0"/>
              <w:jc w:val="center"/>
              <w:rPr>
                <w:b w:val="0"/>
              </w:rPr>
            </w:pPr>
            <w:r w:rsidRPr="0006073C">
              <w:rPr>
                <w:b w:val="0"/>
              </w:rPr>
              <w:t>-4.2%</w:t>
            </w:r>
          </w:p>
        </w:tc>
      </w:tr>
      <w:tr w:rsidR="001C79E4" w:rsidRPr="00007450" w14:paraId="1BF3F831" w14:textId="77777777">
        <w:tc>
          <w:tcPr>
            <w:tcW w:w="1234" w:type="pct"/>
          </w:tcPr>
          <w:p w14:paraId="1B58646D" w14:textId="77777777" w:rsidR="001C79E4" w:rsidRPr="00007450" w:rsidRDefault="001C79E4" w:rsidP="00864C4B">
            <w:pPr>
              <w:pStyle w:val="PbacTableHeading"/>
              <w:keepNext/>
              <w:spacing w:after="0"/>
              <w:ind w:left="174"/>
              <w:rPr>
                <w:b w:val="0"/>
              </w:rPr>
            </w:pPr>
            <w:r w:rsidRPr="00007450">
              <w:rPr>
                <w:b w:val="0"/>
              </w:rPr>
              <w:t>From iDF, NMR and remission</w:t>
            </w:r>
          </w:p>
        </w:tc>
        <w:tc>
          <w:tcPr>
            <w:tcW w:w="941" w:type="pct"/>
          </w:tcPr>
          <w:p w14:paraId="29115A3A" w14:textId="77777777" w:rsidR="001C79E4" w:rsidRPr="001926C1" w:rsidRDefault="001C79E4" w:rsidP="00864C4B">
            <w:pPr>
              <w:pStyle w:val="PbacTableHeading"/>
              <w:keepNext/>
              <w:spacing w:after="0"/>
              <w:jc w:val="center"/>
              <w:rPr>
                <w:b w:val="0"/>
              </w:rPr>
            </w:pPr>
            <w:r w:rsidRPr="001926C1">
              <w:rPr>
                <w:b w:val="0"/>
              </w:rPr>
              <w:t>$2,408</w:t>
            </w:r>
          </w:p>
        </w:tc>
        <w:tc>
          <w:tcPr>
            <w:tcW w:w="942" w:type="pct"/>
          </w:tcPr>
          <w:p w14:paraId="19BF387E" w14:textId="77777777" w:rsidR="001C79E4" w:rsidRPr="001926C1" w:rsidRDefault="001C79E4" w:rsidP="00864C4B">
            <w:pPr>
              <w:pStyle w:val="PbacTableHeading"/>
              <w:keepNext/>
              <w:spacing w:after="0"/>
              <w:jc w:val="center"/>
              <w:rPr>
                <w:b w:val="0"/>
              </w:rPr>
            </w:pPr>
            <w:r w:rsidRPr="001926C1">
              <w:rPr>
                <w:b w:val="0"/>
              </w:rPr>
              <w:t>$2,113</w:t>
            </w:r>
          </w:p>
        </w:tc>
        <w:tc>
          <w:tcPr>
            <w:tcW w:w="942" w:type="pct"/>
          </w:tcPr>
          <w:p w14:paraId="57E6EFF2" w14:textId="77777777" w:rsidR="001C79E4" w:rsidRPr="001926C1" w:rsidRDefault="001C79E4" w:rsidP="00864C4B">
            <w:pPr>
              <w:pStyle w:val="PbacTableHeading"/>
              <w:keepNext/>
              <w:spacing w:after="0"/>
              <w:jc w:val="center"/>
              <w:rPr>
                <w:b w:val="0"/>
              </w:rPr>
            </w:pPr>
            <w:r w:rsidRPr="001926C1">
              <w:rPr>
                <w:b w:val="0"/>
              </w:rPr>
              <w:t>$295</w:t>
            </w:r>
          </w:p>
        </w:tc>
        <w:tc>
          <w:tcPr>
            <w:tcW w:w="941" w:type="pct"/>
          </w:tcPr>
          <w:p w14:paraId="518FFD44" w14:textId="77777777" w:rsidR="001C79E4" w:rsidRPr="0006073C" w:rsidRDefault="001C79E4" w:rsidP="00864C4B">
            <w:pPr>
              <w:pStyle w:val="PbacTableHeading"/>
              <w:keepNext/>
              <w:spacing w:after="0"/>
              <w:jc w:val="center"/>
              <w:rPr>
                <w:b w:val="0"/>
              </w:rPr>
            </w:pPr>
            <w:r w:rsidRPr="0006073C">
              <w:rPr>
                <w:b w:val="0"/>
              </w:rPr>
              <w:t>1.7%</w:t>
            </w:r>
          </w:p>
        </w:tc>
      </w:tr>
      <w:tr w:rsidR="001C79E4" w:rsidRPr="00007450" w14:paraId="3A109AAD" w14:textId="77777777">
        <w:tc>
          <w:tcPr>
            <w:tcW w:w="1234" w:type="pct"/>
          </w:tcPr>
          <w:p w14:paraId="79852526" w14:textId="77777777" w:rsidR="001C79E4" w:rsidRPr="00007450" w:rsidRDefault="001C79E4" w:rsidP="00864C4B">
            <w:pPr>
              <w:pStyle w:val="PbacTableHeading"/>
              <w:keepNext/>
              <w:spacing w:after="0"/>
              <w:ind w:left="174"/>
              <w:rPr>
                <w:b w:val="0"/>
              </w:rPr>
            </w:pPr>
            <w:r w:rsidRPr="00007450">
              <w:rPr>
                <w:b w:val="0"/>
              </w:rPr>
              <w:t>Within DR PSMs</w:t>
            </w:r>
          </w:p>
        </w:tc>
        <w:tc>
          <w:tcPr>
            <w:tcW w:w="941" w:type="pct"/>
          </w:tcPr>
          <w:p w14:paraId="03EF093C" w14:textId="77777777" w:rsidR="001C79E4" w:rsidRPr="001926C1" w:rsidRDefault="001C79E4" w:rsidP="00864C4B">
            <w:pPr>
              <w:pStyle w:val="PbacTableHeading"/>
              <w:keepNext/>
              <w:spacing w:after="0"/>
              <w:jc w:val="center"/>
              <w:rPr>
                <w:b w:val="0"/>
              </w:rPr>
            </w:pPr>
            <w:r w:rsidRPr="001926C1">
              <w:rPr>
                <w:b w:val="0"/>
              </w:rPr>
              <w:t>$3,116</w:t>
            </w:r>
          </w:p>
        </w:tc>
        <w:tc>
          <w:tcPr>
            <w:tcW w:w="942" w:type="pct"/>
          </w:tcPr>
          <w:p w14:paraId="044201F7" w14:textId="77777777" w:rsidR="001C79E4" w:rsidRPr="001926C1" w:rsidRDefault="001C79E4" w:rsidP="00864C4B">
            <w:pPr>
              <w:pStyle w:val="PbacTableHeading"/>
              <w:keepNext/>
              <w:spacing w:after="0"/>
              <w:jc w:val="center"/>
              <w:rPr>
                <w:b w:val="0"/>
              </w:rPr>
            </w:pPr>
            <w:r w:rsidRPr="001926C1">
              <w:rPr>
                <w:b w:val="0"/>
              </w:rPr>
              <w:t>$4,143</w:t>
            </w:r>
          </w:p>
        </w:tc>
        <w:tc>
          <w:tcPr>
            <w:tcW w:w="942" w:type="pct"/>
          </w:tcPr>
          <w:p w14:paraId="735218ED" w14:textId="77777777" w:rsidR="001C79E4" w:rsidRPr="001926C1" w:rsidRDefault="001C79E4" w:rsidP="00864C4B">
            <w:pPr>
              <w:pStyle w:val="PbacTableHeading"/>
              <w:keepNext/>
              <w:spacing w:after="0"/>
              <w:jc w:val="center"/>
              <w:rPr>
                <w:b w:val="0"/>
              </w:rPr>
            </w:pPr>
            <w:r w:rsidRPr="001926C1">
              <w:rPr>
                <w:b w:val="0"/>
              </w:rPr>
              <w:t>-$1,026</w:t>
            </w:r>
          </w:p>
        </w:tc>
        <w:tc>
          <w:tcPr>
            <w:tcW w:w="941" w:type="pct"/>
          </w:tcPr>
          <w:p w14:paraId="2F931EC8" w14:textId="77777777" w:rsidR="001C79E4" w:rsidRPr="0006073C" w:rsidRDefault="001C79E4" w:rsidP="00864C4B">
            <w:pPr>
              <w:pStyle w:val="PbacTableHeading"/>
              <w:keepNext/>
              <w:spacing w:after="0"/>
              <w:jc w:val="center"/>
              <w:rPr>
                <w:b w:val="0"/>
              </w:rPr>
            </w:pPr>
            <w:r w:rsidRPr="0006073C">
              <w:rPr>
                <w:b w:val="0"/>
              </w:rPr>
              <w:t>-5.9%</w:t>
            </w:r>
          </w:p>
        </w:tc>
      </w:tr>
      <w:tr w:rsidR="001C79E4" w:rsidRPr="00007450" w14:paraId="7DA432D3" w14:textId="77777777">
        <w:tc>
          <w:tcPr>
            <w:tcW w:w="1234" w:type="pct"/>
            <w:tcBorders>
              <w:bottom w:val="double" w:sz="4" w:space="0" w:color="auto"/>
            </w:tcBorders>
          </w:tcPr>
          <w:p w14:paraId="2A0AA548" w14:textId="77777777" w:rsidR="001C79E4" w:rsidRPr="00007450" w:rsidRDefault="001C79E4" w:rsidP="00864C4B">
            <w:pPr>
              <w:pStyle w:val="PbacTableHeading"/>
              <w:keepNext/>
              <w:spacing w:after="0"/>
              <w:rPr>
                <w:bCs/>
              </w:rPr>
            </w:pPr>
            <w:r w:rsidRPr="00007450">
              <w:rPr>
                <w:bCs/>
              </w:rPr>
              <w:t>Total costs</w:t>
            </w:r>
          </w:p>
        </w:tc>
        <w:tc>
          <w:tcPr>
            <w:tcW w:w="941" w:type="pct"/>
            <w:tcBorders>
              <w:bottom w:val="double" w:sz="4" w:space="0" w:color="auto"/>
            </w:tcBorders>
          </w:tcPr>
          <w:p w14:paraId="75738B1A" w14:textId="7039416D" w:rsidR="001C79E4" w:rsidRPr="001926C1" w:rsidRDefault="001C79E4" w:rsidP="00864C4B">
            <w:pPr>
              <w:pStyle w:val="PbacTableHeading"/>
              <w:keepNext/>
              <w:spacing w:after="0"/>
              <w:jc w:val="center"/>
              <w:rPr>
                <w:bCs/>
              </w:rPr>
            </w:pPr>
            <w:r w:rsidRPr="001926C1">
              <w:rPr>
                <w:bCs/>
              </w:rPr>
              <w:t>$</w:t>
            </w:r>
            <w:r w:rsidR="00E44B9A" w:rsidRPr="00E44B9A">
              <w:rPr>
                <w:bCs/>
                <w:color w:val="000000"/>
                <w:spacing w:val="53"/>
                <w:shd w:val="solid" w:color="000000" w:fill="000000"/>
                <w:fitText w:val="345" w:id="-628909566"/>
                <w14:textFill>
                  <w14:solidFill>
                    <w14:srgbClr w14:val="000000">
                      <w14:alpha w14:val="100000"/>
                    </w14:srgbClr>
                  </w14:solidFill>
                </w14:textFill>
              </w:rPr>
              <w:t>|||</w:t>
            </w:r>
            <w:r w:rsidR="00E44B9A" w:rsidRPr="00E44B9A">
              <w:rPr>
                <w:bCs/>
                <w:color w:val="000000"/>
                <w:spacing w:val="3"/>
                <w:shd w:val="solid" w:color="000000" w:fill="000000"/>
                <w:fitText w:val="345" w:id="-628909566"/>
                <w14:textFill>
                  <w14:solidFill>
                    <w14:srgbClr w14:val="000000">
                      <w14:alpha w14:val="100000"/>
                    </w14:srgbClr>
                  </w14:solidFill>
                </w14:textFill>
              </w:rPr>
              <w:t>|</w:t>
            </w:r>
          </w:p>
        </w:tc>
        <w:tc>
          <w:tcPr>
            <w:tcW w:w="942" w:type="pct"/>
            <w:tcBorders>
              <w:bottom w:val="double" w:sz="4" w:space="0" w:color="auto"/>
            </w:tcBorders>
          </w:tcPr>
          <w:p w14:paraId="6CAC5D61" w14:textId="77777777" w:rsidR="001C79E4" w:rsidRPr="001926C1" w:rsidRDefault="001C79E4" w:rsidP="00864C4B">
            <w:pPr>
              <w:pStyle w:val="PbacTableHeading"/>
              <w:keepNext/>
              <w:spacing w:after="0"/>
              <w:jc w:val="center"/>
              <w:rPr>
                <w:bCs/>
              </w:rPr>
            </w:pPr>
            <w:r w:rsidRPr="001926C1">
              <w:rPr>
                <w:bCs/>
              </w:rPr>
              <w:t>$</w:t>
            </w:r>
            <w:r w:rsidRPr="006E2C7C">
              <w:rPr>
                <w:bCs/>
              </w:rPr>
              <w:t>24,854</w:t>
            </w:r>
          </w:p>
        </w:tc>
        <w:tc>
          <w:tcPr>
            <w:tcW w:w="942" w:type="pct"/>
            <w:tcBorders>
              <w:bottom w:val="double" w:sz="4" w:space="0" w:color="auto"/>
            </w:tcBorders>
          </w:tcPr>
          <w:p w14:paraId="2B8732AC" w14:textId="2F24E92C" w:rsidR="001C79E4" w:rsidRPr="001926C1" w:rsidRDefault="001C79E4" w:rsidP="00864C4B">
            <w:pPr>
              <w:pStyle w:val="PbacTableHeading"/>
              <w:keepNext/>
              <w:spacing w:after="0"/>
              <w:jc w:val="center"/>
              <w:rPr>
                <w:bCs/>
              </w:rPr>
            </w:pPr>
            <w:r w:rsidRPr="001926C1">
              <w:rPr>
                <w:bCs/>
              </w:rPr>
              <w:t>$</w:t>
            </w:r>
            <w:r w:rsidR="00E44B9A">
              <w:rPr>
                <w:bCs/>
                <w:color w:val="000000"/>
                <w:spacing w:val="53"/>
                <w:shd w:val="solid" w:color="000000" w:fill="000000"/>
                <w:fitText w:val="345" w:id="-628909565"/>
                <w14:textFill>
                  <w14:solidFill>
                    <w14:srgbClr w14:val="000000">
                      <w14:alpha w14:val="100000"/>
                    </w14:srgbClr>
                  </w14:solidFill>
                </w14:textFill>
              </w:rPr>
              <w:t>|||</w:t>
            </w:r>
            <w:r w:rsidR="00E44B9A">
              <w:rPr>
                <w:bCs/>
                <w:color w:val="000000"/>
                <w:spacing w:val="2"/>
                <w:shd w:val="solid" w:color="000000" w:fill="000000"/>
                <w:fitText w:val="345" w:id="-628909565"/>
                <w14:textFill>
                  <w14:solidFill>
                    <w14:srgbClr w14:val="000000">
                      <w14:alpha w14:val="100000"/>
                    </w14:srgbClr>
                  </w14:solidFill>
                </w14:textFill>
              </w:rPr>
              <w:t>|</w:t>
            </w:r>
          </w:p>
        </w:tc>
        <w:tc>
          <w:tcPr>
            <w:tcW w:w="941" w:type="pct"/>
            <w:tcBorders>
              <w:bottom w:val="double" w:sz="4" w:space="0" w:color="auto"/>
            </w:tcBorders>
          </w:tcPr>
          <w:p w14:paraId="7CAFC1A1" w14:textId="77777777" w:rsidR="001C79E4" w:rsidRPr="001926C1" w:rsidRDefault="001C79E4" w:rsidP="00864C4B">
            <w:pPr>
              <w:pStyle w:val="PbacTableHeading"/>
              <w:keepNext/>
              <w:spacing w:after="0"/>
              <w:jc w:val="center"/>
              <w:rPr>
                <w:bCs/>
              </w:rPr>
            </w:pPr>
            <w:r w:rsidRPr="001926C1">
              <w:rPr>
                <w:bCs/>
              </w:rPr>
              <w:t>100.0%</w:t>
            </w:r>
          </w:p>
        </w:tc>
      </w:tr>
      <w:tr w:rsidR="001C79E4" w:rsidRPr="00007450" w14:paraId="43876F84" w14:textId="77777777">
        <w:tc>
          <w:tcPr>
            <w:tcW w:w="5000" w:type="pct"/>
            <w:gridSpan w:val="5"/>
            <w:tcBorders>
              <w:top w:val="double" w:sz="4" w:space="0" w:color="auto"/>
            </w:tcBorders>
            <w:noWrap/>
          </w:tcPr>
          <w:p w14:paraId="1F3EB3E1" w14:textId="77777777" w:rsidR="001C79E4" w:rsidRPr="00007450" w:rsidRDefault="001C79E4" w:rsidP="00864C4B">
            <w:pPr>
              <w:pStyle w:val="TableText0"/>
              <w:keepLines w:val="0"/>
              <w:rPr>
                <w:b/>
              </w:rPr>
            </w:pPr>
            <w:r w:rsidRPr="00007450">
              <w:rPr>
                <w:b/>
              </w:rPr>
              <w:t>LYs</w:t>
            </w:r>
          </w:p>
        </w:tc>
      </w:tr>
      <w:tr w:rsidR="001C79E4" w:rsidRPr="00007450" w14:paraId="2C81DA0F" w14:textId="77777777">
        <w:tc>
          <w:tcPr>
            <w:tcW w:w="1234" w:type="pct"/>
            <w:noWrap/>
            <w:hideMark/>
          </w:tcPr>
          <w:p w14:paraId="3DCDFE4F" w14:textId="77777777" w:rsidR="001C79E4" w:rsidRPr="00007450" w:rsidRDefault="001C79E4" w:rsidP="00864C4B">
            <w:pPr>
              <w:pStyle w:val="TableText0"/>
              <w:keepLines w:val="0"/>
              <w:rPr>
                <w:bCs w:val="0"/>
              </w:rPr>
            </w:pPr>
            <w:r w:rsidRPr="00007450">
              <w:rPr>
                <w:bCs w:val="0"/>
              </w:rPr>
              <w:t>iDF</w:t>
            </w:r>
          </w:p>
        </w:tc>
        <w:tc>
          <w:tcPr>
            <w:tcW w:w="941" w:type="pct"/>
            <w:noWrap/>
          </w:tcPr>
          <w:p w14:paraId="22A1F0FF" w14:textId="77777777" w:rsidR="001C79E4" w:rsidRPr="00007450" w:rsidRDefault="001C79E4" w:rsidP="00864C4B">
            <w:pPr>
              <w:pStyle w:val="TableText0"/>
              <w:keepLines w:val="0"/>
              <w:jc w:val="center"/>
              <w:rPr>
                <w:bCs w:val="0"/>
              </w:rPr>
            </w:pPr>
            <w:r w:rsidRPr="00007450">
              <w:t>12.73</w:t>
            </w:r>
          </w:p>
        </w:tc>
        <w:tc>
          <w:tcPr>
            <w:tcW w:w="942" w:type="pct"/>
            <w:noWrap/>
          </w:tcPr>
          <w:p w14:paraId="39A72760" w14:textId="77777777" w:rsidR="001C79E4" w:rsidRPr="00007450" w:rsidRDefault="001C79E4" w:rsidP="00864C4B">
            <w:pPr>
              <w:pStyle w:val="TableText0"/>
              <w:keepLines w:val="0"/>
              <w:jc w:val="center"/>
              <w:rPr>
                <w:bCs w:val="0"/>
              </w:rPr>
            </w:pPr>
            <w:r w:rsidRPr="00007450">
              <w:t>11.84</w:t>
            </w:r>
          </w:p>
        </w:tc>
        <w:tc>
          <w:tcPr>
            <w:tcW w:w="942" w:type="pct"/>
            <w:noWrap/>
          </w:tcPr>
          <w:p w14:paraId="5C9E6551" w14:textId="77777777" w:rsidR="001C79E4" w:rsidRPr="00007450" w:rsidRDefault="001C79E4" w:rsidP="00864C4B">
            <w:pPr>
              <w:pStyle w:val="TableText0"/>
              <w:keepLines w:val="0"/>
              <w:jc w:val="center"/>
              <w:rPr>
                <w:bCs w:val="0"/>
              </w:rPr>
            </w:pPr>
            <w:r w:rsidRPr="00007450">
              <w:t>0.89</w:t>
            </w:r>
          </w:p>
        </w:tc>
        <w:tc>
          <w:tcPr>
            <w:tcW w:w="941" w:type="pct"/>
            <w:noWrap/>
          </w:tcPr>
          <w:p w14:paraId="43A1AD4A" w14:textId="77777777" w:rsidR="001C79E4" w:rsidRPr="00007450" w:rsidRDefault="001C79E4" w:rsidP="00864C4B">
            <w:pPr>
              <w:pStyle w:val="TableText0"/>
              <w:keepLines w:val="0"/>
              <w:jc w:val="center"/>
              <w:rPr>
                <w:bCs w:val="0"/>
              </w:rPr>
            </w:pPr>
            <w:r w:rsidRPr="00007450">
              <w:t>150.4%</w:t>
            </w:r>
          </w:p>
        </w:tc>
      </w:tr>
      <w:tr w:rsidR="001C79E4" w:rsidRPr="00007450" w14:paraId="012EACFD" w14:textId="77777777">
        <w:tc>
          <w:tcPr>
            <w:tcW w:w="1234" w:type="pct"/>
            <w:noWrap/>
            <w:hideMark/>
          </w:tcPr>
          <w:p w14:paraId="0C9733B0" w14:textId="77777777" w:rsidR="001C79E4" w:rsidRPr="00007450" w:rsidRDefault="001C79E4" w:rsidP="00864C4B">
            <w:pPr>
              <w:pStyle w:val="TableText0"/>
              <w:keepLines w:val="0"/>
              <w:rPr>
                <w:bCs w:val="0"/>
              </w:rPr>
            </w:pPr>
            <w:r w:rsidRPr="00007450">
              <w:rPr>
                <w:bCs w:val="0"/>
              </w:rPr>
              <w:t>NMR</w:t>
            </w:r>
          </w:p>
        </w:tc>
        <w:tc>
          <w:tcPr>
            <w:tcW w:w="941" w:type="pct"/>
            <w:noWrap/>
          </w:tcPr>
          <w:p w14:paraId="1FA6B04B" w14:textId="77777777" w:rsidR="001C79E4" w:rsidRPr="00007450" w:rsidRDefault="001C79E4" w:rsidP="00864C4B">
            <w:pPr>
              <w:pStyle w:val="TableText0"/>
              <w:keepLines w:val="0"/>
              <w:jc w:val="center"/>
              <w:rPr>
                <w:bCs w:val="0"/>
              </w:rPr>
            </w:pPr>
            <w:r w:rsidRPr="00007450">
              <w:t>0.06</w:t>
            </w:r>
          </w:p>
        </w:tc>
        <w:tc>
          <w:tcPr>
            <w:tcW w:w="942" w:type="pct"/>
            <w:noWrap/>
          </w:tcPr>
          <w:p w14:paraId="58C6006A" w14:textId="77777777" w:rsidR="001C79E4" w:rsidRPr="00007450" w:rsidRDefault="001C79E4" w:rsidP="00864C4B">
            <w:pPr>
              <w:pStyle w:val="TableText0"/>
              <w:keepLines w:val="0"/>
              <w:jc w:val="center"/>
              <w:rPr>
                <w:bCs w:val="0"/>
              </w:rPr>
            </w:pPr>
            <w:r w:rsidRPr="00007450">
              <w:t>0.06</w:t>
            </w:r>
          </w:p>
        </w:tc>
        <w:tc>
          <w:tcPr>
            <w:tcW w:w="942" w:type="pct"/>
            <w:noWrap/>
          </w:tcPr>
          <w:p w14:paraId="3F0AD42D" w14:textId="77777777" w:rsidR="001C79E4" w:rsidRPr="00007450" w:rsidRDefault="001C79E4" w:rsidP="00864C4B">
            <w:pPr>
              <w:pStyle w:val="TableText0"/>
              <w:keepLines w:val="0"/>
              <w:jc w:val="center"/>
              <w:rPr>
                <w:bCs w:val="0"/>
              </w:rPr>
            </w:pPr>
            <w:r w:rsidRPr="00007450">
              <w:t>0.00</w:t>
            </w:r>
          </w:p>
        </w:tc>
        <w:tc>
          <w:tcPr>
            <w:tcW w:w="941" w:type="pct"/>
            <w:noWrap/>
          </w:tcPr>
          <w:p w14:paraId="1D7A8AE1" w14:textId="77777777" w:rsidR="001C79E4" w:rsidRPr="00007450" w:rsidRDefault="001C79E4" w:rsidP="00864C4B">
            <w:pPr>
              <w:pStyle w:val="TableText0"/>
              <w:keepLines w:val="0"/>
              <w:jc w:val="center"/>
              <w:rPr>
                <w:bCs w:val="0"/>
              </w:rPr>
            </w:pPr>
            <w:r w:rsidRPr="00007450">
              <w:t>0.4%</w:t>
            </w:r>
          </w:p>
        </w:tc>
      </w:tr>
      <w:tr w:rsidR="001C79E4" w:rsidRPr="00007450" w14:paraId="27415389" w14:textId="77777777">
        <w:tc>
          <w:tcPr>
            <w:tcW w:w="1234" w:type="pct"/>
            <w:noWrap/>
            <w:hideMark/>
          </w:tcPr>
          <w:p w14:paraId="76AF11D1" w14:textId="77777777" w:rsidR="001C79E4" w:rsidRPr="00007450" w:rsidRDefault="001C79E4" w:rsidP="00864C4B">
            <w:pPr>
              <w:pStyle w:val="TableText0"/>
              <w:keepLines w:val="0"/>
              <w:rPr>
                <w:bCs w:val="0"/>
              </w:rPr>
            </w:pPr>
            <w:r w:rsidRPr="00007450">
              <w:rPr>
                <w:bCs w:val="0"/>
              </w:rPr>
              <w:t>Remission</w:t>
            </w:r>
          </w:p>
        </w:tc>
        <w:tc>
          <w:tcPr>
            <w:tcW w:w="941" w:type="pct"/>
            <w:noWrap/>
          </w:tcPr>
          <w:p w14:paraId="354B69B3" w14:textId="77777777" w:rsidR="001C79E4" w:rsidRPr="00007450" w:rsidRDefault="001C79E4" w:rsidP="00864C4B">
            <w:pPr>
              <w:pStyle w:val="TableText0"/>
              <w:keepLines w:val="0"/>
              <w:jc w:val="center"/>
              <w:rPr>
                <w:bCs w:val="0"/>
              </w:rPr>
            </w:pPr>
            <w:r w:rsidRPr="00007450">
              <w:t>0.33</w:t>
            </w:r>
          </w:p>
        </w:tc>
        <w:tc>
          <w:tcPr>
            <w:tcW w:w="942" w:type="pct"/>
            <w:noWrap/>
          </w:tcPr>
          <w:p w14:paraId="2922D743" w14:textId="77777777" w:rsidR="001C79E4" w:rsidRPr="00007450" w:rsidRDefault="001C79E4" w:rsidP="00864C4B">
            <w:pPr>
              <w:pStyle w:val="TableText0"/>
              <w:keepLines w:val="0"/>
              <w:jc w:val="center"/>
              <w:rPr>
                <w:bCs w:val="0"/>
              </w:rPr>
            </w:pPr>
            <w:r w:rsidRPr="00007450">
              <w:t>0.32</w:t>
            </w:r>
          </w:p>
        </w:tc>
        <w:tc>
          <w:tcPr>
            <w:tcW w:w="942" w:type="pct"/>
            <w:noWrap/>
          </w:tcPr>
          <w:p w14:paraId="38A8FA02" w14:textId="77777777" w:rsidR="001C79E4" w:rsidRPr="00007450" w:rsidRDefault="001C79E4" w:rsidP="00864C4B">
            <w:pPr>
              <w:pStyle w:val="TableText0"/>
              <w:keepLines w:val="0"/>
              <w:jc w:val="center"/>
              <w:rPr>
                <w:bCs w:val="0"/>
              </w:rPr>
            </w:pPr>
            <w:r w:rsidRPr="00007450">
              <w:t>0.01</w:t>
            </w:r>
          </w:p>
        </w:tc>
        <w:tc>
          <w:tcPr>
            <w:tcW w:w="941" w:type="pct"/>
            <w:noWrap/>
          </w:tcPr>
          <w:p w14:paraId="458C024E" w14:textId="77777777" w:rsidR="001C79E4" w:rsidRPr="00007450" w:rsidRDefault="001C79E4" w:rsidP="00864C4B">
            <w:pPr>
              <w:pStyle w:val="TableText0"/>
              <w:keepLines w:val="0"/>
              <w:jc w:val="center"/>
              <w:rPr>
                <w:bCs w:val="0"/>
              </w:rPr>
            </w:pPr>
            <w:r w:rsidRPr="00007450">
              <w:t>1.9%</w:t>
            </w:r>
          </w:p>
        </w:tc>
      </w:tr>
      <w:tr w:rsidR="001C79E4" w:rsidRPr="00007450" w14:paraId="5F96204D" w14:textId="77777777">
        <w:tc>
          <w:tcPr>
            <w:tcW w:w="1234" w:type="pct"/>
            <w:noWrap/>
            <w:hideMark/>
          </w:tcPr>
          <w:p w14:paraId="102E8983" w14:textId="77777777" w:rsidR="001C79E4" w:rsidRPr="00007450" w:rsidRDefault="001C79E4" w:rsidP="00864C4B">
            <w:pPr>
              <w:pStyle w:val="TableText0"/>
              <w:keepLines w:val="0"/>
              <w:rPr>
                <w:bCs w:val="0"/>
              </w:rPr>
            </w:pPr>
            <w:r w:rsidRPr="00007450">
              <w:rPr>
                <w:bCs w:val="0"/>
              </w:rPr>
              <w:t>DR ET-resistant</w:t>
            </w:r>
          </w:p>
        </w:tc>
        <w:tc>
          <w:tcPr>
            <w:tcW w:w="941" w:type="pct"/>
            <w:noWrap/>
          </w:tcPr>
          <w:p w14:paraId="645E18CA" w14:textId="77777777" w:rsidR="001C79E4" w:rsidRPr="00007450" w:rsidRDefault="001C79E4" w:rsidP="00864C4B">
            <w:pPr>
              <w:pStyle w:val="TableText0"/>
              <w:keepLines w:val="0"/>
              <w:jc w:val="center"/>
              <w:rPr>
                <w:bCs w:val="0"/>
              </w:rPr>
            </w:pPr>
            <w:r w:rsidRPr="00007450">
              <w:t>0.20</w:t>
            </w:r>
          </w:p>
        </w:tc>
        <w:tc>
          <w:tcPr>
            <w:tcW w:w="942" w:type="pct"/>
            <w:noWrap/>
          </w:tcPr>
          <w:p w14:paraId="08E9F20D" w14:textId="77777777" w:rsidR="001C79E4" w:rsidRPr="00007450" w:rsidRDefault="001C79E4" w:rsidP="00864C4B">
            <w:pPr>
              <w:pStyle w:val="TableText0"/>
              <w:keepLines w:val="0"/>
              <w:jc w:val="center"/>
              <w:rPr>
                <w:bCs w:val="0"/>
              </w:rPr>
            </w:pPr>
            <w:r w:rsidRPr="00007450">
              <w:t>0.41</w:t>
            </w:r>
          </w:p>
        </w:tc>
        <w:tc>
          <w:tcPr>
            <w:tcW w:w="942" w:type="pct"/>
            <w:noWrap/>
          </w:tcPr>
          <w:p w14:paraId="11F78915" w14:textId="77777777" w:rsidR="001C79E4" w:rsidRPr="00007450" w:rsidRDefault="001C79E4" w:rsidP="00864C4B">
            <w:pPr>
              <w:pStyle w:val="TableText0"/>
              <w:keepLines w:val="0"/>
              <w:jc w:val="center"/>
              <w:rPr>
                <w:bCs w:val="0"/>
              </w:rPr>
            </w:pPr>
            <w:r w:rsidRPr="00007450">
              <w:t>-0.20</w:t>
            </w:r>
          </w:p>
        </w:tc>
        <w:tc>
          <w:tcPr>
            <w:tcW w:w="941" w:type="pct"/>
            <w:noWrap/>
          </w:tcPr>
          <w:p w14:paraId="6052B27C" w14:textId="77777777" w:rsidR="001C79E4" w:rsidRPr="00007450" w:rsidRDefault="001C79E4" w:rsidP="00864C4B">
            <w:pPr>
              <w:pStyle w:val="TableText0"/>
              <w:keepLines w:val="0"/>
              <w:jc w:val="center"/>
              <w:rPr>
                <w:bCs w:val="0"/>
              </w:rPr>
            </w:pPr>
            <w:r w:rsidRPr="00007450">
              <w:t>-34.5%</w:t>
            </w:r>
          </w:p>
        </w:tc>
      </w:tr>
      <w:tr w:rsidR="001C79E4" w:rsidRPr="00007450" w14:paraId="60A935C7" w14:textId="77777777">
        <w:tc>
          <w:tcPr>
            <w:tcW w:w="1234" w:type="pct"/>
            <w:noWrap/>
            <w:hideMark/>
          </w:tcPr>
          <w:p w14:paraId="1D622156" w14:textId="77777777" w:rsidR="001C79E4" w:rsidRPr="00007450" w:rsidRDefault="001C79E4" w:rsidP="00864C4B">
            <w:pPr>
              <w:pStyle w:val="TableText0"/>
              <w:keepLines w:val="0"/>
              <w:rPr>
                <w:bCs w:val="0"/>
              </w:rPr>
            </w:pPr>
            <w:r w:rsidRPr="00007450">
              <w:rPr>
                <w:bCs w:val="0"/>
              </w:rPr>
              <w:t>DR ET-sensitive</w:t>
            </w:r>
          </w:p>
        </w:tc>
        <w:tc>
          <w:tcPr>
            <w:tcW w:w="941" w:type="pct"/>
            <w:noWrap/>
          </w:tcPr>
          <w:p w14:paraId="58A5A147" w14:textId="77777777" w:rsidR="001C79E4" w:rsidRPr="00007450" w:rsidRDefault="001C79E4" w:rsidP="00864C4B">
            <w:pPr>
              <w:pStyle w:val="TableText0"/>
              <w:keepLines w:val="0"/>
              <w:jc w:val="center"/>
              <w:rPr>
                <w:bCs w:val="0"/>
              </w:rPr>
            </w:pPr>
            <w:r w:rsidRPr="00007450">
              <w:t>0.48</w:t>
            </w:r>
          </w:p>
        </w:tc>
        <w:tc>
          <w:tcPr>
            <w:tcW w:w="942" w:type="pct"/>
            <w:noWrap/>
          </w:tcPr>
          <w:p w14:paraId="6529141B" w14:textId="77777777" w:rsidR="001C79E4" w:rsidRPr="00007450" w:rsidRDefault="001C79E4" w:rsidP="00864C4B">
            <w:pPr>
              <w:pStyle w:val="TableText0"/>
              <w:keepLines w:val="0"/>
              <w:jc w:val="center"/>
              <w:rPr>
                <w:bCs w:val="0"/>
              </w:rPr>
            </w:pPr>
            <w:r w:rsidRPr="00007450">
              <w:t>0.59</w:t>
            </w:r>
          </w:p>
        </w:tc>
        <w:tc>
          <w:tcPr>
            <w:tcW w:w="942" w:type="pct"/>
            <w:noWrap/>
          </w:tcPr>
          <w:p w14:paraId="73F53E8D" w14:textId="77777777" w:rsidR="001C79E4" w:rsidRPr="00007450" w:rsidRDefault="001C79E4" w:rsidP="00864C4B">
            <w:pPr>
              <w:pStyle w:val="TableText0"/>
              <w:keepLines w:val="0"/>
              <w:jc w:val="center"/>
              <w:rPr>
                <w:bCs w:val="0"/>
              </w:rPr>
            </w:pPr>
            <w:r w:rsidRPr="00007450">
              <w:t>-0.11</w:t>
            </w:r>
          </w:p>
        </w:tc>
        <w:tc>
          <w:tcPr>
            <w:tcW w:w="941" w:type="pct"/>
            <w:noWrap/>
          </w:tcPr>
          <w:p w14:paraId="226D92E6" w14:textId="77777777" w:rsidR="001C79E4" w:rsidRPr="00007450" w:rsidRDefault="001C79E4" w:rsidP="00864C4B">
            <w:pPr>
              <w:pStyle w:val="TableText0"/>
              <w:keepLines w:val="0"/>
              <w:jc w:val="center"/>
              <w:rPr>
                <w:bCs w:val="0"/>
              </w:rPr>
            </w:pPr>
            <w:r w:rsidRPr="00007450">
              <w:t>-18.3%</w:t>
            </w:r>
          </w:p>
        </w:tc>
      </w:tr>
      <w:tr w:rsidR="001C79E4" w:rsidRPr="00007450" w14:paraId="53673792" w14:textId="77777777">
        <w:tc>
          <w:tcPr>
            <w:tcW w:w="1234" w:type="pct"/>
            <w:tcBorders>
              <w:bottom w:val="double" w:sz="4" w:space="0" w:color="auto"/>
            </w:tcBorders>
            <w:noWrap/>
            <w:hideMark/>
          </w:tcPr>
          <w:p w14:paraId="56810449" w14:textId="77777777" w:rsidR="001C79E4" w:rsidRPr="00007450" w:rsidRDefault="001C79E4" w:rsidP="00864C4B">
            <w:pPr>
              <w:pStyle w:val="TableText0"/>
              <w:keepLines w:val="0"/>
              <w:rPr>
                <w:b/>
              </w:rPr>
            </w:pPr>
            <w:r w:rsidRPr="00007450">
              <w:rPr>
                <w:b/>
              </w:rPr>
              <w:t>Total LYs</w:t>
            </w:r>
          </w:p>
        </w:tc>
        <w:tc>
          <w:tcPr>
            <w:tcW w:w="941" w:type="pct"/>
            <w:tcBorders>
              <w:bottom w:val="double" w:sz="4" w:space="0" w:color="auto"/>
            </w:tcBorders>
            <w:noWrap/>
          </w:tcPr>
          <w:p w14:paraId="2E8E3B10" w14:textId="77777777" w:rsidR="001C79E4" w:rsidRPr="00007450" w:rsidRDefault="001C79E4" w:rsidP="00864C4B">
            <w:pPr>
              <w:pStyle w:val="TableText0"/>
              <w:keepLines w:val="0"/>
              <w:jc w:val="center"/>
              <w:rPr>
                <w:b/>
              </w:rPr>
            </w:pPr>
            <w:r w:rsidRPr="00007450">
              <w:rPr>
                <w:b/>
              </w:rPr>
              <w:t>13.80</w:t>
            </w:r>
          </w:p>
        </w:tc>
        <w:tc>
          <w:tcPr>
            <w:tcW w:w="942" w:type="pct"/>
            <w:tcBorders>
              <w:bottom w:val="double" w:sz="4" w:space="0" w:color="auto"/>
            </w:tcBorders>
            <w:noWrap/>
          </w:tcPr>
          <w:p w14:paraId="217CA6C9" w14:textId="77777777" w:rsidR="001C79E4" w:rsidRPr="00007450" w:rsidRDefault="001C79E4" w:rsidP="00864C4B">
            <w:pPr>
              <w:pStyle w:val="TableText0"/>
              <w:keepLines w:val="0"/>
              <w:jc w:val="center"/>
              <w:rPr>
                <w:b/>
              </w:rPr>
            </w:pPr>
            <w:r w:rsidRPr="00007450">
              <w:rPr>
                <w:b/>
              </w:rPr>
              <w:t>13.21</w:t>
            </w:r>
          </w:p>
        </w:tc>
        <w:tc>
          <w:tcPr>
            <w:tcW w:w="942" w:type="pct"/>
            <w:tcBorders>
              <w:bottom w:val="double" w:sz="4" w:space="0" w:color="auto"/>
            </w:tcBorders>
            <w:noWrap/>
          </w:tcPr>
          <w:p w14:paraId="46173BEB" w14:textId="77777777" w:rsidR="001C79E4" w:rsidRPr="00007450" w:rsidRDefault="001C79E4" w:rsidP="00864C4B">
            <w:pPr>
              <w:pStyle w:val="TableText0"/>
              <w:keepLines w:val="0"/>
              <w:jc w:val="center"/>
              <w:rPr>
                <w:b/>
              </w:rPr>
            </w:pPr>
            <w:r w:rsidRPr="00007450">
              <w:rPr>
                <w:b/>
              </w:rPr>
              <w:t>0.59</w:t>
            </w:r>
          </w:p>
        </w:tc>
        <w:tc>
          <w:tcPr>
            <w:tcW w:w="941" w:type="pct"/>
            <w:tcBorders>
              <w:bottom w:val="double" w:sz="4" w:space="0" w:color="auto"/>
            </w:tcBorders>
            <w:noWrap/>
          </w:tcPr>
          <w:p w14:paraId="04628A7B" w14:textId="77777777" w:rsidR="001C79E4" w:rsidRPr="00007450" w:rsidRDefault="001C79E4" w:rsidP="00864C4B">
            <w:pPr>
              <w:pStyle w:val="TableText0"/>
              <w:keepLines w:val="0"/>
              <w:jc w:val="center"/>
              <w:rPr>
                <w:b/>
              </w:rPr>
            </w:pPr>
            <w:r w:rsidRPr="00007450">
              <w:rPr>
                <w:b/>
              </w:rPr>
              <w:t>100.0%</w:t>
            </w:r>
          </w:p>
        </w:tc>
      </w:tr>
      <w:tr w:rsidR="001C79E4" w:rsidRPr="00007450" w14:paraId="589CD86F" w14:textId="77777777">
        <w:tc>
          <w:tcPr>
            <w:tcW w:w="5000" w:type="pct"/>
            <w:gridSpan w:val="5"/>
            <w:tcBorders>
              <w:top w:val="double" w:sz="4" w:space="0" w:color="auto"/>
            </w:tcBorders>
            <w:noWrap/>
          </w:tcPr>
          <w:p w14:paraId="39CBC04B" w14:textId="77777777" w:rsidR="001C79E4" w:rsidRPr="00007450" w:rsidRDefault="001C79E4" w:rsidP="00864C4B">
            <w:pPr>
              <w:pStyle w:val="TableText0"/>
              <w:keepLines w:val="0"/>
              <w:rPr>
                <w:b/>
              </w:rPr>
            </w:pPr>
            <w:r w:rsidRPr="00007450">
              <w:rPr>
                <w:b/>
              </w:rPr>
              <w:t>QALYs</w:t>
            </w:r>
          </w:p>
        </w:tc>
      </w:tr>
      <w:tr w:rsidR="001C79E4" w:rsidRPr="00007450" w14:paraId="2FC96C2D" w14:textId="77777777">
        <w:tc>
          <w:tcPr>
            <w:tcW w:w="1234" w:type="pct"/>
            <w:noWrap/>
            <w:hideMark/>
          </w:tcPr>
          <w:p w14:paraId="1427F657" w14:textId="77777777" w:rsidR="001C79E4" w:rsidRPr="00007450" w:rsidRDefault="001C79E4" w:rsidP="00864C4B">
            <w:pPr>
              <w:pStyle w:val="TableText0"/>
              <w:keepLines w:val="0"/>
              <w:rPr>
                <w:bCs w:val="0"/>
              </w:rPr>
            </w:pPr>
            <w:r w:rsidRPr="00007450">
              <w:rPr>
                <w:bCs w:val="0"/>
              </w:rPr>
              <w:t>iDF</w:t>
            </w:r>
          </w:p>
        </w:tc>
        <w:tc>
          <w:tcPr>
            <w:tcW w:w="941" w:type="pct"/>
            <w:noWrap/>
            <w:hideMark/>
          </w:tcPr>
          <w:p w14:paraId="5C221D2E" w14:textId="77777777" w:rsidR="001C79E4" w:rsidRPr="00007450" w:rsidRDefault="001C79E4" w:rsidP="00864C4B">
            <w:pPr>
              <w:pStyle w:val="TableText0"/>
              <w:keepLines w:val="0"/>
              <w:jc w:val="center"/>
              <w:rPr>
                <w:bCs w:val="0"/>
              </w:rPr>
            </w:pPr>
            <w:r w:rsidRPr="00007450">
              <w:rPr>
                <w:bCs w:val="0"/>
              </w:rPr>
              <w:t>10.99</w:t>
            </w:r>
          </w:p>
        </w:tc>
        <w:tc>
          <w:tcPr>
            <w:tcW w:w="942" w:type="pct"/>
            <w:noWrap/>
            <w:hideMark/>
          </w:tcPr>
          <w:p w14:paraId="23C642AF" w14:textId="77777777" w:rsidR="001C79E4" w:rsidRPr="00007450" w:rsidRDefault="001C79E4" w:rsidP="00864C4B">
            <w:pPr>
              <w:pStyle w:val="TableText0"/>
              <w:keepLines w:val="0"/>
              <w:jc w:val="center"/>
              <w:rPr>
                <w:bCs w:val="0"/>
              </w:rPr>
            </w:pPr>
            <w:r w:rsidRPr="00007450">
              <w:rPr>
                <w:bCs w:val="0"/>
              </w:rPr>
              <w:t>10.24</w:t>
            </w:r>
          </w:p>
        </w:tc>
        <w:tc>
          <w:tcPr>
            <w:tcW w:w="942" w:type="pct"/>
            <w:noWrap/>
            <w:hideMark/>
          </w:tcPr>
          <w:p w14:paraId="07F8E64E" w14:textId="77777777" w:rsidR="001C79E4" w:rsidRPr="00007450" w:rsidRDefault="001C79E4" w:rsidP="00864C4B">
            <w:pPr>
              <w:pStyle w:val="TableText0"/>
              <w:keepLines w:val="0"/>
              <w:jc w:val="center"/>
              <w:rPr>
                <w:bCs w:val="0"/>
              </w:rPr>
            </w:pPr>
            <w:r w:rsidRPr="00007450">
              <w:rPr>
                <w:bCs w:val="0"/>
              </w:rPr>
              <w:t>0.75</w:t>
            </w:r>
          </w:p>
        </w:tc>
        <w:tc>
          <w:tcPr>
            <w:tcW w:w="941" w:type="pct"/>
            <w:noWrap/>
          </w:tcPr>
          <w:p w14:paraId="72A7F0AF" w14:textId="77777777" w:rsidR="001C79E4" w:rsidRPr="00007450" w:rsidRDefault="001C79E4" w:rsidP="00864C4B">
            <w:pPr>
              <w:pStyle w:val="TableText0"/>
              <w:keepLines w:val="0"/>
              <w:jc w:val="center"/>
              <w:rPr>
                <w:bCs w:val="0"/>
              </w:rPr>
            </w:pPr>
            <w:r w:rsidRPr="00007450">
              <w:t>144.7%</w:t>
            </w:r>
          </w:p>
        </w:tc>
      </w:tr>
      <w:tr w:rsidR="001C79E4" w:rsidRPr="00007450" w14:paraId="2FD15488" w14:textId="77777777">
        <w:tc>
          <w:tcPr>
            <w:tcW w:w="1234" w:type="pct"/>
            <w:noWrap/>
            <w:hideMark/>
          </w:tcPr>
          <w:p w14:paraId="5D47C4E6" w14:textId="77777777" w:rsidR="001C79E4" w:rsidRPr="00007450" w:rsidRDefault="001C79E4" w:rsidP="00864C4B">
            <w:pPr>
              <w:pStyle w:val="TableText0"/>
              <w:keepLines w:val="0"/>
              <w:rPr>
                <w:bCs w:val="0"/>
              </w:rPr>
            </w:pPr>
            <w:r w:rsidRPr="00007450">
              <w:rPr>
                <w:bCs w:val="0"/>
              </w:rPr>
              <w:t>NMR</w:t>
            </w:r>
          </w:p>
        </w:tc>
        <w:tc>
          <w:tcPr>
            <w:tcW w:w="941" w:type="pct"/>
            <w:noWrap/>
            <w:hideMark/>
          </w:tcPr>
          <w:p w14:paraId="2559A17E" w14:textId="77777777" w:rsidR="001C79E4" w:rsidRPr="00007450" w:rsidRDefault="001C79E4" w:rsidP="00864C4B">
            <w:pPr>
              <w:pStyle w:val="TableText0"/>
              <w:keepLines w:val="0"/>
              <w:jc w:val="center"/>
              <w:rPr>
                <w:bCs w:val="0"/>
              </w:rPr>
            </w:pPr>
            <w:r w:rsidRPr="00007450">
              <w:rPr>
                <w:bCs w:val="0"/>
              </w:rPr>
              <w:t>0.05</w:t>
            </w:r>
          </w:p>
        </w:tc>
        <w:tc>
          <w:tcPr>
            <w:tcW w:w="942" w:type="pct"/>
            <w:noWrap/>
            <w:hideMark/>
          </w:tcPr>
          <w:p w14:paraId="7A9534DD" w14:textId="77777777" w:rsidR="001C79E4" w:rsidRPr="00007450" w:rsidRDefault="001C79E4" w:rsidP="00864C4B">
            <w:pPr>
              <w:pStyle w:val="TableText0"/>
              <w:keepLines w:val="0"/>
              <w:jc w:val="center"/>
              <w:rPr>
                <w:bCs w:val="0"/>
              </w:rPr>
            </w:pPr>
            <w:r w:rsidRPr="00007450">
              <w:rPr>
                <w:bCs w:val="0"/>
              </w:rPr>
              <w:t>0.05</w:t>
            </w:r>
          </w:p>
        </w:tc>
        <w:tc>
          <w:tcPr>
            <w:tcW w:w="942" w:type="pct"/>
            <w:noWrap/>
            <w:hideMark/>
          </w:tcPr>
          <w:p w14:paraId="4919F72C" w14:textId="77777777" w:rsidR="001C79E4" w:rsidRPr="00007450" w:rsidRDefault="001C79E4" w:rsidP="00864C4B">
            <w:pPr>
              <w:pStyle w:val="TableText0"/>
              <w:keepLines w:val="0"/>
              <w:jc w:val="center"/>
              <w:rPr>
                <w:bCs w:val="0"/>
              </w:rPr>
            </w:pPr>
            <w:r w:rsidRPr="00007450">
              <w:rPr>
                <w:bCs w:val="0"/>
              </w:rPr>
              <w:t>0.00</w:t>
            </w:r>
          </w:p>
        </w:tc>
        <w:tc>
          <w:tcPr>
            <w:tcW w:w="941" w:type="pct"/>
            <w:noWrap/>
          </w:tcPr>
          <w:p w14:paraId="042C3A9D" w14:textId="77777777" w:rsidR="001C79E4" w:rsidRPr="00007450" w:rsidRDefault="001C79E4" w:rsidP="00864C4B">
            <w:pPr>
              <w:pStyle w:val="TableText0"/>
              <w:keepLines w:val="0"/>
              <w:jc w:val="center"/>
              <w:rPr>
                <w:bCs w:val="0"/>
              </w:rPr>
            </w:pPr>
            <w:r w:rsidRPr="00007450">
              <w:t>0.4%</w:t>
            </w:r>
          </w:p>
        </w:tc>
      </w:tr>
      <w:tr w:rsidR="001C79E4" w:rsidRPr="00007450" w14:paraId="7B294190" w14:textId="77777777">
        <w:tc>
          <w:tcPr>
            <w:tcW w:w="1234" w:type="pct"/>
            <w:noWrap/>
            <w:hideMark/>
          </w:tcPr>
          <w:p w14:paraId="0CA4A16D" w14:textId="77777777" w:rsidR="001C79E4" w:rsidRPr="00007450" w:rsidRDefault="001C79E4" w:rsidP="00864C4B">
            <w:pPr>
              <w:pStyle w:val="TableText0"/>
              <w:keepLines w:val="0"/>
              <w:rPr>
                <w:bCs w:val="0"/>
              </w:rPr>
            </w:pPr>
            <w:r w:rsidRPr="00007450">
              <w:rPr>
                <w:bCs w:val="0"/>
              </w:rPr>
              <w:t>Remission</w:t>
            </w:r>
          </w:p>
        </w:tc>
        <w:tc>
          <w:tcPr>
            <w:tcW w:w="941" w:type="pct"/>
            <w:noWrap/>
            <w:hideMark/>
          </w:tcPr>
          <w:p w14:paraId="22D19908" w14:textId="77777777" w:rsidR="001C79E4" w:rsidRPr="00007450" w:rsidRDefault="001C79E4" w:rsidP="00864C4B">
            <w:pPr>
              <w:pStyle w:val="TableText0"/>
              <w:keepLines w:val="0"/>
              <w:jc w:val="center"/>
              <w:rPr>
                <w:bCs w:val="0"/>
              </w:rPr>
            </w:pPr>
            <w:r w:rsidRPr="00007450">
              <w:rPr>
                <w:bCs w:val="0"/>
              </w:rPr>
              <w:t>0.28</w:t>
            </w:r>
          </w:p>
        </w:tc>
        <w:tc>
          <w:tcPr>
            <w:tcW w:w="942" w:type="pct"/>
            <w:noWrap/>
            <w:hideMark/>
          </w:tcPr>
          <w:p w14:paraId="5DE897DA" w14:textId="77777777" w:rsidR="001C79E4" w:rsidRPr="00007450" w:rsidRDefault="001C79E4" w:rsidP="00864C4B">
            <w:pPr>
              <w:pStyle w:val="TableText0"/>
              <w:keepLines w:val="0"/>
              <w:jc w:val="center"/>
              <w:rPr>
                <w:bCs w:val="0"/>
              </w:rPr>
            </w:pPr>
            <w:r w:rsidRPr="00007450">
              <w:rPr>
                <w:bCs w:val="0"/>
              </w:rPr>
              <w:t>0.27</w:t>
            </w:r>
          </w:p>
        </w:tc>
        <w:tc>
          <w:tcPr>
            <w:tcW w:w="942" w:type="pct"/>
            <w:noWrap/>
            <w:hideMark/>
          </w:tcPr>
          <w:p w14:paraId="3F167F21" w14:textId="77777777" w:rsidR="001C79E4" w:rsidRPr="00007450" w:rsidRDefault="001C79E4" w:rsidP="00864C4B">
            <w:pPr>
              <w:pStyle w:val="TableText0"/>
              <w:keepLines w:val="0"/>
              <w:jc w:val="center"/>
              <w:rPr>
                <w:bCs w:val="0"/>
              </w:rPr>
            </w:pPr>
            <w:r w:rsidRPr="00007450">
              <w:rPr>
                <w:bCs w:val="0"/>
              </w:rPr>
              <w:t>0.01</w:t>
            </w:r>
          </w:p>
        </w:tc>
        <w:tc>
          <w:tcPr>
            <w:tcW w:w="941" w:type="pct"/>
            <w:noWrap/>
          </w:tcPr>
          <w:p w14:paraId="5D17F545" w14:textId="77777777" w:rsidR="001C79E4" w:rsidRPr="00007450" w:rsidRDefault="001C79E4" w:rsidP="00864C4B">
            <w:pPr>
              <w:pStyle w:val="TableText0"/>
              <w:keepLines w:val="0"/>
              <w:jc w:val="center"/>
              <w:rPr>
                <w:bCs w:val="0"/>
              </w:rPr>
            </w:pPr>
            <w:r w:rsidRPr="00007450">
              <w:t>1.8%</w:t>
            </w:r>
          </w:p>
        </w:tc>
      </w:tr>
      <w:tr w:rsidR="001C79E4" w:rsidRPr="00007450" w14:paraId="7ECB6FC0" w14:textId="77777777">
        <w:tc>
          <w:tcPr>
            <w:tcW w:w="1234" w:type="pct"/>
            <w:noWrap/>
          </w:tcPr>
          <w:p w14:paraId="78C527EC" w14:textId="77777777" w:rsidR="001C79E4" w:rsidRPr="00007450" w:rsidRDefault="001C79E4" w:rsidP="00864C4B">
            <w:pPr>
              <w:pStyle w:val="TableText0"/>
              <w:keepLines w:val="0"/>
              <w:rPr>
                <w:bCs w:val="0"/>
              </w:rPr>
            </w:pPr>
            <w:r w:rsidRPr="00007450">
              <w:rPr>
                <w:bCs w:val="0"/>
              </w:rPr>
              <w:t>DR ET-resistant</w:t>
            </w:r>
          </w:p>
        </w:tc>
        <w:tc>
          <w:tcPr>
            <w:tcW w:w="941" w:type="pct"/>
            <w:noWrap/>
          </w:tcPr>
          <w:p w14:paraId="3E997741" w14:textId="77777777" w:rsidR="001C79E4" w:rsidRPr="00007450" w:rsidRDefault="001C79E4" w:rsidP="00864C4B">
            <w:pPr>
              <w:pStyle w:val="TableText0"/>
              <w:keepLines w:val="0"/>
              <w:jc w:val="center"/>
              <w:rPr>
                <w:bCs w:val="0"/>
              </w:rPr>
            </w:pPr>
            <w:r w:rsidRPr="00007450">
              <w:rPr>
                <w:bCs w:val="0"/>
              </w:rPr>
              <w:t>0.16</w:t>
            </w:r>
          </w:p>
        </w:tc>
        <w:tc>
          <w:tcPr>
            <w:tcW w:w="942" w:type="pct"/>
            <w:noWrap/>
          </w:tcPr>
          <w:p w14:paraId="2080CF75" w14:textId="77777777" w:rsidR="001C79E4" w:rsidRPr="00007450" w:rsidRDefault="001C79E4" w:rsidP="00864C4B">
            <w:pPr>
              <w:pStyle w:val="TableText0"/>
              <w:keepLines w:val="0"/>
              <w:jc w:val="center"/>
              <w:rPr>
                <w:bCs w:val="0"/>
              </w:rPr>
            </w:pPr>
            <w:r w:rsidRPr="00007450">
              <w:rPr>
                <w:bCs w:val="0"/>
              </w:rPr>
              <w:t>0.32</w:t>
            </w:r>
          </w:p>
        </w:tc>
        <w:tc>
          <w:tcPr>
            <w:tcW w:w="942" w:type="pct"/>
            <w:noWrap/>
          </w:tcPr>
          <w:p w14:paraId="08A382FD" w14:textId="77777777" w:rsidR="001C79E4" w:rsidRPr="00007450" w:rsidRDefault="001C79E4" w:rsidP="00864C4B">
            <w:pPr>
              <w:pStyle w:val="TableText0"/>
              <w:keepLines w:val="0"/>
              <w:jc w:val="center"/>
              <w:rPr>
                <w:bCs w:val="0"/>
              </w:rPr>
            </w:pPr>
            <w:r w:rsidRPr="00007450">
              <w:rPr>
                <w:bCs w:val="0"/>
              </w:rPr>
              <w:t>-0.16</w:t>
            </w:r>
          </w:p>
        </w:tc>
        <w:tc>
          <w:tcPr>
            <w:tcW w:w="941" w:type="pct"/>
            <w:noWrap/>
          </w:tcPr>
          <w:p w14:paraId="03E4E254" w14:textId="77777777" w:rsidR="001C79E4" w:rsidRPr="00007450" w:rsidRDefault="001C79E4" w:rsidP="00864C4B">
            <w:pPr>
              <w:pStyle w:val="TableText0"/>
              <w:keepLines w:val="0"/>
              <w:jc w:val="center"/>
              <w:rPr>
                <w:bCs w:val="0"/>
              </w:rPr>
            </w:pPr>
            <w:r w:rsidRPr="00007450">
              <w:t>-30.4%</w:t>
            </w:r>
          </w:p>
        </w:tc>
      </w:tr>
      <w:tr w:rsidR="001C79E4" w:rsidRPr="00007450" w14:paraId="2C3EDBAC" w14:textId="77777777">
        <w:tc>
          <w:tcPr>
            <w:tcW w:w="1234" w:type="pct"/>
            <w:noWrap/>
            <w:hideMark/>
          </w:tcPr>
          <w:p w14:paraId="5D8B24A4" w14:textId="77777777" w:rsidR="001C79E4" w:rsidRPr="00007450" w:rsidRDefault="001C79E4" w:rsidP="00864C4B">
            <w:pPr>
              <w:pStyle w:val="TableText0"/>
              <w:keepLines w:val="0"/>
              <w:rPr>
                <w:bCs w:val="0"/>
              </w:rPr>
            </w:pPr>
            <w:r w:rsidRPr="00007450">
              <w:rPr>
                <w:bCs w:val="0"/>
              </w:rPr>
              <w:t>DR ET-sensitive</w:t>
            </w:r>
          </w:p>
        </w:tc>
        <w:tc>
          <w:tcPr>
            <w:tcW w:w="941" w:type="pct"/>
            <w:noWrap/>
            <w:hideMark/>
          </w:tcPr>
          <w:p w14:paraId="3E098637" w14:textId="77777777" w:rsidR="001C79E4" w:rsidRPr="00007450" w:rsidRDefault="001C79E4" w:rsidP="00864C4B">
            <w:pPr>
              <w:pStyle w:val="TableText0"/>
              <w:keepLines w:val="0"/>
              <w:jc w:val="center"/>
              <w:rPr>
                <w:bCs w:val="0"/>
              </w:rPr>
            </w:pPr>
            <w:r w:rsidRPr="00007450">
              <w:rPr>
                <w:bCs w:val="0"/>
              </w:rPr>
              <w:t>0.36</w:t>
            </w:r>
          </w:p>
        </w:tc>
        <w:tc>
          <w:tcPr>
            <w:tcW w:w="942" w:type="pct"/>
            <w:noWrap/>
            <w:hideMark/>
          </w:tcPr>
          <w:p w14:paraId="0E6EAF45" w14:textId="77777777" w:rsidR="001C79E4" w:rsidRPr="00007450" w:rsidRDefault="001C79E4" w:rsidP="00864C4B">
            <w:pPr>
              <w:pStyle w:val="TableText0"/>
              <w:keepLines w:val="0"/>
              <w:jc w:val="center"/>
              <w:rPr>
                <w:bCs w:val="0"/>
              </w:rPr>
            </w:pPr>
            <w:r w:rsidRPr="00007450">
              <w:rPr>
                <w:bCs w:val="0"/>
              </w:rPr>
              <w:t>0.45</w:t>
            </w:r>
          </w:p>
        </w:tc>
        <w:tc>
          <w:tcPr>
            <w:tcW w:w="942" w:type="pct"/>
            <w:noWrap/>
            <w:hideMark/>
          </w:tcPr>
          <w:p w14:paraId="4746A1E3" w14:textId="77777777" w:rsidR="001C79E4" w:rsidRPr="00007450" w:rsidRDefault="001C79E4" w:rsidP="00864C4B">
            <w:pPr>
              <w:pStyle w:val="TableText0"/>
              <w:keepLines w:val="0"/>
              <w:jc w:val="center"/>
              <w:rPr>
                <w:bCs w:val="0"/>
              </w:rPr>
            </w:pPr>
            <w:r w:rsidRPr="00007450">
              <w:rPr>
                <w:bCs w:val="0"/>
              </w:rPr>
              <w:t>-0.09</w:t>
            </w:r>
          </w:p>
        </w:tc>
        <w:tc>
          <w:tcPr>
            <w:tcW w:w="941" w:type="pct"/>
            <w:noWrap/>
          </w:tcPr>
          <w:p w14:paraId="7BBD67AA" w14:textId="77777777" w:rsidR="001C79E4" w:rsidRPr="00007450" w:rsidRDefault="001C79E4" w:rsidP="00864C4B">
            <w:pPr>
              <w:pStyle w:val="TableText0"/>
              <w:keepLines w:val="0"/>
              <w:jc w:val="center"/>
              <w:rPr>
                <w:bCs w:val="0"/>
              </w:rPr>
            </w:pPr>
            <w:r w:rsidRPr="00007450">
              <w:rPr>
                <w:bCs w:val="0"/>
              </w:rPr>
              <w:t>-16.5%</w:t>
            </w:r>
          </w:p>
        </w:tc>
      </w:tr>
      <w:tr w:rsidR="001C79E4" w:rsidRPr="00007450" w14:paraId="7C977074" w14:textId="77777777">
        <w:tc>
          <w:tcPr>
            <w:tcW w:w="1234" w:type="pct"/>
            <w:noWrap/>
            <w:hideMark/>
          </w:tcPr>
          <w:p w14:paraId="027E1328" w14:textId="77777777" w:rsidR="001C79E4" w:rsidRPr="00007450" w:rsidRDefault="001C79E4" w:rsidP="00864C4B">
            <w:pPr>
              <w:pStyle w:val="TableText0"/>
              <w:keepLines w:val="0"/>
              <w:rPr>
                <w:b/>
              </w:rPr>
            </w:pPr>
            <w:r w:rsidRPr="00007450">
              <w:rPr>
                <w:b/>
              </w:rPr>
              <w:t>Total QALYs</w:t>
            </w:r>
          </w:p>
        </w:tc>
        <w:tc>
          <w:tcPr>
            <w:tcW w:w="941" w:type="pct"/>
            <w:noWrap/>
            <w:hideMark/>
          </w:tcPr>
          <w:p w14:paraId="39B18574" w14:textId="77777777" w:rsidR="001C79E4" w:rsidRPr="00007450" w:rsidRDefault="001C79E4" w:rsidP="00864C4B">
            <w:pPr>
              <w:pStyle w:val="TableText0"/>
              <w:keepLines w:val="0"/>
              <w:jc w:val="center"/>
              <w:rPr>
                <w:b/>
              </w:rPr>
            </w:pPr>
            <w:r w:rsidRPr="00007450">
              <w:rPr>
                <w:b/>
              </w:rPr>
              <w:t>11.85</w:t>
            </w:r>
          </w:p>
        </w:tc>
        <w:tc>
          <w:tcPr>
            <w:tcW w:w="942" w:type="pct"/>
            <w:noWrap/>
            <w:hideMark/>
          </w:tcPr>
          <w:p w14:paraId="6A597527" w14:textId="77777777" w:rsidR="001C79E4" w:rsidRPr="00007450" w:rsidRDefault="001C79E4" w:rsidP="00864C4B">
            <w:pPr>
              <w:pStyle w:val="TableText0"/>
              <w:keepLines w:val="0"/>
              <w:jc w:val="center"/>
              <w:rPr>
                <w:b/>
              </w:rPr>
            </w:pPr>
            <w:r w:rsidRPr="00007450">
              <w:rPr>
                <w:b/>
              </w:rPr>
              <w:t>11.33</w:t>
            </w:r>
          </w:p>
        </w:tc>
        <w:tc>
          <w:tcPr>
            <w:tcW w:w="942" w:type="pct"/>
            <w:noWrap/>
            <w:hideMark/>
          </w:tcPr>
          <w:p w14:paraId="04F04AFD" w14:textId="77777777" w:rsidR="001C79E4" w:rsidRPr="00007450" w:rsidRDefault="001C79E4" w:rsidP="00864C4B">
            <w:pPr>
              <w:pStyle w:val="TableText0"/>
              <w:keepLines w:val="0"/>
              <w:jc w:val="center"/>
              <w:rPr>
                <w:b/>
              </w:rPr>
            </w:pPr>
            <w:r w:rsidRPr="00007450">
              <w:rPr>
                <w:b/>
              </w:rPr>
              <w:t>0.52</w:t>
            </w:r>
          </w:p>
        </w:tc>
        <w:tc>
          <w:tcPr>
            <w:tcW w:w="941" w:type="pct"/>
            <w:noWrap/>
          </w:tcPr>
          <w:p w14:paraId="11797C04" w14:textId="77777777" w:rsidR="001C79E4" w:rsidRPr="00007450" w:rsidRDefault="001C79E4" w:rsidP="00864C4B">
            <w:pPr>
              <w:pStyle w:val="TableText0"/>
              <w:keepLines w:val="0"/>
              <w:jc w:val="center"/>
              <w:rPr>
                <w:b/>
              </w:rPr>
            </w:pPr>
            <w:r w:rsidRPr="00007450">
              <w:rPr>
                <w:b/>
              </w:rPr>
              <w:t>100%</w:t>
            </w:r>
          </w:p>
        </w:tc>
      </w:tr>
    </w:tbl>
    <w:p w14:paraId="58C20B86" w14:textId="4400EAFC" w:rsidR="001C79E4" w:rsidRPr="00007450" w:rsidRDefault="001C79E4" w:rsidP="00864C4B">
      <w:pPr>
        <w:pStyle w:val="TableFigureFooter"/>
      </w:pPr>
      <w:r w:rsidRPr="00007450">
        <w:t>Source: Table compiled during the evaluation, based on Table 3.23 and Table 3.24, p142 of the submission, and the ‘Results’ spreadsheet in the “Kisqali (ribociclib) - eBC N0N1 - CEA” Excel workbook</w:t>
      </w:r>
    </w:p>
    <w:p w14:paraId="2740F769" w14:textId="77777777" w:rsidR="001C79E4" w:rsidRPr="00007450" w:rsidRDefault="001C79E4" w:rsidP="00864C4B">
      <w:pPr>
        <w:pStyle w:val="TableFigureFooter"/>
      </w:pPr>
      <w:r w:rsidRPr="00007450">
        <w:t>AEs = adverse events; DR = distant recurrence; ET = endocrine therapy; iDF = invasive disease-free; LYs = life years; NMR = non-metastatic recurrence; PSM = partitioned survival model; QALYs = quality-adjusted life years; SPM = second primary malignancy</w:t>
      </w:r>
    </w:p>
    <w:p w14:paraId="306B66D6" w14:textId="35AB73B7" w:rsidR="0097118C" w:rsidRPr="0097118C" w:rsidRDefault="001C79E4" w:rsidP="00864C4B">
      <w:pPr>
        <w:pStyle w:val="TableFigureFooter"/>
      </w:pPr>
      <w:r w:rsidRPr="00007450">
        <w:t>Note: Costs and health outcomes were revised during the evaluation to correct the fixed outcome and cost payoffs from the DR ET-resistant PSM, using the discounted payoffs instead of undiscounted payoffs.</w:t>
      </w:r>
    </w:p>
    <w:p w14:paraId="07FA21F8" w14:textId="6F7FF100" w:rsidR="001C79E4" w:rsidRPr="00007450" w:rsidRDefault="001C79E4" w:rsidP="00864C4B">
      <w:pPr>
        <w:pStyle w:val="3-BodyText"/>
      </w:pPr>
      <w:r w:rsidRPr="00007450">
        <w:t xml:space="preserve">The incremental costs were driven by the drug acquisition cost of adjuvant ribociclib followed by costs for treatment of AEs associated with adjuvant therapy, with cost offsets mainly due to a reduction in the treatment of DR. The life years (LYs) and QALYs gained were predominantly accrued in the iDF health state, with a reduction in health outcomes gained in the DR health state. </w:t>
      </w:r>
      <w:r w:rsidRPr="00007450">
        <w:fldChar w:fldCharType="begin"/>
      </w:r>
      <w:r w:rsidRPr="00007450">
        <w:instrText xml:space="preserve"> REF _Ref195793986 \h </w:instrText>
      </w:r>
      <w:r w:rsidR="000F5FCC" w:rsidRPr="00007450">
        <w:instrText xml:space="preserve"> \* MERGEFORMAT </w:instrText>
      </w:r>
      <w:r w:rsidRPr="00007450">
        <w:fldChar w:fldCharType="separate"/>
      </w:r>
      <w:r w:rsidR="00B36442" w:rsidRPr="00007450">
        <w:t xml:space="preserve">Table </w:t>
      </w:r>
      <w:r w:rsidR="00B36442">
        <w:rPr>
          <w:noProof/>
        </w:rPr>
        <w:t>14</w:t>
      </w:r>
      <w:r w:rsidRPr="00007450">
        <w:fldChar w:fldCharType="end"/>
      </w:r>
      <w:r w:rsidRPr="00007450">
        <w:t xml:space="preserve"> summarises the recurrence rates </w:t>
      </w:r>
      <w:r w:rsidR="00B85FE6" w:rsidRPr="00007450">
        <w:t xml:space="preserve">and LY gained </w:t>
      </w:r>
      <w:r w:rsidRPr="00007450">
        <w:t>at 4 years (data truncation time point) and at the end of 30-year time horizon. The proportion of patients experiencing a DR event as modelled in the economic evaluation was 29.1% for ribociclib + ET versus 34.8% for ET at 30 years, equal to 5.7 DR events avoided per 100 patients treated with adjuvant ribociclib in addition to ET. This compared with 3.1 DR events avoided per 100 patients at Year 4.</w:t>
      </w:r>
    </w:p>
    <w:p w14:paraId="21F5DEFE" w14:textId="122B7ABF" w:rsidR="001C79E4" w:rsidRPr="00007450" w:rsidRDefault="001C79E4" w:rsidP="00864C4B">
      <w:pPr>
        <w:pStyle w:val="Caption"/>
      </w:pPr>
      <w:bookmarkStart w:id="67" w:name="_Ref145056258"/>
      <w:bookmarkStart w:id="68" w:name="_Ref144732888"/>
      <w:bookmarkStart w:id="69" w:name="_Ref195793986"/>
      <w:bookmarkStart w:id="70" w:name="_Ref144804519"/>
      <w:r w:rsidRPr="00007450">
        <w:lastRenderedPageBreak/>
        <w:t>Table</w:t>
      </w:r>
      <w:bookmarkEnd w:id="67"/>
      <w:bookmarkEnd w:id="68"/>
      <w:r w:rsidRPr="00007450">
        <w:t xml:space="preserve"> </w:t>
      </w:r>
      <w:r w:rsidR="001C7776">
        <w:fldChar w:fldCharType="begin"/>
      </w:r>
      <w:r w:rsidR="001C7776">
        <w:instrText xml:space="preserve"> SEQ Table \* ARABIC </w:instrText>
      </w:r>
      <w:r w:rsidR="001C7776">
        <w:fldChar w:fldCharType="separate"/>
      </w:r>
      <w:r w:rsidR="00B36442">
        <w:rPr>
          <w:noProof/>
        </w:rPr>
        <w:t>14</w:t>
      </w:r>
      <w:r w:rsidR="001C7776">
        <w:rPr>
          <w:noProof/>
        </w:rPr>
        <w:fldChar w:fldCharType="end"/>
      </w:r>
      <w:bookmarkEnd w:id="69"/>
      <w:r w:rsidRPr="00007450">
        <w:t xml:space="preserve">: Recurrence events </w:t>
      </w:r>
      <w:r w:rsidR="00B85FE6" w:rsidRPr="00007450">
        <w:t xml:space="preserve">and LYs gained </w:t>
      </w:r>
      <w:r w:rsidRPr="00007450">
        <w:t>(undiscounted)</w:t>
      </w:r>
      <w:bookmarkEnd w:id="70"/>
    </w:p>
    <w:tbl>
      <w:tblPr>
        <w:tblStyle w:val="TableGrid"/>
        <w:tblW w:w="5000" w:type="pct"/>
        <w:tblLook w:val="04A0" w:firstRow="1" w:lastRow="0" w:firstColumn="1" w:lastColumn="0" w:noHBand="0" w:noVBand="1"/>
        <w:tblCaption w:val="Table 14: Recurrence events and LYs gained (undiscounted)"/>
      </w:tblPr>
      <w:tblGrid>
        <w:gridCol w:w="2289"/>
        <w:gridCol w:w="2351"/>
        <w:gridCol w:w="2236"/>
        <w:gridCol w:w="2141"/>
      </w:tblGrid>
      <w:tr w:rsidR="001C79E4" w:rsidRPr="00007450" w14:paraId="2B47F1A6" w14:textId="77777777">
        <w:tc>
          <w:tcPr>
            <w:tcW w:w="2289" w:type="dxa"/>
          </w:tcPr>
          <w:p w14:paraId="70787D14" w14:textId="77777777" w:rsidR="001C79E4" w:rsidRPr="00007450" w:rsidRDefault="001C79E4" w:rsidP="00864C4B">
            <w:pPr>
              <w:pStyle w:val="TableText0"/>
            </w:pPr>
          </w:p>
        </w:tc>
        <w:tc>
          <w:tcPr>
            <w:tcW w:w="2351" w:type="dxa"/>
          </w:tcPr>
          <w:p w14:paraId="59635B0E" w14:textId="77777777" w:rsidR="001C79E4" w:rsidRPr="00007450" w:rsidRDefault="001C79E4" w:rsidP="00864C4B">
            <w:pPr>
              <w:pStyle w:val="TableText0"/>
              <w:jc w:val="center"/>
              <w:rPr>
                <w:b/>
                <w:bCs w:val="0"/>
              </w:rPr>
            </w:pPr>
            <w:r w:rsidRPr="00007450">
              <w:rPr>
                <w:b/>
                <w:bCs w:val="0"/>
              </w:rPr>
              <w:t>Ribociclib + ET</w:t>
            </w:r>
          </w:p>
        </w:tc>
        <w:tc>
          <w:tcPr>
            <w:tcW w:w="2236" w:type="dxa"/>
          </w:tcPr>
          <w:p w14:paraId="53A90C6A" w14:textId="77777777" w:rsidR="001C79E4" w:rsidRPr="00007450" w:rsidRDefault="001C79E4" w:rsidP="00864C4B">
            <w:pPr>
              <w:pStyle w:val="TableText0"/>
              <w:jc w:val="center"/>
              <w:rPr>
                <w:b/>
                <w:bCs w:val="0"/>
              </w:rPr>
            </w:pPr>
            <w:r w:rsidRPr="00007450">
              <w:rPr>
                <w:b/>
                <w:bCs w:val="0"/>
              </w:rPr>
              <w:t>ET</w:t>
            </w:r>
          </w:p>
        </w:tc>
        <w:tc>
          <w:tcPr>
            <w:tcW w:w="2141" w:type="dxa"/>
          </w:tcPr>
          <w:p w14:paraId="174E20AB" w14:textId="77777777" w:rsidR="001C79E4" w:rsidRPr="00007450" w:rsidRDefault="001C79E4" w:rsidP="00864C4B">
            <w:pPr>
              <w:pStyle w:val="TableText0"/>
              <w:jc w:val="center"/>
              <w:rPr>
                <w:b/>
                <w:bCs w:val="0"/>
              </w:rPr>
            </w:pPr>
            <w:r w:rsidRPr="00007450">
              <w:rPr>
                <w:b/>
                <w:bCs w:val="0"/>
              </w:rPr>
              <w:t>Difference</w:t>
            </w:r>
          </w:p>
        </w:tc>
      </w:tr>
      <w:tr w:rsidR="001C79E4" w:rsidRPr="00007450" w14:paraId="792B03D8" w14:textId="77777777">
        <w:tc>
          <w:tcPr>
            <w:tcW w:w="9017" w:type="dxa"/>
            <w:gridSpan w:val="4"/>
          </w:tcPr>
          <w:p w14:paraId="020E499F" w14:textId="77777777" w:rsidR="001C79E4" w:rsidRPr="00007450" w:rsidRDefault="001C79E4" w:rsidP="00864C4B">
            <w:pPr>
              <w:pStyle w:val="TableText0"/>
              <w:rPr>
                <w:b/>
                <w:bCs w:val="0"/>
              </w:rPr>
            </w:pPr>
            <w:r w:rsidRPr="00007450">
              <w:rPr>
                <w:b/>
                <w:bCs w:val="0"/>
              </w:rPr>
              <w:t xml:space="preserve">At 4 years </w:t>
            </w:r>
          </w:p>
        </w:tc>
      </w:tr>
      <w:tr w:rsidR="001C79E4" w:rsidRPr="00007450" w14:paraId="442EC6B4" w14:textId="77777777">
        <w:tc>
          <w:tcPr>
            <w:tcW w:w="2289" w:type="dxa"/>
          </w:tcPr>
          <w:p w14:paraId="023F6053" w14:textId="77777777" w:rsidR="001C79E4" w:rsidRPr="00007450" w:rsidRDefault="001C79E4" w:rsidP="00864C4B">
            <w:pPr>
              <w:pStyle w:val="TableText0"/>
            </w:pPr>
            <w:r w:rsidRPr="00007450">
              <w:t xml:space="preserve">Distant recurrence </w:t>
            </w:r>
          </w:p>
        </w:tc>
        <w:tc>
          <w:tcPr>
            <w:tcW w:w="2351" w:type="dxa"/>
          </w:tcPr>
          <w:p w14:paraId="545EF517" w14:textId="77777777" w:rsidR="001C79E4" w:rsidRPr="00007450" w:rsidRDefault="001C79E4" w:rsidP="00864C4B">
            <w:pPr>
              <w:pStyle w:val="TableText0"/>
              <w:jc w:val="center"/>
            </w:pPr>
            <w:r w:rsidRPr="00007450">
              <w:t>2.5%</w:t>
            </w:r>
          </w:p>
        </w:tc>
        <w:tc>
          <w:tcPr>
            <w:tcW w:w="2236" w:type="dxa"/>
          </w:tcPr>
          <w:p w14:paraId="59ED6240" w14:textId="77777777" w:rsidR="001C79E4" w:rsidRPr="00007450" w:rsidRDefault="001C79E4" w:rsidP="00864C4B">
            <w:pPr>
              <w:pStyle w:val="TableText0"/>
              <w:jc w:val="center"/>
            </w:pPr>
            <w:r w:rsidRPr="00007450">
              <w:t>5.7%</w:t>
            </w:r>
          </w:p>
        </w:tc>
        <w:tc>
          <w:tcPr>
            <w:tcW w:w="2141" w:type="dxa"/>
          </w:tcPr>
          <w:p w14:paraId="02DF1B81" w14:textId="77777777" w:rsidR="001C79E4" w:rsidRPr="00007450" w:rsidRDefault="001C79E4" w:rsidP="00864C4B">
            <w:pPr>
              <w:pStyle w:val="TableText0"/>
              <w:jc w:val="center"/>
            </w:pPr>
            <w:r w:rsidRPr="00007450">
              <w:t>-3.1%</w:t>
            </w:r>
          </w:p>
        </w:tc>
      </w:tr>
      <w:tr w:rsidR="001C79E4" w:rsidRPr="00007450" w14:paraId="02D55D92" w14:textId="77777777">
        <w:tc>
          <w:tcPr>
            <w:tcW w:w="2289" w:type="dxa"/>
          </w:tcPr>
          <w:p w14:paraId="5189D2FD" w14:textId="77777777" w:rsidR="001C79E4" w:rsidRPr="00007450" w:rsidRDefault="001C79E4" w:rsidP="00864C4B">
            <w:pPr>
              <w:pStyle w:val="TableText0"/>
            </w:pPr>
            <w:r w:rsidRPr="00007450">
              <w:t>Non-metastatic recurrence</w:t>
            </w:r>
          </w:p>
        </w:tc>
        <w:tc>
          <w:tcPr>
            <w:tcW w:w="2351" w:type="dxa"/>
          </w:tcPr>
          <w:p w14:paraId="2F701E76" w14:textId="77777777" w:rsidR="001C79E4" w:rsidRPr="00007450" w:rsidRDefault="001C79E4" w:rsidP="00864C4B">
            <w:pPr>
              <w:pStyle w:val="TableText0"/>
              <w:jc w:val="center"/>
            </w:pPr>
            <w:r w:rsidRPr="00007450">
              <w:t>1.7%</w:t>
            </w:r>
          </w:p>
        </w:tc>
        <w:tc>
          <w:tcPr>
            <w:tcW w:w="2236" w:type="dxa"/>
          </w:tcPr>
          <w:p w14:paraId="7B4D5394" w14:textId="77777777" w:rsidR="001C79E4" w:rsidRPr="00007450" w:rsidRDefault="001C79E4" w:rsidP="00864C4B">
            <w:pPr>
              <w:pStyle w:val="TableText0"/>
              <w:jc w:val="center"/>
            </w:pPr>
            <w:r w:rsidRPr="00007450">
              <w:t>1.9%</w:t>
            </w:r>
          </w:p>
        </w:tc>
        <w:tc>
          <w:tcPr>
            <w:tcW w:w="2141" w:type="dxa"/>
          </w:tcPr>
          <w:p w14:paraId="608C563D" w14:textId="77777777" w:rsidR="001C79E4" w:rsidRPr="00007450" w:rsidRDefault="001C79E4" w:rsidP="00864C4B">
            <w:pPr>
              <w:pStyle w:val="TableText0"/>
              <w:jc w:val="center"/>
            </w:pPr>
            <w:r w:rsidRPr="00007450">
              <w:t>-0.2%</w:t>
            </w:r>
          </w:p>
        </w:tc>
      </w:tr>
      <w:tr w:rsidR="00B85FE6" w:rsidRPr="00007450" w14:paraId="669A31C5" w14:textId="77777777">
        <w:tc>
          <w:tcPr>
            <w:tcW w:w="2289" w:type="dxa"/>
          </w:tcPr>
          <w:p w14:paraId="1EA368F0" w14:textId="0BF37E4A" w:rsidR="00B85FE6" w:rsidRPr="00007450" w:rsidRDefault="00B85FE6" w:rsidP="00864C4B">
            <w:pPr>
              <w:pStyle w:val="TableText0"/>
            </w:pPr>
            <w:r w:rsidRPr="00007450">
              <w:t>LYs</w:t>
            </w:r>
          </w:p>
        </w:tc>
        <w:tc>
          <w:tcPr>
            <w:tcW w:w="2351" w:type="dxa"/>
          </w:tcPr>
          <w:p w14:paraId="7DFD87B7" w14:textId="7BC8E24D" w:rsidR="00B85FE6" w:rsidRPr="00007450" w:rsidRDefault="00B85FE6" w:rsidP="00864C4B">
            <w:pPr>
              <w:pStyle w:val="TableText0"/>
              <w:jc w:val="center"/>
            </w:pPr>
            <w:r w:rsidRPr="00007450">
              <w:t>4.07</w:t>
            </w:r>
          </w:p>
        </w:tc>
        <w:tc>
          <w:tcPr>
            <w:tcW w:w="2236" w:type="dxa"/>
          </w:tcPr>
          <w:p w14:paraId="024C7118" w14:textId="56521A23" w:rsidR="00B85FE6" w:rsidRPr="00007450" w:rsidRDefault="00B85FE6" w:rsidP="00864C4B">
            <w:pPr>
              <w:pStyle w:val="TableText0"/>
              <w:jc w:val="center"/>
            </w:pPr>
            <w:r w:rsidRPr="00007450">
              <w:t>4.17</w:t>
            </w:r>
          </w:p>
        </w:tc>
        <w:tc>
          <w:tcPr>
            <w:tcW w:w="2141" w:type="dxa"/>
          </w:tcPr>
          <w:p w14:paraId="499B51B4" w14:textId="2E84795B" w:rsidR="00B85FE6" w:rsidRPr="00007450" w:rsidRDefault="00B85FE6" w:rsidP="00864C4B">
            <w:pPr>
              <w:pStyle w:val="TableText0"/>
              <w:jc w:val="center"/>
            </w:pPr>
            <w:r w:rsidRPr="00007450">
              <w:t>-0.10</w:t>
            </w:r>
          </w:p>
        </w:tc>
      </w:tr>
      <w:tr w:rsidR="001C79E4" w:rsidRPr="00007450" w14:paraId="3BC5F7E5" w14:textId="77777777">
        <w:tc>
          <w:tcPr>
            <w:tcW w:w="9017" w:type="dxa"/>
            <w:gridSpan w:val="4"/>
          </w:tcPr>
          <w:p w14:paraId="4E7363BC" w14:textId="77777777" w:rsidR="001C79E4" w:rsidRPr="00007450" w:rsidRDefault="001C79E4" w:rsidP="00864C4B">
            <w:pPr>
              <w:pStyle w:val="TableText0"/>
              <w:rPr>
                <w:b/>
                <w:bCs w:val="0"/>
              </w:rPr>
            </w:pPr>
            <w:r w:rsidRPr="00007450">
              <w:rPr>
                <w:b/>
                <w:bCs w:val="0"/>
              </w:rPr>
              <w:t>At 30 years</w:t>
            </w:r>
          </w:p>
        </w:tc>
      </w:tr>
      <w:tr w:rsidR="001C79E4" w:rsidRPr="00007450" w14:paraId="3142FD3D" w14:textId="77777777">
        <w:tc>
          <w:tcPr>
            <w:tcW w:w="2289" w:type="dxa"/>
          </w:tcPr>
          <w:p w14:paraId="34C3D972" w14:textId="77777777" w:rsidR="001C79E4" w:rsidRPr="00007450" w:rsidRDefault="001C79E4" w:rsidP="00864C4B">
            <w:pPr>
              <w:pStyle w:val="TableText0"/>
            </w:pPr>
            <w:r w:rsidRPr="00007450">
              <w:t xml:space="preserve">Distant recurrence </w:t>
            </w:r>
          </w:p>
        </w:tc>
        <w:tc>
          <w:tcPr>
            <w:tcW w:w="2351" w:type="dxa"/>
          </w:tcPr>
          <w:p w14:paraId="5879A84E" w14:textId="77777777" w:rsidR="001C79E4" w:rsidRPr="00007450" w:rsidRDefault="001C79E4" w:rsidP="00864C4B">
            <w:pPr>
              <w:pStyle w:val="TableText0"/>
              <w:jc w:val="center"/>
            </w:pPr>
            <w:r w:rsidRPr="00007450">
              <w:t>29.1%</w:t>
            </w:r>
          </w:p>
        </w:tc>
        <w:tc>
          <w:tcPr>
            <w:tcW w:w="2236" w:type="dxa"/>
          </w:tcPr>
          <w:p w14:paraId="4E3A9386" w14:textId="77777777" w:rsidR="001C79E4" w:rsidRPr="00007450" w:rsidRDefault="001C79E4" w:rsidP="00864C4B">
            <w:pPr>
              <w:pStyle w:val="TableText0"/>
              <w:jc w:val="center"/>
            </w:pPr>
            <w:r w:rsidRPr="00007450">
              <w:t>34.8%</w:t>
            </w:r>
          </w:p>
        </w:tc>
        <w:tc>
          <w:tcPr>
            <w:tcW w:w="2141" w:type="dxa"/>
          </w:tcPr>
          <w:p w14:paraId="383A57B1" w14:textId="77777777" w:rsidR="001C79E4" w:rsidRPr="00007450" w:rsidRDefault="001C79E4" w:rsidP="00864C4B">
            <w:pPr>
              <w:pStyle w:val="TableText0"/>
              <w:jc w:val="center"/>
            </w:pPr>
            <w:r w:rsidRPr="00007450">
              <w:t>-5.7%</w:t>
            </w:r>
          </w:p>
        </w:tc>
      </w:tr>
      <w:tr w:rsidR="001C79E4" w:rsidRPr="00007450" w14:paraId="58BAA09A" w14:textId="77777777">
        <w:tc>
          <w:tcPr>
            <w:tcW w:w="2289" w:type="dxa"/>
          </w:tcPr>
          <w:p w14:paraId="71F9E220" w14:textId="77777777" w:rsidR="001C79E4" w:rsidRPr="00007450" w:rsidRDefault="001C79E4" w:rsidP="00864C4B">
            <w:pPr>
              <w:pStyle w:val="TableText0"/>
            </w:pPr>
            <w:r w:rsidRPr="00007450">
              <w:t>Non-metastatic recurrence</w:t>
            </w:r>
          </w:p>
        </w:tc>
        <w:tc>
          <w:tcPr>
            <w:tcW w:w="2351" w:type="dxa"/>
          </w:tcPr>
          <w:p w14:paraId="1A64E515" w14:textId="77777777" w:rsidR="001C79E4" w:rsidRPr="00007450" w:rsidRDefault="001C79E4" w:rsidP="00864C4B">
            <w:pPr>
              <w:pStyle w:val="TableText0"/>
              <w:jc w:val="center"/>
            </w:pPr>
            <w:r w:rsidRPr="00007450">
              <w:t>10.3%</w:t>
            </w:r>
          </w:p>
        </w:tc>
        <w:tc>
          <w:tcPr>
            <w:tcW w:w="2236" w:type="dxa"/>
          </w:tcPr>
          <w:p w14:paraId="2BB5090F" w14:textId="77777777" w:rsidR="001C79E4" w:rsidRPr="00007450" w:rsidRDefault="001C79E4" w:rsidP="00864C4B">
            <w:pPr>
              <w:pStyle w:val="TableText0"/>
              <w:jc w:val="center"/>
            </w:pPr>
            <w:r w:rsidRPr="00007450">
              <w:t>9.6%</w:t>
            </w:r>
          </w:p>
        </w:tc>
        <w:tc>
          <w:tcPr>
            <w:tcW w:w="2141" w:type="dxa"/>
          </w:tcPr>
          <w:p w14:paraId="5B29414A" w14:textId="77777777" w:rsidR="001C79E4" w:rsidRPr="00007450" w:rsidRDefault="001C79E4" w:rsidP="00864C4B">
            <w:pPr>
              <w:pStyle w:val="TableText0"/>
              <w:jc w:val="center"/>
            </w:pPr>
            <w:r w:rsidRPr="00007450">
              <w:t>0.7%</w:t>
            </w:r>
          </w:p>
        </w:tc>
      </w:tr>
      <w:tr w:rsidR="00B85FE6" w:rsidRPr="00007450" w14:paraId="6ED33D4D" w14:textId="77777777">
        <w:tc>
          <w:tcPr>
            <w:tcW w:w="2289" w:type="dxa"/>
          </w:tcPr>
          <w:p w14:paraId="1F4BB09D" w14:textId="0AB18CD6" w:rsidR="00B85FE6" w:rsidRPr="00007450" w:rsidRDefault="00B85FE6" w:rsidP="00864C4B">
            <w:pPr>
              <w:pStyle w:val="TableText0"/>
            </w:pPr>
            <w:r w:rsidRPr="00007450">
              <w:t>LYs</w:t>
            </w:r>
          </w:p>
        </w:tc>
        <w:tc>
          <w:tcPr>
            <w:tcW w:w="2351" w:type="dxa"/>
          </w:tcPr>
          <w:p w14:paraId="35C34410" w14:textId="70140EAF" w:rsidR="00B85FE6" w:rsidRPr="00007450" w:rsidRDefault="00B85FE6" w:rsidP="00864C4B">
            <w:pPr>
              <w:pStyle w:val="TableText0"/>
              <w:jc w:val="center"/>
            </w:pPr>
            <w:r w:rsidRPr="00007450">
              <w:t>23.59</w:t>
            </w:r>
          </w:p>
        </w:tc>
        <w:tc>
          <w:tcPr>
            <w:tcW w:w="2236" w:type="dxa"/>
          </w:tcPr>
          <w:p w14:paraId="1F16E92A" w14:textId="41A8EA9E" w:rsidR="00B85FE6" w:rsidRPr="00007450" w:rsidRDefault="00B85FE6" w:rsidP="00864C4B">
            <w:pPr>
              <w:pStyle w:val="TableText0"/>
              <w:jc w:val="center"/>
            </w:pPr>
            <w:r w:rsidRPr="00007450">
              <w:t>22.15</w:t>
            </w:r>
          </w:p>
        </w:tc>
        <w:tc>
          <w:tcPr>
            <w:tcW w:w="2141" w:type="dxa"/>
          </w:tcPr>
          <w:p w14:paraId="4CFBB172" w14:textId="039EB25D" w:rsidR="00B85FE6" w:rsidRPr="00007450" w:rsidRDefault="00B85FE6" w:rsidP="00864C4B">
            <w:pPr>
              <w:pStyle w:val="TableText0"/>
              <w:jc w:val="center"/>
            </w:pPr>
            <w:r w:rsidRPr="00007450">
              <w:t>1.44</w:t>
            </w:r>
          </w:p>
        </w:tc>
      </w:tr>
    </w:tbl>
    <w:p w14:paraId="0AB0234B" w14:textId="7243A843" w:rsidR="001C79E4" w:rsidRPr="00007450" w:rsidRDefault="001C79E4" w:rsidP="00864C4B">
      <w:pPr>
        <w:pStyle w:val="TableFigureFooter"/>
      </w:pPr>
      <w:r w:rsidRPr="00007450">
        <w:t>Source: Calculated during the evaluation, based on the ‘Comp1.Calc’ and ‘Comp2.Calc’ spreadsheets in the “Kisqali (ribociclib) - eBC N0N1 - CEA” Excel workbook</w:t>
      </w:r>
    </w:p>
    <w:p w14:paraId="2246A494" w14:textId="59FBC355" w:rsidR="001C79E4" w:rsidRPr="00007450" w:rsidRDefault="001C79E4" w:rsidP="00864C4B">
      <w:pPr>
        <w:pStyle w:val="TableFigureFooter"/>
      </w:pPr>
      <w:r w:rsidRPr="00007450">
        <w:t>ET = endocrine therapy</w:t>
      </w:r>
      <w:r w:rsidR="00B85FE6" w:rsidRPr="00007450">
        <w:t>; LYs = life years</w:t>
      </w:r>
    </w:p>
    <w:p w14:paraId="138CE1B3" w14:textId="21693C57" w:rsidR="001C79E4" w:rsidRPr="00007450" w:rsidRDefault="001C79E4" w:rsidP="00864C4B">
      <w:pPr>
        <w:pStyle w:val="3-BodyText"/>
      </w:pPr>
      <w:r w:rsidRPr="00007450">
        <w:t xml:space="preserve">The accumulation of undiscounted LYs gained over the model time horizon is depicted in </w:t>
      </w:r>
      <w:r w:rsidRPr="00007450">
        <w:fldChar w:fldCharType="begin"/>
      </w:r>
      <w:r w:rsidRPr="00007450">
        <w:instrText xml:space="preserve"> REF _Ref195391653 \h </w:instrText>
      </w:r>
      <w:r w:rsidR="00AD4762" w:rsidRPr="00007450">
        <w:instrText xml:space="preserve"> \* MERGEFORMAT </w:instrText>
      </w:r>
      <w:r w:rsidRPr="00007450">
        <w:fldChar w:fldCharType="separate"/>
      </w:r>
      <w:r w:rsidR="00B36442" w:rsidRPr="00007450">
        <w:t xml:space="preserve">Figure </w:t>
      </w:r>
      <w:r w:rsidR="00B36442">
        <w:rPr>
          <w:noProof/>
        </w:rPr>
        <w:t>5</w:t>
      </w:r>
      <w:r w:rsidRPr="00007450">
        <w:fldChar w:fldCharType="end"/>
      </w:r>
      <w:r w:rsidRPr="00007450">
        <w:t>. For both treatment arms, the majority of the LYs gained were accrued in the extrapolated period. The accumulative LYs gained were slightly lower in patients receiving ribociclib + ET than those treated with ET alone in the first 8.5 years. This was primarily due to the greater proportion of patients treated with ribociclib + ET for whom the first iDFS event was death (14.5%) compared with that observed for those treated with ET alone (2.6%) in NATALEE. After 8.5 years, the additional use of adjuvant ribociclib generated survival benefits, resulting in a survival gain of 1.4 years (undiscounted) in a 30-year time horizon.</w:t>
      </w:r>
      <w:r w:rsidR="004A2F0E">
        <w:t xml:space="preserve"> </w:t>
      </w:r>
    </w:p>
    <w:p w14:paraId="1EBB563D" w14:textId="4584C9DE" w:rsidR="001C79E4" w:rsidRPr="00007450" w:rsidRDefault="001C79E4" w:rsidP="00864C4B">
      <w:pPr>
        <w:pStyle w:val="Caption"/>
      </w:pPr>
      <w:bookmarkStart w:id="71" w:name="_Ref195391653"/>
      <w:r w:rsidRPr="00007450">
        <w:t xml:space="preserve">Figure </w:t>
      </w:r>
      <w:r w:rsidR="001C7776">
        <w:fldChar w:fldCharType="begin"/>
      </w:r>
      <w:r w:rsidR="001C7776">
        <w:instrText xml:space="preserve"> SEQ Figure \* ARABIC </w:instrText>
      </w:r>
      <w:r w:rsidR="001C7776">
        <w:fldChar w:fldCharType="separate"/>
      </w:r>
      <w:r w:rsidR="00B36442">
        <w:rPr>
          <w:noProof/>
        </w:rPr>
        <w:t>5</w:t>
      </w:r>
      <w:r w:rsidR="001C7776">
        <w:rPr>
          <w:noProof/>
        </w:rPr>
        <w:fldChar w:fldCharType="end"/>
      </w:r>
      <w:bookmarkEnd w:id="71"/>
      <w:r w:rsidRPr="00007450">
        <w:t>: Cumulative LYs gained over the time horizon of the model (undiscounted)</w:t>
      </w:r>
    </w:p>
    <w:p w14:paraId="13E81D35" w14:textId="77777777" w:rsidR="001C79E4" w:rsidRPr="00007450" w:rsidRDefault="001C79E4" w:rsidP="00864C4B">
      <w:r w:rsidRPr="00007450">
        <w:rPr>
          <w:noProof/>
        </w:rPr>
        <w:drawing>
          <wp:inline distT="0" distB="0" distL="0" distR="0" wp14:anchorId="2845C7F1" wp14:editId="0CA767D6">
            <wp:extent cx="4047744" cy="2971165"/>
            <wp:effectExtent l="0" t="0" r="0" b="635"/>
            <wp:docPr id="1359384258" name="Picture 1359384258" descr="Figure 5: Cumulative LY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84258" name="Picture 1359384258" descr="Figure 5: Cumulative LYs gained over the time horizon of the model (undiscoun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2784" cy="3004226"/>
                    </a:xfrm>
                    <a:prstGeom prst="rect">
                      <a:avLst/>
                    </a:prstGeom>
                    <a:noFill/>
                  </pic:spPr>
                </pic:pic>
              </a:graphicData>
            </a:graphic>
          </wp:inline>
        </w:drawing>
      </w:r>
    </w:p>
    <w:p w14:paraId="4AB532D3" w14:textId="289B0B47" w:rsidR="001C79E4" w:rsidRPr="00007450" w:rsidRDefault="001C79E4" w:rsidP="00864C4B">
      <w:pPr>
        <w:pStyle w:val="TableFigureFooter"/>
      </w:pPr>
      <w:r w:rsidRPr="00007450">
        <w:t xml:space="preserve">Source: Constructed during the evaluation, using the “Kisqali (ribociclib) - eBC N0N1 - CEA” Excel workbook </w:t>
      </w:r>
    </w:p>
    <w:p w14:paraId="246BA7D0" w14:textId="77777777" w:rsidR="001C79E4" w:rsidRDefault="001C79E4" w:rsidP="00864C4B">
      <w:pPr>
        <w:pStyle w:val="TableFigureFooter"/>
      </w:pPr>
      <w:r w:rsidRPr="00007450">
        <w:t>ET = endocrine therapy; iDFS = invasive disease-free survival; KM = Kaplan-Meier; LYs = life years; RIB = ribociclib.</w:t>
      </w:r>
    </w:p>
    <w:p w14:paraId="2A66B068" w14:textId="114383EF" w:rsidR="005F53DC" w:rsidRPr="00CE2CD0" w:rsidRDefault="005F53DC" w:rsidP="00864C4B">
      <w:pPr>
        <w:pStyle w:val="TableFigureFooter"/>
        <w:rPr>
          <w:i/>
          <w:iCs/>
        </w:rPr>
      </w:pPr>
      <w:r w:rsidRPr="00CE2CD0">
        <w:rPr>
          <w:i/>
          <w:iCs/>
        </w:rPr>
        <w:t>Note that the results presented in Figure 5 are derived from ad-hoc analyses conducted by the applicant specifically for the purposes of informing the PBAC consideration. These analyses were not part of the pre-specified statistical plan.</w:t>
      </w:r>
      <w:r w:rsidR="004A2F0E">
        <w:rPr>
          <w:i/>
          <w:iCs/>
        </w:rPr>
        <w:t xml:space="preserve"> </w:t>
      </w:r>
      <w:r w:rsidRPr="00CE2CD0">
        <w:rPr>
          <w:i/>
          <w:iCs/>
        </w:rPr>
        <w:t>Interpretation of the results and their application should therefore be limited to seeking to understand the basis for the PBAC outcome and should not be used for any other purpose.</w:t>
      </w:r>
    </w:p>
    <w:p w14:paraId="2CD7860B" w14:textId="154B4B22" w:rsidR="001C79E4" w:rsidRPr="00007450" w:rsidRDefault="001C79E4" w:rsidP="00864C4B">
      <w:pPr>
        <w:pStyle w:val="3-BodyText"/>
      </w:pPr>
      <w:r w:rsidRPr="00007450">
        <w:lastRenderedPageBreak/>
        <w:t xml:space="preserve">Results of key univariate and multivariate sensitivity analyses, based on the revised base case, are summarised in </w:t>
      </w:r>
      <w:r w:rsidRPr="00007450">
        <w:fldChar w:fldCharType="begin"/>
      </w:r>
      <w:r w:rsidRPr="00007450">
        <w:instrText xml:space="preserve"> REF _Ref104804865 \h </w:instrText>
      </w:r>
      <w:r w:rsidR="00D236EC" w:rsidRPr="00007450">
        <w:instrText xml:space="preserve"> \* MERGEFORMAT </w:instrText>
      </w:r>
      <w:r w:rsidRPr="00007450">
        <w:fldChar w:fldCharType="separate"/>
      </w:r>
      <w:r w:rsidR="00B36442" w:rsidRPr="00007450">
        <w:t xml:space="preserve">Table </w:t>
      </w:r>
      <w:r w:rsidR="00B36442">
        <w:rPr>
          <w:noProof/>
        </w:rPr>
        <w:t>15</w:t>
      </w:r>
      <w:r w:rsidRPr="00007450">
        <w:fldChar w:fldCharType="end"/>
      </w:r>
      <w:r w:rsidRPr="00007450">
        <w:t xml:space="preserve">. </w:t>
      </w:r>
    </w:p>
    <w:p w14:paraId="633E1675" w14:textId="02EDEBA0" w:rsidR="001C79E4" w:rsidRPr="00007450" w:rsidRDefault="001C79E4" w:rsidP="00864C4B">
      <w:pPr>
        <w:pStyle w:val="TableFigureHeading"/>
        <w:rPr>
          <w:rStyle w:val="CommentReference"/>
          <w:b/>
          <w:szCs w:val="24"/>
        </w:rPr>
      </w:pPr>
      <w:bookmarkStart w:id="72" w:name="_Ref104804865"/>
      <w:r w:rsidRPr="00007450">
        <w:t xml:space="preserve">Table </w:t>
      </w:r>
      <w:r w:rsidR="001C7776">
        <w:fldChar w:fldCharType="begin"/>
      </w:r>
      <w:r w:rsidR="001C7776">
        <w:instrText xml:space="preserve"> SEQ Table \* ARABIC </w:instrText>
      </w:r>
      <w:r w:rsidR="001C7776">
        <w:fldChar w:fldCharType="separate"/>
      </w:r>
      <w:r w:rsidR="00B36442">
        <w:rPr>
          <w:noProof/>
        </w:rPr>
        <w:t>15</w:t>
      </w:r>
      <w:r w:rsidR="001C7776">
        <w:rPr>
          <w:noProof/>
        </w:rPr>
        <w:fldChar w:fldCharType="end"/>
      </w:r>
      <w:bookmarkEnd w:id="72"/>
      <w:r w:rsidRPr="00007450">
        <w:t>:</w:t>
      </w:r>
      <w:r w:rsidRPr="00007450">
        <w:rPr>
          <w:rStyle w:val="CommentReference"/>
          <w:b/>
          <w:szCs w:val="24"/>
        </w:rPr>
        <w:t xml:space="preserve">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Key sensitivity analyses"/>
      </w:tblPr>
      <w:tblGrid>
        <w:gridCol w:w="4318"/>
        <w:gridCol w:w="1313"/>
        <w:gridCol w:w="1170"/>
        <w:gridCol w:w="1208"/>
        <w:gridCol w:w="1008"/>
      </w:tblGrid>
      <w:tr w:rsidR="001C79E4" w:rsidRPr="00007450" w14:paraId="390731F4" w14:textId="77777777">
        <w:trPr>
          <w:cantSplit/>
          <w:tblHeader/>
        </w:trPr>
        <w:tc>
          <w:tcPr>
            <w:tcW w:w="2394" w:type="pct"/>
            <w:tcBorders>
              <w:top w:val="single" w:sz="4" w:space="0" w:color="auto"/>
              <w:left w:val="single" w:sz="4" w:space="0" w:color="auto"/>
              <w:bottom w:val="single" w:sz="4" w:space="0" w:color="auto"/>
              <w:right w:val="single" w:sz="4" w:space="0" w:color="auto"/>
            </w:tcBorders>
          </w:tcPr>
          <w:p w14:paraId="5FF064C3" w14:textId="77777777" w:rsidR="001C79E4" w:rsidRPr="00007450" w:rsidRDefault="001C79E4" w:rsidP="00864C4B">
            <w:pPr>
              <w:pStyle w:val="In-tableHeading"/>
              <w:rPr>
                <w:lang w:val="en-AU"/>
              </w:rPr>
            </w:pPr>
            <w:r w:rsidRPr="00007450">
              <w:rPr>
                <w:lang w:val="en-AU"/>
              </w:rPr>
              <w:t>Analyses</w:t>
            </w:r>
          </w:p>
        </w:tc>
        <w:tc>
          <w:tcPr>
            <w:tcW w:w="728" w:type="pct"/>
            <w:tcBorders>
              <w:top w:val="single" w:sz="4" w:space="0" w:color="auto"/>
              <w:left w:val="single" w:sz="4" w:space="0" w:color="auto"/>
              <w:bottom w:val="single" w:sz="4" w:space="0" w:color="auto"/>
              <w:right w:val="single" w:sz="4" w:space="0" w:color="auto"/>
            </w:tcBorders>
          </w:tcPr>
          <w:p w14:paraId="24567A03" w14:textId="77777777" w:rsidR="001C79E4" w:rsidRPr="00007450" w:rsidRDefault="001C79E4" w:rsidP="00864C4B">
            <w:pPr>
              <w:pStyle w:val="In-tableHeading"/>
              <w:jc w:val="center"/>
              <w:rPr>
                <w:lang w:val="en-AU"/>
              </w:rPr>
            </w:pPr>
            <w:r w:rsidRPr="00007450">
              <w:rPr>
                <w:lang w:val="en-AU"/>
              </w:rPr>
              <w:t>Incremental cost</w:t>
            </w:r>
          </w:p>
        </w:tc>
        <w:tc>
          <w:tcPr>
            <w:tcW w:w="649" w:type="pct"/>
            <w:tcBorders>
              <w:top w:val="single" w:sz="4" w:space="0" w:color="auto"/>
              <w:left w:val="single" w:sz="4" w:space="0" w:color="auto"/>
              <w:bottom w:val="single" w:sz="4" w:space="0" w:color="auto"/>
              <w:right w:val="single" w:sz="4" w:space="0" w:color="auto"/>
            </w:tcBorders>
          </w:tcPr>
          <w:p w14:paraId="24939185" w14:textId="77777777" w:rsidR="001C79E4" w:rsidRPr="00007450" w:rsidRDefault="001C79E4" w:rsidP="00864C4B">
            <w:pPr>
              <w:pStyle w:val="In-tableHeading"/>
              <w:jc w:val="center"/>
              <w:rPr>
                <w:lang w:val="en-AU"/>
              </w:rPr>
            </w:pPr>
            <w:r w:rsidRPr="00007450">
              <w:rPr>
                <w:lang w:val="en-AU"/>
              </w:rPr>
              <w:t>Incremental QALY</w:t>
            </w:r>
          </w:p>
        </w:tc>
        <w:tc>
          <w:tcPr>
            <w:tcW w:w="670" w:type="pct"/>
            <w:tcBorders>
              <w:top w:val="single" w:sz="4" w:space="0" w:color="auto"/>
              <w:left w:val="single" w:sz="4" w:space="0" w:color="auto"/>
              <w:bottom w:val="single" w:sz="4" w:space="0" w:color="auto"/>
              <w:right w:val="single" w:sz="4" w:space="0" w:color="auto"/>
            </w:tcBorders>
          </w:tcPr>
          <w:p w14:paraId="4C425948" w14:textId="77777777" w:rsidR="001C79E4" w:rsidRPr="00007450" w:rsidRDefault="001C79E4" w:rsidP="00864C4B">
            <w:pPr>
              <w:pStyle w:val="In-tableHeading"/>
              <w:jc w:val="center"/>
              <w:rPr>
                <w:lang w:val="en-AU"/>
              </w:rPr>
            </w:pPr>
            <w:r w:rsidRPr="00007450">
              <w:rPr>
                <w:lang w:val="en-AU"/>
              </w:rPr>
              <w:t>ICER</w:t>
            </w:r>
          </w:p>
        </w:tc>
        <w:tc>
          <w:tcPr>
            <w:tcW w:w="559" w:type="pct"/>
            <w:tcBorders>
              <w:top w:val="single" w:sz="4" w:space="0" w:color="auto"/>
              <w:left w:val="single" w:sz="4" w:space="0" w:color="auto"/>
              <w:bottom w:val="single" w:sz="4" w:space="0" w:color="auto"/>
              <w:right w:val="single" w:sz="4" w:space="0" w:color="auto"/>
            </w:tcBorders>
          </w:tcPr>
          <w:p w14:paraId="28680150" w14:textId="77777777" w:rsidR="001C79E4" w:rsidRPr="00007450" w:rsidRDefault="001C79E4" w:rsidP="00864C4B">
            <w:pPr>
              <w:pStyle w:val="In-tableHeading"/>
              <w:jc w:val="center"/>
              <w:rPr>
                <w:lang w:val="en-AU"/>
              </w:rPr>
            </w:pPr>
            <w:r w:rsidRPr="00007450">
              <w:rPr>
                <w:lang w:val="en-AU"/>
              </w:rPr>
              <w:t xml:space="preserve">% change </w:t>
            </w:r>
          </w:p>
        </w:tc>
      </w:tr>
      <w:tr w:rsidR="001C79E4" w:rsidRPr="00007450" w14:paraId="7F271991" w14:textId="77777777">
        <w:trPr>
          <w:cantSplit/>
          <w:tblHeader/>
        </w:trPr>
        <w:tc>
          <w:tcPr>
            <w:tcW w:w="2394" w:type="pct"/>
            <w:tcBorders>
              <w:top w:val="single" w:sz="4" w:space="0" w:color="auto"/>
              <w:left w:val="single" w:sz="4" w:space="0" w:color="auto"/>
              <w:bottom w:val="single" w:sz="4" w:space="0" w:color="auto"/>
              <w:right w:val="single" w:sz="4" w:space="0" w:color="auto"/>
            </w:tcBorders>
          </w:tcPr>
          <w:p w14:paraId="641439F3" w14:textId="77777777" w:rsidR="001C79E4" w:rsidRPr="00007450" w:rsidRDefault="001C79E4" w:rsidP="00864C4B">
            <w:pPr>
              <w:pStyle w:val="In-tableHeading"/>
              <w:rPr>
                <w:lang w:val="en-AU"/>
              </w:rPr>
            </w:pPr>
            <w:r w:rsidRPr="00007450">
              <w:rPr>
                <w:lang w:val="en-AU"/>
              </w:rPr>
              <w:t>Base case</w:t>
            </w:r>
          </w:p>
        </w:tc>
        <w:tc>
          <w:tcPr>
            <w:tcW w:w="728" w:type="pct"/>
            <w:tcBorders>
              <w:top w:val="single" w:sz="4" w:space="0" w:color="auto"/>
              <w:left w:val="single" w:sz="4" w:space="0" w:color="auto"/>
              <w:bottom w:val="single" w:sz="4" w:space="0" w:color="auto"/>
              <w:right w:val="single" w:sz="4" w:space="0" w:color="auto"/>
            </w:tcBorders>
          </w:tcPr>
          <w:p w14:paraId="77001716" w14:textId="1FE725C3" w:rsidR="001C79E4" w:rsidRPr="00007450" w:rsidRDefault="001C79E4" w:rsidP="00864C4B">
            <w:pPr>
              <w:pStyle w:val="In-tableHeading"/>
              <w:jc w:val="center"/>
              <w:rPr>
                <w:lang w:val="en-AU"/>
              </w:rPr>
            </w:pPr>
            <w:r w:rsidRPr="00007450">
              <w:rPr>
                <w:lang w:val="en-AU"/>
              </w:rPr>
              <w:t>$</w:t>
            </w:r>
            <w:r w:rsidR="00E44B9A" w:rsidRPr="00E44B9A">
              <w:rPr>
                <w:color w:val="000000"/>
                <w:spacing w:val="53"/>
                <w:shd w:val="solid" w:color="000000" w:fill="000000"/>
                <w:fitText w:val="345" w:id="-628909564"/>
                <w:lang w:val="en-AU"/>
                <w14:textFill>
                  <w14:solidFill>
                    <w14:srgbClr w14:val="000000">
                      <w14:alpha w14:val="100000"/>
                    </w14:srgbClr>
                  </w14:solidFill>
                </w14:textFill>
              </w:rPr>
              <w:t>|||</w:t>
            </w:r>
            <w:r w:rsidR="00E44B9A" w:rsidRPr="00E44B9A">
              <w:rPr>
                <w:color w:val="000000"/>
                <w:spacing w:val="3"/>
                <w:shd w:val="solid" w:color="000000" w:fill="000000"/>
                <w:fitText w:val="345" w:id="-628909564"/>
                <w:lang w:val="en-AU"/>
                <w14:textFill>
                  <w14:solidFill>
                    <w14:srgbClr w14:val="000000">
                      <w14:alpha w14:val="100000"/>
                    </w14:srgbClr>
                  </w14:solidFill>
                </w14:textFill>
              </w:rPr>
              <w:t>|</w:t>
            </w:r>
          </w:p>
        </w:tc>
        <w:tc>
          <w:tcPr>
            <w:tcW w:w="649" w:type="pct"/>
            <w:tcBorders>
              <w:top w:val="single" w:sz="4" w:space="0" w:color="auto"/>
              <w:left w:val="single" w:sz="4" w:space="0" w:color="auto"/>
              <w:bottom w:val="single" w:sz="4" w:space="0" w:color="auto"/>
              <w:right w:val="single" w:sz="4" w:space="0" w:color="auto"/>
            </w:tcBorders>
          </w:tcPr>
          <w:p w14:paraId="598291D7" w14:textId="77777777" w:rsidR="001C79E4" w:rsidRPr="00007450" w:rsidRDefault="001C79E4" w:rsidP="00864C4B">
            <w:pPr>
              <w:pStyle w:val="In-tableHeading"/>
              <w:jc w:val="center"/>
              <w:rPr>
                <w:lang w:val="en-AU"/>
              </w:rPr>
            </w:pPr>
            <w:r w:rsidRPr="00007450">
              <w:rPr>
                <w:lang w:val="en-AU"/>
              </w:rPr>
              <w:t>0.52</w:t>
            </w:r>
          </w:p>
        </w:tc>
        <w:tc>
          <w:tcPr>
            <w:tcW w:w="670" w:type="pct"/>
            <w:tcBorders>
              <w:top w:val="single" w:sz="4" w:space="0" w:color="auto"/>
              <w:left w:val="single" w:sz="4" w:space="0" w:color="auto"/>
              <w:bottom w:val="single" w:sz="4" w:space="0" w:color="auto"/>
              <w:right w:val="single" w:sz="4" w:space="0" w:color="auto"/>
            </w:tcBorders>
          </w:tcPr>
          <w:p w14:paraId="0121BFD9" w14:textId="21039F29" w:rsidR="001C79E4" w:rsidRPr="00007450" w:rsidRDefault="001C79E4" w:rsidP="00864C4B">
            <w:pPr>
              <w:pStyle w:val="In-tableHeading"/>
              <w:jc w:val="center"/>
              <w:rPr>
                <w:lang w:val="en-AU"/>
              </w:rPr>
            </w:pPr>
            <w:r w:rsidRPr="00007450">
              <w:rPr>
                <w:lang w:val="en-AU"/>
              </w:rPr>
              <w:t>$</w:t>
            </w:r>
            <w:r w:rsidR="00E44B9A" w:rsidRPr="00E44B9A">
              <w:rPr>
                <w:color w:val="000000"/>
                <w:spacing w:val="58"/>
                <w:shd w:val="solid" w:color="000000" w:fill="000000"/>
                <w:fitText w:val="360" w:id="-628909563"/>
                <w:lang w:val="en-AU"/>
                <w14:textFill>
                  <w14:solidFill>
                    <w14:srgbClr w14:val="000000">
                      <w14:alpha w14:val="100000"/>
                    </w14:srgbClr>
                  </w14:solidFill>
                </w14:textFill>
              </w:rPr>
              <w:t>|||</w:t>
            </w:r>
            <w:r w:rsidR="00E44B9A" w:rsidRPr="00E44B9A">
              <w:rPr>
                <w:color w:val="000000"/>
                <w:spacing w:val="3"/>
                <w:shd w:val="solid" w:color="000000" w:fill="000000"/>
                <w:fitText w:val="360" w:id="-628909563"/>
                <w:lang w:val="en-AU"/>
                <w14:textFill>
                  <w14:solidFill>
                    <w14:srgbClr w14:val="000000">
                      <w14:alpha w14:val="100000"/>
                    </w14:srgbClr>
                  </w14:solidFill>
                </w14:textFill>
              </w:rPr>
              <w:t>|</w:t>
            </w:r>
            <w:r w:rsidR="00DD4BEB">
              <w:rPr>
                <w:vertAlign w:val="superscript"/>
                <w:lang w:val="en-AU"/>
              </w:rPr>
              <w:t>1</w:t>
            </w:r>
            <w:r w:rsidR="00296954" w:rsidRPr="00007450">
              <w:rPr>
                <w:lang w:val="en-AU"/>
              </w:rPr>
              <w:t xml:space="preserve"> (revised)</w:t>
            </w:r>
          </w:p>
        </w:tc>
        <w:tc>
          <w:tcPr>
            <w:tcW w:w="559" w:type="pct"/>
            <w:tcBorders>
              <w:top w:val="single" w:sz="4" w:space="0" w:color="auto"/>
              <w:left w:val="single" w:sz="4" w:space="0" w:color="auto"/>
              <w:bottom w:val="single" w:sz="4" w:space="0" w:color="auto"/>
              <w:right w:val="single" w:sz="4" w:space="0" w:color="auto"/>
            </w:tcBorders>
          </w:tcPr>
          <w:p w14:paraId="06C99A0A" w14:textId="77777777" w:rsidR="001C79E4" w:rsidRPr="00007450" w:rsidRDefault="001C79E4" w:rsidP="00864C4B">
            <w:pPr>
              <w:pStyle w:val="In-tableHeading"/>
              <w:jc w:val="center"/>
              <w:rPr>
                <w:lang w:val="en-AU"/>
              </w:rPr>
            </w:pPr>
            <w:r w:rsidRPr="00007450">
              <w:rPr>
                <w:lang w:val="en-AU"/>
              </w:rPr>
              <w:t>–</w:t>
            </w:r>
          </w:p>
        </w:tc>
      </w:tr>
      <w:tr w:rsidR="001C79E4" w:rsidRPr="00007450" w14:paraId="7937E4E1" w14:textId="77777777">
        <w:trPr>
          <w:cantSplit/>
        </w:trPr>
        <w:tc>
          <w:tcPr>
            <w:tcW w:w="5000" w:type="pct"/>
            <w:gridSpan w:val="5"/>
          </w:tcPr>
          <w:p w14:paraId="1A0CD444" w14:textId="77777777" w:rsidR="001C79E4" w:rsidRPr="00007450" w:rsidRDefault="001C79E4" w:rsidP="00864C4B">
            <w:pPr>
              <w:pStyle w:val="TableText0"/>
              <w:rPr>
                <w:b/>
                <w:bCs w:val="0"/>
              </w:rPr>
            </w:pPr>
            <w:r w:rsidRPr="00007450">
              <w:rPr>
                <w:b/>
                <w:bCs w:val="0"/>
              </w:rPr>
              <w:t>Time horizon (base case 30 years)</w:t>
            </w:r>
          </w:p>
        </w:tc>
      </w:tr>
      <w:tr w:rsidR="001C79E4" w:rsidRPr="00007450" w14:paraId="0E1776C7" w14:textId="77777777">
        <w:trPr>
          <w:cantSplit/>
        </w:trPr>
        <w:tc>
          <w:tcPr>
            <w:tcW w:w="2394" w:type="pct"/>
          </w:tcPr>
          <w:p w14:paraId="70548412" w14:textId="77777777" w:rsidR="001C79E4" w:rsidRPr="00007450" w:rsidRDefault="001C79E4" w:rsidP="00864C4B">
            <w:pPr>
              <w:pStyle w:val="TableText0"/>
            </w:pPr>
            <w:r w:rsidRPr="00007450">
              <w:t>20 years</w:t>
            </w:r>
            <w:r w:rsidRPr="00007450">
              <w:rPr>
                <w:vertAlign w:val="superscript"/>
              </w:rPr>
              <w:t>a</w:t>
            </w:r>
          </w:p>
        </w:tc>
        <w:tc>
          <w:tcPr>
            <w:tcW w:w="728" w:type="pct"/>
          </w:tcPr>
          <w:p w14:paraId="755B9BF3" w14:textId="4C100B2B"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62"/>
                <w14:textFill>
                  <w14:solidFill>
                    <w14:srgbClr w14:val="000000">
                      <w14:alpha w14:val="100000"/>
                    </w14:srgbClr>
                  </w14:solidFill>
                </w14:textFill>
              </w:rPr>
              <w:t>|||</w:t>
            </w:r>
            <w:r w:rsidR="00E44B9A" w:rsidRPr="00E44B9A">
              <w:rPr>
                <w:color w:val="000000"/>
                <w:spacing w:val="1"/>
                <w:shd w:val="solid" w:color="000000" w:fill="000000"/>
                <w:fitText w:val="330" w:id="-628909562"/>
                <w14:textFill>
                  <w14:solidFill>
                    <w14:srgbClr w14:val="000000">
                      <w14:alpha w14:val="100000"/>
                    </w14:srgbClr>
                  </w14:solidFill>
                </w14:textFill>
              </w:rPr>
              <w:t>|</w:t>
            </w:r>
          </w:p>
        </w:tc>
        <w:tc>
          <w:tcPr>
            <w:tcW w:w="649" w:type="pct"/>
          </w:tcPr>
          <w:p w14:paraId="567AAB64" w14:textId="77777777" w:rsidR="001C79E4" w:rsidRPr="00007450" w:rsidRDefault="001C79E4" w:rsidP="00864C4B">
            <w:pPr>
              <w:pStyle w:val="TableText0"/>
              <w:jc w:val="center"/>
            </w:pPr>
            <w:r w:rsidRPr="00007450">
              <w:t>0.37</w:t>
            </w:r>
          </w:p>
        </w:tc>
        <w:tc>
          <w:tcPr>
            <w:tcW w:w="670" w:type="pct"/>
          </w:tcPr>
          <w:p w14:paraId="3B0E0DBF" w14:textId="24A88C9D" w:rsidR="001C79E4" w:rsidRPr="00DD4BEB" w:rsidRDefault="001C79E4" w:rsidP="00864C4B">
            <w:pPr>
              <w:pStyle w:val="TableText0"/>
              <w:jc w:val="center"/>
              <w:rPr>
                <w:vertAlign w:val="superscript"/>
              </w:rPr>
            </w:pPr>
            <w:r w:rsidRPr="00007450">
              <w:t>$</w:t>
            </w:r>
            <w:r w:rsidR="00E44B9A" w:rsidRPr="00E44B9A">
              <w:rPr>
                <w:color w:val="000000"/>
                <w:spacing w:val="53"/>
                <w:shd w:val="solid" w:color="000000" w:fill="000000"/>
                <w:fitText w:val="330" w:id="-628909561"/>
                <w14:textFill>
                  <w14:solidFill>
                    <w14:srgbClr w14:val="000000">
                      <w14:alpha w14:val="100000"/>
                    </w14:srgbClr>
                  </w14:solidFill>
                </w14:textFill>
              </w:rPr>
              <w:t>|||</w:t>
            </w:r>
            <w:r w:rsidR="00E44B9A" w:rsidRPr="00E44B9A">
              <w:rPr>
                <w:color w:val="000000"/>
                <w:spacing w:val="1"/>
                <w:shd w:val="solid" w:color="000000" w:fill="000000"/>
                <w:fitText w:val="330" w:id="-628909561"/>
                <w14:textFill>
                  <w14:solidFill>
                    <w14:srgbClr w14:val="000000">
                      <w14:alpha w14:val="100000"/>
                    </w14:srgbClr>
                  </w14:solidFill>
                </w14:textFill>
              </w:rPr>
              <w:t>|</w:t>
            </w:r>
            <w:r w:rsidR="00DD4BEB">
              <w:rPr>
                <w:vertAlign w:val="superscript"/>
              </w:rPr>
              <w:t>2</w:t>
            </w:r>
          </w:p>
        </w:tc>
        <w:tc>
          <w:tcPr>
            <w:tcW w:w="559" w:type="pct"/>
          </w:tcPr>
          <w:p w14:paraId="253219E0" w14:textId="4B0D1F68" w:rsidR="001C79E4" w:rsidRPr="00007450" w:rsidRDefault="00E44B9A" w:rsidP="00864C4B">
            <w:pPr>
              <w:pStyle w:val="TableText0"/>
              <w:jc w:val="center"/>
            </w:pPr>
            <w:r w:rsidRPr="00E44B9A">
              <w:rPr>
                <w:color w:val="000000"/>
                <w:spacing w:val="53"/>
                <w:shd w:val="solid" w:color="000000" w:fill="000000"/>
                <w:fitText w:val="330" w:id="-628909560"/>
                <w14:textFill>
                  <w14:solidFill>
                    <w14:srgbClr w14:val="000000">
                      <w14:alpha w14:val="100000"/>
                    </w14:srgbClr>
                  </w14:solidFill>
                </w14:textFill>
              </w:rPr>
              <w:t>|||</w:t>
            </w:r>
            <w:r w:rsidRPr="00E44B9A">
              <w:rPr>
                <w:color w:val="000000"/>
                <w:spacing w:val="1"/>
                <w:shd w:val="solid" w:color="000000" w:fill="000000"/>
                <w:fitText w:val="330" w:id="-628909560"/>
                <w14:textFill>
                  <w14:solidFill>
                    <w14:srgbClr w14:val="000000">
                      <w14:alpha w14:val="100000"/>
                    </w14:srgbClr>
                  </w14:solidFill>
                </w14:textFill>
              </w:rPr>
              <w:t>|</w:t>
            </w:r>
            <w:r w:rsidR="001C79E4" w:rsidRPr="00007450">
              <w:t>%</w:t>
            </w:r>
          </w:p>
        </w:tc>
      </w:tr>
      <w:tr w:rsidR="001C79E4" w:rsidRPr="00007450" w14:paraId="3551B4D6" w14:textId="77777777">
        <w:trPr>
          <w:cantSplit/>
        </w:trPr>
        <w:tc>
          <w:tcPr>
            <w:tcW w:w="5000" w:type="pct"/>
            <w:gridSpan w:val="5"/>
          </w:tcPr>
          <w:p w14:paraId="35345FF3" w14:textId="77777777" w:rsidR="001C79E4" w:rsidRPr="00007450" w:rsidRDefault="001C79E4" w:rsidP="00864C4B">
            <w:pPr>
              <w:pStyle w:val="TableText0"/>
              <w:rPr>
                <w:rFonts w:eastAsia="Calibri"/>
                <w:b/>
                <w:bCs w:val="0"/>
                <w:szCs w:val="20"/>
              </w:rPr>
            </w:pPr>
            <w:r w:rsidRPr="00007450">
              <w:rPr>
                <w:b/>
                <w:bCs w:val="0"/>
              </w:rPr>
              <w:t>Discount rate (base case: 5%)</w:t>
            </w:r>
          </w:p>
        </w:tc>
      </w:tr>
      <w:tr w:rsidR="001C79E4" w:rsidRPr="00007450" w14:paraId="5D66B47D" w14:textId="77777777">
        <w:trPr>
          <w:cantSplit/>
        </w:trPr>
        <w:tc>
          <w:tcPr>
            <w:tcW w:w="2394" w:type="pct"/>
          </w:tcPr>
          <w:p w14:paraId="1A933B21" w14:textId="77777777" w:rsidR="001C79E4" w:rsidRPr="00007450" w:rsidRDefault="001C79E4" w:rsidP="00864C4B">
            <w:pPr>
              <w:pStyle w:val="TableText0"/>
            </w:pPr>
            <w:r w:rsidRPr="00007450">
              <w:t>0%</w:t>
            </w:r>
          </w:p>
        </w:tc>
        <w:tc>
          <w:tcPr>
            <w:tcW w:w="728" w:type="pct"/>
          </w:tcPr>
          <w:p w14:paraId="1D501C1C" w14:textId="0318F3CC"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p>
        </w:tc>
        <w:tc>
          <w:tcPr>
            <w:tcW w:w="649" w:type="pct"/>
          </w:tcPr>
          <w:p w14:paraId="25531DB7" w14:textId="77777777" w:rsidR="001C79E4" w:rsidRPr="00007450" w:rsidRDefault="001C79E4" w:rsidP="00864C4B">
            <w:pPr>
              <w:pStyle w:val="TableText0"/>
              <w:jc w:val="center"/>
              <w:rPr>
                <w:rFonts w:eastAsia="Calibri"/>
                <w:szCs w:val="20"/>
              </w:rPr>
            </w:pPr>
            <w:r w:rsidRPr="00007450">
              <w:t>1.15</w:t>
            </w:r>
          </w:p>
        </w:tc>
        <w:tc>
          <w:tcPr>
            <w:tcW w:w="670" w:type="pct"/>
          </w:tcPr>
          <w:p w14:paraId="00A7AA29" w14:textId="07F64824" w:rsidR="001C79E4" w:rsidRPr="00E17CE7"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58"/>
                <w14:textFill>
                  <w14:solidFill>
                    <w14:srgbClr w14:val="000000">
                      <w14:alpha w14:val="100000"/>
                    </w14:srgbClr>
                  </w14:solidFill>
                </w14:textFill>
              </w:rPr>
              <w:t>|||</w:t>
            </w:r>
            <w:r w:rsidR="00E44B9A" w:rsidRPr="00E44B9A">
              <w:rPr>
                <w:color w:val="000000"/>
                <w:spacing w:val="1"/>
                <w:shd w:val="solid" w:color="000000" w:fill="000000"/>
                <w:fitText w:val="330" w:id="-628909558"/>
                <w14:textFill>
                  <w14:solidFill>
                    <w14:srgbClr w14:val="000000">
                      <w14:alpha w14:val="100000"/>
                    </w14:srgbClr>
                  </w14:solidFill>
                </w14:textFill>
              </w:rPr>
              <w:t>|</w:t>
            </w:r>
            <w:r w:rsidR="00E17CE7">
              <w:rPr>
                <w:vertAlign w:val="superscript"/>
              </w:rPr>
              <w:t>3</w:t>
            </w:r>
          </w:p>
        </w:tc>
        <w:tc>
          <w:tcPr>
            <w:tcW w:w="559" w:type="pct"/>
          </w:tcPr>
          <w:p w14:paraId="3B378E9B" w14:textId="4F1575FB"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7"/>
                <w14:textFill>
                  <w14:solidFill>
                    <w14:srgbClr w14:val="000000">
                      <w14:alpha w14:val="100000"/>
                    </w14:srgbClr>
                  </w14:solidFill>
                </w14:textFill>
              </w:rPr>
              <w:t>|||</w:t>
            </w:r>
            <w:r w:rsidR="00E44B9A" w:rsidRPr="00E44B9A">
              <w:rPr>
                <w:color w:val="000000"/>
                <w:spacing w:val="1"/>
                <w:shd w:val="solid" w:color="000000" w:fill="000000"/>
                <w:fitText w:val="330" w:id="-628909557"/>
                <w14:textFill>
                  <w14:solidFill>
                    <w14:srgbClr w14:val="000000">
                      <w14:alpha w14:val="100000"/>
                    </w14:srgbClr>
                  </w14:solidFill>
                </w14:textFill>
              </w:rPr>
              <w:t>|</w:t>
            </w:r>
            <w:r w:rsidRPr="00007450">
              <w:t>%</w:t>
            </w:r>
          </w:p>
        </w:tc>
      </w:tr>
      <w:tr w:rsidR="001C79E4" w:rsidRPr="00007450" w14:paraId="012417F6" w14:textId="77777777">
        <w:trPr>
          <w:cantSplit/>
        </w:trPr>
        <w:tc>
          <w:tcPr>
            <w:tcW w:w="2394" w:type="pct"/>
          </w:tcPr>
          <w:p w14:paraId="4826FF18" w14:textId="77777777" w:rsidR="001C79E4" w:rsidRPr="00007450" w:rsidRDefault="001C79E4" w:rsidP="00864C4B">
            <w:pPr>
              <w:pStyle w:val="TableText0"/>
            </w:pPr>
            <w:r w:rsidRPr="00007450">
              <w:t>3.5%</w:t>
            </w:r>
          </w:p>
        </w:tc>
        <w:tc>
          <w:tcPr>
            <w:tcW w:w="728" w:type="pct"/>
          </w:tcPr>
          <w:p w14:paraId="1B1513D6" w14:textId="079D3FDA"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6"/>
                <w14:textFill>
                  <w14:solidFill>
                    <w14:srgbClr w14:val="000000">
                      <w14:alpha w14:val="100000"/>
                    </w14:srgbClr>
                  </w14:solidFill>
                </w14:textFill>
              </w:rPr>
              <w:t>|||</w:t>
            </w:r>
            <w:r w:rsidR="00E44B9A" w:rsidRPr="00E44B9A">
              <w:rPr>
                <w:color w:val="000000"/>
                <w:spacing w:val="1"/>
                <w:shd w:val="solid" w:color="000000" w:fill="000000"/>
                <w:fitText w:val="330" w:id="-628909556"/>
                <w14:textFill>
                  <w14:solidFill>
                    <w14:srgbClr w14:val="000000">
                      <w14:alpha w14:val="100000"/>
                    </w14:srgbClr>
                  </w14:solidFill>
                </w14:textFill>
              </w:rPr>
              <w:t>|</w:t>
            </w:r>
          </w:p>
        </w:tc>
        <w:tc>
          <w:tcPr>
            <w:tcW w:w="649" w:type="pct"/>
          </w:tcPr>
          <w:p w14:paraId="12A6C399" w14:textId="77777777" w:rsidR="001C79E4" w:rsidRPr="00007450" w:rsidRDefault="001C79E4" w:rsidP="00864C4B">
            <w:pPr>
              <w:pStyle w:val="TableText0"/>
              <w:jc w:val="center"/>
              <w:rPr>
                <w:rFonts w:eastAsia="Calibri"/>
                <w:szCs w:val="20"/>
              </w:rPr>
            </w:pPr>
            <w:r w:rsidRPr="00007450">
              <w:t>0.65</w:t>
            </w:r>
          </w:p>
        </w:tc>
        <w:tc>
          <w:tcPr>
            <w:tcW w:w="670" w:type="pct"/>
          </w:tcPr>
          <w:p w14:paraId="22AA89AB" w14:textId="3EF345BF" w:rsidR="001C79E4" w:rsidRPr="00E17CE7"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55"/>
                <w14:textFill>
                  <w14:solidFill>
                    <w14:srgbClr w14:val="000000">
                      <w14:alpha w14:val="100000"/>
                    </w14:srgbClr>
                  </w14:solidFill>
                </w14:textFill>
              </w:rPr>
              <w:t>|||</w:t>
            </w:r>
            <w:r w:rsidR="00E44B9A" w:rsidRPr="00E44B9A">
              <w:rPr>
                <w:color w:val="000000"/>
                <w:spacing w:val="1"/>
                <w:shd w:val="solid" w:color="000000" w:fill="000000"/>
                <w:fitText w:val="330" w:id="-628909555"/>
                <w14:textFill>
                  <w14:solidFill>
                    <w14:srgbClr w14:val="000000">
                      <w14:alpha w14:val="100000"/>
                    </w14:srgbClr>
                  </w14:solidFill>
                </w14:textFill>
              </w:rPr>
              <w:t>|</w:t>
            </w:r>
            <w:r w:rsidR="00E17CE7">
              <w:rPr>
                <w:vertAlign w:val="superscript"/>
              </w:rPr>
              <w:t>1</w:t>
            </w:r>
          </w:p>
        </w:tc>
        <w:tc>
          <w:tcPr>
            <w:tcW w:w="559" w:type="pct"/>
          </w:tcPr>
          <w:p w14:paraId="03702ABC" w14:textId="1998531E"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4"/>
                <w14:textFill>
                  <w14:solidFill>
                    <w14:srgbClr w14:val="000000">
                      <w14:alpha w14:val="100000"/>
                    </w14:srgbClr>
                  </w14:solidFill>
                </w14:textFill>
              </w:rPr>
              <w:t>|||</w:t>
            </w:r>
            <w:r w:rsidR="00E44B9A" w:rsidRPr="00E44B9A">
              <w:rPr>
                <w:color w:val="000000"/>
                <w:spacing w:val="1"/>
                <w:shd w:val="solid" w:color="000000" w:fill="000000"/>
                <w:fitText w:val="330" w:id="-628909554"/>
                <w14:textFill>
                  <w14:solidFill>
                    <w14:srgbClr w14:val="000000">
                      <w14:alpha w14:val="100000"/>
                    </w14:srgbClr>
                  </w14:solidFill>
                </w14:textFill>
              </w:rPr>
              <w:t>|</w:t>
            </w:r>
            <w:r w:rsidRPr="00007450">
              <w:t>%</w:t>
            </w:r>
          </w:p>
        </w:tc>
      </w:tr>
      <w:tr w:rsidR="001C79E4" w:rsidRPr="00007450" w14:paraId="0AD40FAA" w14:textId="77777777">
        <w:trPr>
          <w:cantSplit/>
        </w:trPr>
        <w:tc>
          <w:tcPr>
            <w:tcW w:w="5000" w:type="pct"/>
            <w:gridSpan w:val="5"/>
          </w:tcPr>
          <w:p w14:paraId="60B7EB8B" w14:textId="77777777" w:rsidR="001C79E4" w:rsidRPr="00007450" w:rsidRDefault="001C79E4" w:rsidP="00864C4B">
            <w:pPr>
              <w:pStyle w:val="TableText0"/>
              <w:rPr>
                <w:rFonts w:eastAsia="Calibri"/>
                <w:b/>
                <w:bCs w:val="0"/>
                <w:szCs w:val="20"/>
              </w:rPr>
            </w:pPr>
            <w:r w:rsidRPr="00007450">
              <w:rPr>
                <w:b/>
                <w:bCs w:val="0"/>
              </w:rPr>
              <w:t>Model starting age (base case: 53.5 years)</w:t>
            </w:r>
          </w:p>
        </w:tc>
      </w:tr>
      <w:tr w:rsidR="001C79E4" w:rsidRPr="00007450" w14:paraId="27AD7745" w14:textId="77777777">
        <w:trPr>
          <w:cantSplit/>
        </w:trPr>
        <w:tc>
          <w:tcPr>
            <w:tcW w:w="2394" w:type="pct"/>
          </w:tcPr>
          <w:p w14:paraId="0469955F" w14:textId="77777777" w:rsidR="001C79E4" w:rsidRPr="00007450" w:rsidRDefault="001C79E4" w:rsidP="00864C4B">
            <w:pPr>
              <w:pStyle w:val="TableText0"/>
            </w:pPr>
            <w:r w:rsidRPr="00007450">
              <w:t>55 years</w:t>
            </w:r>
          </w:p>
        </w:tc>
        <w:tc>
          <w:tcPr>
            <w:tcW w:w="728" w:type="pct"/>
          </w:tcPr>
          <w:p w14:paraId="61942238" w14:textId="7AAD4C47"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3"/>
                <w14:textFill>
                  <w14:solidFill>
                    <w14:srgbClr w14:val="000000">
                      <w14:alpha w14:val="100000"/>
                    </w14:srgbClr>
                  </w14:solidFill>
                </w14:textFill>
              </w:rPr>
              <w:t>|||</w:t>
            </w:r>
            <w:r w:rsidR="00E44B9A" w:rsidRPr="00E44B9A">
              <w:rPr>
                <w:color w:val="000000"/>
                <w:spacing w:val="1"/>
                <w:shd w:val="solid" w:color="000000" w:fill="000000"/>
                <w:fitText w:val="330" w:id="-628909553"/>
                <w14:textFill>
                  <w14:solidFill>
                    <w14:srgbClr w14:val="000000">
                      <w14:alpha w14:val="100000"/>
                    </w14:srgbClr>
                  </w14:solidFill>
                </w14:textFill>
              </w:rPr>
              <w:t>|</w:t>
            </w:r>
          </w:p>
        </w:tc>
        <w:tc>
          <w:tcPr>
            <w:tcW w:w="649" w:type="pct"/>
          </w:tcPr>
          <w:p w14:paraId="0AF1ADD7" w14:textId="77777777" w:rsidR="001C79E4" w:rsidRPr="00007450" w:rsidRDefault="001C79E4" w:rsidP="00864C4B">
            <w:pPr>
              <w:pStyle w:val="TableText0"/>
              <w:jc w:val="center"/>
            </w:pPr>
            <w:r w:rsidRPr="00007450">
              <w:t>0.50</w:t>
            </w:r>
          </w:p>
        </w:tc>
        <w:tc>
          <w:tcPr>
            <w:tcW w:w="670" w:type="pct"/>
          </w:tcPr>
          <w:p w14:paraId="74A6CF5E" w14:textId="1D6632B1" w:rsidR="001C79E4" w:rsidRPr="00E17CE7" w:rsidRDefault="001C79E4" w:rsidP="00864C4B">
            <w:pPr>
              <w:pStyle w:val="TableText0"/>
              <w:jc w:val="center"/>
              <w:rPr>
                <w:vertAlign w:val="superscript"/>
              </w:rPr>
            </w:pPr>
            <w:r w:rsidRPr="00007450">
              <w:t>$</w:t>
            </w:r>
            <w:r w:rsidR="00E44B9A" w:rsidRPr="00E44B9A">
              <w:rPr>
                <w:color w:val="000000"/>
                <w:spacing w:val="53"/>
                <w:shd w:val="solid" w:color="000000" w:fill="000000"/>
                <w:fitText w:val="330" w:id="-628909552"/>
                <w14:textFill>
                  <w14:solidFill>
                    <w14:srgbClr w14:val="000000">
                      <w14:alpha w14:val="100000"/>
                    </w14:srgbClr>
                  </w14:solidFill>
                </w14:textFill>
              </w:rPr>
              <w:t>|||</w:t>
            </w:r>
            <w:r w:rsidR="00E44B9A" w:rsidRPr="00E44B9A">
              <w:rPr>
                <w:color w:val="000000"/>
                <w:spacing w:val="1"/>
                <w:shd w:val="solid" w:color="000000" w:fill="000000"/>
                <w:fitText w:val="330" w:id="-628909552"/>
                <w14:textFill>
                  <w14:solidFill>
                    <w14:srgbClr w14:val="000000">
                      <w14:alpha w14:val="100000"/>
                    </w14:srgbClr>
                  </w14:solidFill>
                </w14:textFill>
              </w:rPr>
              <w:t>|</w:t>
            </w:r>
            <w:r w:rsidR="00E17CE7">
              <w:rPr>
                <w:vertAlign w:val="superscript"/>
              </w:rPr>
              <w:t>1</w:t>
            </w:r>
          </w:p>
        </w:tc>
        <w:tc>
          <w:tcPr>
            <w:tcW w:w="559" w:type="pct"/>
          </w:tcPr>
          <w:p w14:paraId="3E6E472E" w14:textId="01BF97AC" w:rsidR="001C79E4" w:rsidRPr="00007450" w:rsidRDefault="00E44B9A" w:rsidP="00864C4B">
            <w:pPr>
              <w:pStyle w:val="TableText0"/>
              <w:jc w:val="center"/>
            </w:pPr>
            <w:r w:rsidRPr="00E44B9A">
              <w:rPr>
                <w:color w:val="000000"/>
                <w:spacing w:val="53"/>
                <w:shd w:val="solid" w:color="000000" w:fill="000000"/>
                <w:fitText w:val="330" w:id="-628909568"/>
                <w14:textFill>
                  <w14:solidFill>
                    <w14:srgbClr w14:val="000000">
                      <w14:alpha w14:val="100000"/>
                    </w14:srgbClr>
                  </w14:solidFill>
                </w14:textFill>
              </w:rPr>
              <w:t>|||</w:t>
            </w:r>
            <w:r w:rsidRPr="00E44B9A">
              <w:rPr>
                <w:color w:val="000000"/>
                <w:spacing w:val="1"/>
                <w:shd w:val="solid" w:color="000000" w:fill="000000"/>
                <w:fitText w:val="330" w:id="-628909568"/>
                <w14:textFill>
                  <w14:solidFill>
                    <w14:srgbClr w14:val="000000">
                      <w14:alpha w14:val="100000"/>
                    </w14:srgbClr>
                  </w14:solidFill>
                </w14:textFill>
              </w:rPr>
              <w:t>|</w:t>
            </w:r>
            <w:r w:rsidR="001C79E4" w:rsidRPr="00007450">
              <w:t>%</w:t>
            </w:r>
          </w:p>
        </w:tc>
      </w:tr>
      <w:tr w:rsidR="001C79E4" w:rsidRPr="00007450" w14:paraId="0E01E155" w14:textId="77777777">
        <w:trPr>
          <w:cantSplit/>
        </w:trPr>
        <w:tc>
          <w:tcPr>
            <w:tcW w:w="2394" w:type="pct"/>
          </w:tcPr>
          <w:p w14:paraId="44C55773" w14:textId="77777777" w:rsidR="001C79E4" w:rsidRPr="00007450" w:rsidRDefault="001C79E4" w:rsidP="00864C4B">
            <w:pPr>
              <w:pStyle w:val="TableText0"/>
            </w:pPr>
            <w:r w:rsidRPr="00007450">
              <w:t>60 years</w:t>
            </w:r>
            <w:r w:rsidRPr="00007450">
              <w:rPr>
                <w:vertAlign w:val="superscript"/>
              </w:rPr>
              <w:t>a</w:t>
            </w:r>
            <w:r w:rsidRPr="00007450">
              <w:t xml:space="preserve"> </w:t>
            </w:r>
          </w:p>
        </w:tc>
        <w:tc>
          <w:tcPr>
            <w:tcW w:w="728" w:type="pct"/>
          </w:tcPr>
          <w:p w14:paraId="61B8B842" w14:textId="7FFEE51A"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7"/>
                <w14:textFill>
                  <w14:solidFill>
                    <w14:srgbClr w14:val="000000">
                      <w14:alpha w14:val="100000"/>
                    </w14:srgbClr>
                  </w14:solidFill>
                </w14:textFill>
              </w:rPr>
              <w:t>|||</w:t>
            </w:r>
            <w:r w:rsidR="00E44B9A" w:rsidRPr="00E44B9A">
              <w:rPr>
                <w:color w:val="000000"/>
                <w:spacing w:val="1"/>
                <w:shd w:val="solid" w:color="000000" w:fill="000000"/>
                <w:fitText w:val="330" w:id="-628909567"/>
                <w14:textFill>
                  <w14:solidFill>
                    <w14:srgbClr w14:val="000000">
                      <w14:alpha w14:val="100000"/>
                    </w14:srgbClr>
                  </w14:solidFill>
                </w14:textFill>
              </w:rPr>
              <w:t>|</w:t>
            </w:r>
          </w:p>
        </w:tc>
        <w:tc>
          <w:tcPr>
            <w:tcW w:w="649" w:type="pct"/>
          </w:tcPr>
          <w:p w14:paraId="0681A1E2" w14:textId="77777777" w:rsidR="001C79E4" w:rsidRPr="00007450" w:rsidRDefault="001C79E4" w:rsidP="00864C4B">
            <w:pPr>
              <w:pStyle w:val="TableText0"/>
              <w:jc w:val="center"/>
              <w:rPr>
                <w:rFonts w:eastAsia="Calibri"/>
                <w:szCs w:val="20"/>
              </w:rPr>
            </w:pPr>
            <w:r w:rsidRPr="00007450">
              <w:t>0.46</w:t>
            </w:r>
          </w:p>
        </w:tc>
        <w:tc>
          <w:tcPr>
            <w:tcW w:w="670" w:type="pct"/>
          </w:tcPr>
          <w:p w14:paraId="362C0FC7" w14:textId="20A68EF5" w:rsidR="001C79E4" w:rsidRPr="00E17CE7"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66"/>
                <w14:textFill>
                  <w14:solidFill>
                    <w14:srgbClr w14:val="000000">
                      <w14:alpha w14:val="100000"/>
                    </w14:srgbClr>
                  </w14:solidFill>
                </w14:textFill>
              </w:rPr>
              <w:t>|||</w:t>
            </w:r>
            <w:r w:rsidR="00E44B9A" w:rsidRPr="00E44B9A">
              <w:rPr>
                <w:color w:val="000000"/>
                <w:spacing w:val="1"/>
                <w:shd w:val="solid" w:color="000000" w:fill="000000"/>
                <w:fitText w:val="330" w:id="-628909566"/>
                <w14:textFill>
                  <w14:solidFill>
                    <w14:srgbClr w14:val="000000">
                      <w14:alpha w14:val="100000"/>
                    </w14:srgbClr>
                  </w14:solidFill>
                </w14:textFill>
              </w:rPr>
              <w:t>|</w:t>
            </w:r>
            <w:r w:rsidR="00E17CE7">
              <w:rPr>
                <w:vertAlign w:val="superscript"/>
              </w:rPr>
              <w:t>4</w:t>
            </w:r>
          </w:p>
        </w:tc>
        <w:tc>
          <w:tcPr>
            <w:tcW w:w="559" w:type="pct"/>
          </w:tcPr>
          <w:p w14:paraId="5366135E" w14:textId="24EB0F1B"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65"/>
                <w14:textFill>
                  <w14:solidFill>
                    <w14:srgbClr w14:val="000000">
                      <w14:alpha w14:val="100000"/>
                    </w14:srgbClr>
                  </w14:solidFill>
                </w14:textFill>
              </w:rPr>
              <w:t>|||</w:t>
            </w:r>
            <w:r w:rsidRPr="00E44B9A">
              <w:rPr>
                <w:color w:val="000000"/>
                <w:spacing w:val="1"/>
                <w:shd w:val="solid" w:color="000000" w:fill="000000"/>
                <w:fitText w:val="330" w:id="-628909565"/>
                <w14:textFill>
                  <w14:solidFill>
                    <w14:srgbClr w14:val="000000">
                      <w14:alpha w14:val="100000"/>
                    </w14:srgbClr>
                  </w14:solidFill>
                </w14:textFill>
              </w:rPr>
              <w:t>|</w:t>
            </w:r>
            <w:r w:rsidR="001C79E4" w:rsidRPr="00007450">
              <w:t>%</w:t>
            </w:r>
          </w:p>
        </w:tc>
      </w:tr>
      <w:tr w:rsidR="001C79E4" w:rsidRPr="00007450" w14:paraId="20E1E683" w14:textId="77777777">
        <w:trPr>
          <w:cantSplit/>
        </w:trPr>
        <w:tc>
          <w:tcPr>
            <w:tcW w:w="2394" w:type="pct"/>
          </w:tcPr>
          <w:p w14:paraId="792E27BB" w14:textId="77777777" w:rsidR="001C79E4" w:rsidRPr="00007450" w:rsidRDefault="001C79E4" w:rsidP="00864C4B">
            <w:pPr>
              <w:pStyle w:val="TableText0"/>
            </w:pPr>
            <w:r w:rsidRPr="00007450">
              <w:t xml:space="preserve">61.4 years </w:t>
            </w:r>
            <w:r w:rsidRPr="00007450">
              <w:rPr>
                <w:b/>
                <w:bCs w:val="0"/>
              </w:rPr>
              <w:t>#2</w:t>
            </w:r>
          </w:p>
        </w:tc>
        <w:tc>
          <w:tcPr>
            <w:tcW w:w="728" w:type="pct"/>
          </w:tcPr>
          <w:p w14:paraId="7AB7376D" w14:textId="38EC292E"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4"/>
                <w14:textFill>
                  <w14:solidFill>
                    <w14:srgbClr w14:val="000000">
                      <w14:alpha w14:val="100000"/>
                    </w14:srgbClr>
                  </w14:solidFill>
                </w14:textFill>
              </w:rPr>
              <w:t>|||</w:t>
            </w:r>
            <w:r w:rsidR="00E44B9A" w:rsidRPr="00E44B9A">
              <w:rPr>
                <w:color w:val="000000"/>
                <w:spacing w:val="1"/>
                <w:shd w:val="solid" w:color="000000" w:fill="000000"/>
                <w:fitText w:val="330" w:id="-628909564"/>
                <w14:textFill>
                  <w14:solidFill>
                    <w14:srgbClr w14:val="000000">
                      <w14:alpha w14:val="100000"/>
                    </w14:srgbClr>
                  </w14:solidFill>
                </w14:textFill>
              </w:rPr>
              <w:t>|</w:t>
            </w:r>
          </w:p>
        </w:tc>
        <w:tc>
          <w:tcPr>
            <w:tcW w:w="649" w:type="pct"/>
          </w:tcPr>
          <w:p w14:paraId="61D65299" w14:textId="77777777" w:rsidR="001C79E4" w:rsidRPr="00007450" w:rsidRDefault="001C79E4" w:rsidP="00864C4B">
            <w:pPr>
              <w:pStyle w:val="TableText0"/>
              <w:jc w:val="center"/>
              <w:rPr>
                <w:rFonts w:eastAsia="Calibri"/>
                <w:szCs w:val="20"/>
              </w:rPr>
            </w:pPr>
            <w:r w:rsidRPr="00007450">
              <w:t>0.45</w:t>
            </w:r>
          </w:p>
        </w:tc>
        <w:tc>
          <w:tcPr>
            <w:tcW w:w="670" w:type="pct"/>
          </w:tcPr>
          <w:p w14:paraId="762B971D" w14:textId="3040EE95" w:rsidR="001C79E4" w:rsidRPr="00E17CE7"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63"/>
                <w14:textFill>
                  <w14:solidFill>
                    <w14:srgbClr w14:val="000000">
                      <w14:alpha w14:val="100000"/>
                    </w14:srgbClr>
                  </w14:solidFill>
                </w14:textFill>
              </w:rPr>
              <w:t>|||</w:t>
            </w:r>
            <w:r w:rsidR="00E44B9A" w:rsidRPr="00E44B9A">
              <w:rPr>
                <w:color w:val="000000"/>
                <w:spacing w:val="1"/>
                <w:shd w:val="solid" w:color="000000" w:fill="000000"/>
                <w:fitText w:val="330" w:id="-628909563"/>
                <w14:textFill>
                  <w14:solidFill>
                    <w14:srgbClr w14:val="000000">
                      <w14:alpha w14:val="100000"/>
                    </w14:srgbClr>
                  </w14:solidFill>
                </w14:textFill>
              </w:rPr>
              <w:t>|</w:t>
            </w:r>
            <w:r w:rsidR="00E17CE7">
              <w:rPr>
                <w:vertAlign w:val="superscript"/>
              </w:rPr>
              <w:t>4</w:t>
            </w:r>
          </w:p>
        </w:tc>
        <w:tc>
          <w:tcPr>
            <w:tcW w:w="559" w:type="pct"/>
          </w:tcPr>
          <w:p w14:paraId="01512415" w14:textId="1E5F0B57"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62"/>
                <w14:textFill>
                  <w14:solidFill>
                    <w14:srgbClr w14:val="000000">
                      <w14:alpha w14:val="100000"/>
                    </w14:srgbClr>
                  </w14:solidFill>
                </w14:textFill>
              </w:rPr>
              <w:t>|||</w:t>
            </w:r>
            <w:r w:rsidRPr="00E44B9A">
              <w:rPr>
                <w:color w:val="000000"/>
                <w:spacing w:val="1"/>
                <w:shd w:val="solid" w:color="000000" w:fill="000000"/>
                <w:fitText w:val="330" w:id="-628909562"/>
                <w14:textFill>
                  <w14:solidFill>
                    <w14:srgbClr w14:val="000000">
                      <w14:alpha w14:val="100000"/>
                    </w14:srgbClr>
                  </w14:solidFill>
                </w14:textFill>
              </w:rPr>
              <w:t>|</w:t>
            </w:r>
            <w:r w:rsidR="001C79E4" w:rsidRPr="00007450">
              <w:t>%</w:t>
            </w:r>
          </w:p>
        </w:tc>
      </w:tr>
      <w:tr w:rsidR="004F3367" w:rsidRPr="00007450" w14:paraId="73070C8A" w14:textId="77777777">
        <w:trPr>
          <w:cantSplit/>
        </w:trPr>
        <w:tc>
          <w:tcPr>
            <w:tcW w:w="5000" w:type="pct"/>
            <w:gridSpan w:val="5"/>
          </w:tcPr>
          <w:p w14:paraId="50AC09F6" w14:textId="68C42434" w:rsidR="004F3367" w:rsidRPr="00007450" w:rsidRDefault="004F3367" w:rsidP="00864C4B">
            <w:pPr>
              <w:pStyle w:val="TableText0"/>
              <w:rPr>
                <w:rFonts w:eastAsia="Calibri"/>
                <w:b/>
                <w:bCs w:val="0"/>
                <w:szCs w:val="20"/>
              </w:rPr>
            </w:pPr>
            <w:r w:rsidRPr="00007450">
              <w:rPr>
                <w:b/>
                <w:bCs w:val="0"/>
              </w:rPr>
              <w:t>iDFS data truncation point (base case: 48 weeks in both treatment arms)</w:t>
            </w:r>
          </w:p>
        </w:tc>
      </w:tr>
      <w:tr w:rsidR="004F3367" w:rsidRPr="00007450" w14:paraId="64F2E93D" w14:textId="77777777">
        <w:trPr>
          <w:cantSplit/>
        </w:trPr>
        <w:tc>
          <w:tcPr>
            <w:tcW w:w="2394" w:type="pct"/>
          </w:tcPr>
          <w:p w14:paraId="7078FE32" w14:textId="7AAFF012" w:rsidR="004F3367" w:rsidRPr="00007450" w:rsidRDefault="004F3367" w:rsidP="00864C4B">
            <w:pPr>
              <w:pStyle w:val="TableText0"/>
              <w:rPr>
                <w:vertAlign w:val="superscript"/>
              </w:rPr>
            </w:pPr>
            <w:r w:rsidRPr="00007450">
              <w:t>54 weeks in both treatment arms</w:t>
            </w:r>
            <w:r w:rsidR="0013182A" w:rsidRPr="00007450">
              <w:rPr>
                <w:vertAlign w:val="superscript"/>
              </w:rPr>
              <w:t>a</w:t>
            </w:r>
            <w:r w:rsidRPr="00007450">
              <w:t xml:space="preserve"> </w:t>
            </w:r>
          </w:p>
        </w:tc>
        <w:tc>
          <w:tcPr>
            <w:tcW w:w="728" w:type="pct"/>
          </w:tcPr>
          <w:p w14:paraId="6CBCABF0" w14:textId="09E9D330" w:rsidR="004F3367" w:rsidRPr="00007450" w:rsidRDefault="004F3367"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1"/>
                <w14:textFill>
                  <w14:solidFill>
                    <w14:srgbClr w14:val="000000">
                      <w14:alpha w14:val="100000"/>
                    </w14:srgbClr>
                  </w14:solidFill>
                </w14:textFill>
              </w:rPr>
              <w:t>|||</w:t>
            </w:r>
            <w:r w:rsidR="00E44B9A" w:rsidRPr="00E44B9A">
              <w:rPr>
                <w:color w:val="000000"/>
                <w:spacing w:val="1"/>
                <w:shd w:val="solid" w:color="000000" w:fill="000000"/>
                <w:fitText w:val="330" w:id="-628909561"/>
                <w14:textFill>
                  <w14:solidFill>
                    <w14:srgbClr w14:val="000000">
                      <w14:alpha w14:val="100000"/>
                    </w14:srgbClr>
                  </w14:solidFill>
                </w14:textFill>
              </w:rPr>
              <w:t>|</w:t>
            </w:r>
          </w:p>
        </w:tc>
        <w:tc>
          <w:tcPr>
            <w:tcW w:w="649" w:type="pct"/>
          </w:tcPr>
          <w:p w14:paraId="1D1D060F" w14:textId="36643DA1" w:rsidR="004F3367" w:rsidRPr="00007450" w:rsidRDefault="004F3367" w:rsidP="00864C4B">
            <w:pPr>
              <w:pStyle w:val="TableText0"/>
              <w:jc w:val="center"/>
              <w:rPr>
                <w:rFonts w:eastAsia="Calibri"/>
                <w:szCs w:val="20"/>
              </w:rPr>
            </w:pPr>
            <w:r w:rsidRPr="00007450">
              <w:t>0.55</w:t>
            </w:r>
          </w:p>
        </w:tc>
        <w:tc>
          <w:tcPr>
            <w:tcW w:w="670" w:type="pct"/>
          </w:tcPr>
          <w:p w14:paraId="7D7E2844" w14:textId="3BC93775" w:rsidR="004F3367" w:rsidRPr="00E17CE7" w:rsidRDefault="004F3367"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60"/>
                <w14:textFill>
                  <w14:solidFill>
                    <w14:srgbClr w14:val="000000">
                      <w14:alpha w14:val="100000"/>
                    </w14:srgbClr>
                  </w14:solidFill>
                </w14:textFill>
              </w:rPr>
              <w:t>|||</w:t>
            </w:r>
            <w:r w:rsidR="00E44B9A" w:rsidRPr="00E44B9A">
              <w:rPr>
                <w:color w:val="000000"/>
                <w:spacing w:val="1"/>
                <w:shd w:val="solid" w:color="000000" w:fill="000000"/>
                <w:fitText w:val="330" w:id="-628909560"/>
                <w14:textFill>
                  <w14:solidFill>
                    <w14:srgbClr w14:val="000000">
                      <w14:alpha w14:val="100000"/>
                    </w14:srgbClr>
                  </w14:solidFill>
                </w14:textFill>
              </w:rPr>
              <w:t>|</w:t>
            </w:r>
            <w:r w:rsidR="00E17CE7">
              <w:rPr>
                <w:vertAlign w:val="superscript"/>
              </w:rPr>
              <w:t>1</w:t>
            </w:r>
          </w:p>
        </w:tc>
        <w:tc>
          <w:tcPr>
            <w:tcW w:w="559" w:type="pct"/>
          </w:tcPr>
          <w:p w14:paraId="6BDBA918" w14:textId="2D2D80DA" w:rsidR="004F3367" w:rsidRPr="00007450" w:rsidRDefault="004F3367"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r w:rsidRPr="00007450">
              <w:t>%</w:t>
            </w:r>
          </w:p>
        </w:tc>
      </w:tr>
      <w:tr w:rsidR="001C79E4" w:rsidRPr="00007450" w14:paraId="79354B31" w14:textId="77777777">
        <w:trPr>
          <w:cantSplit/>
        </w:trPr>
        <w:tc>
          <w:tcPr>
            <w:tcW w:w="5000" w:type="pct"/>
            <w:gridSpan w:val="5"/>
          </w:tcPr>
          <w:p w14:paraId="155501DD" w14:textId="77777777" w:rsidR="001C79E4" w:rsidRPr="00007450" w:rsidRDefault="001C79E4" w:rsidP="00864C4B">
            <w:pPr>
              <w:pStyle w:val="TableText0"/>
              <w:rPr>
                <w:rFonts w:eastAsia="Calibri"/>
                <w:b/>
                <w:bCs w:val="0"/>
                <w:szCs w:val="20"/>
              </w:rPr>
            </w:pPr>
            <w:r w:rsidRPr="00007450">
              <w:rPr>
                <w:b/>
                <w:bCs w:val="0"/>
              </w:rPr>
              <w:t>iDFS parametric distribution (base case: restricted exponential for both arms)</w:t>
            </w:r>
          </w:p>
        </w:tc>
      </w:tr>
      <w:tr w:rsidR="001C79E4" w:rsidRPr="00007450" w14:paraId="5FE54F96" w14:textId="77777777">
        <w:trPr>
          <w:cantSplit/>
        </w:trPr>
        <w:tc>
          <w:tcPr>
            <w:tcW w:w="2394" w:type="pct"/>
          </w:tcPr>
          <w:p w14:paraId="0C929F70" w14:textId="77777777" w:rsidR="001C79E4" w:rsidRPr="00007450" w:rsidRDefault="001C79E4" w:rsidP="00864C4B">
            <w:pPr>
              <w:pStyle w:val="TableText0"/>
              <w:rPr>
                <w:vertAlign w:val="superscript"/>
              </w:rPr>
            </w:pPr>
            <w:r w:rsidRPr="00007450">
              <w:t>Restricted Weibull for both arms</w:t>
            </w:r>
            <w:r w:rsidRPr="00007450">
              <w:rPr>
                <w:vertAlign w:val="superscript"/>
              </w:rPr>
              <w:t>b</w:t>
            </w:r>
          </w:p>
        </w:tc>
        <w:tc>
          <w:tcPr>
            <w:tcW w:w="728" w:type="pct"/>
          </w:tcPr>
          <w:p w14:paraId="6FFB3485" w14:textId="50F4D5A3"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8"/>
                <w14:textFill>
                  <w14:solidFill>
                    <w14:srgbClr w14:val="000000">
                      <w14:alpha w14:val="100000"/>
                    </w14:srgbClr>
                  </w14:solidFill>
                </w14:textFill>
              </w:rPr>
              <w:t>|||</w:t>
            </w:r>
            <w:r w:rsidR="00E44B9A" w:rsidRPr="00E44B9A">
              <w:rPr>
                <w:color w:val="000000"/>
                <w:spacing w:val="1"/>
                <w:shd w:val="solid" w:color="000000" w:fill="000000"/>
                <w:fitText w:val="330" w:id="-628909558"/>
                <w14:textFill>
                  <w14:solidFill>
                    <w14:srgbClr w14:val="000000">
                      <w14:alpha w14:val="100000"/>
                    </w14:srgbClr>
                  </w14:solidFill>
                </w14:textFill>
              </w:rPr>
              <w:t>|</w:t>
            </w:r>
          </w:p>
        </w:tc>
        <w:tc>
          <w:tcPr>
            <w:tcW w:w="649" w:type="pct"/>
          </w:tcPr>
          <w:p w14:paraId="131AD24C" w14:textId="77777777" w:rsidR="001C79E4" w:rsidRPr="00007450" w:rsidRDefault="001C79E4" w:rsidP="00864C4B">
            <w:pPr>
              <w:pStyle w:val="TableText0"/>
              <w:jc w:val="center"/>
              <w:rPr>
                <w:rFonts w:eastAsia="Calibri"/>
                <w:szCs w:val="20"/>
              </w:rPr>
            </w:pPr>
            <w:r w:rsidRPr="00007450">
              <w:t>0.56</w:t>
            </w:r>
          </w:p>
        </w:tc>
        <w:tc>
          <w:tcPr>
            <w:tcW w:w="670" w:type="pct"/>
          </w:tcPr>
          <w:p w14:paraId="07026A61" w14:textId="5636F828" w:rsidR="001C79E4" w:rsidRPr="00E17CE7"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57"/>
                <w14:textFill>
                  <w14:solidFill>
                    <w14:srgbClr w14:val="000000">
                      <w14:alpha w14:val="100000"/>
                    </w14:srgbClr>
                  </w14:solidFill>
                </w14:textFill>
              </w:rPr>
              <w:t>|||</w:t>
            </w:r>
            <w:r w:rsidR="00E44B9A" w:rsidRPr="00E44B9A">
              <w:rPr>
                <w:color w:val="000000"/>
                <w:spacing w:val="1"/>
                <w:shd w:val="solid" w:color="000000" w:fill="000000"/>
                <w:fitText w:val="330" w:id="-628909557"/>
                <w14:textFill>
                  <w14:solidFill>
                    <w14:srgbClr w14:val="000000">
                      <w14:alpha w14:val="100000"/>
                    </w14:srgbClr>
                  </w14:solidFill>
                </w14:textFill>
              </w:rPr>
              <w:t>|</w:t>
            </w:r>
            <w:r w:rsidR="00E17CE7">
              <w:rPr>
                <w:vertAlign w:val="superscript"/>
              </w:rPr>
              <w:t>1</w:t>
            </w:r>
          </w:p>
        </w:tc>
        <w:tc>
          <w:tcPr>
            <w:tcW w:w="559" w:type="pct"/>
          </w:tcPr>
          <w:p w14:paraId="02B7CAA2" w14:textId="26423DA4"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6"/>
                <w14:textFill>
                  <w14:solidFill>
                    <w14:srgbClr w14:val="000000">
                      <w14:alpha w14:val="100000"/>
                    </w14:srgbClr>
                  </w14:solidFill>
                </w14:textFill>
              </w:rPr>
              <w:t>|||</w:t>
            </w:r>
            <w:r w:rsidR="00E44B9A" w:rsidRPr="00E44B9A">
              <w:rPr>
                <w:color w:val="000000"/>
                <w:spacing w:val="1"/>
                <w:shd w:val="solid" w:color="000000" w:fill="000000"/>
                <w:fitText w:val="330" w:id="-628909556"/>
                <w14:textFill>
                  <w14:solidFill>
                    <w14:srgbClr w14:val="000000">
                      <w14:alpha w14:val="100000"/>
                    </w14:srgbClr>
                  </w14:solidFill>
                </w14:textFill>
              </w:rPr>
              <w:t>|</w:t>
            </w:r>
            <w:r w:rsidRPr="00007450">
              <w:t>%</w:t>
            </w:r>
          </w:p>
        </w:tc>
      </w:tr>
      <w:tr w:rsidR="001C79E4" w:rsidRPr="00007450" w14:paraId="099498E2" w14:textId="77777777">
        <w:trPr>
          <w:cantSplit/>
        </w:trPr>
        <w:tc>
          <w:tcPr>
            <w:tcW w:w="2394" w:type="pct"/>
          </w:tcPr>
          <w:p w14:paraId="7B2B2A2C" w14:textId="77777777" w:rsidR="001C79E4" w:rsidRPr="00007450" w:rsidRDefault="001C79E4" w:rsidP="00864C4B">
            <w:pPr>
              <w:pStyle w:val="TableText0"/>
            </w:pPr>
            <w:r w:rsidRPr="00007450">
              <w:t>Restricted gamma for both arms</w:t>
            </w:r>
            <w:r w:rsidRPr="00007450">
              <w:rPr>
                <w:vertAlign w:val="superscript"/>
              </w:rPr>
              <w:t xml:space="preserve">a,b </w:t>
            </w:r>
          </w:p>
        </w:tc>
        <w:tc>
          <w:tcPr>
            <w:tcW w:w="728" w:type="pct"/>
          </w:tcPr>
          <w:p w14:paraId="41FDD46B" w14:textId="356A87A0"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5"/>
                <w14:textFill>
                  <w14:solidFill>
                    <w14:srgbClr w14:val="000000">
                      <w14:alpha w14:val="100000"/>
                    </w14:srgbClr>
                  </w14:solidFill>
                </w14:textFill>
              </w:rPr>
              <w:t>|||</w:t>
            </w:r>
            <w:r w:rsidR="00E44B9A" w:rsidRPr="00E44B9A">
              <w:rPr>
                <w:color w:val="000000"/>
                <w:spacing w:val="1"/>
                <w:shd w:val="solid" w:color="000000" w:fill="000000"/>
                <w:fitText w:val="330" w:id="-628909555"/>
                <w14:textFill>
                  <w14:solidFill>
                    <w14:srgbClr w14:val="000000">
                      <w14:alpha w14:val="100000"/>
                    </w14:srgbClr>
                  </w14:solidFill>
                </w14:textFill>
              </w:rPr>
              <w:t>|</w:t>
            </w:r>
          </w:p>
        </w:tc>
        <w:tc>
          <w:tcPr>
            <w:tcW w:w="649" w:type="pct"/>
          </w:tcPr>
          <w:p w14:paraId="41CADF38" w14:textId="77777777" w:rsidR="001C79E4" w:rsidRPr="00007450" w:rsidRDefault="001C79E4" w:rsidP="00864C4B">
            <w:pPr>
              <w:pStyle w:val="TableText0"/>
              <w:jc w:val="center"/>
            </w:pPr>
            <w:r w:rsidRPr="00007450">
              <w:t>0.55</w:t>
            </w:r>
          </w:p>
        </w:tc>
        <w:tc>
          <w:tcPr>
            <w:tcW w:w="670" w:type="pct"/>
          </w:tcPr>
          <w:p w14:paraId="1EE232B9" w14:textId="453758A9" w:rsidR="001C79E4" w:rsidRPr="00E17CE7" w:rsidRDefault="001C79E4" w:rsidP="00864C4B">
            <w:pPr>
              <w:pStyle w:val="TableText0"/>
              <w:jc w:val="center"/>
              <w:rPr>
                <w:vertAlign w:val="superscript"/>
              </w:rPr>
            </w:pPr>
            <w:r w:rsidRPr="00007450">
              <w:t>$</w:t>
            </w:r>
            <w:r w:rsidR="00E44B9A" w:rsidRPr="00E44B9A">
              <w:rPr>
                <w:color w:val="000000"/>
                <w:spacing w:val="53"/>
                <w:shd w:val="solid" w:color="000000" w:fill="000000"/>
                <w:fitText w:val="330" w:id="-628909554"/>
                <w14:textFill>
                  <w14:solidFill>
                    <w14:srgbClr w14:val="000000">
                      <w14:alpha w14:val="100000"/>
                    </w14:srgbClr>
                  </w14:solidFill>
                </w14:textFill>
              </w:rPr>
              <w:t>|||</w:t>
            </w:r>
            <w:r w:rsidR="00E44B9A" w:rsidRPr="00E44B9A">
              <w:rPr>
                <w:color w:val="000000"/>
                <w:spacing w:val="1"/>
                <w:shd w:val="solid" w:color="000000" w:fill="000000"/>
                <w:fitText w:val="330" w:id="-628909554"/>
                <w14:textFill>
                  <w14:solidFill>
                    <w14:srgbClr w14:val="000000">
                      <w14:alpha w14:val="100000"/>
                    </w14:srgbClr>
                  </w14:solidFill>
                </w14:textFill>
              </w:rPr>
              <w:t>|</w:t>
            </w:r>
            <w:r w:rsidR="00E17CE7">
              <w:rPr>
                <w:vertAlign w:val="superscript"/>
              </w:rPr>
              <w:t>1</w:t>
            </w:r>
          </w:p>
        </w:tc>
        <w:tc>
          <w:tcPr>
            <w:tcW w:w="559" w:type="pct"/>
          </w:tcPr>
          <w:p w14:paraId="66C0B2B4" w14:textId="43A94696"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3"/>
                <w14:textFill>
                  <w14:solidFill>
                    <w14:srgbClr w14:val="000000">
                      <w14:alpha w14:val="100000"/>
                    </w14:srgbClr>
                  </w14:solidFill>
                </w14:textFill>
              </w:rPr>
              <w:t>|||</w:t>
            </w:r>
            <w:r w:rsidR="00E44B9A" w:rsidRPr="00E44B9A">
              <w:rPr>
                <w:color w:val="000000"/>
                <w:spacing w:val="1"/>
                <w:shd w:val="solid" w:color="000000" w:fill="000000"/>
                <w:fitText w:val="330" w:id="-628909553"/>
                <w14:textFill>
                  <w14:solidFill>
                    <w14:srgbClr w14:val="000000">
                      <w14:alpha w14:val="100000"/>
                    </w14:srgbClr>
                  </w14:solidFill>
                </w14:textFill>
              </w:rPr>
              <w:t>|</w:t>
            </w:r>
            <w:r w:rsidRPr="00007450">
              <w:t>%</w:t>
            </w:r>
          </w:p>
        </w:tc>
      </w:tr>
      <w:tr w:rsidR="001C79E4" w:rsidRPr="00007450" w14:paraId="3DA32C01" w14:textId="77777777">
        <w:trPr>
          <w:cantSplit/>
        </w:trPr>
        <w:tc>
          <w:tcPr>
            <w:tcW w:w="2394" w:type="pct"/>
          </w:tcPr>
          <w:p w14:paraId="24B9C263" w14:textId="77777777" w:rsidR="001C79E4" w:rsidRPr="00007450" w:rsidRDefault="001C79E4" w:rsidP="00864C4B">
            <w:pPr>
              <w:pStyle w:val="TableText0"/>
            </w:pPr>
            <w:r w:rsidRPr="00007450">
              <w:t>Restricted gamma for RIB + ET, with parametric function for ET unchanged from base case</w:t>
            </w:r>
            <w:r w:rsidRPr="00007450">
              <w:rPr>
                <w:vertAlign w:val="superscript"/>
              </w:rPr>
              <w:t>a,b</w:t>
            </w:r>
          </w:p>
        </w:tc>
        <w:tc>
          <w:tcPr>
            <w:tcW w:w="728" w:type="pct"/>
          </w:tcPr>
          <w:p w14:paraId="056310DB" w14:textId="2CA00706"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2"/>
                <w14:textFill>
                  <w14:solidFill>
                    <w14:srgbClr w14:val="000000">
                      <w14:alpha w14:val="100000"/>
                    </w14:srgbClr>
                  </w14:solidFill>
                </w14:textFill>
              </w:rPr>
              <w:t>|||</w:t>
            </w:r>
            <w:r w:rsidR="00E44B9A" w:rsidRPr="00E44B9A">
              <w:rPr>
                <w:color w:val="000000"/>
                <w:spacing w:val="1"/>
                <w:shd w:val="solid" w:color="000000" w:fill="000000"/>
                <w:fitText w:val="330" w:id="-628909552"/>
                <w14:textFill>
                  <w14:solidFill>
                    <w14:srgbClr w14:val="000000">
                      <w14:alpha w14:val="100000"/>
                    </w14:srgbClr>
                  </w14:solidFill>
                </w14:textFill>
              </w:rPr>
              <w:t>|</w:t>
            </w:r>
          </w:p>
        </w:tc>
        <w:tc>
          <w:tcPr>
            <w:tcW w:w="649" w:type="pct"/>
          </w:tcPr>
          <w:p w14:paraId="448A6093" w14:textId="77777777" w:rsidR="001C79E4" w:rsidRPr="00007450" w:rsidRDefault="001C79E4" w:rsidP="00864C4B">
            <w:pPr>
              <w:pStyle w:val="TableText0"/>
              <w:jc w:val="center"/>
            </w:pPr>
            <w:r w:rsidRPr="00007450">
              <w:t>0.39</w:t>
            </w:r>
          </w:p>
        </w:tc>
        <w:tc>
          <w:tcPr>
            <w:tcW w:w="670" w:type="pct"/>
          </w:tcPr>
          <w:p w14:paraId="0BA7B807" w14:textId="55AC4345" w:rsidR="001C79E4" w:rsidRPr="006139E8" w:rsidRDefault="001C79E4" w:rsidP="00864C4B">
            <w:pPr>
              <w:pStyle w:val="TableText0"/>
              <w:jc w:val="center"/>
              <w:rPr>
                <w:vertAlign w:val="superscript"/>
              </w:rPr>
            </w:pPr>
            <w:r w:rsidRPr="00007450">
              <w:t>$</w:t>
            </w:r>
            <w:r w:rsidR="00E44B9A" w:rsidRPr="00E44B9A">
              <w:rPr>
                <w:color w:val="000000"/>
                <w:spacing w:val="53"/>
                <w:shd w:val="solid" w:color="000000" w:fill="000000"/>
                <w:fitText w:val="330" w:id="-628909568"/>
                <w14:textFill>
                  <w14:solidFill>
                    <w14:srgbClr w14:val="000000">
                      <w14:alpha w14:val="100000"/>
                    </w14:srgbClr>
                  </w14:solidFill>
                </w14:textFill>
              </w:rPr>
              <w:t>|||</w:t>
            </w:r>
            <w:r w:rsidR="00E44B9A" w:rsidRPr="00E44B9A">
              <w:rPr>
                <w:color w:val="000000"/>
                <w:spacing w:val="1"/>
                <w:shd w:val="solid" w:color="000000" w:fill="000000"/>
                <w:fitText w:val="330" w:id="-628909568"/>
                <w14:textFill>
                  <w14:solidFill>
                    <w14:srgbClr w14:val="000000">
                      <w14:alpha w14:val="100000"/>
                    </w14:srgbClr>
                  </w14:solidFill>
                </w14:textFill>
              </w:rPr>
              <w:t>|</w:t>
            </w:r>
            <w:r w:rsidR="006139E8" w:rsidRPr="006139E8">
              <w:rPr>
                <w:vertAlign w:val="superscript"/>
              </w:rPr>
              <w:t>2</w:t>
            </w:r>
          </w:p>
        </w:tc>
        <w:tc>
          <w:tcPr>
            <w:tcW w:w="559" w:type="pct"/>
          </w:tcPr>
          <w:p w14:paraId="3C4BA91A" w14:textId="277C49BD" w:rsidR="001C79E4" w:rsidRPr="00007450" w:rsidRDefault="00E44B9A" w:rsidP="00864C4B">
            <w:pPr>
              <w:pStyle w:val="TableText0"/>
              <w:jc w:val="center"/>
            </w:pPr>
            <w:r w:rsidRPr="00E44B9A">
              <w:rPr>
                <w:color w:val="000000"/>
                <w:spacing w:val="53"/>
                <w:shd w:val="solid" w:color="000000" w:fill="000000"/>
                <w:fitText w:val="330" w:id="-628909567"/>
                <w14:textFill>
                  <w14:solidFill>
                    <w14:srgbClr w14:val="000000">
                      <w14:alpha w14:val="100000"/>
                    </w14:srgbClr>
                  </w14:solidFill>
                </w14:textFill>
              </w:rPr>
              <w:t>|||</w:t>
            </w:r>
            <w:r w:rsidRPr="00E44B9A">
              <w:rPr>
                <w:color w:val="000000"/>
                <w:spacing w:val="1"/>
                <w:shd w:val="solid" w:color="000000" w:fill="000000"/>
                <w:fitText w:val="330" w:id="-628909567"/>
                <w14:textFill>
                  <w14:solidFill>
                    <w14:srgbClr w14:val="000000">
                      <w14:alpha w14:val="100000"/>
                    </w14:srgbClr>
                  </w14:solidFill>
                </w14:textFill>
              </w:rPr>
              <w:t>|</w:t>
            </w:r>
            <w:r w:rsidR="001C79E4" w:rsidRPr="00007450">
              <w:t>%</w:t>
            </w:r>
          </w:p>
        </w:tc>
      </w:tr>
      <w:tr w:rsidR="001C79E4" w:rsidRPr="00007450" w14:paraId="49833349" w14:textId="77777777">
        <w:trPr>
          <w:cantSplit/>
        </w:trPr>
        <w:tc>
          <w:tcPr>
            <w:tcW w:w="2394" w:type="pct"/>
          </w:tcPr>
          <w:p w14:paraId="37DBE8DF" w14:textId="77777777" w:rsidR="001C79E4" w:rsidRPr="00007450" w:rsidRDefault="001C79E4" w:rsidP="00864C4B">
            <w:pPr>
              <w:pStyle w:val="TableText0"/>
            </w:pPr>
            <w:r w:rsidRPr="00007450">
              <w:t>Restricted Weibull for RIB + ET, with parametric function for ET unchanged from base case</w:t>
            </w:r>
            <w:r w:rsidRPr="00007450">
              <w:rPr>
                <w:vertAlign w:val="superscript"/>
              </w:rPr>
              <w:t xml:space="preserve">a,b </w:t>
            </w:r>
            <w:r w:rsidRPr="00007450">
              <w:rPr>
                <w:b/>
                <w:bCs w:val="0"/>
              </w:rPr>
              <w:t>#4</w:t>
            </w:r>
          </w:p>
        </w:tc>
        <w:tc>
          <w:tcPr>
            <w:tcW w:w="728" w:type="pct"/>
          </w:tcPr>
          <w:p w14:paraId="0A8189EF" w14:textId="2F9EBFD8"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66"/>
                <w14:textFill>
                  <w14:solidFill>
                    <w14:srgbClr w14:val="000000">
                      <w14:alpha w14:val="100000"/>
                    </w14:srgbClr>
                  </w14:solidFill>
                </w14:textFill>
              </w:rPr>
              <w:t>|||</w:t>
            </w:r>
            <w:r w:rsidR="00E44B9A" w:rsidRPr="00E44B9A">
              <w:rPr>
                <w:color w:val="000000"/>
                <w:spacing w:val="1"/>
                <w:shd w:val="solid" w:color="000000" w:fill="000000"/>
                <w:fitText w:val="330" w:id="-628909566"/>
                <w14:textFill>
                  <w14:solidFill>
                    <w14:srgbClr w14:val="000000">
                      <w14:alpha w14:val="100000"/>
                    </w14:srgbClr>
                  </w14:solidFill>
                </w14:textFill>
              </w:rPr>
              <w:t>|</w:t>
            </w:r>
          </w:p>
        </w:tc>
        <w:tc>
          <w:tcPr>
            <w:tcW w:w="649" w:type="pct"/>
          </w:tcPr>
          <w:p w14:paraId="26953DEA" w14:textId="77777777" w:rsidR="001C79E4" w:rsidRPr="00007450" w:rsidRDefault="001C79E4" w:rsidP="00864C4B">
            <w:pPr>
              <w:pStyle w:val="TableText0"/>
              <w:jc w:val="center"/>
            </w:pPr>
            <w:r w:rsidRPr="00007450">
              <w:t>0.37</w:t>
            </w:r>
          </w:p>
        </w:tc>
        <w:tc>
          <w:tcPr>
            <w:tcW w:w="670" w:type="pct"/>
          </w:tcPr>
          <w:p w14:paraId="4674F44D" w14:textId="55C50CD3"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65"/>
                <w14:textFill>
                  <w14:solidFill>
                    <w14:srgbClr w14:val="000000">
                      <w14:alpha w14:val="100000"/>
                    </w14:srgbClr>
                  </w14:solidFill>
                </w14:textFill>
              </w:rPr>
              <w:t>|||</w:t>
            </w:r>
            <w:r w:rsidR="00E44B9A" w:rsidRPr="00E44B9A">
              <w:rPr>
                <w:color w:val="000000"/>
                <w:spacing w:val="1"/>
                <w:shd w:val="solid" w:color="000000" w:fill="000000"/>
                <w:fitText w:val="330" w:id="-628909565"/>
                <w14:textFill>
                  <w14:solidFill>
                    <w14:srgbClr w14:val="000000">
                      <w14:alpha w14:val="100000"/>
                    </w14:srgbClr>
                  </w14:solidFill>
                </w14:textFill>
              </w:rPr>
              <w:t>|</w:t>
            </w:r>
            <w:r w:rsidR="006139E8" w:rsidRPr="006139E8">
              <w:rPr>
                <w:vertAlign w:val="superscript"/>
              </w:rPr>
              <w:t>2</w:t>
            </w:r>
          </w:p>
        </w:tc>
        <w:tc>
          <w:tcPr>
            <w:tcW w:w="559" w:type="pct"/>
          </w:tcPr>
          <w:p w14:paraId="0FCD13F4" w14:textId="65F6FB0E" w:rsidR="001C79E4" w:rsidRPr="00007450" w:rsidRDefault="00E44B9A" w:rsidP="00864C4B">
            <w:pPr>
              <w:pStyle w:val="TableText0"/>
              <w:jc w:val="center"/>
            </w:pPr>
            <w:r w:rsidRPr="00E44B9A">
              <w:rPr>
                <w:color w:val="000000"/>
                <w:spacing w:val="53"/>
                <w:shd w:val="solid" w:color="000000" w:fill="000000"/>
                <w:fitText w:val="330" w:id="-628909564"/>
                <w14:textFill>
                  <w14:solidFill>
                    <w14:srgbClr w14:val="000000">
                      <w14:alpha w14:val="100000"/>
                    </w14:srgbClr>
                  </w14:solidFill>
                </w14:textFill>
              </w:rPr>
              <w:t>|||</w:t>
            </w:r>
            <w:r w:rsidRPr="00E44B9A">
              <w:rPr>
                <w:color w:val="000000"/>
                <w:spacing w:val="1"/>
                <w:shd w:val="solid" w:color="000000" w:fill="000000"/>
                <w:fitText w:val="330" w:id="-628909564"/>
                <w14:textFill>
                  <w14:solidFill>
                    <w14:srgbClr w14:val="000000">
                      <w14:alpha w14:val="100000"/>
                    </w14:srgbClr>
                  </w14:solidFill>
                </w14:textFill>
              </w:rPr>
              <w:t>|</w:t>
            </w:r>
            <w:r w:rsidR="001C79E4" w:rsidRPr="00007450">
              <w:t>%</w:t>
            </w:r>
          </w:p>
        </w:tc>
      </w:tr>
      <w:tr w:rsidR="001C79E4" w:rsidRPr="00007450" w14:paraId="1A03A383" w14:textId="77777777">
        <w:trPr>
          <w:cantSplit/>
        </w:trPr>
        <w:tc>
          <w:tcPr>
            <w:tcW w:w="5000" w:type="pct"/>
            <w:gridSpan w:val="5"/>
          </w:tcPr>
          <w:p w14:paraId="49534179" w14:textId="77777777" w:rsidR="001C79E4" w:rsidRPr="00007450" w:rsidRDefault="001C79E4" w:rsidP="00864C4B">
            <w:pPr>
              <w:pStyle w:val="TableText0"/>
              <w:rPr>
                <w:rFonts w:eastAsia="Calibri"/>
                <w:b/>
                <w:bCs w:val="0"/>
                <w:szCs w:val="20"/>
              </w:rPr>
            </w:pPr>
            <w:r w:rsidRPr="00007450">
              <w:rPr>
                <w:b/>
                <w:bCs w:val="0"/>
              </w:rPr>
              <w:t>Distribution of iDFS events (based case: RIB + ET: 27.3% NMR, 14.5% death, 38.2% NMR, 20.0% SPM; ET alone: 19.2% NMR, 2.6% death, 56.4% NMR, 21.8%)</w:t>
            </w:r>
          </w:p>
        </w:tc>
      </w:tr>
      <w:tr w:rsidR="001C79E4" w:rsidRPr="00007450" w14:paraId="432F5404" w14:textId="77777777">
        <w:trPr>
          <w:cantSplit/>
        </w:trPr>
        <w:tc>
          <w:tcPr>
            <w:tcW w:w="2394" w:type="pct"/>
          </w:tcPr>
          <w:p w14:paraId="18A4A94A" w14:textId="77777777" w:rsidR="001C79E4" w:rsidRPr="00007450" w:rsidRDefault="001C79E4" w:rsidP="00864C4B">
            <w:pPr>
              <w:pStyle w:val="TableText0"/>
            </w:pPr>
            <w:r w:rsidRPr="00007450">
              <w:t>Identical distribution of iDFS events between the two treatment arms</w:t>
            </w:r>
            <w:r w:rsidRPr="00007450">
              <w:rPr>
                <w:vertAlign w:val="superscript"/>
              </w:rPr>
              <w:t xml:space="preserve">c </w:t>
            </w:r>
            <w:r w:rsidRPr="00007450">
              <w:rPr>
                <w:b/>
                <w:bCs w:val="0"/>
              </w:rPr>
              <w:t>#5</w:t>
            </w:r>
          </w:p>
        </w:tc>
        <w:tc>
          <w:tcPr>
            <w:tcW w:w="728" w:type="pct"/>
          </w:tcPr>
          <w:p w14:paraId="7FFF4768" w14:textId="2A8A50CC"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3"/>
                <w14:textFill>
                  <w14:solidFill>
                    <w14:srgbClr w14:val="000000">
                      <w14:alpha w14:val="100000"/>
                    </w14:srgbClr>
                  </w14:solidFill>
                </w14:textFill>
              </w:rPr>
              <w:t>|||</w:t>
            </w:r>
            <w:r w:rsidR="00E44B9A" w:rsidRPr="00E44B9A">
              <w:rPr>
                <w:color w:val="000000"/>
                <w:spacing w:val="1"/>
                <w:shd w:val="solid" w:color="000000" w:fill="000000"/>
                <w:fitText w:val="330" w:id="-628909563"/>
                <w14:textFill>
                  <w14:solidFill>
                    <w14:srgbClr w14:val="000000">
                      <w14:alpha w14:val="100000"/>
                    </w14:srgbClr>
                  </w14:solidFill>
                </w14:textFill>
              </w:rPr>
              <w:t>|</w:t>
            </w:r>
          </w:p>
        </w:tc>
        <w:tc>
          <w:tcPr>
            <w:tcW w:w="649" w:type="pct"/>
          </w:tcPr>
          <w:p w14:paraId="7F636494" w14:textId="77777777" w:rsidR="001C79E4" w:rsidRPr="00007450" w:rsidRDefault="001C79E4" w:rsidP="00864C4B">
            <w:pPr>
              <w:pStyle w:val="TableText0"/>
              <w:jc w:val="center"/>
              <w:rPr>
                <w:rFonts w:eastAsia="Calibri"/>
                <w:szCs w:val="20"/>
              </w:rPr>
            </w:pPr>
            <w:r w:rsidRPr="00007450">
              <w:t>0.36</w:t>
            </w:r>
          </w:p>
        </w:tc>
        <w:tc>
          <w:tcPr>
            <w:tcW w:w="670" w:type="pct"/>
          </w:tcPr>
          <w:p w14:paraId="23166F17" w14:textId="601B979B"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2"/>
                <w14:textFill>
                  <w14:solidFill>
                    <w14:srgbClr w14:val="000000">
                      <w14:alpha w14:val="100000"/>
                    </w14:srgbClr>
                  </w14:solidFill>
                </w14:textFill>
              </w:rPr>
              <w:t>|||</w:t>
            </w:r>
            <w:r w:rsidR="00E44B9A" w:rsidRPr="00E44B9A">
              <w:rPr>
                <w:color w:val="000000"/>
                <w:spacing w:val="1"/>
                <w:shd w:val="solid" w:color="000000" w:fill="000000"/>
                <w:fitText w:val="330" w:id="-628909562"/>
                <w14:textFill>
                  <w14:solidFill>
                    <w14:srgbClr w14:val="000000">
                      <w14:alpha w14:val="100000"/>
                    </w14:srgbClr>
                  </w14:solidFill>
                </w14:textFill>
              </w:rPr>
              <w:t>|</w:t>
            </w:r>
            <w:r w:rsidR="006139E8" w:rsidRPr="006139E8">
              <w:rPr>
                <w:vertAlign w:val="superscript"/>
              </w:rPr>
              <w:t>2</w:t>
            </w:r>
          </w:p>
        </w:tc>
        <w:tc>
          <w:tcPr>
            <w:tcW w:w="559" w:type="pct"/>
          </w:tcPr>
          <w:p w14:paraId="2EB0796F" w14:textId="0B8BEEBA"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61"/>
                <w14:textFill>
                  <w14:solidFill>
                    <w14:srgbClr w14:val="000000">
                      <w14:alpha w14:val="100000"/>
                    </w14:srgbClr>
                  </w14:solidFill>
                </w14:textFill>
              </w:rPr>
              <w:t>|||</w:t>
            </w:r>
            <w:r w:rsidRPr="00E44B9A">
              <w:rPr>
                <w:color w:val="000000"/>
                <w:spacing w:val="1"/>
                <w:shd w:val="solid" w:color="000000" w:fill="000000"/>
                <w:fitText w:val="330" w:id="-628909561"/>
                <w14:textFill>
                  <w14:solidFill>
                    <w14:srgbClr w14:val="000000">
                      <w14:alpha w14:val="100000"/>
                    </w14:srgbClr>
                  </w14:solidFill>
                </w14:textFill>
              </w:rPr>
              <w:t>|</w:t>
            </w:r>
            <w:r w:rsidR="001C79E4" w:rsidRPr="00007450">
              <w:t>%</w:t>
            </w:r>
          </w:p>
        </w:tc>
      </w:tr>
      <w:tr w:rsidR="001C79E4" w:rsidRPr="00007450" w14:paraId="4BF78162" w14:textId="77777777">
        <w:trPr>
          <w:cantSplit/>
        </w:trPr>
        <w:tc>
          <w:tcPr>
            <w:tcW w:w="5000" w:type="pct"/>
            <w:gridSpan w:val="5"/>
          </w:tcPr>
          <w:p w14:paraId="09B6FC3E" w14:textId="77777777" w:rsidR="001C79E4" w:rsidRPr="00007450" w:rsidRDefault="001C79E4" w:rsidP="00864C4B">
            <w:pPr>
              <w:pStyle w:val="TableText0"/>
              <w:rPr>
                <w:rFonts w:eastAsia="Calibri"/>
                <w:b/>
                <w:bCs w:val="0"/>
                <w:szCs w:val="20"/>
              </w:rPr>
            </w:pPr>
            <w:r w:rsidRPr="00007450">
              <w:rPr>
                <w:b/>
                <w:bCs w:val="0"/>
              </w:rPr>
              <w:t>Treatment effect waning (base case: from Year 8 to Year 16)</w:t>
            </w:r>
          </w:p>
        </w:tc>
      </w:tr>
      <w:tr w:rsidR="001C79E4" w:rsidRPr="00007450" w14:paraId="256B90A2" w14:textId="77777777">
        <w:trPr>
          <w:cantSplit/>
        </w:trPr>
        <w:tc>
          <w:tcPr>
            <w:tcW w:w="2394" w:type="pct"/>
          </w:tcPr>
          <w:p w14:paraId="712B628B" w14:textId="6A55EFB0" w:rsidR="001C79E4" w:rsidRPr="00007450" w:rsidRDefault="001C79E4" w:rsidP="00864C4B">
            <w:pPr>
              <w:pStyle w:val="TableText0"/>
            </w:pPr>
            <w:r w:rsidRPr="00007450">
              <w:t>From Year 5 to Year 8</w:t>
            </w:r>
            <w:r w:rsidR="00387C31" w:rsidRPr="00007450">
              <w:t xml:space="preserve"> (previously accepted by the PBAC for abemaciclib) </w:t>
            </w:r>
            <w:r w:rsidRPr="00007450">
              <w:rPr>
                <w:vertAlign w:val="superscript"/>
              </w:rPr>
              <w:t>a</w:t>
            </w:r>
            <w:r w:rsidRPr="00007450">
              <w:t xml:space="preserve"> </w:t>
            </w:r>
            <w:r w:rsidRPr="00007450">
              <w:rPr>
                <w:b/>
                <w:bCs w:val="0"/>
              </w:rPr>
              <w:t>#1</w:t>
            </w:r>
          </w:p>
        </w:tc>
        <w:tc>
          <w:tcPr>
            <w:tcW w:w="728" w:type="pct"/>
          </w:tcPr>
          <w:p w14:paraId="28705573" w14:textId="5A1BD695"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0"/>
                <w14:textFill>
                  <w14:solidFill>
                    <w14:srgbClr w14:val="000000">
                      <w14:alpha w14:val="100000"/>
                    </w14:srgbClr>
                  </w14:solidFill>
                </w14:textFill>
              </w:rPr>
              <w:t>|||</w:t>
            </w:r>
            <w:r w:rsidR="00E44B9A" w:rsidRPr="00E44B9A">
              <w:rPr>
                <w:color w:val="000000"/>
                <w:spacing w:val="1"/>
                <w:shd w:val="solid" w:color="000000" w:fill="000000"/>
                <w:fitText w:val="330" w:id="-628909560"/>
                <w14:textFill>
                  <w14:solidFill>
                    <w14:srgbClr w14:val="000000">
                      <w14:alpha w14:val="100000"/>
                    </w14:srgbClr>
                  </w14:solidFill>
                </w14:textFill>
              </w:rPr>
              <w:t>|</w:t>
            </w:r>
          </w:p>
        </w:tc>
        <w:tc>
          <w:tcPr>
            <w:tcW w:w="649" w:type="pct"/>
          </w:tcPr>
          <w:p w14:paraId="788AE66E" w14:textId="77777777" w:rsidR="001C79E4" w:rsidRPr="00007450" w:rsidRDefault="001C79E4" w:rsidP="00864C4B">
            <w:pPr>
              <w:pStyle w:val="TableText0"/>
              <w:jc w:val="center"/>
              <w:rPr>
                <w:rFonts w:eastAsia="Calibri"/>
                <w:szCs w:val="20"/>
              </w:rPr>
            </w:pPr>
            <w:r w:rsidRPr="00007450">
              <w:t>0.34</w:t>
            </w:r>
          </w:p>
        </w:tc>
        <w:tc>
          <w:tcPr>
            <w:tcW w:w="670" w:type="pct"/>
          </w:tcPr>
          <w:p w14:paraId="03B6F902" w14:textId="60C1BFC6"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r w:rsidR="006139E8" w:rsidRPr="006139E8">
              <w:rPr>
                <w:vertAlign w:val="superscript"/>
              </w:rPr>
              <w:t>2</w:t>
            </w:r>
          </w:p>
        </w:tc>
        <w:tc>
          <w:tcPr>
            <w:tcW w:w="559" w:type="pct"/>
          </w:tcPr>
          <w:p w14:paraId="1D7B7CB3" w14:textId="4B5EA9DC"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58"/>
                <w14:textFill>
                  <w14:solidFill>
                    <w14:srgbClr w14:val="000000">
                      <w14:alpha w14:val="100000"/>
                    </w14:srgbClr>
                  </w14:solidFill>
                </w14:textFill>
              </w:rPr>
              <w:t>|||</w:t>
            </w:r>
            <w:r w:rsidRPr="00E44B9A">
              <w:rPr>
                <w:color w:val="000000"/>
                <w:spacing w:val="1"/>
                <w:shd w:val="solid" w:color="000000" w:fill="000000"/>
                <w:fitText w:val="330" w:id="-628909558"/>
                <w14:textFill>
                  <w14:solidFill>
                    <w14:srgbClr w14:val="000000">
                      <w14:alpha w14:val="100000"/>
                    </w14:srgbClr>
                  </w14:solidFill>
                </w14:textFill>
              </w:rPr>
              <w:t>|</w:t>
            </w:r>
            <w:r w:rsidR="001C79E4" w:rsidRPr="00007450">
              <w:t>%</w:t>
            </w:r>
          </w:p>
        </w:tc>
      </w:tr>
      <w:tr w:rsidR="001C79E4" w:rsidRPr="00007450" w14:paraId="1E5B630F" w14:textId="77777777">
        <w:trPr>
          <w:cantSplit/>
        </w:trPr>
        <w:tc>
          <w:tcPr>
            <w:tcW w:w="2394" w:type="pct"/>
          </w:tcPr>
          <w:p w14:paraId="2A9853C5" w14:textId="77777777" w:rsidR="001C79E4" w:rsidRPr="00007450" w:rsidRDefault="001C79E4" w:rsidP="00864C4B">
            <w:pPr>
              <w:pStyle w:val="TableText0"/>
              <w:rPr>
                <w:vertAlign w:val="superscript"/>
              </w:rPr>
            </w:pPr>
            <w:r w:rsidRPr="00007450">
              <w:t>From Year 4 to Year 7</w:t>
            </w:r>
            <w:r w:rsidRPr="00007450">
              <w:rPr>
                <w:vertAlign w:val="superscript"/>
              </w:rPr>
              <w:t>a</w:t>
            </w:r>
          </w:p>
        </w:tc>
        <w:tc>
          <w:tcPr>
            <w:tcW w:w="728" w:type="pct"/>
          </w:tcPr>
          <w:p w14:paraId="30D279E5" w14:textId="7192AE0D"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7"/>
                <w14:textFill>
                  <w14:solidFill>
                    <w14:srgbClr w14:val="000000">
                      <w14:alpha w14:val="100000"/>
                    </w14:srgbClr>
                  </w14:solidFill>
                </w14:textFill>
              </w:rPr>
              <w:t>|||</w:t>
            </w:r>
            <w:r w:rsidR="00E44B9A" w:rsidRPr="00E44B9A">
              <w:rPr>
                <w:color w:val="000000"/>
                <w:spacing w:val="1"/>
                <w:shd w:val="solid" w:color="000000" w:fill="000000"/>
                <w:fitText w:val="330" w:id="-628909557"/>
                <w14:textFill>
                  <w14:solidFill>
                    <w14:srgbClr w14:val="000000">
                      <w14:alpha w14:val="100000"/>
                    </w14:srgbClr>
                  </w14:solidFill>
                </w14:textFill>
              </w:rPr>
              <w:t>|</w:t>
            </w:r>
          </w:p>
        </w:tc>
        <w:tc>
          <w:tcPr>
            <w:tcW w:w="649" w:type="pct"/>
          </w:tcPr>
          <w:p w14:paraId="159B0B0E" w14:textId="77777777" w:rsidR="001C79E4" w:rsidRPr="00007450" w:rsidRDefault="001C79E4" w:rsidP="00864C4B">
            <w:pPr>
              <w:pStyle w:val="TableText0"/>
              <w:jc w:val="center"/>
              <w:rPr>
                <w:rFonts w:eastAsia="Calibri"/>
                <w:szCs w:val="20"/>
              </w:rPr>
            </w:pPr>
            <w:r w:rsidRPr="00007450">
              <w:t>0.29</w:t>
            </w:r>
          </w:p>
        </w:tc>
        <w:tc>
          <w:tcPr>
            <w:tcW w:w="670" w:type="pct"/>
          </w:tcPr>
          <w:p w14:paraId="7803C8C9" w14:textId="3136BE25" w:rsidR="001C79E4" w:rsidRPr="006139E8"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56"/>
                <w14:textFill>
                  <w14:solidFill>
                    <w14:srgbClr w14:val="000000">
                      <w14:alpha w14:val="100000"/>
                    </w14:srgbClr>
                  </w14:solidFill>
                </w14:textFill>
              </w:rPr>
              <w:t>|||</w:t>
            </w:r>
            <w:r w:rsidR="00E44B9A" w:rsidRPr="00E44B9A">
              <w:rPr>
                <w:color w:val="000000"/>
                <w:spacing w:val="1"/>
                <w:shd w:val="solid" w:color="000000" w:fill="000000"/>
                <w:fitText w:val="330" w:id="-628909556"/>
                <w14:textFill>
                  <w14:solidFill>
                    <w14:srgbClr w14:val="000000">
                      <w14:alpha w14:val="100000"/>
                    </w14:srgbClr>
                  </w14:solidFill>
                </w14:textFill>
              </w:rPr>
              <w:t>|</w:t>
            </w:r>
            <w:r w:rsidR="002E6338">
              <w:rPr>
                <w:vertAlign w:val="superscript"/>
              </w:rPr>
              <w:t>5</w:t>
            </w:r>
          </w:p>
        </w:tc>
        <w:tc>
          <w:tcPr>
            <w:tcW w:w="559" w:type="pct"/>
          </w:tcPr>
          <w:p w14:paraId="443AC9C5" w14:textId="22F4E819"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55"/>
                <w14:textFill>
                  <w14:solidFill>
                    <w14:srgbClr w14:val="000000">
                      <w14:alpha w14:val="100000"/>
                    </w14:srgbClr>
                  </w14:solidFill>
                </w14:textFill>
              </w:rPr>
              <w:t>|||</w:t>
            </w:r>
            <w:r w:rsidRPr="00E44B9A">
              <w:rPr>
                <w:color w:val="000000"/>
                <w:spacing w:val="1"/>
                <w:shd w:val="solid" w:color="000000" w:fill="000000"/>
                <w:fitText w:val="330" w:id="-628909555"/>
                <w14:textFill>
                  <w14:solidFill>
                    <w14:srgbClr w14:val="000000">
                      <w14:alpha w14:val="100000"/>
                    </w14:srgbClr>
                  </w14:solidFill>
                </w14:textFill>
              </w:rPr>
              <w:t>|</w:t>
            </w:r>
            <w:r w:rsidR="001C79E4" w:rsidRPr="00007450">
              <w:t>%</w:t>
            </w:r>
          </w:p>
        </w:tc>
      </w:tr>
      <w:tr w:rsidR="001C79E4" w:rsidRPr="00007450" w14:paraId="555BB87F" w14:textId="77777777">
        <w:trPr>
          <w:cantSplit/>
        </w:trPr>
        <w:tc>
          <w:tcPr>
            <w:tcW w:w="5000" w:type="pct"/>
            <w:gridSpan w:val="5"/>
          </w:tcPr>
          <w:p w14:paraId="32F3FDC8" w14:textId="77777777" w:rsidR="001C79E4" w:rsidRPr="00007450" w:rsidRDefault="001C79E4" w:rsidP="00864C4B">
            <w:pPr>
              <w:pStyle w:val="TableText0"/>
              <w:rPr>
                <w:rFonts w:eastAsia="Calibri"/>
                <w:b/>
                <w:bCs w:val="0"/>
                <w:szCs w:val="20"/>
              </w:rPr>
            </w:pPr>
            <w:r w:rsidRPr="00007450">
              <w:rPr>
                <w:b/>
                <w:bCs w:val="0"/>
              </w:rPr>
              <w:t>Health state utilities (base case: 0.870 for iDF on-treatment and for remission, 0.841 for iDFS off-treatment, 0.822 for NMR, 0.787 for PFS in the DR ET-resistant and ET-sensitive PSMs, 0.751 for PPS in the DR ET-resistant and ET-sensitive PSMs, mainly based on QoL data from NATALEE)</w:t>
            </w:r>
          </w:p>
        </w:tc>
      </w:tr>
      <w:tr w:rsidR="001C79E4" w:rsidRPr="00007450" w14:paraId="6BDC8178" w14:textId="77777777">
        <w:trPr>
          <w:cantSplit/>
        </w:trPr>
        <w:tc>
          <w:tcPr>
            <w:tcW w:w="2394" w:type="pct"/>
          </w:tcPr>
          <w:p w14:paraId="3AC1CDFB" w14:textId="77777777" w:rsidR="001C79E4" w:rsidRPr="00007450" w:rsidRDefault="001C79E4" w:rsidP="00864C4B">
            <w:pPr>
              <w:pStyle w:val="TableText0"/>
            </w:pPr>
            <w:r w:rsidRPr="00007450">
              <w:t>Assumed based on the abemaciclib model</w:t>
            </w:r>
            <w:r w:rsidRPr="00007450">
              <w:rPr>
                <w:vertAlign w:val="superscript"/>
              </w:rPr>
              <w:t>a,d</w:t>
            </w:r>
            <w:r w:rsidRPr="00007450">
              <w:t xml:space="preserve"> </w:t>
            </w:r>
            <w:r w:rsidRPr="00007450">
              <w:rPr>
                <w:b/>
                <w:bCs w:val="0"/>
              </w:rPr>
              <w:t>#3</w:t>
            </w:r>
          </w:p>
        </w:tc>
        <w:tc>
          <w:tcPr>
            <w:tcW w:w="728" w:type="pct"/>
          </w:tcPr>
          <w:p w14:paraId="3807FAF7" w14:textId="36446F1A"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54"/>
                <w14:textFill>
                  <w14:solidFill>
                    <w14:srgbClr w14:val="000000">
                      <w14:alpha w14:val="100000"/>
                    </w14:srgbClr>
                  </w14:solidFill>
                </w14:textFill>
              </w:rPr>
              <w:t>|||</w:t>
            </w:r>
            <w:r w:rsidR="00E44B9A" w:rsidRPr="00E44B9A">
              <w:rPr>
                <w:color w:val="000000"/>
                <w:spacing w:val="1"/>
                <w:shd w:val="solid" w:color="000000" w:fill="000000"/>
                <w:fitText w:val="330" w:id="-628909554"/>
                <w14:textFill>
                  <w14:solidFill>
                    <w14:srgbClr w14:val="000000">
                      <w14:alpha w14:val="100000"/>
                    </w14:srgbClr>
                  </w14:solidFill>
                </w14:textFill>
              </w:rPr>
              <w:t>|</w:t>
            </w:r>
          </w:p>
        </w:tc>
        <w:tc>
          <w:tcPr>
            <w:tcW w:w="649" w:type="pct"/>
          </w:tcPr>
          <w:p w14:paraId="253394F9" w14:textId="77777777" w:rsidR="001C79E4" w:rsidRPr="00007450" w:rsidRDefault="001C79E4" w:rsidP="00864C4B">
            <w:pPr>
              <w:pStyle w:val="TableText0"/>
              <w:jc w:val="center"/>
              <w:rPr>
                <w:rFonts w:eastAsia="Calibri"/>
                <w:szCs w:val="20"/>
              </w:rPr>
            </w:pPr>
            <w:r w:rsidRPr="00007450">
              <w:t>0.50</w:t>
            </w:r>
          </w:p>
        </w:tc>
        <w:tc>
          <w:tcPr>
            <w:tcW w:w="670" w:type="pct"/>
          </w:tcPr>
          <w:p w14:paraId="46E6D39F" w14:textId="62588852" w:rsidR="001C79E4" w:rsidRPr="002E6338"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53"/>
                <w14:textFill>
                  <w14:solidFill>
                    <w14:srgbClr w14:val="000000">
                      <w14:alpha w14:val="100000"/>
                    </w14:srgbClr>
                  </w14:solidFill>
                </w14:textFill>
              </w:rPr>
              <w:t>|||</w:t>
            </w:r>
            <w:r w:rsidR="00E44B9A" w:rsidRPr="00E44B9A">
              <w:rPr>
                <w:color w:val="000000"/>
                <w:spacing w:val="1"/>
                <w:shd w:val="solid" w:color="000000" w:fill="000000"/>
                <w:fitText w:val="330" w:id="-628909553"/>
                <w14:textFill>
                  <w14:solidFill>
                    <w14:srgbClr w14:val="000000">
                      <w14:alpha w14:val="100000"/>
                    </w14:srgbClr>
                  </w14:solidFill>
                </w14:textFill>
              </w:rPr>
              <w:t>|</w:t>
            </w:r>
            <w:r w:rsidR="002E6338">
              <w:rPr>
                <w:vertAlign w:val="superscript"/>
              </w:rPr>
              <w:t>1</w:t>
            </w:r>
          </w:p>
        </w:tc>
        <w:tc>
          <w:tcPr>
            <w:tcW w:w="559" w:type="pct"/>
          </w:tcPr>
          <w:p w14:paraId="20515953" w14:textId="4B541FEC"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52"/>
                <w14:textFill>
                  <w14:solidFill>
                    <w14:srgbClr w14:val="000000">
                      <w14:alpha w14:val="100000"/>
                    </w14:srgbClr>
                  </w14:solidFill>
                </w14:textFill>
              </w:rPr>
              <w:t>|||</w:t>
            </w:r>
            <w:r w:rsidRPr="00E44B9A">
              <w:rPr>
                <w:color w:val="000000"/>
                <w:spacing w:val="1"/>
                <w:shd w:val="solid" w:color="000000" w:fill="000000"/>
                <w:fitText w:val="330" w:id="-628909552"/>
                <w14:textFill>
                  <w14:solidFill>
                    <w14:srgbClr w14:val="000000">
                      <w14:alpha w14:val="100000"/>
                    </w14:srgbClr>
                  </w14:solidFill>
                </w14:textFill>
              </w:rPr>
              <w:t>|</w:t>
            </w:r>
            <w:r w:rsidR="001C79E4" w:rsidRPr="00007450">
              <w:t>%</w:t>
            </w:r>
          </w:p>
        </w:tc>
      </w:tr>
      <w:tr w:rsidR="001C79E4" w:rsidRPr="00007450" w14:paraId="4491EF62" w14:textId="77777777">
        <w:trPr>
          <w:cantSplit/>
        </w:trPr>
        <w:tc>
          <w:tcPr>
            <w:tcW w:w="5000" w:type="pct"/>
            <w:gridSpan w:val="5"/>
          </w:tcPr>
          <w:p w14:paraId="055FBAE7" w14:textId="77777777" w:rsidR="001C79E4" w:rsidRPr="00007450" w:rsidRDefault="001C79E4" w:rsidP="00864C4B">
            <w:pPr>
              <w:pStyle w:val="TableText0"/>
              <w:rPr>
                <w:rFonts w:eastAsia="Calibri"/>
                <w:b/>
                <w:bCs w:val="0"/>
                <w:szCs w:val="20"/>
              </w:rPr>
            </w:pPr>
            <w:r w:rsidRPr="00007450">
              <w:rPr>
                <w:rFonts w:eastAsia="Calibri"/>
                <w:b/>
                <w:bCs w:val="0"/>
                <w:szCs w:val="20"/>
              </w:rPr>
              <w:t>Multivariate analyses</w:t>
            </w:r>
          </w:p>
        </w:tc>
      </w:tr>
      <w:tr w:rsidR="001C79E4" w:rsidRPr="00007450" w14:paraId="734565D2" w14:textId="77777777">
        <w:trPr>
          <w:cantSplit/>
        </w:trPr>
        <w:tc>
          <w:tcPr>
            <w:tcW w:w="2394" w:type="pct"/>
          </w:tcPr>
          <w:p w14:paraId="2D9956AC" w14:textId="77777777" w:rsidR="001C79E4" w:rsidRPr="00007450" w:rsidRDefault="001C79E4" w:rsidP="00864C4B">
            <w:pPr>
              <w:pStyle w:val="TableText0"/>
            </w:pPr>
            <w:r w:rsidRPr="00007450">
              <w:t>#1 AND #2</w:t>
            </w:r>
          </w:p>
        </w:tc>
        <w:tc>
          <w:tcPr>
            <w:tcW w:w="728" w:type="pct"/>
          </w:tcPr>
          <w:p w14:paraId="6E9ED6AE" w14:textId="02A89F25"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8"/>
                <w14:textFill>
                  <w14:solidFill>
                    <w14:srgbClr w14:val="000000">
                      <w14:alpha w14:val="100000"/>
                    </w14:srgbClr>
                  </w14:solidFill>
                </w14:textFill>
              </w:rPr>
              <w:t>|||</w:t>
            </w:r>
            <w:r w:rsidR="00E44B9A" w:rsidRPr="00E44B9A">
              <w:rPr>
                <w:color w:val="000000"/>
                <w:spacing w:val="1"/>
                <w:shd w:val="solid" w:color="000000" w:fill="000000"/>
                <w:fitText w:val="330" w:id="-628909568"/>
                <w14:textFill>
                  <w14:solidFill>
                    <w14:srgbClr w14:val="000000">
                      <w14:alpha w14:val="100000"/>
                    </w14:srgbClr>
                  </w14:solidFill>
                </w14:textFill>
              </w:rPr>
              <w:t>|</w:t>
            </w:r>
          </w:p>
        </w:tc>
        <w:tc>
          <w:tcPr>
            <w:tcW w:w="649" w:type="pct"/>
          </w:tcPr>
          <w:p w14:paraId="5E9EB504" w14:textId="77777777" w:rsidR="001C79E4" w:rsidRPr="00007450" w:rsidRDefault="001C79E4" w:rsidP="00864C4B">
            <w:pPr>
              <w:pStyle w:val="TableText0"/>
              <w:jc w:val="center"/>
              <w:rPr>
                <w:rFonts w:eastAsia="Calibri"/>
                <w:szCs w:val="20"/>
              </w:rPr>
            </w:pPr>
            <w:r w:rsidRPr="00007450">
              <w:t>0.31</w:t>
            </w:r>
          </w:p>
        </w:tc>
        <w:tc>
          <w:tcPr>
            <w:tcW w:w="670" w:type="pct"/>
          </w:tcPr>
          <w:p w14:paraId="09933233" w14:textId="588C9536" w:rsidR="001C79E4" w:rsidRPr="002E6338"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67"/>
                <w14:textFill>
                  <w14:solidFill>
                    <w14:srgbClr w14:val="000000">
                      <w14:alpha w14:val="100000"/>
                    </w14:srgbClr>
                  </w14:solidFill>
                </w14:textFill>
              </w:rPr>
              <w:t>|||</w:t>
            </w:r>
            <w:r w:rsidR="00E44B9A" w:rsidRPr="00E44B9A">
              <w:rPr>
                <w:color w:val="000000"/>
                <w:spacing w:val="1"/>
                <w:shd w:val="solid" w:color="000000" w:fill="000000"/>
                <w:fitText w:val="330" w:id="-628909567"/>
                <w14:textFill>
                  <w14:solidFill>
                    <w14:srgbClr w14:val="000000">
                      <w14:alpha w14:val="100000"/>
                    </w14:srgbClr>
                  </w14:solidFill>
                </w14:textFill>
              </w:rPr>
              <w:t>|</w:t>
            </w:r>
            <w:r w:rsidR="002E6338">
              <w:rPr>
                <w:vertAlign w:val="superscript"/>
              </w:rPr>
              <w:t>5</w:t>
            </w:r>
          </w:p>
        </w:tc>
        <w:tc>
          <w:tcPr>
            <w:tcW w:w="559" w:type="pct"/>
          </w:tcPr>
          <w:p w14:paraId="6EF97689" w14:textId="5DF91C1D"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66"/>
                <w14:textFill>
                  <w14:solidFill>
                    <w14:srgbClr w14:val="000000">
                      <w14:alpha w14:val="100000"/>
                    </w14:srgbClr>
                  </w14:solidFill>
                </w14:textFill>
              </w:rPr>
              <w:t>|||</w:t>
            </w:r>
            <w:r w:rsidRPr="00E44B9A">
              <w:rPr>
                <w:color w:val="000000"/>
                <w:spacing w:val="1"/>
                <w:shd w:val="solid" w:color="000000" w:fill="000000"/>
                <w:fitText w:val="330" w:id="-628909566"/>
                <w14:textFill>
                  <w14:solidFill>
                    <w14:srgbClr w14:val="000000">
                      <w14:alpha w14:val="100000"/>
                    </w14:srgbClr>
                  </w14:solidFill>
                </w14:textFill>
              </w:rPr>
              <w:t>|</w:t>
            </w:r>
            <w:r w:rsidR="001C79E4" w:rsidRPr="00007450">
              <w:t>%</w:t>
            </w:r>
          </w:p>
        </w:tc>
      </w:tr>
      <w:tr w:rsidR="001C79E4" w:rsidRPr="00007450" w14:paraId="0FB1C767" w14:textId="77777777">
        <w:trPr>
          <w:cantSplit/>
        </w:trPr>
        <w:tc>
          <w:tcPr>
            <w:tcW w:w="2394" w:type="pct"/>
          </w:tcPr>
          <w:p w14:paraId="48601376" w14:textId="77777777" w:rsidR="001C79E4" w:rsidRPr="00007450" w:rsidRDefault="001C79E4" w:rsidP="00864C4B">
            <w:pPr>
              <w:pStyle w:val="TableText0"/>
            </w:pPr>
            <w:r w:rsidRPr="00007450">
              <w:t>#1 AND #2 AND #3</w:t>
            </w:r>
          </w:p>
        </w:tc>
        <w:tc>
          <w:tcPr>
            <w:tcW w:w="728" w:type="pct"/>
          </w:tcPr>
          <w:p w14:paraId="28D77E8B" w14:textId="62FD6AEA" w:rsidR="001C79E4" w:rsidRPr="00007450" w:rsidRDefault="001C79E4" w:rsidP="00864C4B">
            <w:pPr>
              <w:pStyle w:val="TableText0"/>
              <w:jc w:val="center"/>
              <w:rPr>
                <w:rFonts w:eastAsia="Calibri"/>
                <w:szCs w:val="20"/>
              </w:rPr>
            </w:pPr>
            <w:r w:rsidRPr="00007450">
              <w:t>$</w:t>
            </w:r>
            <w:r w:rsidR="00E44B9A" w:rsidRPr="00E44B9A">
              <w:rPr>
                <w:color w:val="000000"/>
                <w:spacing w:val="53"/>
                <w:shd w:val="solid" w:color="000000" w:fill="000000"/>
                <w:fitText w:val="330" w:id="-628909565"/>
                <w14:textFill>
                  <w14:solidFill>
                    <w14:srgbClr w14:val="000000">
                      <w14:alpha w14:val="100000"/>
                    </w14:srgbClr>
                  </w14:solidFill>
                </w14:textFill>
              </w:rPr>
              <w:t>|||</w:t>
            </w:r>
            <w:r w:rsidR="00E44B9A" w:rsidRPr="00E44B9A">
              <w:rPr>
                <w:color w:val="000000"/>
                <w:spacing w:val="1"/>
                <w:shd w:val="solid" w:color="000000" w:fill="000000"/>
                <w:fitText w:val="330" w:id="-628909565"/>
                <w14:textFill>
                  <w14:solidFill>
                    <w14:srgbClr w14:val="000000">
                      <w14:alpha w14:val="100000"/>
                    </w14:srgbClr>
                  </w14:solidFill>
                </w14:textFill>
              </w:rPr>
              <w:t>|</w:t>
            </w:r>
          </w:p>
        </w:tc>
        <w:tc>
          <w:tcPr>
            <w:tcW w:w="649" w:type="pct"/>
          </w:tcPr>
          <w:p w14:paraId="6E1E6AD1" w14:textId="77777777" w:rsidR="001C79E4" w:rsidRPr="00007450" w:rsidRDefault="001C79E4" w:rsidP="00864C4B">
            <w:pPr>
              <w:pStyle w:val="TableText0"/>
              <w:jc w:val="center"/>
              <w:rPr>
                <w:rFonts w:eastAsia="Calibri"/>
                <w:szCs w:val="20"/>
              </w:rPr>
            </w:pPr>
            <w:r w:rsidRPr="00007450">
              <w:t>0.30</w:t>
            </w:r>
          </w:p>
        </w:tc>
        <w:tc>
          <w:tcPr>
            <w:tcW w:w="670" w:type="pct"/>
          </w:tcPr>
          <w:p w14:paraId="1FF4C957" w14:textId="52CDF40C" w:rsidR="001C79E4" w:rsidRPr="002E6338" w:rsidRDefault="001C79E4" w:rsidP="00864C4B">
            <w:pPr>
              <w:pStyle w:val="TableText0"/>
              <w:jc w:val="center"/>
              <w:rPr>
                <w:rFonts w:eastAsia="Calibri"/>
                <w:szCs w:val="20"/>
                <w:vertAlign w:val="superscript"/>
              </w:rPr>
            </w:pPr>
            <w:r w:rsidRPr="00007450">
              <w:t>$</w:t>
            </w:r>
            <w:r w:rsidR="00E44B9A" w:rsidRPr="00E44B9A">
              <w:rPr>
                <w:color w:val="000000"/>
                <w:spacing w:val="53"/>
                <w:shd w:val="solid" w:color="000000" w:fill="000000"/>
                <w:fitText w:val="330" w:id="-628909564"/>
                <w14:textFill>
                  <w14:solidFill>
                    <w14:srgbClr w14:val="000000">
                      <w14:alpha w14:val="100000"/>
                    </w14:srgbClr>
                  </w14:solidFill>
                </w14:textFill>
              </w:rPr>
              <w:t>|||</w:t>
            </w:r>
            <w:r w:rsidR="00E44B9A" w:rsidRPr="00E44B9A">
              <w:rPr>
                <w:color w:val="000000"/>
                <w:spacing w:val="1"/>
                <w:shd w:val="solid" w:color="000000" w:fill="000000"/>
                <w:fitText w:val="330" w:id="-628909564"/>
                <w14:textFill>
                  <w14:solidFill>
                    <w14:srgbClr w14:val="000000">
                      <w14:alpha w14:val="100000"/>
                    </w14:srgbClr>
                  </w14:solidFill>
                </w14:textFill>
              </w:rPr>
              <w:t>|</w:t>
            </w:r>
            <w:r w:rsidR="002E6338">
              <w:rPr>
                <w:vertAlign w:val="superscript"/>
              </w:rPr>
              <w:t>5</w:t>
            </w:r>
          </w:p>
        </w:tc>
        <w:tc>
          <w:tcPr>
            <w:tcW w:w="559" w:type="pct"/>
          </w:tcPr>
          <w:p w14:paraId="0CDCDA5D" w14:textId="7BF5B433" w:rsidR="001C79E4" w:rsidRPr="00007450" w:rsidRDefault="00E44B9A" w:rsidP="00864C4B">
            <w:pPr>
              <w:pStyle w:val="TableText0"/>
              <w:jc w:val="center"/>
              <w:rPr>
                <w:rFonts w:eastAsia="Calibri"/>
                <w:szCs w:val="20"/>
              </w:rPr>
            </w:pPr>
            <w:r w:rsidRPr="00E44B9A">
              <w:rPr>
                <w:color w:val="000000"/>
                <w:spacing w:val="53"/>
                <w:shd w:val="solid" w:color="000000" w:fill="000000"/>
                <w:fitText w:val="330" w:id="-628909563"/>
                <w14:textFill>
                  <w14:solidFill>
                    <w14:srgbClr w14:val="000000">
                      <w14:alpha w14:val="100000"/>
                    </w14:srgbClr>
                  </w14:solidFill>
                </w14:textFill>
              </w:rPr>
              <w:t>|||</w:t>
            </w:r>
            <w:r w:rsidRPr="00E44B9A">
              <w:rPr>
                <w:color w:val="000000"/>
                <w:spacing w:val="1"/>
                <w:shd w:val="solid" w:color="000000" w:fill="000000"/>
                <w:fitText w:val="330" w:id="-628909563"/>
                <w14:textFill>
                  <w14:solidFill>
                    <w14:srgbClr w14:val="000000">
                      <w14:alpha w14:val="100000"/>
                    </w14:srgbClr>
                  </w14:solidFill>
                </w14:textFill>
              </w:rPr>
              <w:t>|</w:t>
            </w:r>
            <w:r w:rsidR="001C79E4" w:rsidRPr="00007450">
              <w:t>%</w:t>
            </w:r>
          </w:p>
        </w:tc>
      </w:tr>
      <w:tr w:rsidR="001C79E4" w:rsidRPr="00007450" w14:paraId="6F476F36" w14:textId="77777777" w:rsidTr="001576A5">
        <w:trPr>
          <w:cantSplit/>
          <w:trHeight w:val="321"/>
        </w:trPr>
        <w:tc>
          <w:tcPr>
            <w:tcW w:w="2394" w:type="pct"/>
          </w:tcPr>
          <w:p w14:paraId="398EC184" w14:textId="6E077A64" w:rsidR="00473A2B" w:rsidRPr="00007450" w:rsidRDefault="00473A2B" w:rsidP="00864C4B">
            <w:pPr>
              <w:pStyle w:val="TableText0"/>
              <w:rPr>
                <w:b/>
                <w:bCs w:val="0"/>
              </w:rPr>
            </w:pPr>
            <w:r w:rsidRPr="00007450">
              <w:rPr>
                <w:b/>
                <w:bCs w:val="0"/>
              </w:rPr>
              <w:t>ESC</w:t>
            </w:r>
            <w:r w:rsidR="001576A5" w:rsidRPr="00007450">
              <w:rPr>
                <w:b/>
                <w:bCs w:val="0"/>
              </w:rPr>
              <w:t xml:space="preserve"> advised sensitivity analysis</w:t>
            </w:r>
            <w:r w:rsidRPr="00007450">
              <w:rPr>
                <w:b/>
                <w:bCs w:val="0"/>
              </w:rPr>
              <w:t>:</w:t>
            </w:r>
          </w:p>
          <w:p w14:paraId="323B74F0" w14:textId="67516B50" w:rsidR="001C79E4" w:rsidRPr="00007450" w:rsidRDefault="001C79E4" w:rsidP="00864C4B">
            <w:pPr>
              <w:pStyle w:val="TableText0"/>
              <w:rPr>
                <w:b/>
                <w:bCs w:val="0"/>
              </w:rPr>
            </w:pPr>
            <w:r w:rsidRPr="00007450">
              <w:rPr>
                <w:b/>
                <w:bCs w:val="0"/>
              </w:rPr>
              <w:t>#1 AND #2 AND #3 AND #4</w:t>
            </w:r>
          </w:p>
        </w:tc>
        <w:tc>
          <w:tcPr>
            <w:tcW w:w="728" w:type="pct"/>
            <w:vAlign w:val="center"/>
          </w:tcPr>
          <w:p w14:paraId="2E01EFB5" w14:textId="4342D2CB" w:rsidR="001C79E4" w:rsidRPr="00007450" w:rsidRDefault="001C79E4" w:rsidP="00864C4B">
            <w:pPr>
              <w:pStyle w:val="TableText0"/>
              <w:jc w:val="center"/>
              <w:rPr>
                <w:b/>
                <w:bCs w:val="0"/>
              </w:rPr>
            </w:pPr>
            <w:r w:rsidRPr="00007450">
              <w:rPr>
                <w:b/>
                <w:bCs w:val="0"/>
              </w:rPr>
              <w:t>$</w:t>
            </w:r>
            <w:r w:rsidR="00E44B9A" w:rsidRPr="00E44B9A">
              <w:rPr>
                <w:b/>
                <w:bCs w:val="0"/>
                <w:color w:val="000000"/>
                <w:spacing w:val="53"/>
                <w:shd w:val="solid" w:color="000000" w:fill="000000"/>
                <w:fitText w:val="345" w:id="-628909562"/>
                <w14:textFill>
                  <w14:solidFill>
                    <w14:srgbClr w14:val="000000">
                      <w14:alpha w14:val="100000"/>
                    </w14:srgbClr>
                  </w14:solidFill>
                </w14:textFill>
              </w:rPr>
              <w:t>|||</w:t>
            </w:r>
            <w:r w:rsidR="00E44B9A" w:rsidRPr="00E44B9A">
              <w:rPr>
                <w:b/>
                <w:bCs w:val="0"/>
                <w:color w:val="000000"/>
                <w:spacing w:val="3"/>
                <w:shd w:val="solid" w:color="000000" w:fill="000000"/>
                <w:fitText w:val="345" w:id="-628909562"/>
                <w14:textFill>
                  <w14:solidFill>
                    <w14:srgbClr w14:val="000000">
                      <w14:alpha w14:val="100000"/>
                    </w14:srgbClr>
                  </w14:solidFill>
                </w14:textFill>
              </w:rPr>
              <w:t>|</w:t>
            </w:r>
          </w:p>
        </w:tc>
        <w:tc>
          <w:tcPr>
            <w:tcW w:w="649" w:type="pct"/>
            <w:vAlign w:val="center"/>
          </w:tcPr>
          <w:p w14:paraId="1B55C866" w14:textId="77777777" w:rsidR="001C79E4" w:rsidRPr="00007450" w:rsidRDefault="001C79E4" w:rsidP="00864C4B">
            <w:pPr>
              <w:pStyle w:val="TableText0"/>
              <w:jc w:val="center"/>
              <w:rPr>
                <w:b/>
                <w:bCs w:val="0"/>
              </w:rPr>
            </w:pPr>
            <w:r w:rsidRPr="00007450">
              <w:rPr>
                <w:b/>
                <w:bCs w:val="0"/>
              </w:rPr>
              <w:t>0.26</w:t>
            </w:r>
          </w:p>
        </w:tc>
        <w:tc>
          <w:tcPr>
            <w:tcW w:w="670" w:type="pct"/>
            <w:vAlign w:val="center"/>
          </w:tcPr>
          <w:p w14:paraId="44F5BC22" w14:textId="2DC4A9D7" w:rsidR="001C79E4" w:rsidRPr="002E6338" w:rsidRDefault="001C79E4" w:rsidP="00864C4B">
            <w:pPr>
              <w:pStyle w:val="TableText0"/>
              <w:jc w:val="center"/>
              <w:rPr>
                <w:b/>
                <w:bCs w:val="0"/>
                <w:vertAlign w:val="superscript"/>
              </w:rPr>
            </w:pPr>
            <w:r w:rsidRPr="00007450">
              <w:rPr>
                <w:b/>
                <w:bCs w:val="0"/>
              </w:rPr>
              <w:t>$</w:t>
            </w:r>
            <w:r w:rsidR="00E44B9A" w:rsidRPr="00E44B9A">
              <w:rPr>
                <w:b/>
                <w:bCs w:val="0"/>
                <w:color w:val="000000"/>
                <w:spacing w:val="58"/>
                <w:shd w:val="solid" w:color="000000" w:fill="000000"/>
                <w:fitText w:val="360" w:id="-628909561"/>
                <w14:textFill>
                  <w14:solidFill>
                    <w14:srgbClr w14:val="000000">
                      <w14:alpha w14:val="100000"/>
                    </w14:srgbClr>
                  </w14:solidFill>
                </w14:textFill>
              </w:rPr>
              <w:t>|||</w:t>
            </w:r>
            <w:r w:rsidR="00E44B9A" w:rsidRPr="00E44B9A">
              <w:rPr>
                <w:b/>
                <w:bCs w:val="0"/>
                <w:color w:val="000000"/>
                <w:spacing w:val="3"/>
                <w:shd w:val="solid" w:color="000000" w:fill="000000"/>
                <w:fitText w:val="360" w:id="-628909561"/>
                <w14:textFill>
                  <w14:solidFill>
                    <w14:srgbClr w14:val="000000">
                      <w14:alpha w14:val="100000"/>
                    </w14:srgbClr>
                  </w14:solidFill>
                </w14:textFill>
              </w:rPr>
              <w:t>|</w:t>
            </w:r>
            <w:r w:rsidR="002E6338">
              <w:rPr>
                <w:b/>
                <w:bCs w:val="0"/>
                <w:vertAlign w:val="superscript"/>
              </w:rPr>
              <w:t>5</w:t>
            </w:r>
          </w:p>
        </w:tc>
        <w:tc>
          <w:tcPr>
            <w:tcW w:w="559" w:type="pct"/>
            <w:vAlign w:val="center"/>
          </w:tcPr>
          <w:p w14:paraId="223F3E58" w14:textId="00D9B115" w:rsidR="001C79E4" w:rsidRPr="00007450" w:rsidRDefault="00E44B9A" w:rsidP="00864C4B">
            <w:pPr>
              <w:pStyle w:val="TableText0"/>
              <w:jc w:val="center"/>
              <w:rPr>
                <w:b/>
                <w:bCs w:val="0"/>
              </w:rPr>
            </w:pPr>
            <w:r w:rsidRPr="00E44B9A">
              <w:rPr>
                <w:b/>
                <w:bCs w:val="0"/>
                <w:color w:val="000000"/>
                <w:spacing w:val="53"/>
                <w:shd w:val="solid" w:color="000000" w:fill="000000"/>
                <w:fitText w:val="345" w:id="-628909560"/>
                <w14:textFill>
                  <w14:solidFill>
                    <w14:srgbClr w14:val="000000">
                      <w14:alpha w14:val="100000"/>
                    </w14:srgbClr>
                  </w14:solidFill>
                </w14:textFill>
              </w:rPr>
              <w:t>|||</w:t>
            </w:r>
            <w:r w:rsidRPr="00E44B9A">
              <w:rPr>
                <w:b/>
                <w:bCs w:val="0"/>
                <w:color w:val="000000"/>
                <w:spacing w:val="3"/>
                <w:shd w:val="solid" w:color="000000" w:fill="000000"/>
                <w:fitText w:val="345" w:id="-628909560"/>
                <w14:textFill>
                  <w14:solidFill>
                    <w14:srgbClr w14:val="000000">
                      <w14:alpha w14:val="100000"/>
                    </w14:srgbClr>
                  </w14:solidFill>
                </w14:textFill>
              </w:rPr>
              <w:t>|</w:t>
            </w:r>
            <w:r w:rsidR="001C79E4" w:rsidRPr="00007450">
              <w:rPr>
                <w:b/>
                <w:bCs w:val="0"/>
              </w:rPr>
              <w:t>%</w:t>
            </w:r>
          </w:p>
        </w:tc>
      </w:tr>
      <w:tr w:rsidR="001C79E4" w:rsidRPr="00007450" w14:paraId="181E6B6D" w14:textId="77777777">
        <w:trPr>
          <w:cantSplit/>
        </w:trPr>
        <w:tc>
          <w:tcPr>
            <w:tcW w:w="2394" w:type="pct"/>
          </w:tcPr>
          <w:p w14:paraId="22826221" w14:textId="77777777" w:rsidR="001C79E4" w:rsidRPr="00007450" w:rsidRDefault="001C79E4" w:rsidP="00864C4B">
            <w:pPr>
              <w:pStyle w:val="TableText0"/>
            </w:pPr>
            <w:r w:rsidRPr="00007450">
              <w:t>#1 AND #2 AND #3 AND #5</w:t>
            </w:r>
          </w:p>
        </w:tc>
        <w:tc>
          <w:tcPr>
            <w:tcW w:w="728" w:type="pct"/>
          </w:tcPr>
          <w:p w14:paraId="7EFB5B09" w14:textId="1D99D2E8"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p>
        </w:tc>
        <w:tc>
          <w:tcPr>
            <w:tcW w:w="649" w:type="pct"/>
          </w:tcPr>
          <w:p w14:paraId="0BE05A50" w14:textId="77777777" w:rsidR="001C79E4" w:rsidRPr="00007450" w:rsidRDefault="001C79E4" w:rsidP="00864C4B">
            <w:pPr>
              <w:pStyle w:val="TableText0"/>
              <w:jc w:val="center"/>
            </w:pPr>
            <w:r w:rsidRPr="00007450">
              <w:t>0.18</w:t>
            </w:r>
          </w:p>
        </w:tc>
        <w:tc>
          <w:tcPr>
            <w:tcW w:w="670" w:type="pct"/>
          </w:tcPr>
          <w:p w14:paraId="38F57439" w14:textId="58319A08" w:rsidR="001C79E4" w:rsidRPr="00007450" w:rsidRDefault="001C79E4" w:rsidP="00864C4B">
            <w:pPr>
              <w:pStyle w:val="TableText0"/>
              <w:jc w:val="center"/>
            </w:pPr>
            <w:r w:rsidRPr="00007450">
              <w:t>$</w:t>
            </w:r>
            <w:r w:rsidR="00E44B9A" w:rsidRPr="00E44B9A">
              <w:rPr>
                <w:color w:val="000000"/>
                <w:spacing w:val="53"/>
                <w:shd w:val="solid" w:color="000000" w:fill="000000"/>
                <w:fitText w:val="330" w:id="-628909558"/>
                <w14:textFill>
                  <w14:solidFill>
                    <w14:srgbClr w14:val="000000">
                      <w14:alpha w14:val="100000"/>
                    </w14:srgbClr>
                  </w14:solidFill>
                </w14:textFill>
              </w:rPr>
              <w:t>|||</w:t>
            </w:r>
            <w:r w:rsidR="00E44B9A" w:rsidRPr="00E44B9A">
              <w:rPr>
                <w:color w:val="000000"/>
                <w:spacing w:val="1"/>
                <w:shd w:val="solid" w:color="000000" w:fill="000000"/>
                <w:fitText w:val="330" w:id="-628909558"/>
                <w14:textFill>
                  <w14:solidFill>
                    <w14:srgbClr w14:val="000000">
                      <w14:alpha w14:val="100000"/>
                    </w14:srgbClr>
                  </w14:solidFill>
                </w14:textFill>
              </w:rPr>
              <w:t>|</w:t>
            </w:r>
            <w:r w:rsidR="00D37EE9" w:rsidRPr="00D37EE9">
              <w:rPr>
                <w:vertAlign w:val="superscript"/>
              </w:rPr>
              <w:t>6</w:t>
            </w:r>
          </w:p>
        </w:tc>
        <w:tc>
          <w:tcPr>
            <w:tcW w:w="559" w:type="pct"/>
          </w:tcPr>
          <w:p w14:paraId="3B787B49" w14:textId="6857D7D4" w:rsidR="001C79E4" w:rsidRPr="00007450" w:rsidRDefault="00E44B9A" w:rsidP="00864C4B">
            <w:pPr>
              <w:pStyle w:val="TableText0"/>
              <w:jc w:val="center"/>
            </w:pPr>
            <w:r>
              <w:rPr>
                <w:color w:val="000000"/>
                <w:spacing w:val="52"/>
                <w:shd w:val="solid" w:color="000000" w:fill="000000"/>
                <w:fitText w:val="330" w:id="-628909557"/>
                <w14:textFill>
                  <w14:solidFill>
                    <w14:srgbClr w14:val="000000">
                      <w14:alpha w14:val="100000"/>
                    </w14:srgbClr>
                  </w14:solidFill>
                </w14:textFill>
              </w:rPr>
              <w:t>|||</w:t>
            </w:r>
            <w:r>
              <w:rPr>
                <w:color w:val="000000"/>
                <w:spacing w:val="2"/>
                <w:shd w:val="solid" w:color="000000" w:fill="000000"/>
                <w:fitText w:val="330" w:id="-628909557"/>
                <w14:textFill>
                  <w14:solidFill>
                    <w14:srgbClr w14:val="000000">
                      <w14:alpha w14:val="100000"/>
                    </w14:srgbClr>
                  </w14:solidFill>
                </w14:textFill>
              </w:rPr>
              <w:t>|</w:t>
            </w:r>
            <w:r w:rsidR="001C79E4" w:rsidRPr="00007450">
              <w:t>%</w:t>
            </w:r>
          </w:p>
        </w:tc>
      </w:tr>
    </w:tbl>
    <w:p w14:paraId="620BE826" w14:textId="5F0C5CDC" w:rsidR="001C79E4" w:rsidRPr="00007450" w:rsidRDefault="001C79E4" w:rsidP="00864C4B">
      <w:pPr>
        <w:pStyle w:val="TableFigureFooter"/>
      </w:pPr>
      <w:r w:rsidRPr="00007450">
        <w:t>Source: Adapted from Table 3-25, pp144-145 of the submission, and the “Kisqali (ribociclib) - eBC N0N1 - CEA” Excel workbook</w:t>
      </w:r>
    </w:p>
    <w:p w14:paraId="7DD5D271" w14:textId="77777777" w:rsidR="001C79E4" w:rsidRPr="00007450" w:rsidRDefault="001C79E4" w:rsidP="00864C4B">
      <w:pPr>
        <w:pStyle w:val="TableFigureFooter"/>
      </w:pPr>
      <w:r w:rsidRPr="00007450">
        <w:t>DR = distant recurrence; ET = endocrine therapy; ICER = incremental cost-effectiveness ratio; iDF = invasive disease-free; iDFS = invasive disease-free survival; NMR = non-metastatic recurrence; PFS = progression-free survival; PPS = post-progression survival; PSM = partitioned survival model; QALY = quality adjusted life year; QoL = quality of life; RIB = ribociclib</w:t>
      </w:r>
    </w:p>
    <w:p w14:paraId="0EF734B0" w14:textId="77777777" w:rsidR="001C79E4" w:rsidRPr="00007450" w:rsidRDefault="001C79E4" w:rsidP="00864C4B">
      <w:pPr>
        <w:pStyle w:val="TableFigureFooter"/>
      </w:pPr>
      <w:r w:rsidRPr="00007450">
        <w:t>Note: Analyses were performed during the evaluation based on the corrected base case where the fixed outcome and cost payoffs from the DR ET-resistant PSM have been corrected, using the discounted payoffs instead of undiscounted payoffs.</w:t>
      </w:r>
    </w:p>
    <w:p w14:paraId="3CACEC53" w14:textId="77777777" w:rsidR="001C79E4" w:rsidRPr="00007450" w:rsidRDefault="001C79E4" w:rsidP="00864C4B">
      <w:pPr>
        <w:pStyle w:val="TableFigureFooter"/>
        <w:rPr>
          <w:rStyle w:val="CommentReference"/>
        </w:rPr>
      </w:pPr>
      <w:r w:rsidRPr="00007450">
        <w:rPr>
          <w:vertAlign w:val="superscript"/>
        </w:rPr>
        <w:t xml:space="preserve">a </w:t>
      </w:r>
      <w:r w:rsidRPr="00007450">
        <w:t xml:space="preserve">Additional sensitivity analyses performed during the evaluation. </w:t>
      </w:r>
    </w:p>
    <w:p w14:paraId="50F30252" w14:textId="519ECF6E" w:rsidR="001C79E4" w:rsidRPr="00007450" w:rsidRDefault="001C79E4" w:rsidP="00864C4B">
      <w:pPr>
        <w:pStyle w:val="TableFigureFooter"/>
        <w:rPr>
          <w:rFonts w:eastAsia="Calibri"/>
          <w:szCs w:val="20"/>
        </w:rPr>
      </w:pPr>
      <w:r w:rsidRPr="00007450">
        <w:rPr>
          <w:rFonts w:eastAsia="Calibri"/>
          <w:szCs w:val="20"/>
          <w:vertAlign w:val="superscript"/>
        </w:rPr>
        <w:t xml:space="preserve">b </w:t>
      </w:r>
      <w:r w:rsidRPr="00007450">
        <w:rPr>
          <w:rFonts w:eastAsia="Calibri"/>
          <w:szCs w:val="20"/>
        </w:rPr>
        <w:t>The Weibull and gamma functions provided the most conservative long-term projections of the four best fitting distributions according to goodness of fit statistics.</w:t>
      </w:r>
      <w:r w:rsidR="004A2F0E">
        <w:rPr>
          <w:rFonts w:eastAsia="Calibri"/>
          <w:szCs w:val="20"/>
        </w:rPr>
        <w:t xml:space="preserve"> </w:t>
      </w:r>
    </w:p>
    <w:p w14:paraId="15ACD949" w14:textId="77777777" w:rsidR="001C79E4" w:rsidRPr="00007450" w:rsidRDefault="001C79E4" w:rsidP="00864C4B">
      <w:pPr>
        <w:pStyle w:val="TableFigureFooter"/>
        <w:rPr>
          <w:rFonts w:eastAsia="Calibri"/>
          <w:szCs w:val="20"/>
        </w:rPr>
      </w:pPr>
      <w:r w:rsidRPr="00007450">
        <w:rPr>
          <w:rFonts w:eastAsia="Calibri"/>
          <w:szCs w:val="20"/>
          <w:vertAlign w:val="superscript"/>
        </w:rPr>
        <w:t xml:space="preserve">c </w:t>
      </w:r>
      <w:r w:rsidRPr="00007450">
        <w:rPr>
          <w:rFonts w:eastAsia="Calibri"/>
          <w:szCs w:val="20"/>
        </w:rPr>
        <w:t>For both arms: 23.3% NMR, 8.6% death, 47.3% DR, 20.9% SPM</w:t>
      </w:r>
    </w:p>
    <w:p w14:paraId="231882AA" w14:textId="77777777" w:rsidR="001C79E4" w:rsidRDefault="001C79E4" w:rsidP="00864C4B">
      <w:pPr>
        <w:pStyle w:val="TableFigureFooter"/>
        <w:rPr>
          <w:rFonts w:eastAsia="Calibri"/>
          <w:szCs w:val="20"/>
        </w:rPr>
      </w:pPr>
      <w:r w:rsidRPr="00007450">
        <w:rPr>
          <w:rFonts w:eastAsia="Calibri"/>
          <w:szCs w:val="20"/>
          <w:vertAlign w:val="superscript"/>
        </w:rPr>
        <w:lastRenderedPageBreak/>
        <w:t xml:space="preserve">d </w:t>
      </w:r>
      <w:r w:rsidRPr="00007450">
        <w:rPr>
          <w:rFonts w:eastAsia="Calibri"/>
          <w:szCs w:val="20"/>
        </w:rPr>
        <w:t>0.785 for iDF, 0.779 for NMR, 0.748 for PFS in the DR ET-resistant and ET-sensitive PSMs, 0.476 for PPS in the DR ET-resistant and ET-sensitive PSMs.</w:t>
      </w:r>
    </w:p>
    <w:p w14:paraId="53100AB6" w14:textId="02327867" w:rsidR="00DD4BEB" w:rsidRDefault="00DD4BEB" w:rsidP="00864C4B">
      <w:pPr>
        <w:pStyle w:val="TableFigureFooter"/>
        <w:rPr>
          <w:rFonts w:eastAsia="Calibri"/>
          <w:i/>
          <w:iCs/>
          <w:szCs w:val="20"/>
        </w:rPr>
      </w:pPr>
      <w:r>
        <w:rPr>
          <w:rFonts w:eastAsia="Calibri"/>
          <w:i/>
          <w:iCs/>
          <w:szCs w:val="20"/>
        </w:rPr>
        <w:t>The redacted values correspond to the following ranges:</w:t>
      </w:r>
    </w:p>
    <w:p w14:paraId="0EA3B5BE" w14:textId="3ACE8BC2" w:rsidR="00DD4BEB" w:rsidRDefault="00DD4BEB" w:rsidP="00864C4B">
      <w:pPr>
        <w:pStyle w:val="TableFigureFooter"/>
        <w:rPr>
          <w:rFonts w:eastAsia="Calibri"/>
          <w:i/>
          <w:iCs/>
          <w:szCs w:val="20"/>
        </w:rPr>
      </w:pPr>
      <w:r w:rsidRPr="00DD4BEB">
        <w:rPr>
          <w:rFonts w:eastAsia="Calibri"/>
          <w:i/>
          <w:iCs/>
          <w:szCs w:val="20"/>
          <w:vertAlign w:val="superscript"/>
        </w:rPr>
        <w:t>1</w:t>
      </w:r>
      <w:r>
        <w:rPr>
          <w:rFonts w:eastAsia="Calibri"/>
          <w:i/>
          <w:iCs/>
          <w:szCs w:val="20"/>
          <w:vertAlign w:val="superscript"/>
        </w:rPr>
        <w:t xml:space="preserve"> </w:t>
      </w:r>
      <w:r>
        <w:rPr>
          <w:rFonts w:eastAsia="Calibri"/>
          <w:i/>
          <w:iCs/>
          <w:szCs w:val="20"/>
        </w:rPr>
        <w:t>$25,000 to &lt; $35,000</w:t>
      </w:r>
    </w:p>
    <w:p w14:paraId="682C694D" w14:textId="1B26FFBD" w:rsidR="00DD4BEB" w:rsidRDefault="00DD4BEB" w:rsidP="00864C4B">
      <w:pPr>
        <w:pStyle w:val="TableFigureFooter"/>
        <w:rPr>
          <w:rFonts w:eastAsia="Calibri"/>
          <w:i/>
          <w:iCs/>
          <w:szCs w:val="20"/>
        </w:rPr>
      </w:pPr>
      <w:r>
        <w:rPr>
          <w:rFonts w:eastAsia="Calibri"/>
          <w:i/>
          <w:iCs/>
          <w:szCs w:val="20"/>
          <w:vertAlign w:val="superscript"/>
        </w:rPr>
        <w:t>2</w:t>
      </w:r>
      <w:r>
        <w:rPr>
          <w:rFonts w:eastAsia="Calibri"/>
          <w:i/>
          <w:iCs/>
          <w:szCs w:val="20"/>
        </w:rPr>
        <w:t xml:space="preserve"> $</w:t>
      </w:r>
      <w:r w:rsidR="00E17CE7">
        <w:rPr>
          <w:rFonts w:eastAsia="Calibri"/>
          <w:i/>
          <w:iCs/>
          <w:szCs w:val="20"/>
        </w:rPr>
        <w:t>45,000 to &lt; $55,000</w:t>
      </w:r>
    </w:p>
    <w:p w14:paraId="1F856DA4" w14:textId="72E01DD5" w:rsidR="00E17CE7" w:rsidRDefault="00E17CE7" w:rsidP="00864C4B">
      <w:pPr>
        <w:pStyle w:val="TableFigureFooter"/>
        <w:rPr>
          <w:rFonts w:eastAsia="Calibri"/>
          <w:i/>
          <w:iCs/>
          <w:szCs w:val="20"/>
        </w:rPr>
      </w:pPr>
      <w:r>
        <w:rPr>
          <w:rFonts w:eastAsia="Calibri"/>
          <w:i/>
          <w:iCs/>
          <w:szCs w:val="20"/>
          <w:vertAlign w:val="superscript"/>
        </w:rPr>
        <w:t>3</w:t>
      </w:r>
      <w:r>
        <w:rPr>
          <w:rFonts w:eastAsia="Calibri"/>
          <w:i/>
          <w:iCs/>
          <w:szCs w:val="20"/>
        </w:rPr>
        <w:t xml:space="preserve"> $5000 to &lt; $15,000</w:t>
      </w:r>
    </w:p>
    <w:p w14:paraId="51095603" w14:textId="2E9092D1" w:rsidR="00E17CE7" w:rsidRDefault="00E17CE7" w:rsidP="00864C4B">
      <w:pPr>
        <w:pStyle w:val="TableFigureFooter"/>
        <w:rPr>
          <w:rFonts w:eastAsia="Calibri"/>
          <w:i/>
          <w:iCs/>
          <w:szCs w:val="20"/>
        </w:rPr>
      </w:pPr>
      <w:r>
        <w:rPr>
          <w:rFonts w:eastAsia="Calibri"/>
          <w:i/>
          <w:iCs/>
          <w:szCs w:val="20"/>
          <w:vertAlign w:val="superscript"/>
        </w:rPr>
        <w:t xml:space="preserve">4 </w:t>
      </w:r>
      <w:r>
        <w:rPr>
          <w:rFonts w:eastAsia="Calibri"/>
          <w:i/>
          <w:iCs/>
          <w:szCs w:val="20"/>
        </w:rPr>
        <w:t>$35,000 to &lt; $45,000</w:t>
      </w:r>
    </w:p>
    <w:p w14:paraId="2DB3BEC8" w14:textId="1E923985" w:rsidR="00E17CE7" w:rsidRDefault="00E17CE7" w:rsidP="00864C4B">
      <w:pPr>
        <w:pStyle w:val="TableFigureFooter"/>
        <w:rPr>
          <w:rFonts w:eastAsia="Calibri"/>
          <w:i/>
          <w:iCs/>
          <w:szCs w:val="20"/>
        </w:rPr>
      </w:pPr>
      <w:r>
        <w:rPr>
          <w:rFonts w:eastAsia="Calibri"/>
          <w:i/>
          <w:iCs/>
          <w:szCs w:val="20"/>
          <w:vertAlign w:val="superscript"/>
        </w:rPr>
        <w:t>5</w:t>
      </w:r>
      <w:r>
        <w:rPr>
          <w:rFonts w:eastAsia="Calibri"/>
          <w:i/>
          <w:iCs/>
          <w:szCs w:val="20"/>
        </w:rPr>
        <w:t xml:space="preserve"> $</w:t>
      </w:r>
      <w:r w:rsidR="002E6338">
        <w:rPr>
          <w:rFonts w:eastAsia="Calibri"/>
          <w:i/>
          <w:iCs/>
          <w:szCs w:val="20"/>
        </w:rPr>
        <w:t>55,000 to &lt; $75,000</w:t>
      </w:r>
    </w:p>
    <w:p w14:paraId="51BA6D77" w14:textId="17539AB9" w:rsidR="00DD4BEB" w:rsidRPr="00DD4BEB" w:rsidRDefault="002E6338" w:rsidP="00864C4B">
      <w:pPr>
        <w:pStyle w:val="TableFigureFooter"/>
        <w:rPr>
          <w:rFonts w:eastAsia="Calibri"/>
          <w:i/>
          <w:iCs/>
          <w:szCs w:val="20"/>
        </w:rPr>
      </w:pPr>
      <w:r>
        <w:rPr>
          <w:rFonts w:eastAsia="Calibri"/>
          <w:i/>
          <w:iCs/>
          <w:szCs w:val="20"/>
          <w:vertAlign w:val="superscript"/>
        </w:rPr>
        <w:t xml:space="preserve">6 </w:t>
      </w:r>
      <w:r>
        <w:rPr>
          <w:rFonts w:eastAsia="Calibri"/>
          <w:i/>
          <w:iCs/>
          <w:szCs w:val="20"/>
        </w:rPr>
        <w:t>$</w:t>
      </w:r>
      <w:r w:rsidR="00D37EE9">
        <w:rPr>
          <w:rFonts w:eastAsia="Calibri"/>
          <w:i/>
          <w:iCs/>
          <w:szCs w:val="20"/>
        </w:rPr>
        <w:t>95,000 to &lt; $115,000</w:t>
      </w:r>
    </w:p>
    <w:p w14:paraId="7E596F9F" w14:textId="15CBD05F" w:rsidR="001C79E4" w:rsidRPr="00007450" w:rsidRDefault="001C79E4" w:rsidP="00864C4B">
      <w:pPr>
        <w:pStyle w:val="3-BodyText"/>
      </w:pPr>
      <w:r w:rsidRPr="00007450">
        <w:t xml:space="preserve">Results from sensitivity analyses showed that the treatment effect waning had the biggest impact on the ICER, followed by age of the patients on model entry, time horizon, iDFS extrapolation function, distribution of iDFS events, and discount rate. When the inputs of the treatment effect waning assumption and the age of the modelled patients were revised for consistency with previous PBAC consideration on the abemaciclib for eBC economic evaluation, and the health state utilities from the abemaciclib model were applied, the ICER increased from </w:t>
      </w:r>
      <w:r w:rsidR="007F30A6" w:rsidRPr="007F30A6">
        <w:t xml:space="preserve">$35,000 to </w:t>
      </w:r>
      <w:r w:rsidR="007F30A6">
        <w:br/>
      </w:r>
      <w:r w:rsidR="007F30A6" w:rsidRPr="007F30A6">
        <w:t>&lt; $45,000</w:t>
      </w:r>
      <w:r w:rsidRPr="00007450">
        <w:t>/QALY gained (</w:t>
      </w:r>
      <w:r w:rsidR="00135A6F" w:rsidRPr="00007450">
        <w:t xml:space="preserve">revised </w:t>
      </w:r>
      <w:r w:rsidRPr="00007450">
        <w:t xml:space="preserve">base case) to </w:t>
      </w:r>
      <w:r w:rsidR="006C5CE9" w:rsidRPr="006C5CE9">
        <w:t xml:space="preserve">$55,000 to &lt; $75,000 </w:t>
      </w:r>
      <w:r w:rsidRPr="00007450">
        <w:t>/QALY. Applying conservative assumptions in terms of iDFS extrapolation and iDFS distribution increased the ICER further, possibly above $</w:t>
      </w:r>
      <w:r w:rsidRPr="00FF0596">
        <w:t>100,000/</w:t>
      </w:r>
      <w:r w:rsidRPr="00007450">
        <w:t>QALY.</w:t>
      </w:r>
    </w:p>
    <w:p w14:paraId="5887AA93" w14:textId="48BBC182" w:rsidR="001C79E4" w:rsidRPr="00007450" w:rsidRDefault="001C79E4" w:rsidP="00864C4B">
      <w:pPr>
        <w:pStyle w:val="3-BodyText"/>
      </w:pPr>
      <w:r w:rsidRPr="00007450">
        <w:t xml:space="preserve">When the abemaciclib for eBC submissions were considered, the PBAC considered that an ICER of up to $30,000/QALY gained would account for the uncertainty regarding the modelled OS </w:t>
      </w:r>
      <w:r w:rsidR="00634DD6" w:rsidRPr="00007450">
        <w:t>in the context of m</w:t>
      </w:r>
      <w:r w:rsidR="00A21CB3" w:rsidRPr="00007450">
        <w:t>ore conservative treatment waning (5</w:t>
      </w:r>
      <w:r w:rsidR="00EF6AE5">
        <w:rPr>
          <w:rFonts w:cstheme="minorHAnsi"/>
        </w:rPr>
        <w:t>−</w:t>
      </w:r>
      <w:r w:rsidR="00A21CB3" w:rsidRPr="00007450">
        <w:t xml:space="preserve">8 years) and an older age at model entry (61.4 years) </w:t>
      </w:r>
      <w:r w:rsidRPr="00007450">
        <w:t>(</w:t>
      </w:r>
      <w:r w:rsidR="00A21CB3" w:rsidRPr="00007450">
        <w:t>para</w:t>
      </w:r>
      <w:r w:rsidR="00323ADA" w:rsidRPr="00007450">
        <w:t>s</w:t>
      </w:r>
      <w:r w:rsidR="006F23C0" w:rsidRPr="00007450">
        <w:t>.</w:t>
      </w:r>
      <w:r w:rsidR="00A21CB3" w:rsidRPr="00007450">
        <w:t xml:space="preserve"> 7.10</w:t>
      </w:r>
      <w:r w:rsidR="00C632E0">
        <w:rPr>
          <w:rFonts w:cstheme="minorHAnsi"/>
        </w:rPr>
        <w:t>−</w:t>
      </w:r>
      <w:r w:rsidR="00323ADA" w:rsidRPr="00007450">
        <w:t>7.11</w:t>
      </w:r>
      <w:r w:rsidR="00A21CB3" w:rsidRPr="00007450">
        <w:t xml:space="preserve">, abemaciclib PSD, November 2023 PBAC meeting; </w:t>
      </w:r>
      <w:r w:rsidRPr="00007450">
        <w:t>para</w:t>
      </w:r>
      <w:r w:rsidR="006F23C0" w:rsidRPr="00007450">
        <w:t>.</w:t>
      </w:r>
      <w:r w:rsidRPr="00007450">
        <w:t xml:space="preserve"> 7.13, abemaciclib PSD, March 2023 PBAC meeting).</w:t>
      </w:r>
    </w:p>
    <w:p w14:paraId="22BDF272" w14:textId="07A45085" w:rsidR="00AA4D38" w:rsidRPr="00007450" w:rsidRDefault="00AA4D38" w:rsidP="00864C4B">
      <w:pPr>
        <w:pStyle w:val="3-BodyText"/>
      </w:pPr>
      <w:r w:rsidRPr="00007450">
        <w:t>The ESC noted the modelled incremental QALYs gained (</w:t>
      </w:r>
      <w:r w:rsidR="00D711D7" w:rsidRPr="00007450">
        <w:t>0.52) were higher than accepted by the PBAC for the currently listed PBS population (</w:t>
      </w:r>
      <w:r w:rsidR="00751D67" w:rsidRPr="00007450">
        <w:t xml:space="preserve">between </w:t>
      </w:r>
      <w:r w:rsidR="006436F6" w:rsidRPr="00007450">
        <w:t xml:space="preserve">0.266 and </w:t>
      </w:r>
      <w:r w:rsidR="00B9017E" w:rsidRPr="00007450">
        <w:t>0.407</w:t>
      </w:r>
      <w:r w:rsidR="00AD24AC" w:rsidRPr="00007450">
        <w:t>, ex</w:t>
      </w:r>
      <w:r w:rsidR="001D2C31" w:rsidRPr="00007450">
        <w:t>act estimate not provided in PSD</w:t>
      </w:r>
      <w:r w:rsidR="00466B4A" w:rsidRPr="00007450">
        <w:t>)</w:t>
      </w:r>
      <w:r w:rsidR="009955A9" w:rsidRPr="00007450">
        <w:t xml:space="preserve"> (Table </w:t>
      </w:r>
      <w:r w:rsidR="008C274B" w:rsidRPr="00007450">
        <w:t>1</w:t>
      </w:r>
      <w:r w:rsidR="005C3733" w:rsidRPr="00007450">
        <w:t>3</w:t>
      </w:r>
      <w:r w:rsidR="00577A96" w:rsidRPr="00007450">
        <w:t>, abemaciclib PSD, November 2023</w:t>
      </w:r>
      <w:r w:rsidR="00403B9F" w:rsidRPr="00007450">
        <w:t>)</w:t>
      </w:r>
      <w:r w:rsidR="00532F40" w:rsidRPr="00007450">
        <w:t>. Given the proposed population has a lower risk of recurrence</w:t>
      </w:r>
      <w:r w:rsidR="006E78EB" w:rsidRPr="00007450">
        <w:t>, the ESC noted the QALYs gained should be smaller</w:t>
      </w:r>
      <w:r w:rsidR="007F00FB" w:rsidRPr="00007450">
        <w:t xml:space="preserve"> than previously accepted.</w:t>
      </w:r>
    </w:p>
    <w:p w14:paraId="5E6E457A" w14:textId="5594FEEE" w:rsidR="00A57EEA" w:rsidRPr="00007450" w:rsidRDefault="001D6701" w:rsidP="00864C4B">
      <w:pPr>
        <w:pStyle w:val="3-BodyText"/>
      </w:pPr>
      <w:bookmarkStart w:id="73" w:name="_Ref205183438"/>
      <w:r w:rsidRPr="00007450">
        <w:t xml:space="preserve">The ESC </w:t>
      </w:r>
      <w:r w:rsidR="0079197D" w:rsidRPr="00007450">
        <w:t>considered</w:t>
      </w:r>
      <w:r w:rsidRPr="00007450">
        <w:t xml:space="preserve"> a respecified base case</w:t>
      </w:r>
      <w:r w:rsidR="00C73D86" w:rsidRPr="00007450">
        <w:t xml:space="preserve"> was required to address</w:t>
      </w:r>
      <w:r w:rsidR="00FC30B9" w:rsidRPr="00007450">
        <w:t xml:space="preserve"> primary issues related to the economic model</w:t>
      </w:r>
      <w:r w:rsidR="007E562E" w:rsidRPr="00007450">
        <w:t>. The ESC advised revision to the following inputs</w:t>
      </w:r>
      <w:r w:rsidR="00CF55DF" w:rsidRPr="00007450">
        <w:t>:</w:t>
      </w:r>
      <w:bookmarkEnd w:id="73"/>
    </w:p>
    <w:p w14:paraId="1DC99257" w14:textId="570EA686" w:rsidR="00A57EEA" w:rsidRPr="00007450" w:rsidRDefault="0057593A" w:rsidP="00864C4B">
      <w:pPr>
        <w:pStyle w:val="3-BodyText"/>
        <w:numPr>
          <w:ilvl w:val="2"/>
          <w:numId w:val="9"/>
        </w:numPr>
        <w:ind w:left="1134"/>
      </w:pPr>
      <w:r w:rsidRPr="00007450">
        <w:t>the starting age of the model population should be</w:t>
      </w:r>
      <w:r w:rsidR="006E4F0C" w:rsidRPr="00007450">
        <w:t xml:space="preserve"> </w:t>
      </w:r>
      <w:r w:rsidR="007828BC" w:rsidRPr="00007450">
        <w:t xml:space="preserve">increased </w:t>
      </w:r>
      <w:r w:rsidR="006E4F0C" w:rsidRPr="00007450">
        <w:t>to</w:t>
      </w:r>
      <w:r w:rsidRPr="00007450">
        <w:t xml:space="preserve"> 61.4 years </w:t>
      </w:r>
      <w:r w:rsidR="00A512E6" w:rsidRPr="00007450">
        <w:t>(para</w:t>
      </w:r>
      <w:r w:rsidR="006F23C0" w:rsidRPr="00007450">
        <w:t>.</w:t>
      </w:r>
      <w:r w:rsidR="00A512E6" w:rsidRPr="00007450">
        <w:t xml:space="preserve"> </w:t>
      </w:r>
      <w:r w:rsidR="00A512E6" w:rsidRPr="00007450">
        <w:fldChar w:fldCharType="begin"/>
      </w:r>
      <w:r w:rsidR="00A512E6" w:rsidRPr="00007450">
        <w:instrText xml:space="preserve"> REF _Ref201589020 \r \h </w:instrText>
      </w:r>
      <w:r w:rsidR="00D236EC" w:rsidRPr="00007450">
        <w:instrText xml:space="preserve"> \* MERGEFORMAT </w:instrText>
      </w:r>
      <w:r w:rsidR="00A512E6" w:rsidRPr="00007450">
        <w:fldChar w:fldCharType="separate"/>
      </w:r>
      <w:r w:rsidR="00B36442">
        <w:t>6.35</w:t>
      </w:r>
      <w:r w:rsidR="00A512E6" w:rsidRPr="00007450">
        <w:fldChar w:fldCharType="end"/>
      </w:r>
      <w:r w:rsidR="00A512E6" w:rsidRPr="00007450">
        <w:t>)</w:t>
      </w:r>
      <w:r w:rsidR="0087521B" w:rsidRPr="00007450">
        <w:t xml:space="preserve">; </w:t>
      </w:r>
    </w:p>
    <w:p w14:paraId="1F941483" w14:textId="5229B448" w:rsidR="0087521B" w:rsidRPr="00007450" w:rsidRDefault="00C648B3" w:rsidP="00864C4B">
      <w:pPr>
        <w:pStyle w:val="3-BodyText"/>
        <w:numPr>
          <w:ilvl w:val="2"/>
          <w:numId w:val="9"/>
        </w:numPr>
        <w:ind w:left="1134"/>
      </w:pPr>
      <w:r w:rsidRPr="00007450">
        <w:t xml:space="preserve">a more conservative parametric function should be applied to the extrapolation of ribociclib + ET iDFS. The ESC advised the restriction Weibull </w:t>
      </w:r>
      <w:r w:rsidR="003F1019" w:rsidRPr="00007450">
        <w:t>function</w:t>
      </w:r>
      <w:r w:rsidR="006E4F0C" w:rsidRPr="00007450">
        <w:t xml:space="preserve"> for ribociclib + ET</w:t>
      </w:r>
      <w:r w:rsidR="003F1019" w:rsidRPr="00007450">
        <w:t xml:space="preserve"> </w:t>
      </w:r>
      <w:r w:rsidRPr="00007450">
        <w:t>and considered that the extrapolation for ET should remain unchanged from the original base case</w:t>
      </w:r>
      <w:r w:rsidR="001E4A9E" w:rsidRPr="00007450">
        <w:t xml:space="preserve"> </w:t>
      </w:r>
      <w:r w:rsidR="0057593A" w:rsidRPr="00007450">
        <w:t>(paras</w:t>
      </w:r>
      <w:r w:rsidR="006F23C0" w:rsidRPr="00007450">
        <w:t>.</w:t>
      </w:r>
      <w:r w:rsidR="0057593A" w:rsidRPr="00007450">
        <w:t xml:space="preserve"> </w:t>
      </w:r>
      <w:r w:rsidR="0057593A" w:rsidRPr="00007450">
        <w:fldChar w:fldCharType="begin"/>
      </w:r>
      <w:r w:rsidR="0057593A" w:rsidRPr="00007450">
        <w:instrText xml:space="preserve"> REF _Ref201589478 \r \h </w:instrText>
      </w:r>
      <w:r w:rsidR="00D236EC" w:rsidRPr="00007450">
        <w:instrText xml:space="preserve"> \* MERGEFORMAT </w:instrText>
      </w:r>
      <w:r w:rsidR="0057593A" w:rsidRPr="00007450">
        <w:fldChar w:fldCharType="separate"/>
      </w:r>
      <w:r w:rsidR="00B36442">
        <w:t>6.37</w:t>
      </w:r>
      <w:r w:rsidR="0057593A" w:rsidRPr="00007450">
        <w:fldChar w:fldCharType="end"/>
      </w:r>
      <w:r w:rsidR="0057593A" w:rsidRPr="00007450">
        <w:rPr>
          <w:rFonts w:cstheme="minorHAnsi"/>
        </w:rPr>
        <w:t>−</w:t>
      </w:r>
      <w:r w:rsidR="0057593A" w:rsidRPr="00007450">
        <w:rPr>
          <w:rFonts w:cstheme="minorHAnsi"/>
        </w:rPr>
        <w:fldChar w:fldCharType="begin"/>
      </w:r>
      <w:r w:rsidR="0057593A" w:rsidRPr="00007450">
        <w:rPr>
          <w:rFonts w:cstheme="minorHAnsi"/>
        </w:rPr>
        <w:instrText xml:space="preserve"> REF _Ref201589502 \r \h </w:instrText>
      </w:r>
      <w:r w:rsidR="00D236EC" w:rsidRPr="00007450">
        <w:rPr>
          <w:rFonts w:cstheme="minorHAnsi"/>
        </w:rPr>
        <w:instrText xml:space="preserve"> \* MERGEFORMAT </w:instrText>
      </w:r>
      <w:r w:rsidR="0057593A" w:rsidRPr="00007450">
        <w:rPr>
          <w:rFonts w:cstheme="minorHAnsi"/>
        </w:rPr>
      </w:r>
      <w:r w:rsidR="0057593A" w:rsidRPr="00007450">
        <w:rPr>
          <w:rFonts w:cstheme="minorHAnsi"/>
        </w:rPr>
        <w:fldChar w:fldCharType="separate"/>
      </w:r>
      <w:r w:rsidR="00B36442">
        <w:rPr>
          <w:rFonts w:cstheme="minorHAnsi"/>
        </w:rPr>
        <w:t>6.38</w:t>
      </w:r>
      <w:r w:rsidR="0057593A" w:rsidRPr="00007450">
        <w:rPr>
          <w:rFonts w:cstheme="minorHAnsi"/>
        </w:rPr>
        <w:fldChar w:fldCharType="end"/>
      </w:r>
      <w:r w:rsidR="0057593A" w:rsidRPr="00007450">
        <w:rPr>
          <w:rFonts w:cstheme="minorHAnsi"/>
        </w:rPr>
        <w:t>)</w:t>
      </w:r>
      <w:r w:rsidR="00324907" w:rsidRPr="00007450">
        <w:t>;</w:t>
      </w:r>
    </w:p>
    <w:p w14:paraId="6D5DFD7B" w14:textId="0D613607" w:rsidR="0087521B" w:rsidRPr="00007450" w:rsidRDefault="001E4A9E" w:rsidP="00864C4B">
      <w:pPr>
        <w:pStyle w:val="3-BodyText"/>
        <w:numPr>
          <w:ilvl w:val="2"/>
          <w:numId w:val="9"/>
        </w:numPr>
        <w:ind w:left="1134"/>
      </w:pPr>
      <w:r w:rsidRPr="00007450">
        <w:t>in consideration of the available trial data for ribociclib, a more conservative treatment waning, from year 5 to 8, should be included</w:t>
      </w:r>
      <w:r w:rsidR="00AF2DDB" w:rsidRPr="00007450">
        <w:t xml:space="preserve"> </w:t>
      </w:r>
      <w:r w:rsidR="00E36ACA" w:rsidRPr="00007450">
        <w:t xml:space="preserve">in the model </w:t>
      </w:r>
      <w:r w:rsidR="00AF2DDB" w:rsidRPr="00007450">
        <w:t>(para</w:t>
      </w:r>
      <w:r w:rsidR="006F23C0" w:rsidRPr="00007450">
        <w:t>.</w:t>
      </w:r>
      <w:r w:rsidR="00AF2DDB" w:rsidRPr="00007450">
        <w:t xml:space="preserve"> </w:t>
      </w:r>
      <w:r w:rsidR="00AF2DDB" w:rsidRPr="00007450">
        <w:fldChar w:fldCharType="begin"/>
      </w:r>
      <w:r w:rsidR="00AF2DDB" w:rsidRPr="00007450">
        <w:instrText xml:space="preserve"> REF _Ref201589749 \r \h </w:instrText>
      </w:r>
      <w:r w:rsidR="00D236EC" w:rsidRPr="00007450">
        <w:instrText xml:space="preserve"> \* MERGEFORMAT </w:instrText>
      </w:r>
      <w:r w:rsidR="00AF2DDB" w:rsidRPr="00007450">
        <w:fldChar w:fldCharType="separate"/>
      </w:r>
      <w:r w:rsidR="00B36442">
        <w:t>6.39</w:t>
      </w:r>
      <w:r w:rsidR="00AF2DDB" w:rsidRPr="00007450">
        <w:fldChar w:fldCharType="end"/>
      </w:r>
      <w:r w:rsidR="00AF2DDB" w:rsidRPr="00007450">
        <w:t>)</w:t>
      </w:r>
      <w:r w:rsidR="00324907" w:rsidRPr="00007450">
        <w:t>; and</w:t>
      </w:r>
    </w:p>
    <w:p w14:paraId="4EE00210" w14:textId="0B250753" w:rsidR="00C25231" w:rsidRPr="00007450" w:rsidRDefault="001E4A9E" w:rsidP="00864C4B">
      <w:pPr>
        <w:pStyle w:val="3-BodyText"/>
        <w:numPr>
          <w:ilvl w:val="2"/>
          <w:numId w:val="9"/>
        </w:numPr>
        <w:ind w:left="1134"/>
      </w:pPr>
      <w:r w:rsidRPr="00007450">
        <w:t xml:space="preserve">the use of </w:t>
      </w:r>
      <w:r w:rsidR="005614CB" w:rsidRPr="00007450">
        <w:t>alternate</w:t>
      </w:r>
      <w:r w:rsidRPr="00007450">
        <w:t xml:space="preserve"> </w:t>
      </w:r>
      <w:r w:rsidR="005614CB" w:rsidRPr="00007450">
        <w:t xml:space="preserve">health state </w:t>
      </w:r>
      <w:r w:rsidRPr="00007450">
        <w:t>utilities</w:t>
      </w:r>
      <w:r w:rsidR="00662C65" w:rsidRPr="00007450">
        <w:t>. The ESC advise</w:t>
      </w:r>
      <w:r w:rsidR="00720176" w:rsidRPr="00007450">
        <w:t xml:space="preserve">d that </w:t>
      </w:r>
      <w:r w:rsidR="005614CB" w:rsidRPr="00007450">
        <w:t xml:space="preserve">the </w:t>
      </w:r>
      <w:r w:rsidR="00720176" w:rsidRPr="00007450">
        <w:t>utilities applied to the</w:t>
      </w:r>
      <w:r w:rsidRPr="00007450">
        <w:t xml:space="preserve"> previous abemaciclib eBC model</w:t>
      </w:r>
      <w:r w:rsidRPr="00007450" w:rsidDel="001E4A9E">
        <w:t xml:space="preserve"> </w:t>
      </w:r>
      <w:r w:rsidR="00720176" w:rsidRPr="00007450">
        <w:t xml:space="preserve">would likely be appropriate </w:t>
      </w:r>
      <w:r w:rsidR="0057593A" w:rsidRPr="00007450">
        <w:t>(para</w:t>
      </w:r>
      <w:r w:rsidR="006F23C0" w:rsidRPr="00007450">
        <w:t>.</w:t>
      </w:r>
      <w:r w:rsidR="0057593A" w:rsidRPr="00007450">
        <w:t xml:space="preserve"> </w:t>
      </w:r>
      <w:r w:rsidR="0057593A" w:rsidRPr="00007450">
        <w:fldChar w:fldCharType="begin"/>
      </w:r>
      <w:r w:rsidR="0057593A" w:rsidRPr="00007450">
        <w:instrText xml:space="preserve"> REF _Ref201590343 \r \h </w:instrText>
      </w:r>
      <w:r w:rsidR="00D236EC" w:rsidRPr="00007450">
        <w:instrText xml:space="preserve"> \* MERGEFORMAT </w:instrText>
      </w:r>
      <w:r w:rsidR="0057593A" w:rsidRPr="00007450">
        <w:fldChar w:fldCharType="separate"/>
      </w:r>
      <w:r w:rsidR="00B36442">
        <w:t>6.45</w:t>
      </w:r>
      <w:r w:rsidR="0057593A" w:rsidRPr="00007450">
        <w:fldChar w:fldCharType="end"/>
      </w:r>
      <w:r w:rsidR="0057593A" w:rsidRPr="00007450">
        <w:t>)</w:t>
      </w:r>
      <w:r w:rsidR="00324907" w:rsidRPr="00007450">
        <w:t>.</w:t>
      </w:r>
    </w:p>
    <w:p w14:paraId="1D64C0DC" w14:textId="7DEA6A3B" w:rsidR="00FD1DF4" w:rsidRPr="00007450" w:rsidRDefault="004344A3" w:rsidP="00864C4B">
      <w:pPr>
        <w:pStyle w:val="3-BodyText"/>
        <w:numPr>
          <w:ilvl w:val="0"/>
          <w:numId w:val="0"/>
        </w:numPr>
        <w:ind w:left="720"/>
      </w:pPr>
      <w:r w:rsidRPr="00007450">
        <w:lastRenderedPageBreak/>
        <w:t xml:space="preserve">The ESC noted that </w:t>
      </w:r>
      <w:r w:rsidR="009A5B80" w:rsidRPr="00007450">
        <w:t>these revisions</w:t>
      </w:r>
      <w:r w:rsidRPr="00007450">
        <w:t xml:space="preserve"> resulted in </w:t>
      </w:r>
      <w:r w:rsidR="00BC49BF" w:rsidRPr="00007450">
        <w:t>0.2</w:t>
      </w:r>
      <w:r w:rsidR="003C6296" w:rsidRPr="00007450">
        <w:t xml:space="preserve">6 incremental QALYs and </w:t>
      </w:r>
      <w:r w:rsidRPr="00007450">
        <w:t>an ICER of $</w:t>
      </w:r>
      <w:r w:rsidR="003A563E">
        <w:t>55,000 to &lt; $75,000</w:t>
      </w:r>
      <w:r w:rsidR="009A5B80" w:rsidRPr="00007450">
        <w:t>/QALY</w:t>
      </w:r>
      <w:r w:rsidR="00717376" w:rsidRPr="00007450">
        <w:t xml:space="preserve"> (</w:t>
      </w:r>
      <w:r w:rsidR="00717376" w:rsidRPr="00007450">
        <w:fldChar w:fldCharType="begin"/>
      </w:r>
      <w:r w:rsidR="00717376" w:rsidRPr="00007450">
        <w:instrText xml:space="preserve"> REF _Ref104804865 \h  \* MERGEFORMAT </w:instrText>
      </w:r>
      <w:r w:rsidR="00717376" w:rsidRPr="00007450">
        <w:fldChar w:fldCharType="separate"/>
      </w:r>
      <w:r w:rsidR="00B36442" w:rsidRPr="00007450">
        <w:t xml:space="preserve">Table </w:t>
      </w:r>
      <w:r w:rsidR="00B36442">
        <w:rPr>
          <w:noProof/>
        </w:rPr>
        <w:t>15</w:t>
      </w:r>
      <w:r w:rsidR="00717376" w:rsidRPr="00007450">
        <w:fldChar w:fldCharType="end"/>
      </w:r>
      <w:r w:rsidR="00717376" w:rsidRPr="00007450">
        <w:t>)</w:t>
      </w:r>
      <w:r w:rsidR="00531664" w:rsidRPr="00007450">
        <w:t xml:space="preserve">. </w:t>
      </w:r>
    </w:p>
    <w:p w14:paraId="472842D7" w14:textId="786868C1" w:rsidR="00C25D9C" w:rsidRPr="00007450" w:rsidRDefault="00C25D9C" w:rsidP="00864C4B">
      <w:pPr>
        <w:pStyle w:val="4-SubsectionHeading"/>
      </w:pPr>
      <w:bookmarkStart w:id="74" w:name="_Toc198724446"/>
      <w:r w:rsidRPr="00007450">
        <w:t>Drug cost/patient/course</w:t>
      </w:r>
      <w:bookmarkEnd w:id="52"/>
      <w:bookmarkEnd w:id="74"/>
    </w:p>
    <w:p w14:paraId="1B0D03E6" w14:textId="6A0E5487" w:rsidR="00412811" w:rsidRPr="00007450" w:rsidRDefault="00412811" w:rsidP="00864C4B">
      <w:pPr>
        <w:pStyle w:val="3-BodyText"/>
      </w:pPr>
      <w:bookmarkStart w:id="75" w:name="_Ref104805102"/>
      <w:bookmarkStart w:id="76" w:name="_Toc22897647"/>
      <w:r w:rsidRPr="00007450">
        <w:t xml:space="preserve">The per patient cost of ribociclib based on use in the clinical evidence, the economic model and the financial estimates are presented in </w:t>
      </w:r>
      <w:r w:rsidRPr="00007450">
        <w:fldChar w:fldCharType="begin"/>
      </w:r>
      <w:r w:rsidRPr="00007450">
        <w:instrText xml:space="preserve"> REF _Ref196128157 \h </w:instrText>
      </w:r>
      <w:r w:rsidR="00AD4762" w:rsidRPr="00007450">
        <w:instrText xml:space="preserve"> \* MERGEFORMAT </w:instrText>
      </w:r>
      <w:r w:rsidRPr="00007450">
        <w:fldChar w:fldCharType="separate"/>
      </w:r>
      <w:r w:rsidR="00B36442" w:rsidRPr="00007450">
        <w:t xml:space="preserve">Table </w:t>
      </w:r>
      <w:r w:rsidR="00B36442">
        <w:rPr>
          <w:noProof/>
        </w:rPr>
        <w:t>16</w:t>
      </w:r>
      <w:r w:rsidRPr="00007450">
        <w:fldChar w:fldCharType="end"/>
      </w:r>
      <w:r w:rsidRPr="00007450">
        <w:t>. While the average dose applied was similar across the economic and financial analyses, the cost applied varied. The economic evaluation estimated the cost for ribociclib, based on a planned dose intensity of 400 mg per day, applying a relative dose intensity (RDI) of 83.4%</w:t>
      </w:r>
      <w:bookmarkStart w:id="77" w:name="_Ref196210541"/>
      <w:r w:rsidRPr="00007450">
        <w:rPr>
          <w:rStyle w:val="FootnoteReference"/>
        </w:rPr>
        <w:footnoteReference w:id="17"/>
      </w:r>
      <w:bookmarkEnd w:id="77"/>
      <w:r w:rsidRPr="00007450">
        <w:t xml:space="preserve"> as reported in the NATALEE clinical study report (CSR). In the financial analysis, the submission used a compliance of 96.5%, which differed to the RDI reported in the NATALEE trial (83.4%). As the cost impact for use of both the 400 mg and 200 mg daily strengths was presented, compliance was estimated from the mean dose intensity reported in the trial (333.58 mg per day)</w:t>
      </w:r>
      <w:r w:rsidRPr="00007450">
        <w:rPr>
          <w:vertAlign w:val="superscript"/>
        </w:rPr>
        <w:fldChar w:fldCharType="begin"/>
      </w:r>
      <w:r w:rsidRPr="00007450">
        <w:rPr>
          <w:vertAlign w:val="superscript"/>
        </w:rPr>
        <w:instrText xml:space="preserve"> NOTEREF _Ref196210541 \h  \* MERGEFORMAT </w:instrText>
      </w:r>
      <w:r w:rsidRPr="00007450">
        <w:rPr>
          <w:vertAlign w:val="superscript"/>
        </w:rPr>
      </w:r>
      <w:r w:rsidRPr="00007450">
        <w:rPr>
          <w:vertAlign w:val="superscript"/>
        </w:rPr>
        <w:fldChar w:fldCharType="separate"/>
      </w:r>
      <w:r w:rsidR="00B36442">
        <w:rPr>
          <w:vertAlign w:val="superscript"/>
        </w:rPr>
        <w:t>16</w:t>
      </w:r>
      <w:r w:rsidRPr="00007450">
        <w:rPr>
          <w:vertAlign w:val="superscript"/>
        </w:rPr>
        <w:fldChar w:fldCharType="end"/>
      </w:r>
      <w:r w:rsidRPr="00007450">
        <w:rPr>
          <w:vertAlign w:val="superscript"/>
        </w:rPr>
        <w:t xml:space="preserve"> </w:t>
      </w:r>
      <w:r w:rsidRPr="00007450">
        <w:t>as a proportion of a planned dose intensity per day derived in the submission to account for dose reductions (345.61 mg per day)</w:t>
      </w:r>
      <w:r w:rsidRPr="00007450">
        <w:rPr>
          <w:rStyle w:val="FootnoteReference"/>
        </w:rPr>
        <w:footnoteReference w:id="18"/>
      </w:r>
      <w:r w:rsidRPr="00007450">
        <w:t xml:space="preserve">. This therefore assumed that dose reductions </w:t>
      </w:r>
      <w:r w:rsidR="006D5CE2" w:rsidRPr="00007450">
        <w:t xml:space="preserve">that were observed in the trial </w:t>
      </w:r>
      <w:r w:rsidRPr="00007450">
        <w:t xml:space="preserve">occurred from treatment initiation, which may not be reasonable. Further, </w:t>
      </w:r>
      <w:r w:rsidR="006D5CE2" w:rsidRPr="00007450">
        <w:t xml:space="preserve">the trial estimates </w:t>
      </w:r>
      <w:r w:rsidR="00D05F37" w:rsidRPr="00007450">
        <w:t xml:space="preserve">of dose reductions </w:t>
      </w:r>
      <w:r w:rsidR="006D5CE2" w:rsidRPr="00007450">
        <w:t>applied included</w:t>
      </w:r>
      <w:r w:rsidR="00D05F37" w:rsidRPr="00007450">
        <w:t xml:space="preserve"> those</w:t>
      </w:r>
      <w:r w:rsidR="006D5CE2" w:rsidRPr="00007450">
        <w:t xml:space="preserve"> </w:t>
      </w:r>
      <w:r w:rsidRPr="00007450">
        <w:t xml:space="preserve">due to dosing and dispensing errors and technical problems (approx. 4 </w:t>
      </w:r>
      <w:r w:rsidR="00D05F37" w:rsidRPr="00007450">
        <w:t xml:space="preserve">of 27 </w:t>
      </w:r>
      <w:r w:rsidRPr="00007450">
        <w:t xml:space="preserve">percentage points). The permanence of such dose reductions </w:t>
      </w:r>
      <w:r w:rsidR="006D5CE2" w:rsidRPr="00007450">
        <w:t xml:space="preserve">and </w:t>
      </w:r>
      <w:r w:rsidRPr="00007450">
        <w:t>whether these would be observed in practice was not certain.</w:t>
      </w:r>
    </w:p>
    <w:p w14:paraId="5D5B5835" w14:textId="7CD30950" w:rsidR="00412811" w:rsidRPr="00007450" w:rsidRDefault="00412811" w:rsidP="00864C4B">
      <w:pPr>
        <w:pStyle w:val="TableFigureHeading"/>
        <w:rPr>
          <w:rStyle w:val="CommentReference"/>
          <w:b/>
          <w:szCs w:val="24"/>
        </w:rPr>
      </w:pPr>
      <w:bookmarkStart w:id="78" w:name="_Ref196128157"/>
      <w:r w:rsidRPr="00007450">
        <w:t xml:space="preserve">Table </w:t>
      </w:r>
      <w:r w:rsidR="001C7776">
        <w:fldChar w:fldCharType="begin"/>
      </w:r>
      <w:r w:rsidR="001C7776">
        <w:instrText xml:space="preserve"> SEQ Table \* ARABIC </w:instrText>
      </w:r>
      <w:r w:rsidR="001C7776">
        <w:fldChar w:fldCharType="separate"/>
      </w:r>
      <w:r w:rsidR="00B36442">
        <w:rPr>
          <w:noProof/>
        </w:rPr>
        <w:t>16</w:t>
      </w:r>
      <w:r w:rsidR="001C7776">
        <w:rPr>
          <w:noProof/>
        </w:rPr>
        <w:fldChar w:fldCharType="end"/>
      </w:r>
      <w:bookmarkEnd w:id="75"/>
      <w:bookmarkEnd w:id="78"/>
      <w:r w:rsidRPr="00007450">
        <w:t>:</w:t>
      </w:r>
      <w:r w:rsidRPr="00007450">
        <w:rPr>
          <w:rStyle w:val="CommentReference"/>
          <w:b/>
          <w:szCs w:val="24"/>
        </w:rPr>
        <w:t xml:space="preserve"> Drug cost per patient for ribociclib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Drug cost per patient for ribociclib"/>
      </w:tblPr>
      <w:tblGrid>
        <w:gridCol w:w="2529"/>
        <w:gridCol w:w="2162"/>
        <w:gridCol w:w="2160"/>
        <w:gridCol w:w="2166"/>
      </w:tblGrid>
      <w:tr w:rsidR="00412811" w:rsidRPr="00007450" w14:paraId="3C5A9F8F" w14:textId="77777777">
        <w:trPr>
          <w:cantSplit/>
          <w:tblHeader/>
          <w:jc w:val="center"/>
        </w:trPr>
        <w:tc>
          <w:tcPr>
            <w:tcW w:w="1402" w:type="pct"/>
            <w:vAlign w:val="center"/>
          </w:tcPr>
          <w:p w14:paraId="1453D84D" w14:textId="77777777" w:rsidR="00412811" w:rsidRPr="00007450" w:rsidRDefault="00412811" w:rsidP="00864C4B">
            <w:pPr>
              <w:pStyle w:val="In-tableHeading"/>
              <w:jc w:val="center"/>
              <w:rPr>
                <w:lang w:val="en-AU"/>
              </w:rPr>
            </w:pPr>
          </w:p>
        </w:tc>
        <w:tc>
          <w:tcPr>
            <w:tcW w:w="1199" w:type="pct"/>
            <w:vAlign w:val="center"/>
          </w:tcPr>
          <w:p w14:paraId="6F9DBCCA" w14:textId="77777777" w:rsidR="00412811" w:rsidRPr="00007450" w:rsidRDefault="00412811" w:rsidP="00864C4B">
            <w:pPr>
              <w:pStyle w:val="In-tableHeading"/>
              <w:jc w:val="center"/>
              <w:rPr>
                <w:lang w:val="en-AU"/>
              </w:rPr>
            </w:pPr>
            <w:r w:rsidRPr="00007450">
              <w:rPr>
                <w:lang w:val="en-AU"/>
              </w:rPr>
              <w:t>Ribociclib</w:t>
            </w:r>
          </w:p>
          <w:p w14:paraId="116081C7" w14:textId="77777777" w:rsidR="00412811" w:rsidRPr="00007450" w:rsidRDefault="00412811" w:rsidP="00864C4B">
            <w:pPr>
              <w:pStyle w:val="In-tableHeading"/>
              <w:jc w:val="center"/>
              <w:rPr>
                <w:lang w:val="en-AU"/>
              </w:rPr>
            </w:pPr>
            <w:r w:rsidRPr="00007450">
              <w:rPr>
                <w:lang w:val="en-AU"/>
              </w:rPr>
              <w:t>Trial dose and duration</w:t>
            </w:r>
          </w:p>
        </w:tc>
        <w:tc>
          <w:tcPr>
            <w:tcW w:w="1198" w:type="pct"/>
            <w:vAlign w:val="center"/>
          </w:tcPr>
          <w:p w14:paraId="3E5F7474" w14:textId="77777777" w:rsidR="00412811" w:rsidRPr="00007450" w:rsidRDefault="00412811" w:rsidP="00864C4B">
            <w:pPr>
              <w:pStyle w:val="In-tableHeading"/>
              <w:jc w:val="center"/>
              <w:rPr>
                <w:lang w:val="en-AU"/>
              </w:rPr>
            </w:pPr>
            <w:r w:rsidRPr="00007450">
              <w:rPr>
                <w:lang w:val="en-AU"/>
              </w:rPr>
              <w:t>Ribociclib</w:t>
            </w:r>
          </w:p>
          <w:p w14:paraId="6F0352B7" w14:textId="75ADB73C" w:rsidR="00412811" w:rsidRPr="00007450" w:rsidRDefault="00D55FBF" w:rsidP="00864C4B">
            <w:pPr>
              <w:pStyle w:val="In-tableHeading"/>
              <w:jc w:val="center"/>
              <w:rPr>
                <w:lang w:val="en-AU"/>
              </w:rPr>
            </w:pPr>
            <w:r w:rsidRPr="00007450">
              <w:rPr>
                <w:lang w:val="en-AU"/>
              </w:rPr>
              <w:t>Economic m</w:t>
            </w:r>
            <w:r w:rsidR="00412811" w:rsidRPr="00007450">
              <w:rPr>
                <w:lang w:val="en-AU"/>
              </w:rPr>
              <w:t>odel</w:t>
            </w:r>
          </w:p>
        </w:tc>
        <w:tc>
          <w:tcPr>
            <w:tcW w:w="1201" w:type="pct"/>
            <w:vAlign w:val="center"/>
          </w:tcPr>
          <w:p w14:paraId="6D8928BE" w14:textId="77777777" w:rsidR="00412811" w:rsidRPr="00007450" w:rsidRDefault="00412811" w:rsidP="00864C4B">
            <w:pPr>
              <w:pStyle w:val="In-tableHeading"/>
              <w:jc w:val="center"/>
              <w:rPr>
                <w:lang w:val="en-AU"/>
              </w:rPr>
            </w:pPr>
            <w:r w:rsidRPr="00007450">
              <w:rPr>
                <w:lang w:val="en-AU"/>
              </w:rPr>
              <w:t>Ribociclib</w:t>
            </w:r>
          </w:p>
          <w:p w14:paraId="41ED0160" w14:textId="77777777" w:rsidR="00412811" w:rsidRPr="00007450" w:rsidRDefault="00412811" w:rsidP="00864C4B">
            <w:pPr>
              <w:pStyle w:val="In-tableHeading"/>
              <w:jc w:val="center"/>
              <w:rPr>
                <w:lang w:val="en-AU"/>
              </w:rPr>
            </w:pPr>
            <w:r w:rsidRPr="00007450">
              <w:rPr>
                <w:lang w:val="en-AU"/>
              </w:rPr>
              <w:t>Financial estimates</w:t>
            </w:r>
          </w:p>
        </w:tc>
      </w:tr>
      <w:tr w:rsidR="00412811" w:rsidRPr="00007450" w14:paraId="34F253E3" w14:textId="77777777">
        <w:trPr>
          <w:cantSplit/>
          <w:jc w:val="center"/>
        </w:trPr>
        <w:tc>
          <w:tcPr>
            <w:tcW w:w="1402" w:type="pct"/>
            <w:vAlign w:val="center"/>
          </w:tcPr>
          <w:p w14:paraId="7BA80910" w14:textId="77777777" w:rsidR="00412811" w:rsidRPr="00007450" w:rsidRDefault="00412811" w:rsidP="00864C4B">
            <w:pPr>
              <w:pStyle w:val="TableText0"/>
            </w:pPr>
            <w:r w:rsidRPr="00007450">
              <w:t>Mean dose</w:t>
            </w:r>
          </w:p>
        </w:tc>
        <w:tc>
          <w:tcPr>
            <w:tcW w:w="1199" w:type="pct"/>
            <w:vAlign w:val="center"/>
          </w:tcPr>
          <w:p w14:paraId="78709C07" w14:textId="77777777" w:rsidR="00412811" w:rsidRPr="00007450" w:rsidRDefault="00412811" w:rsidP="00864C4B">
            <w:pPr>
              <w:pStyle w:val="TableText0"/>
              <w:jc w:val="center"/>
              <w:rPr>
                <w:bCs w:val="0"/>
              </w:rPr>
            </w:pPr>
            <w:r w:rsidRPr="00007450">
              <w:rPr>
                <w:bCs w:val="0"/>
              </w:rPr>
              <w:t>334 mg</w:t>
            </w:r>
          </w:p>
        </w:tc>
        <w:tc>
          <w:tcPr>
            <w:tcW w:w="1198" w:type="pct"/>
            <w:vAlign w:val="center"/>
          </w:tcPr>
          <w:p w14:paraId="131EA411" w14:textId="77777777" w:rsidR="00412811" w:rsidRPr="00007450" w:rsidRDefault="00412811" w:rsidP="00864C4B">
            <w:pPr>
              <w:pStyle w:val="TableText0"/>
              <w:jc w:val="center"/>
              <w:rPr>
                <w:b/>
              </w:rPr>
            </w:pPr>
            <w:r w:rsidRPr="00007450">
              <w:rPr>
                <w:bCs w:val="0"/>
              </w:rPr>
              <w:t>334 mg per day</w:t>
            </w:r>
          </w:p>
        </w:tc>
        <w:tc>
          <w:tcPr>
            <w:tcW w:w="1201" w:type="pct"/>
            <w:vAlign w:val="center"/>
          </w:tcPr>
          <w:p w14:paraId="1988ECD5" w14:textId="77777777" w:rsidR="00412811" w:rsidRPr="00007450" w:rsidRDefault="00412811" w:rsidP="00864C4B">
            <w:pPr>
              <w:pStyle w:val="TableText0"/>
              <w:jc w:val="center"/>
              <w:rPr>
                <w:b/>
              </w:rPr>
            </w:pPr>
            <w:r w:rsidRPr="00007450">
              <w:rPr>
                <w:bCs w:val="0"/>
              </w:rPr>
              <w:t>334 mg per day</w:t>
            </w:r>
          </w:p>
        </w:tc>
      </w:tr>
      <w:tr w:rsidR="00412811" w:rsidRPr="00007450" w14:paraId="6B269773" w14:textId="77777777">
        <w:trPr>
          <w:cantSplit/>
          <w:jc w:val="center"/>
        </w:trPr>
        <w:tc>
          <w:tcPr>
            <w:tcW w:w="1402" w:type="pct"/>
            <w:vAlign w:val="center"/>
          </w:tcPr>
          <w:p w14:paraId="4F890142" w14:textId="77777777" w:rsidR="00412811" w:rsidRPr="00007450" w:rsidRDefault="00412811" w:rsidP="00864C4B">
            <w:pPr>
              <w:pStyle w:val="TableText0"/>
            </w:pPr>
            <w:r w:rsidRPr="00007450">
              <w:t>Mean duration (28-day cycles)</w:t>
            </w:r>
          </w:p>
        </w:tc>
        <w:tc>
          <w:tcPr>
            <w:tcW w:w="1199" w:type="pct"/>
            <w:vAlign w:val="center"/>
          </w:tcPr>
          <w:p w14:paraId="560219FE" w14:textId="77777777" w:rsidR="00412811" w:rsidRPr="00007450" w:rsidRDefault="00412811" w:rsidP="00864C4B">
            <w:pPr>
              <w:pStyle w:val="TableText0"/>
              <w:jc w:val="center"/>
              <w:rPr>
                <w:bCs w:val="0"/>
              </w:rPr>
            </w:pPr>
            <w:r w:rsidRPr="00007450">
              <w:rPr>
                <w:bCs w:val="0"/>
              </w:rPr>
              <w:t xml:space="preserve">28.9 cycles </w:t>
            </w:r>
            <w:r w:rsidRPr="00007450">
              <w:rPr>
                <w:bCs w:val="0"/>
                <w:vertAlign w:val="superscript"/>
              </w:rPr>
              <w:t>a</w:t>
            </w:r>
          </w:p>
        </w:tc>
        <w:tc>
          <w:tcPr>
            <w:tcW w:w="1198" w:type="pct"/>
            <w:vAlign w:val="center"/>
          </w:tcPr>
          <w:p w14:paraId="29ABF706" w14:textId="77777777" w:rsidR="00412811" w:rsidRPr="00007450" w:rsidRDefault="00412811" w:rsidP="00864C4B">
            <w:pPr>
              <w:pStyle w:val="TableText0"/>
              <w:jc w:val="center"/>
              <w:rPr>
                <w:b/>
              </w:rPr>
            </w:pPr>
            <w:r w:rsidRPr="00007450">
              <w:rPr>
                <w:bCs w:val="0"/>
              </w:rPr>
              <w:t>28.9 cycles </w:t>
            </w:r>
            <w:r w:rsidRPr="00007450">
              <w:rPr>
                <w:bCs w:val="0"/>
                <w:vertAlign w:val="superscript"/>
              </w:rPr>
              <w:t>a</w:t>
            </w:r>
            <w:r w:rsidRPr="00007450">
              <w:rPr>
                <w:bCs w:val="0"/>
              </w:rPr>
              <w:t xml:space="preserve"> </w:t>
            </w:r>
          </w:p>
        </w:tc>
        <w:tc>
          <w:tcPr>
            <w:tcW w:w="1201" w:type="pct"/>
            <w:vAlign w:val="center"/>
          </w:tcPr>
          <w:p w14:paraId="45305B2D" w14:textId="77777777" w:rsidR="00412811" w:rsidRPr="00007450" w:rsidRDefault="00412811" w:rsidP="00864C4B">
            <w:pPr>
              <w:pStyle w:val="TableText0"/>
              <w:jc w:val="center"/>
              <w:rPr>
                <w:b/>
              </w:rPr>
            </w:pPr>
            <w:r w:rsidRPr="00007450">
              <w:rPr>
                <w:bCs w:val="0"/>
              </w:rPr>
              <w:t>28.6 scripts </w:t>
            </w:r>
            <w:r w:rsidRPr="00007450">
              <w:rPr>
                <w:bCs w:val="0"/>
                <w:vertAlign w:val="superscript"/>
              </w:rPr>
              <w:t>b</w:t>
            </w:r>
          </w:p>
        </w:tc>
      </w:tr>
      <w:tr w:rsidR="00412811" w:rsidRPr="00007450" w14:paraId="61A91A2A" w14:textId="77777777">
        <w:trPr>
          <w:cantSplit/>
          <w:jc w:val="center"/>
        </w:trPr>
        <w:tc>
          <w:tcPr>
            <w:tcW w:w="1402" w:type="pct"/>
            <w:vAlign w:val="center"/>
          </w:tcPr>
          <w:p w14:paraId="428D0945" w14:textId="77777777" w:rsidR="00412811" w:rsidRPr="00007450" w:rsidRDefault="00412811" w:rsidP="00864C4B">
            <w:pPr>
              <w:pStyle w:val="TableText0"/>
            </w:pPr>
            <w:r w:rsidRPr="00007450">
              <w:t>Cost/patient/cycle</w:t>
            </w:r>
          </w:p>
        </w:tc>
        <w:tc>
          <w:tcPr>
            <w:tcW w:w="1199" w:type="pct"/>
            <w:vAlign w:val="center"/>
          </w:tcPr>
          <w:p w14:paraId="37A96486" w14:textId="7CAE914E" w:rsidR="00412811" w:rsidRPr="00007450" w:rsidRDefault="00412811" w:rsidP="00864C4B">
            <w:pPr>
              <w:pStyle w:val="TableText0"/>
              <w:jc w:val="center"/>
            </w:pPr>
            <w:r w:rsidRPr="00007450">
              <w:t>$</w:t>
            </w:r>
            <w:r w:rsidR="00E44B9A" w:rsidRPr="00E44B9A">
              <w:rPr>
                <w:color w:val="000000"/>
                <w:spacing w:val="53"/>
                <w:shd w:val="solid" w:color="000000" w:fill="000000"/>
                <w:fitText w:val="330" w:id="-628909556"/>
                <w14:textFill>
                  <w14:solidFill>
                    <w14:srgbClr w14:val="000000">
                      <w14:alpha w14:val="100000"/>
                    </w14:srgbClr>
                  </w14:solidFill>
                </w14:textFill>
              </w:rPr>
              <w:t>|||</w:t>
            </w:r>
            <w:r w:rsidR="00E44B9A" w:rsidRPr="00E44B9A">
              <w:rPr>
                <w:color w:val="000000"/>
                <w:spacing w:val="1"/>
                <w:shd w:val="solid" w:color="000000" w:fill="000000"/>
                <w:fitText w:val="330" w:id="-628909556"/>
                <w14:textFill>
                  <w14:solidFill>
                    <w14:srgbClr w14:val="000000">
                      <w14:alpha w14:val="100000"/>
                    </w14:srgbClr>
                  </w14:solidFill>
                </w14:textFill>
              </w:rPr>
              <w:t>|</w:t>
            </w:r>
            <w:r w:rsidRPr="00007450">
              <w:t> </w:t>
            </w:r>
            <w:r w:rsidRPr="00007450">
              <w:rPr>
                <w:vertAlign w:val="superscript"/>
              </w:rPr>
              <w:t>c</w:t>
            </w:r>
          </w:p>
        </w:tc>
        <w:tc>
          <w:tcPr>
            <w:tcW w:w="1198" w:type="pct"/>
            <w:vAlign w:val="center"/>
          </w:tcPr>
          <w:p w14:paraId="788234F4" w14:textId="480F6290" w:rsidR="00412811" w:rsidRPr="00007450" w:rsidRDefault="00412811" w:rsidP="00864C4B">
            <w:pPr>
              <w:pStyle w:val="TableText0"/>
              <w:jc w:val="center"/>
            </w:pPr>
            <w:r w:rsidRPr="00007450">
              <w:t>$</w:t>
            </w:r>
            <w:r w:rsidR="00E44B9A" w:rsidRPr="00E44B9A">
              <w:rPr>
                <w:color w:val="000000"/>
                <w:spacing w:val="48"/>
                <w:shd w:val="solid" w:color="000000" w:fill="000000"/>
                <w:fitText w:val="315" w:id="-628909555"/>
                <w14:textFill>
                  <w14:solidFill>
                    <w14:srgbClr w14:val="000000">
                      <w14:alpha w14:val="100000"/>
                    </w14:srgbClr>
                  </w14:solidFill>
                </w14:textFill>
              </w:rPr>
              <w:t>|||</w:t>
            </w:r>
            <w:r w:rsidR="00E44B9A" w:rsidRPr="00E44B9A">
              <w:rPr>
                <w:color w:val="000000"/>
                <w:spacing w:val="1"/>
                <w:shd w:val="solid" w:color="000000" w:fill="000000"/>
                <w:fitText w:val="315" w:id="-628909555"/>
                <w14:textFill>
                  <w14:solidFill>
                    <w14:srgbClr w14:val="000000">
                      <w14:alpha w14:val="100000"/>
                    </w14:srgbClr>
                  </w14:solidFill>
                </w14:textFill>
              </w:rPr>
              <w:t>|</w:t>
            </w:r>
            <w:r w:rsidRPr="00007450">
              <w:t> </w:t>
            </w:r>
            <w:r w:rsidRPr="00007450">
              <w:rPr>
                <w:vertAlign w:val="superscript"/>
              </w:rPr>
              <w:t>c</w:t>
            </w:r>
          </w:p>
        </w:tc>
        <w:tc>
          <w:tcPr>
            <w:tcW w:w="1201" w:type="pct"/>
            <w:vAlign w:val="center"/>
          </w:tcPr>
          <w:p w14:paraId="36367166" w14:textId="059F18CA" w:rsidR="00412811" w:rsidRPr="00007450" w:rsidRDefault="00412811" w:rsidP="00864C4B">
            <w:pPr>
              <w:pStyle w:val="TableText0"/>
              <w:jc w:val="center"/>
            </w:pPr>
            <w:r w:rsidRPr="00007450">
              <w:t>$</w:t>
            </w:r>
            <w:r w:rsidR="00E44B9A" w:rsidRPr="00E44B9A">
              <w:rPr>
                <w:color w:val="000000"/>
                <w:spacing w:val="48"/>
                <w:shd w:val="solid" w:color="000000" w:fill="000000"/>
                <w:fitText w:val="315" w:id="-628909554"/>
                <w14:textFill>
                  <w14:solidFill>
                    <w14:srgbClr w14:val="000000">
                      <w14:alpha w14:val="100000"/>
                    </w14:srgbClr>
                  </w14:solidFill>
                </w14:textFill>
              </w:rPr>
              <w:t>|||</w:t>
            </w:r>
            <w:r w:rsidR="00E44B9A" w:rsidRPr="00E44B9A">
              <w:rPr>
                <w:color w:val="000000"/>
                <w:spacing w:val="1"/>
                <w:shd w:val="solid" w:color="000000" w:fill="000000"/>
                <w:fitText w:val="315" w:id="-628909554"/>
                <w14:textFill>
                  <w14:solidFill>
                    <w14:srgbClr w14:val="000000">
                      <w14:alpha w14:val="100000"/>
                    </w14:srgbClr>
                  </w14:solidFill>
                </w14:textFill>
              </w:rPr>
              <w:t>|</w:t>
            </w:r>
            <w:r w:rsidRPr="00007450">
              <w:t> </w:t>
            </w:r>
            <w:r w:rsidRPr="00007450">
              <w:rPr>
                <w:vertAlign w:val="superscript"/>
              </w:rPr>
              <w:t>d</w:t>
            </w:r>
          </w:p>
        </w:tc>
      </w:tr>
      <w:tr w:rsidR="00412811" w:rsidRPr="00007450" w14:paraId="34F7AD24" w14:textId="77777777">
        <w:trPr>
          <w:cantSplit/>
          <w:jc w:val="center"/>
        </w:trPr>
        <w:tc>
          <w:tcPr>
            <w:tcW w:w="1402" w:type="pct"/>
            <w:vAlign w:val="center"/>
          </w:tcPr>
          <w:p w14:paraId="2F5D9B5E" w14:textId="77777777" w:rsidR="00412811" w:rsidRPr="00007450" w:rsidRDefault="00412811" w:rsidP="00864C4B">
            <w:pPr>
              <w:pStyle w:val="TableText0"/>
            </w:pPr>
            <w:r w:rsidRPr="00007450">
              <w:t>Cost/patient/course</w:t>
            </w:r>
          </w:p>
        </w:tc>
        <w:tc>
          <w:tcPr>
            <w:tcW w:w="1199" w:type="pct"/>
            <w:vAlign w:val="center"/>
          </w:tcPr>
          <w:p w14:paraId="351E4462" w14:textId="61374C11" w:rsidR="00412811" w:rsidRPr="00007450" w:rsidRDefault="00412811" w:rsidP="00864C4B">
            <w:pPr>
              <w:pStyle w:val="TableText0"/>
              <w:jc w:val="center"/>
            </w:pPr>
            <w:r w:rsidRPr="00007450">
              <w:t>$</w:t>
            </w:r>
            <w:r w:rsidR="00E44B9A" w:rsidRPr="00E44B9A">
              <w:rPr>
                <w:color w:val="000000"/>
                <w:spacing w:val="53"/>
                <w:shd w:val="solid" w:color="000000" w:fill="000000"/>
                <w:fitText w:val="330" w:id="-628909553"/>
                <w14:textFill>
                  <w14:solidFill>
                    <w14:srgbClr w14:val="000000">
                      <w14:alpha w14:val="100000"/>
                    </w14:srgbClr>
                  </w14:solidFill>
                </w14:textFill>
              </w:rPr>
              <w:t>|||</w:t>
            </w:r>
            <w:r w:rsidR="00E44B9A" w:rsidRPr="00E44B9A">
              <w:rPr>
                <w:color w:val="000000"/>
                <w:spacing w:val="1"/>
                <w:shd w:val="solid" w:color="000000" w:fill="000000"/>
                <w:fitText w:val="330" w:id="-628909553"/>
                <w14:textFill>
                  <w14:solidFill>
                    <w14:srgbClr w14:val="000000">
                      <w14:alpha w14:val="100000"/>
                    </w14:srgbClr>
                  </w14:solidFill>
                </w14:textFill>
              </w:rPr>
              <w:t>|</w:t>
            </w:r>
          </w:p>
        </w:tc>
        <w:tc>
          <w:tcPr>
            <w:tcW w:w="1198" w:type="pct"/>
            <w:vAlign w:val="center"/>
          </w:tcPr>
          <w:p w14:paraId="65323845" w14:textId="6769B626" w:rsidR="00412811" w:rsidRPr="00007450" w:rsidRDefault="00412811" w:rsidP="00864C4B">
            <w:pPr>
              <w:pStyle w:val="TableText0"/>
              <w:jc w:val="center"/>
            </w:pPr>
            <w:r w:rsidRPr="00007450">
              <w:t>$</w:t>
            </w:r>
            <w:r w:rsidR="00E44B9A" w:rsidRPr="00E44B9A">
              <w:rPr>
                <w:color w:val="000000"/>
                <w:spacing w:val="53"/>
                <w:shd w:val="solid" w:color="000000" w:fill="000000"/>
                <w:fitText w:val="330" w:id="-628909552"/>
                <w14:textFill>
                  <w14:solidFill>
                    <w14:srgbClr w14:val="000000">
                      <w14:alpha w14:val="100000"/>
                    </w14:srgbClr>
                  </w14:solidFill>
                </w14:textFill>
              </w:rPr>
              <w:t>|||</w:t>
            </w:r>
            <w:r w:rsidR="00E44B9A" w:rsidRPr="00E44B9A">
              <w:rPr>
                <w:color w:val="000000"/>
                <w:spacing w:val="1"/>
                <w:shd w:val="solid" w:color="000000" w:fill="000000"/>
                <w:fitText w:val="330" w:id="-628909552"/>
                <w14:textFill>
                  <w14:solidFill>
                    <w14:srgbClr w14:val="000000">
                      <w14:alpha w14:val="100000"/>
                    </w14:srgbClr>
                  </w14:solidFill>
                </w14:textFill>
              </w:rPr>
              <w:t>|</w:t>
            </w:r>
          </w:p>
        </w:tc>
        <w:tc>
          <w:tcPr>
            <w:tcW w:w="1201" w:type="pct"/>
            <w:vAlign w:val="center"/>
          </w:tcPr>
          <w:p w14:paraId="52A592A5" w14:textId="5A60B456" w:rsidR="00412811" w:rsidRPr="00007450" w:rsidRDefault="00412811" w:rsidP="00864C4B">
            <w:pPr>
              <w:pStyle w:val="TableText0"/>
              <w:jc w:val="center"/>
            </w:pPr>
            <w:r w:rsidRPr="00007450">
              <w:t>$</w:t>
            </w:r>
            <w:r w:rsidR="00E44B9A" w:rsidRPr="00E44B9A">
              <w:rPr>
                <w:color w:val="000000"/>
                <w:spacing w:val="53"/>
                <w:shd w:val="solid" w:color="000000" w:fill="000000"/>
                <w:fitText w:val="330" w:id="-628909568"/>
                <w14:textFill>
                  <w14:solidFill>
                    <w14:srgbClr w14:val="000000">
                      <w14:alpha w14:val="100000"/>
                    </w14:srgbClr>
                  </w14:solidFill>
                </w14:textFill>
              </w:rPr>
              <w:t>|||</w:t>
            </w:r>
            <w:r w:rsidR="00E44B9A" w:rsidRPr="00E44B9A">
              <w:rPr>
                <w:color w:val="000000"/>
                <w:spacing w:val="1"/>
                <w:shd w:val="solid" w:color="000000" w:fill="000000"/>
                <w:fitText w:val="330" w:id="-628909568"/>
                <w14:textFill>
                  <w14:solidFill>
                    <w14:srgbClr w14:val="000000">
                      <w14:alpha w14:val="100000"/>
                    </w14:srgbClr>
                  </w14:solidFill>
                </w14:textFill>
              </w:rPr>
              <w:t>|</w:t>
            </w:r>
          </w:p>
        </w:tc>
      </w:tr>
    </w:tbl>
    <w:p w14:paraId="1CBA18D2" w14:textId="40E2E5AD" w:rsidR="00412811" w:rsidRPr="00007450" w:rsidRDefault="00412811" w:rsidP="00864C4B">
      <w:pPr>
        <w:pStyle w:val="TableFigureFooter"/>
      </w:pPr>
      <w:r w:rsidRPr="00007450">
        <w:t>Source: Constructed during the evaluation from the “Kisqali (ribociclib) - eBC N0N1 - CEA” and ‘Kisqali (ribociclib) - eBC N0N1 – UCM.xlsx’ workbooks included in the submission.</w:t>
      </w:r>
    </w:p>
    <w:p w14:paraId="2A56E27E" w14:textId="77777777" w:rsidR="00412811" w:rsidRPr="00007450" w:rsidRDefault="00412811" w:rsidP="00864C4B">
      <w:pPr>
        <w:pStyle w:val="TableFigureFooter"/>
      </w:pPr>
      <w:r w:rsidRPr="00007450">
        <w:rPr>
          <w:vertAlign w:val="superscript"/>
        </w:rPr>
        <w:t xml:space="preserve">a </w:t>
      </w:r>
      <w:r w:rsidRPr="00007450">
        <w:t xml:space="preserve">At the April 2024 data cutoff in the NATALEE trial, all patients in the ribociclib + ET arm either completed or discontinued ribociclib adjuvant therapy. The treatment duration for ribociclib was estimated based on the time to treatment discontinuation curve from the trial and was half-cycle adjusted. </w:t>
      </w:r>
    </w:p>
    <w:p w14:paraId="623BCA12" w14:textId="77777777" w:rsidR="00412811" w:rsidRPr="00007450" w:rsidRDefault="00412811" w:rsidP="00864C4B">
      <w:pPr>
        <w:pStyle w:val="TableFigureFooter"/>
      </w:pPr>
      <w:r w:rsidRPr="00007450">
        <w:rPr>
          <w:vertAlign w:val="superscript"/>
        </w:rPr>
        <w:t>b</w:t>
      </w:r>
      <w:r w:rsidRPr="00007450">
        <w:t xml:space="preserve"> Based on 118.19 weeks of treatment, equivalent to 2.27 years on treatment, assuming 12.59 scripts per year (13.04 28-day cycles per year, assuming 96.52% compliance). </w:t>
      </w:r>
    </w:p>
    <w:p w14:paraId="2AC40DA0" w14:textId="14BE549B" w:rsidR="00412811" w:rsidRPr="00007450" w:rsidRDefault="00412811" w:rsidP="00864C4B">
      <w:pPr>
        <w:pStyle w:val="TableFigureFooter"/>
      </w:pPr>
      <w:r w:rsidRPr="00007450">
        <w:rPr>
          <w:vertAlign w:val="superscript"/>
        </w:rPr>
        <w:t>c</w:t>
      </w:r>
      <w:r w:rsidRPr="00007450">
        <w:t xml:space="preserve"> The average cost per 28-day cycle was estimated by applying trial reported relative dose intensity (83.4%) to the cost per pack of 42 × 200 mg ribociclib ($</w:t>
      </w:r>
      <w:r w:rsidR="00E44B9A" w:rsidRPr="004A2F0E">
        <w:rPr>
          <w:color w:val="000000"/>
          <w:spacing w:val="81"/>
          <w:shd w:val="solid" w:color="000000" w:fill="000000"/>
          <w:fitText w:val="280" w:id="-628909567"/>
          <w14:textFill>
            <w14:solidFill>
              <w14:srgbClr w14:val="000000">
                <w14:alpha w14:val="100000"/>
              </w14:srgbClr>
            </w14:solidFill>
          </w14:textFill>
        </w:rPr>
        <w:t>|</w:t>
      </w:r>
      <w:r w:rsidR="004A2F0E" w:rsidRPr="004A2F0E">
        <w:rPr>
          <w:color w:val="000000"/>
          <w:spacing w:val="81"/>
          <w:shd w:val="solid" w:color="000000" w:fill="000000"/>
          <w:fitText w:val="280" w:id="-628909567"/>
          <w14:textFill>
            <w14:solidFill>
              <w14:srgbClr w14:val="000000">
                <w14:alpha w14:val="100000"/>
              </w14:srgbClr>
            </w14:solidFill>
          </w14:textFill>
        </w:rPr>
        <w:t xml:space="preserve"> </w:t>
      </w:r>
      <w:r w:rsidR="00E44B9A" w:rsidRPr="004A2F0E">
        <w:rPr>
          <w:color w:val="000000"/>
          <w:spacing w:val="1"/>
          <w:shd w:val="solid" w:color="000000" w:fill="000000"/>
          <w:fitText w:val="280" w:id="-628909567"/>
          <w14:textFill>
            <w14:solidFill>
              <w14:srgbClr w14:val="000000">
                <w14:alpha w14:val="100000"/>
              </w14:srgbClr>
            </w14:solidFill>
          </w14:textFill>
        </w:rPr>
        <w:t>|</w:t>
      </w:r>
      <w:r w:rsidRPr="00007450">
        <w:t xml:space="preserve">) </w:t>
      </w:r>
    </w:p>
    <w:p w14:paraId="3E4B7AFB" w14:textId="0CF82F92" w:rsidR="00412811" w:rsidRPr="00007450" w:rsidRDefault="00412811" w:rsidP="00864C4B">
      <w:pPr>
        <w:pStyle w:val="TableFigureFooter"/>
      </w:pPr>
      <w:r w:rsidRPr="00007450">
        <w:rPr>
          <w:vertAlign w:val="superscript"/>
        </w:rPr>
        <w:t>d</w:t>
      </w:r>
      <w:r w:rsidRPr="00007450">
        <w:t xml:space="preserve"> The average cost per script was estimated assuming 27.2% of scripts were for the lower pack size i.e. 27.2% × $</w:t>
      </w:r>
      <w:r w:rsidR="00E44B9A" w:rsidRPr="004A2F0E">
        <w:rPr>
          <w:color w:val="000000"/>
          <w:spacing w:val="73"/>
          <w:shd w:val="solid" w:color="000000" w:fill="000000"/>
          <w:fitText w:val="265" w:id="-628909566"/>
          <w14:textFill>
            <w14:solidFill>
              <w14:srgbClr w14:val="000000">
                <w14:alpha w14:val="100000"/>
              </w14:srgbClr>
            </w14:solidFill>
          </w14:textFill>
        </w:rPr>
        <w:t>|</w:t>
      </w:r>
      <w:r w:rsidR="004A2F0E" w:rsidRPr="004A2F0E">
        <w:rPr>
          <w:color w:val="000000"/>
          <w:spacing w:val="73"/>
          <w:shd w:val="solid" w:color="000000" w:fill="000000"/>
          <w:fitText w:val="265" w:id="-628909566"/>
          <w14:textFill>
            <w14:solidFill>
              <w14:srgbClr w14:val="000000">
                <w14:alpha w14:val="100000"/>
              </w14:srgbClr>
            </w14:solidFill>
          </w14:textFill>
        </w:rPr>
        <w:t xml:space="preserve"> </w:t>
      </w:r>
      <w:r w:rsidR="00E44B9A" w:rsidRPr="004A2F0E">
        <w:rPr>
          <w:color w:val="000000"/>
          <w:spacing w:val="2"/>
          <w:shd w:val="solid" w:color="000000" w:fill="000000"/>
          <w:fitText w:val="265" w:id="-628909566"/>
          <w14:textFill>
            <w14:solidFill>
              <w14:srgbClr w14:val="000000">
                <w14:alpha w14:val="100000"/>
              </w14:srgbClr>
            </w14:solidFill>
          </w14:textFill>
        </w:rPr>
        <w:t>|</w:t>
      </w:r>
      <w:r w:rsidRPr="00007450">
        <w:t xml:space="preserve"> + 72.8% × $</w:t>
      </w:r>
      <w:r w:rsidR="00E44B9A" w:rsidRPr="004A2F0E">
        <w:rPr>
          <w:color w:val="000000"/>
          <w:spacing w:val="81"/>
          <w:shd w:val="solid" w:color="000000" w:fill="000000"/>
          <w:fitText w:val="280" w:id="-628909565"/>
          <w14:textFill>
            <w14:solidFill>
              <w14:srgbClr w14:val="000000">
                <w14:alpha w14:val="100000"/>
              </w14:srgbClr>
            </w14:solidFill>
          </w14:textFill>
        </w:rPr>
        <w:t>|</w:t>
      </w:r>
      <w:r w:rsidR="004A2F0E" w:rsidRPr="004A2F0E">
        <w:rPr>
          <w:color w:val="000000"/>
          <w:spacing w:val="81"/>
          <w:shd w:val="solid" w:color="000000" w:fill="000000"/>
          <w:fitText w:val="280" w:id="-628909565"/>
          <w14:textFill>
            <w14:solidFill>
              <w14:srgbClr w14:val="000000">
                <w14:alpha w14:val="100000"/>
              </w14:srgbClr>
            </w14:solidFill>
          </w14:textFill>
        </w:rPr>
        <w:t xml:space="preserve"> </w:t>
      </w:r>
      <w:r w:rsidR="00E44B9A" w:rsidRPr="004A2F0E">
        <w:rPr>
          <w:color w:val="000000"/>
          <w:spacing w:val="1"/>
          <w:shd w:val="solid" w:color="000000" w:fill="000000"/>
          <w:fitText w:val="280" w:id="-628909565"/>
          <w14:textFill>
            <w14:solidFill>
              <w14:srgbClr w14:val="000000">
                <w14:alpha w14:val="100000"/>
              </w14:srgbClr>
            </w14:solidFill>
          </w14:textFill>
        </w:rPr>
        <w:t>|</w:t>
      </w:r>
    </w:p>
    <w:p w14:paraId="70B9D070" w14:textId="51EDD7D0" w:rsidR="00412811" w:rsidRPr="00007450" w:rsidRDefault="00412811" w:rsidP="00864C4B">
      <w:pPr>
        <w:pStyle w:val="3-BodyText"/>
        <w:rPr>
          <w:color w:val="0066FF"/>
        </w:rPr>
      </w:pPr>
      <w:bookmarkStart w:id="79" w:name="_Hlk107307804"/>
      <w:r w:rsidRPr="00007450">
        <w:t>Use of ET was assumed to vary with or without ribociclib use. In the economic evaluation, the drug cost for ET was estimated to the $</w:t>
      </w:r>
      <w:r w:rsidR="00E44B9A" w:rsidRPr="004A2F0E">
        <w:rPr>
          <w:color w:val="000000"/>
          <w:spacing w:val="6"/>
          <w:w w:val="59"/>
          <w:shd w:val="solid" w:color="000000" w:fill="000000"/>
          <w:fitText w:val="460" w:id="-628909564"/>
          <w14:textFill>
            <w14:solidFill>
              <w14:srgbClr w14:val="000000">
                <w14:alpha w14:val="100000"/>
              </w14:srgbClr>
            </w14:solidFill>
          </w14:textFill>
        </w:rPr>
        <w:t>|||</w:t>
      </w:r>
      <w:r w:rsidR="004A2F0E" w:rsidRPr="004A2F0E">
        <w:rPr>
          <w:color w:val="000000"/>
          <w:spacing w:val="6"/>
          <w:w w:val="59"/>
          <w:shd w:val="solid" w:color="000000" w:fill="000000"/>
          <w:fitText w:val="460" w:id="-628909564"/>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564"/>
          <w14:textFill>
            <w14:solidFill>
              <w14:srgbClr w14:val="000000">
                <w14:alpha w14:val="100000"/>
              </w14:srgbClr>
            </w14:solidFill>
          </w14:textFill>
        </w:rPr>
        <w:t>||</w:t>
      </w:r>
      <w:r w:rsidR="00E44B9A" w:rsidRPr="004A2F0E">
        <w:rPr>
          <w:color w:val="000000"/>
          <w:spacing w:val="2"/>
          <w:w w:val="59"/>
          <w:shd w:val="solid" w:color="000000" w:fill="000000"/>
          <w:fitText w:val="460" w:id="-628909564"/>
          <w14:textFill>
            <w14:solidFill>
              <w14:srgbClr w14:val="000000">
                <w14:alpha w14:val="100000"/>
              </w14:srgbClr>
            </w14:solidFill>
          </w14:textFill>
        </w:rPr>
        <w:t>|</w:t>
      </w:r>
      <w:r w:rsidRPr="00007450">
        <w:t xml:space="preserve"> in the ribociclib + ET arm and $</w:t>
      </w:r>
      <w:r w:rsidR="00E44B9A" w:rsidRPr="004A2F0E">
        <w:rPr>
          <w:color w:val="000000"/>
          <w:spacing w:val="6"/>
          <w:w w:val="61"/>
          <w:shd w:val="solid" w:color="000000" w:fill="000000"/>
          <w:fitText w:val="475" w:id="-628909563"/>
          <w14:textFill>
            <w14:solidFill>
              <w14:srgbClr w14:val="000000">
                <w14:alpha w14:val="100000"/>
              </w14:srgbClr>
            </w14:solidFill>
          </w14:textFill>
        </w:rPr>
        <w:t>|||</w:t>
      </w:r>
      <w:r w:rsidR="004A2F0E" w:rsidRPr="004A2F0E">
        <w:rPr>
          <w:color w:val="000000"/>
          <w:spacing w:val="6"/>
          <w:w w:val="61"/>
          <w:shd w:val="solid" w:color="000000" w:fill="000000"/>
          <w:fitText w:val="475" w:id="-628909563"/>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563"/>
          <w14:textFill>
            <w14:solidFill>
              <w14:srgbClr w14:val="000000">
                <w14:alpha w14:val="100000"/>
              </w14:srgbClr>
            </w14:solidFill>
          </w14:textFill>
        </w:rPr>
        <w:t>||</w:t>
      </w:r>
      <w:r w:rsidR="00E44B9A" w:rsidRPr="004A2F0E">
        <w:rPr>
          <w:color w:val="000000"/>
          <w:spacing w:val="3"/>
          <w:w w:val="61"/>
          <w:shd w:val="solid" w:color="000000" w:fill="000000"/>
          <w:fitText w:val="475" w:id="-628909563"/>
          <w14:textFill>
            <w14:solidFill>
              <w14:srgbClr w14:val="000000">
                <w14:alpha w14:val="100000"/>
              </w14:srgbClr>
            </w14:solidFill>
          </w14:textFill>
        </w:rPr>
        <w:t>|</w:t>
      </w:r>
      <w:r w:rsidRPr="00007450">
        <w:t xml:space="preserve"> in the ET alone arm. This was based on the trial TTD curve for ET after half-cycle adjustment (215.3 weeks in the ribociclib + ET arm and 210.9 weeks in the ET alone arm), the distribution of ET agents, and the RDI of ET agents, with and without </w:t>
      </w:r>
      <w:r w:rsidRPr="00007450">
        <w:lastRenderedPageBreak/>
        <w:t>ribociclib use. The average cost per course for ET as estimated in the financial analysis was slightly higher than that in the economic evaluation, being $</w:t>
      </w:r>
      <w:r w:rsidR="00E44B9A" w:rsidRPr="004A2F0E">
        <w:rPr>
          <w:color w:val="000000"/>
          <w:spacing w:val="6"/>
          <w:w w:val="59"/>
          <w:shd w:val="solid" w:color="000000" w:fill="000000"/>
          <w:fitText w:val="460" w:id="-628909562"/>
          <w14:textFill>
            <w14:solidFill>
              <w14:srgbClr w14:val="000000">
                <w14:alpha w14:val="100000"/>
              </w14:srgbClr>
            </w14:solidFill>
          </w14:textFill>
        </w:rPr>
        <w:t>|||</w:t>
      </w:r>
      <w:r w:rsidR="004A2F0E" w:rsidRPr="004A2F0E">
        <w:rPr>
          <w:color w:val="000000"/>
          <w:spacing w:val="6"/>
          <w:w w:val="59"/>
          <w:shd w:val="solid" w:color="000000" w:fill="000000"/>
          <w:fitText w:val="460" w:id="-628909562"/>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562"/>
          <w14:textFill>
            <w14:solidFill>
              <w14:srgbClr w14:val="000000">
                <w14:alpha w14:val="100000"/>
              </w14:srgbClr>
            </w14:solidFill>
          </w14:textFill>
        </w:rPr>
        <w:t>||</w:t>
      </w:r>
      <w:r w:rsidR="00E44B9A" w:rsidRPr="004A2F0E">
        <w:rPr>
          <w:color w:val="000000"/>
          <w:spacing w:val="2"/>
          <w:w w:val="59"/>
          <w:shd w:val="solid" w:color="000000" w:fill="000000"/>
          <w:fitText w:val="460" w:id="-628909562"/>
          <w14:textFill>
            <w14:solidFill>
              <w14:srgbClr w14:val="000000">
                <w14:alpha w14:val="100000"/>
              </w14:srgbClr>
            </w14:solidFill>
          </w14:textFill>
        </w:rPr>
        <w:t>|</w:t>
      </w:r>
      <w:r w:rsidRPr="00007450">
        <w:t xml:space="preserve"> in the ribociclib + ET arm and $</w:t>
      </w:r>
      <w:r w:rsidR="00E44B9A" w:rsidRPr="004A2F0E">
        <w:rPr>
          <w:color w:val="000000"/>
          <w:spacing w:val="6"/>
          <w:w w:val="59"/>
          <w:shd w:val="solid" w:color="000000" w:fill="000000"/>
          <w:fitText w:val="460" w:id="-628909561"/>
          <w14:textFill>
            <w14:solidFill>
              <w14:srgbClr w14:val="000000">
                <w14:alpha w14:val="100000"/>
              </w14:srgbClr>
            </w14:solidFill>
          </w14:textFill>
        </w:rPr>
        <w:t>|||</w:t>
      </w:r>
      <w:r w:rsidR="004A2F0E" w:rsidRPr="004A2F0E">
        <w:rPr>
          <w:color w:val="000000"/>
          <w:spacing w:val="6"/>
          <w:w w:val="59"/>
          <w:shd w:val="solid" w:color="000000" w:fill="000000"/>
          <w:fitText w:val="460" w:id="-628909561"/>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561"/>
          <w14:textFill>
            <w14:solidFill>
              <w14:srgbClr w14:val="000000">
                <w14:alpha w14:val="100000"/>
              </w14:srgbClr>
            </w14:solidFill>
          </w14:textFill>
        </w:rPr>
        <w:t>||</w:t>
      </w:r>
      <w:r w:rsidR="00E44B9A" w:rsidRPr="004A2F0E">
        <w:rPr>
          <w:color w:val="000000"/>
          <w:spacing w:val="2"/>
          <w:w w:val="59"/>
          <w:shd w:val="solid" w:color="000000" w:fill="000000"/>
          <w:fitText w:val="460" w:id="-628909561"/>
          <w14:textFill>
            <w14:solidFill>
              <w14:srgbClr w14:val="000000">
                <w14:alpha w14:val="100000"/>
              </w14:srgbClr>
            </w14:solidFill>
          </w14:textFill>
        </w:rPr>
        <w:t>|</w:t>
      </w:r>
      <w:r w:rsidRPr="00007450">
        <w:t xml:space="preserve"> in the ET alone arm. This was primary due to the removal of </w:t>
      </w:r>
      <w:r w:rsidR="00860028">
        <w:t xml:space="preserve">the </w:t>
      </w:r>
      <w:r w:rsidRPr="00007450">
        <w:t xml:space="preserve">half-cycle correction in the financial estimates. Due to the benefit of ribociclib in extending iDFS observed in the trial, the </w:t>
      </w:r>
      <w:r w:rsidR="00F3296F">
        <w:t xml:space="preserve">evaluation considered that a </w:t>
      </w:r>
      <w:r w:rsidRPr="00007450">
        <w:t xml:space="preserve">longer duration of ET </w:t>
      </w:r>
      <w:r w:rsidR="00860028">
        <w:t>appeared</w:t>
      </w:r>
      <w:r w:rsidR="00860028" w:rsidRPr="00007450">
        <w:t xml:space="preserve"> </w:t>
      </w:r>
      <w:r w:rsidRPr="00007450">
        <w:t xml:space="preserve">reasonable, however it was not clear whether the differences observed in the trial with respect to distribution of agent or compliance would be realised. </w:t>
      </w:r>
    </w:p>
    <w:p w14:paraId="268768EF" w14:textId="3626F292" w:rsidR="00B60939" w:rsidRPr="00007450" w:rsidRDefault="00B60939" w:rsidP="00864C4B">
      <w:pPr>
        <w:pStyle w:val="4-SubsectionHeading"/>
      </w:pPr>
      <w:bookmarkStart w:id="80" w:name="_Toc198724447"/>
      <w:bookmarkEnd w:id="79"/>
      <w:r w:rsidRPr="00007450">
        <w:t>Estimated PBS usage &amp; financial implications</w:t>
      </w:r>
      <w:bookmarkEnd w:id="76"/>
      <w:bookmarkEnd w:id="80"/>
    </w:p>
    <w:p w14:paraId="725598E2" w14:textId="05190C71" w:rsidR="001D523F" w:rsidRPr="00007450" w:rsidRDefault="001D523F" w:rsidP="00864C4B">
      <w:pPr>
        <w:pStyle w:val="3-BodyText"/>
      </w:pPr>
      <w:bookmarkStart w:id="81" w:name="_Toc22897648"/>
      <w:r w:rsidRPr="00007450">
        <w:t xml:space="preserve">This submission </w:t>
      </w:r>
      <w:r w:rsidR="00AA0A0F" w:rsidRPr="00007450">
        <w:t>was</w:t>
      </w:r>
      <w:r w:rsidRPr="00007450">
        <w:t xml:space="preserve"> not considered by DUSC. The submission used an epidemiological approach to estimate the number of incident patients each year who would be eligible for </w:t>
      </w:r>
      <w:r w:rsidR="00D773AB" w:rsidRPr="00007450">
        <w:t xml:space="preserve">the </w:t>
      </w:r>
      <w:r w:rsidRPr="00007450">
        <w:t xml:space="preserve">proposed ribociclib treatment. A summary of the data sources and parameter values used to estimate the utilisation and financial implications associated with the proposed listing of ribociclib for the adjuvant treatment of eBC is presented in </w:t>
      </w:r>
      <w:r w:rsidRPr="00007450">
        <w:fldChar w:fldCharType="begin"/>
      </w:r>
      <w:r w:rsidRPr="00007450">
        <w:instrText xml:space="preserve"> REF _Ref104805262 \h  \* MERGEFORMAT </w:instrText>
      </w:r>
      <w:r w:rsidRPr="00007450">
        <w:fldChar w:fldCharType="separate"/>
      </w:r>
      <w:r w:rsidR="00B36442" w:rsidRPr="00007450">
        <w:t xml:space="preserve">Table </w:t>
      </w:r>
      <w:r w:rsidR="00B36442">
        <w:t>17</w:t>
      </w:r>
      <w:r w:rsidRPr="00007450">
        <w:fldChar w:fldCharType="end"/>
      </w:r>
      <w:r w:rsidRPr="00007450">
        <w:t>.</w:t>
      </w:r>
    </w:p>
    <w:p w14:paraId="58D6FB41" w14:textId="0FBE6DEF" w:rsidR="001D523F" w:rsidRPr="00007450" w:rsidRDefault="001D523F" w:rsidP="00864C4B">
      <w:pPr>
        <w:pStyle w:val="TableFigureHeading"/>
        <w:rPr>
          <w:rStyle w:val="CommentReference"/>
          <w:b/>
          <w:szCs w:val="24"/>
        </w:rPr>
      </w:pPr>
      <w:bookmarkStart w:id="82" w:name="_Ref104805262"/>
      <w:r w:rsidRPr="00007450">
        <w:t xml:space="preserve">Table </w:t>
      </w:r>
      <w:r w:rsidR="001C7776">
        <w:fldChar w:fldCharType="begin"/>
      </w:r>
      <w:r w:rsidR="001C7776">
        <w:instrText xml:space="preserve"> SEQ Table \* ARABIC </w:instrText>
      </w:r>
      <w:r w:rsidR="001C7776">
        <w:fldChar w:fldCharType="separate"/>
      </w:r>
      <w:r w:rsidR="00B36442">
        <w:rPr>
          <w:noProof/>
        </w:rPr>
        <w:t>17</w:t>
      </w:r>
      <w:r w:rsidR="001C7776">
        <w:rPr>
          <w:noProof/>
        </w:rPr>
        <w:fldChar w:fldCharType="end"/>
      </w:r>
      <w:bookmarkEnd w:id="82"/>
      <w:r w:rsidRPr="00007450">
        <w:t>:</w:t>
      </w:r>
      <w:r w:rsidRPr="00007450">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840"/>
        <w:gridCol w:w="3118"/>
        <w:gridCol w:w="4059"/>
      </w:tblGrid>
      <w:tr w:rsidR="001D523F" w:rsidRPr="00007450" w14:paraId="206FD294" w14:textId="77777777" w:rsidTr="004374A5">
        <w:trPr>
          <w:cantSplit/>
          <w:tblHeader/>
        </w:trPr>
        <w:tc>
          <w:tcPr>
            <w:tcW w:w="1020" w:type="pct"/>
          </w:tcPr>
          <w:p w14:paraId="4A71CED8" w14:textId="77777777" w:rsidR="001D523F" w:rsidRPr="00007450" w:rsidRDefault="001D523F" w:rsidP="00864C4B">
            <w:pPr>
              <w:pStyle w:val="In-tableHeading"/>
              <w:keepNext w:val="0"/>
              <w:rPr>
                <w:lang w:val="en-AU"/>
              </w:rPr>
            </w:pPr>
            <w:r w:rsidRPr="00007450">
              <w:rPr>
                <w:lang w:val="en-AU"/>
              </w:rPr>
              <w:t>Parameter</w:t>
            </w:r>
          </w:p>
        </w:tc>
        <w:tc>
          <w:tcPr>
            <w:tcW w:w="1729" w:type="pct"/>
          </w:tcPr>
          <w:p w14:paraId="0B191355" w14:textId="77777777" w:rsidR="001D523F" w:rsidRPr="00007450" w:rsidRDefault="001D523F" w:rsidP="00864C4B">
            <w:pPr>
              <w:pStyle w:val="In-tableHeading"/>
              <w:keepNext w:val="0"/>
              <w:rPr>
                <w:lang w:val="en-AU"/>
              </w:rPr>
            </w:pPr>
            <w:r w:rsidRPr="00007450">
              <w:rPr>
                <w:lang w:val="en-AU"/>
              </w:rPr>
              <w:t>Value applied and source</w:t>
            </w:r>
          </w:p>
        </w:tc>
        <w:tc>
          <w:tcPr>
            <w:tcW w:w="2251" w:type="pct"/>
          </w:tcPr>
          <w:p w14:paraId="5C0755B4" w14:textId="1933FBEC" w:rsidR="001D523F" w:rsidRPr="00007450" w:rsidRDefault="001D523F" w:rsidP="00864C4B">
            <w:pPr>
              <w:pStyle w:val="In-tableHeading"/>
              <w:keepNext w:val="0"/>
              <w:rPr>
                <w:lang w:val="en-AU"/>
              </w:rPr>
            </w:pPr>
            <w:r w:rsidRPr="00007450">
              <w:rPr>
                <w:lang w:val="en-AU"/>
              </w:rPr>
              <w:t>Comment</w:t>
            </w:r>
            <w:r w:rsidR="00EC3066" w:rsidRPr="00007450">
              <w:rPr>
                <w:lang w:val="en-AU"/>
              </w:rPr>
              <w:t xml:space="preserve"> </w:t>
            </w:r>
            <w:r w:rsidR="00EC3066" w:rsidRPr="0042249F">
              <w:rPr>
                <w:lang w:val="en-AU"/>
              </w:rPr>
              <w:t>from the evaluation</w:t>
            </w:r>
          </w:p>
        </w:tc>
      </w:tr>
      <w:tr w:rsidR="001D523F" w:rsidRPr="00007450" w14:paraId="3664A80D" w14:textId="77777777" w:rsidTr="004374A5">
        <w:trPr>
          <w:cantSplit/>
        </w:trPr>
        <w:tc>
          <w:tcPr>
            <w:tcW w:w="1020" w:type="pct"/>
          </w:tcPr>
          <w:p w14:paraId="7CEE38BA" w14:textId="7B51D826" w:rsidR="001D523F" w:rsidRPr="00007450" w:rsidRDefault="001D523F" w:rsidP="00864C4B">
            <w:pPr>
              <w:pStyle w:val="TableText0"/>
              <w:keepNext w:val="0"/>
            </w:pPr>
            <w:r w:rsidRPr="00007450">
              <w:t>Breast cancer incidence (in women), 2016</w:t>
            </w:r>
            <w:r w:rsidR="00E34515" w:rsidRPr="00007450">
              <w:t xml:space="preserve"> and 2020</w:t>
            </w:r>
          </w:p>
        </w:tc>
        <w:tc>
          <w:tcPr>
            <w:tcW w:w="1729" w:type="pct"/>
          </w:tcPr>
          <w:p w14:paraId="0F030226" w14:textId="4214945A" w:rsidR="00E34515" w:rsidRPr="00007450" w:rsidRDefault="00E34515" w:rsidP="00864C4B">
            <w:pPr>
              <w:pStyle w:val="TableText0"/>
              <w:keepNext w:val="0"/>
            </w:pPr>
            <w:r w:rsidRPr="00007450">
              <w:t xml:space="preserve">2016: </w:t>
            </w:r>
            <w:r w:rsidR="001D523F" w:rsidRPr="00007450">
              <w:t xml:space="preserve">17,354 </w:t>
            </w:r>
            <w:r w:rsidR="0015605B" w:rsidRPr="00007450">
              <w:t>(reported)</w:t>
            </w:r>
          </w:p>
          <w:p w14:paraId="0C490EC4" w14:textId="7B7CB30A" w:rsidR="00E34515" w:rsidRPr="00007450" w:rsidRDefault="00E34515" w:rsidP="00864C4B">
            <w:pPr>
              <w:pStyle w:val="TableText0"/>
              <w:keepNext w:val="0"/>
            </w:pPr>
            <w:r w:rsidRPr="00007450">
              <w:t>2020: 19,807</w:t>
            </w:r>
            <w:r w:rsidR="0015605B" w:rsidRPr="00007450">
              <w:t xml:space="preserve"> (projected)</w:t>
            </w:r>
          </w:p>
          <w:p w14:paraId="5A0323EA" w14:textId="0F80EFEC" w:rsidR="001D523F" w:rsidRPr="00007450" w:rsidRDefault="001D523F" w:rsidP="00864C4B">
            <w:pPr>
              <w:pStyle w:val="TableText0"/>
              <w:keepNext w:val="0"/>
            </w:pPr>
            <w:r w:rsidRPr="00007450">
              <w:t>(BreastScreen Australia monitoring report 2020)</w:t>
            </w:r>
            <w:bookmarkStart w:id="83" w:name="_Ref198281750"/>
            <w:r w:rsidR="00BD664B" w:rsidRPr="00007450">
              <w:rPr>
                <w:rStyle w:val="FootnoteReference"/>
              </w:rPr>
              <w:footnoteReference w:id="19"/>
            </w:r>
            <w:bookmarkEnd w:id="83"/>
          </w:p>
        </w:tc>
        <w:tc>
          <w:tcPr>
            <w:tcW w:w="2251" w:type="pct"/>
          </w:tcPr>
          <w:p w14:paraId="4585BB06" w14:textId="4C2E7FD2" w:rsidR="001D523F" w:rsidRPr="00007450" w:rsidRDefault="00A70443" w:rsidP="00864C4B">
            <w:pPr>
              <w:pStyle w:val="TableText0"/>
              <w:keepNext w:val="0"/>
            </w:pPr>
            <w:r w:rsidRPr="00007450">
              <w:t>A more recent</w:t>
            </w:r>
            <w:r w:rsidR="001D523F" w:rsidRPr="00007450">
              <w:t xml:space="preserve"> AIHW</w:t>
            </w:r>
            <w:bookmarkStart w:id="84" w:name="_Ref198280852"/>
            <w:r w:rsidR="00BD664B" w:rsidRPr="00007450">
              <w:rPr>
                <w:rStyle w:val="FootnoteReference"/>
              </w:rPr>
              <w:footnoteReference w:id="20"/>
            </w:r>
            <w:bookmarkEnd w:id="84"/>
            <w:r w:rsidR="001D523F" w:rsidRPr="00007450">
              <w:t xml:space="preserve"> </w:t>
            </w:r>
            <w:r w:rsidR="00B25146" w:rsidRPr="00007450">
              <w:t>report</w:t>
            </w:r>
            <w:r w:rsidRPr="00007450">
              <w:t xml:space="preserve"> </w:t>
            </w:r>
            <w:r w:rsidR="001D523F" w:rsidRPr="00007450">
              <w:t>published breast cancer incidence projections to 2024 which may be more reliable</w:t>
            </w:r>
            <w:r w:rsidR="006D5CE2" w:rsidRPr="00007450">
              <w:t>, as it is based on latest population estimates and incidence of breast cancer</w:t>
            </w:r>
            <w:r w:rsidR="001D523F" w:rsidRPr="00007450">
              <w:t>.</w:t>
            </w:r>
          </w:p>
        </w:tc>
      </w:tr>
      <w:tr w:rsidR="001D523F" w:rsidRPr="00007450" w14:paraId="7DA3F789" w14:textId="77777777" w:rsidTr="004374A5">
        <w:trPr>
          <w:cantSplit/>
        </w:trPr>
        <w:tc>
          <w:tcPr>
            <w:tcW w:w="1020" w:type="pct"/>
          </w:tcPr>
          <w:p w14:paraId="4E8FD084" w14:textId="77777777" w:rsidR="001D523F" w:rsidRPr="00007450" w:rsidRDefault="001D523F" w:rsidP="00864C4B">
            <w:pPr>
              <w:pStyle w:val="TableText0"/>
              <w:keepNext w:val="0"/>
            </w:pPr>
            <w:r w:rsidRPr="00007450">
              <w:t>Annual breast cancer incidence growth rate</w:t>
            </w:r>
          </w:p>
        </w:tc>
        <w:tc>
          <w:tcPr>
            <w:tcW w:w="1729" w:type="pct"/>
          </w:tcPr>
          <w:p w14:paraId="7E3F30F7" w14:textId="4C2FA175" w:rsidR="001D523F" w:rsidRPr="00007450" w:rsidRDefault="001D523F" w:rsidP="00864C4B">
            <w:pPr>
              <w:pStyle w:val="TableText0"/>
              <w:keepNext w:val="0"/>
            </w:pPr>
            <w:r w:rsidRPr="00007450">
              <w:t>3.36%</w:t>
            </w:r>
            <w:r w:rsidR="0015605B" w:rsidRPr="00007450">
              <w:t>, calculated from reported and projected incidence 2016–2020</w:t>
            </w:r>
            <w:r w:rsidRPr="00007450">
              <w:t xml:space="preserve"> </w:t>
            </w:r>
            <w:r w:rsidR="0015605B" w:rsidRPr="00007450">
              <w:t>(BreastScreen Australia monitoring report 2020)</w:t>
            </w:r>
            <w:r w:rsidR="00B25146" w:rsidRPr="00007450">
              <w:rPr>
                <w:vertAlign w:val="superscript"/>
              </w:rPr>
              <w:fldChar w:fldCharType="begin"/>
            </w:r>
            <w:r w:rsidR="00B25146" w:rsidRPr="00007450">
              <w:rPr>
                <w:vertAlign w:val="superscript"/>
              </w:rPr>
              <w:instrText xml:space="preserve"> NOTEREF _Ref198281750 \h  \* MERGEFORMAT </w:instrText>
            </w:r>
            <w:r w:rsidR="00B25146" w:rsidRPr="00007450">
              <w:rPr>
                <w:vertAlign w:val="superscript"/>
              </w:rPr>
            </w:r>
            <w:r w:rsidR="00B25146" w:rsidRPr="00007450">
              <w:rPr>
                <w:vertAlign w:val="superscript"/>
              </w:rPr>
              <w:fldChar w:fldCharType="separate"/>
            </w:r>
            <w:r w:rsidR="00B36442">
              <w:rPr>
                <w:vertAlign w:val="superscript"/>
              </w:rPr>
              <w:t>18</w:t>
            </w:r>
            <w:r w:rsidR="00B25146" w:rsidRPr="00007450">
              <w:rPr>
                <w:vertAlign w:val="superscript"/>
              </w:rPr>
              <w:fldChar w:fldCharType="end"/>
            </w:r>
          </w:p>
        </w:tc>
        <w:tc>
          <w:tcPr>
            <w:tcW w:w="2251" w:type="pct"/>
          </w:tcPr>
          <w:p w14:paraId="59466BD7" w14:textId="134AF520" w:rsidR="001D523F" w:rsidRPr="00007450" w:rsidRDefault="000F6079" w:rsidP="00864C4B">
            <w:pPr>
              <w:pStyle w:val="TableText0"/>
              <w:keepNext w:val="0"/>
            </w:pPr>
            <w:r w:rsidRPr="00007450">
              <w:t xml:space="preserve">This estimate </w:t>
            </w:r>
            <w:r w:rsidR="006C5268" w:rsidRPr="00007450">
              <w:t>has been presented in previous submissions to the PBAC (Table 16, ribociclib PSD, November 2024 PBAC meeting; Table 15, abemaciclib PSD, November 2023 PBAC meeting)</w:t>
            </w:r>
            <w:r w:rsidR="001A336E">
              <w:t>.</w:t>
            </w:r>
            <w:r w:rsidR="006C5268" w:rsidRPr="00007450">
              <w:t xml:space="preserve"> </w:t>
            </w:r>
            <w:r w:rsidRPr="00007450">
              <w:t>However,</w:t>
            </w:r>
            <w:r w:rsidRPr="00007450">
              <w:rPr>
                <w:i/>
                <w:iCs/>
              </w:rPr>
              <w:t xml:space="preserve"> </w:t>
            </w:r>
            <w:r w:rsidRPr="00007450">
              <w:t>growth in annual incidence based on more recent AIHW data</w:t>
            </w:r>
            <w:r w:rsidR="00BD664B" w:rsidRPr="00007450">
              <w:rPr>
                <w:vertAlign w:val="superscript"/>
              </w:rPr>
              <w:fldChar w:fldCharType="begin"/>
            </w:r>
            <w:r w:rsidR="00BD664B" w:rsidRPr="00007450">
              <w:rPr>
                <w:vertAlign w:val="superscript"/>
              </w:rPr>
              <w:instrText xml:space="preserve"> NOTEREF _Ref198280852 \h  \* MERGEFORMAT </w:instrText>
            </w:r>
            <w:r w:rsidR="00BD664B" w:rsidRPr="00007450">
              <w:rPr>
                <w:vertAlign w:val="superscript"/>
              </w:rPr>
            </w:r>
            <w:r w:rsidR="00BD664B" w:rsidRPr="00007450">
              <w:rPr>
                <w:vertAlign w:val="superscript"/>
              </w:rPr>
              <w:fldChar w:fldCharType="separate"/>
            </w:r>
            <w:r w:rsidR="00B36442">
              <w:rPr>
                <w:vertAlign w:val="superscript"/>
              </w:rPr>
              <w:t>19</w:t>
            </w:r>
            <w:r w:rsidR="00BD664B" w:rsidRPr="00007450">
              <w:rPr>
                <w:vertAlign w:val="superscript"/>
              </w:rPr>
              <w:fldChar w:fldCharType="end"/>
            </w:r>
            <w:r w:rsidRPr="00007450">
              <w:t xml:space="preserve"> may be more appropriate.</w:t>
            </w:r>
          </w:p>
        </w:tc>
      </w:tr>
      <w:tr w:rsidR="001D523F" w:rsidRPr="00007450" w14:paraId="14343EAD" w14:textId="77777777" w:rsidTr="004374A5">
        <w:trPr>
          <w:cantSplit/>
        </w:trPr>
        <w:tc>
          <w:tcPr>
            <w:tcW w:w="1020" w:type="pct"/>
          </w:tcPr>
          <w:p w14:paraId="165C3A35" w14:textId="77777777" w:rsidR="001D523F" w:rsidRPr="00007450" w:rsidRDefault="001D523F" w:rsidP="00864C4B">
            <w:pPr>
              <w:pStyle w:val="TableText0"/>
              <w:keepNext w:val="0"/>
            </w:pPr>
            <w:r w:rsidRPr="00007450">
              <w:t>Proportion of patients with Stage I–III disease</w:t>
            </w:r>
          </w:p>
        </w:tc>
        <w:tc>
          <w:tcPr>
            <w:tcW w:w="1729" w:type="pct"/>
          </w:tcPr>
          <w:p w14:paraId="6B31CB68" w14:textId="58D1346F" w:rsidR="001D523F" w:rsidRPr="00007450" w:rsidRDefault="001D523F" w:rsidP="00864C4B">
            <w:pPr>
              <w:pStyle w:val="TableText0"/>
              <w:keepNext w:val="0"/>
            </w:pPr>
            <w:r w:rsidRPr="00007450">
              <w:t>95.0% (National Cancer Control Indicators 2018)</w:t>
            </w:r>
            <w:r w:rsidR="00BD664B" w:rsidRPr="00007450">
              <w:rPr>
                <w:rStyle w:val="FootnoteReference"/>
              </w:rPr>
              <w:footnoteReference w:id="21"/>
            </w:r>
          </w:p>
        </w:tc>
        <w:tc>
          <w:tcPr>
            <w:tcW w:w="2251" w:type="pct"/>
          </w:tcPr>
          <w:p w14:paraId="705551E9" w14:textId="633C95F4" w:rsidR="001D523F" w:rsidRPr="00007450" w:rsidRDefault="001D523F" w:rsidP="00864C4B">
            <w:pPr>
              <w:pStyle w:val="TableText0"/>
              <w:keepNext w:val="0"/>
            </w:pPr>
            <w:r w:rsidRPr="00007450">
              <w:t xml:space="preserve">This was similar to 95.3% applied </w:t>
            </w:r>
            <w:r w:rsidR="00AD1898" w:rsidRPr="00007450">
              <w:t>previously for abemaciclib</w:t>
            </w:r>
            <w:r w:rsidRPr="00007450">
              <w:t xml:space="preserve"> (Table </w:t>
            </w:r>
            <w:r w:rsidR="000F6079" w:rsidRPr="00007450">
              <w:t>15</w:t>
            </w:r>
            <w:r w:rsidRPr="00007450">
              <w:t xml:space="preserve">, abemaciclib PSD, </w:t>
            </w:r>
            <w:r w:rsidR="000F6079" w:rsidRPr="00007450">
              <w:t xml:space="preserve">November </w:t>
            </w:r>
            <w:r w:rsidRPr="00007450">
              <w:t>202</w:t>
            </w:r>
            <w:r w:rsidR="000F6079" w:rsidRPr="00007450">
              <w:t>3</w:t>
            </w:r>
            <w:r w:rsidRPr="00007450">
              <w:t xml:space="preserve"> PBAC </w:t>
            </w:r>
            <w:r w:rsidR="005E07E3" w:rsidRPr="00007450">
              <w:t>meeting</w:t>
            </w:r>
            <w:r w:rsidRPr="00007450">
              <w:t>).</w:t>
            </w:r>
          </w:p>
        </w:tc>
      </w:tr>
      <w:tr w:rsidR="001D523F" w:rsidRPr="00007450" w14:paraId="3E39FA14" w14:textId="77777777" w:rsidTr="004374A5">
        <w:trPr>
          <w:cantSplit/>
        </w:trPr>
        <w:tc>
          <w:tcPr>
            <w:tcW w:w="1020" w:type="pct"/>
          </w:tcPr>
          <w:p w14:paraId="33551D09" w14:textId="2B809A8B" w:rsidR="001D523F" w:rsidRPr="00007450" w:rsidRDefault="001D523F" w:rsidP="00864C4B">
            <w:pPr>
              <w:pStyle w:val="TableText0"/>
              <w:keepNext w:val="0"/>
            </w:pPr>
            <w:r w:rsidRPr="00007450">
              <w:t>Proportion of patients who are HR</w:t>
            </w:r>
            <w:r w:rsidR="00504B76" w:rsidRPr="00007450">
              <w:t>+</w:t>
            </w:r>
            <w:r w:rsidR="00E0764E" w:rsidRPr="00007450">
              <w:t>/</w:t>
            </w:r>
            <w:r w:rsidRPr="00007450">
              <w:t>HER2</w:t>
            </w:r>
            <w:r w:rsidR="00F32119">
              <w:t>-</w:t>
            </w:r>
          </w:p>
        </w:tc>
        <w:tc>
          <w:tcPr>
            <w:tcW w:w="1729" w:type="pct"/>
          </w:tcPr>
          <w:p w14:paraId="63479FDC" w14:textId="6CD567E1" w:rsidR="001D523F" w:rsidRPr="00007450" w:rsidRDefault="001D523F" w:rsidP="00864C4B">
            <w:pPr>
              <w:pStyle w:val="TableText0"/>
              <w:keepNext w:val="0"/>
            </w:pPr>
            <w:r w:rsidRPr="00007450">
              <w:t>72.9% (Schaffler 2023)</w:t>
            </w:r>
            <w:bookmarkStart w:id="85" w:name="_Ref198280987"/>
            <w:r w:rsidR="00BD664B" w:rsidRPr="00007450">
              <w:rPr>
                <w:rStyle w:val="FootnoteReference"/>
              </w:rPr>
              <w:footnoteReference w:id="22"/>
            </w:r>
            <w:bookmarkEnd w:id="85"/>
          </w:p>
        </w:tc>
        <w:tc>
          <w:tcPr>
            <w:tcW w:w="2251" w:type="pct"/>
          </w:tcPr>
          <w:p w14:paraId="4DCCA099" w14:textId="6F5F00F2" w:rsidR="001D523F" w:rsidRPr="00007450" w:rsidRDefault="001D523F" w:rsidP="00864C4B">
            <w:pPr>
              <w:pStyle w:val="TableText0"/>
              <w:keepNext w:val="0"/>
            </w:pPr>
            <w:r w:rsidRPr="00007450">
              <w:t>This was slightly higher than 70.0% applied previously</w:t>
            </w:r>
            <w:r w:rsidR="00E84D1B" w:rsidRPr="00007450">
              <w:t xml:space="preserve"> for abe</w:t>
            </w:r>
            <w:r w:rsidR="00ED0364" w:rsidRPr="00007450">
              <w:t>maciclib</w:t>
            </w:r>
            <w:r w:rsidRPr="00007450">
              <w:t xml:space="preserve"> (Table </w:t>
            </w:r>
            <w:r w:rsidR="000F6079" w:rsidRPr="00007450">
              <w:t>15</w:t>
            </w:r>
            <w:r w:rsidRPr="00007450">
              <w:t xml:space="preserve">, abemaciclib PSD, </w:t>
            </w:r>
            <w:r w:rsidR="000F6079" w:rsidRPr="00007450">
              <w:t xml:space="preserve">November </w:t>
            </w:r>
            <w:r w:rsidRPr="00007450">
              <w:t>202</w:t>
            </w:r>
            <w:r w:rsidR="000F6079" w:rsidRPr="00007450">
              <w:t>3</w:t>
            </w:r>
            <w:r w:rsidRPr="00007450">
              <w:t xml:space="preserve"> PBAC </w:t>
            </w:r>
            <w:r w:rsidR="005E07E3" w:rsidRPr="00007450">
              <w:t>meeting</w:t>
            </w:r>
            <w:r w:rsidRPr="00007450">
              <w:t>), though may be reasonable</w:t>
            </w:r>
            <w:r w:rsidR="009A6AC2" w:rsidRPr="00007450">
              <w:t>.</w:t>
            </w:r>
          </w:p>
        </w:tc>
      </w:tr>
      <w:tr w:rsidR="001D523F" w:rsidRPr="00007450" w14:paraId="6FA82CD2" w14:textId="77777777" w:rsidTr="004374A5">
        <w:trPr>
          <w:cantSplit/>
        </w:trPr>
        <w:tc>
          <w:tcPr>
            <w:tcW w:w="1020" w:type="pct"/>
          </w:tcPr>
          <w:p w14:paraId="513BABB4" w14:textId="4C1A2B95" w:rsidR="001D523F" w:rsidRPr="00007450" w:rsidRDefault="001D523F" w:rsidP="00864C4B">
            <w:pPr>
              <w:pStyle w:val="TableText0"/>
              <w:keepNext w:val="0"/>
            </w:pPr>
            <w:r w:rsidRPr="00007450">
              <w:lastRenderedPageBreak/>
              <w:t>Proportion of patients who mee</w:t>
            </w:r>
            <w:r w:rsidR="00632432">
              <w:t xml:space="preserve">t the high risk </w:t>
            </w:r>
            <w:r w:rsidRPr="00007450">
              <w:t>criteria</w:t>
            </w:r>
          </w:p>
        </w:tc>
        <w:tc>
          <w:tcPr>
            <w:tcW w:w="1729" w:type="pct"/>
          </w:tcPr>
          <w:p w14:paraId="7936FB71" w14:textId="5190F0A6" w:rsidR="001D523F" w:rsidRPr="00007450" w:rsidRDefault="001D523F" w:rsidP="00864C4B">
            <w:pPr>
              <w:pStyle w:val="TableText0"/>
              <w:keepNext w:val="0"/>
            </w:pPr>
            <w:r w:rsidRPr="00007450">
              <w:t>26.5% (Schaffler 2023</w:t>
            </w:r>
            <w:r w:rsidR="00BD664B" w:rsidRPr="00007450">
              <w:rPr>
                <w:vertAlign w:val="superscript"/>
              </w:rPr>
              <w:fldChar w:fldCharType="begin"/>
            </w:r>
            <w:r w:rsidR="00BD664B" w:rsidRPr="00007450">
              <w:rPr>
                <w:vertAlign w:val="superscript"/>
              </w:rPr>
              <w:instrText xml:space="preserve"> NOTEREF _Ref198280987 \h  \* MERGEFORMAT </w:instrText>
            </w:r>
            <w:r w:rsidR="00BD664B" w:rsidRPr="00007450">
              <w:rPr>
                <w:vertAlign w:val="superscript"/>
              </w:rPr>
            </w:r>
            <w:r w:rsidR="00BD664B" w:rsidRPr="00007450">
              <w:rPr>
                <w:vertAlign w:val="superscript"/>
              </w:rPr>
              <w:fldChar w:fldCharType="separate"/>
            </w:r>
            <w:r w:rsidR="00B36442">
              <w:rPr>
                <w:vertAlign w:val="superscript"/>
              </w:rPr>
              <w:t>21</w:t>
            </w:r>
            <w:r w:rsidR="00BD664B" w:rsidRPr="00007450">
              <w:rPr>
                <w:vertAlign w:val="superscript"/>
              </w:rPr>
              <w:fldChar w:fldCharType="end"/>
            </w:r>
            <w:r w:rsidRPr="00007450">
              <w:t>; and Toi 2023</w:t>
            </w:r>
            <w:r w:rsidR="00BD664B" w:rsidRPr="00007450">
              <w:rPr>
                <w:rStyle w:val="FootnoteReference"/>
              </w:rPr>
              <w:footnoteReference w:id="23"/>
            </w:r>
            <w:r w:rsidRPr="00007450">
              <w:t>)</w:t>
            </w:r>
          </w:p>
        </w:tc>
        <w:tc>
          <w:tcPr>
            <w:tcW w:w="2251" w:type="pct"/>
          </w:tcPr>
          <w:p w14:paraId="79F1B61C" w14:textId="30EBB63F" w:rsidR="001D523F" w:rsidRPr="00007450" w:rsidRDefault="001D523F" w:rsidP="00864C4B">
            <w:pPr>
              <w:pStyle w:val="TableText0"/>
              <w:keepNext w:val="0"/>
            </w:pPr>
            <w:r w:rsidRPr="00007450">
              <w:t>A lower estimate (23.9%) was derived from an alternate Australian study</w:t>
            </w:r>
            <w:r w:rsidR="00BD664B" w:rsidRPr="00007450">
              <w:rPr>
                <w:vertAlign w:val="superscript"/>
              </w:rPr>
              <w:fldChar w:fldCharType="begin"/>
            </w:r>
            <w:r w:rsidR="00BD664B" w:rsidRPr="00007450">
              <w:rPr>
                <w:vertAlign w:val="superscript"/>
              </w:rPr>
              <w:instrText xml:space="preserve"> NOTEREF _Ref196167951 \h  \* MERGEFORMAT </w:instrText>
            </w:r>
            <w:r w:rsidR="00BD664B" w:rsidRPr="00007450">
              <w:rPr>
                <w:vertAlign w:val="superscript"/>
              </w:rPr>
            </w:r>
            <w:r w:rsidR="00BD664B" w:rsidRPr="00007450">
              <w:rPr>
                <w:vertAlign w:val="superscript"/>
              </w:rPr>
              <w:fldChar w:fldCharType="separate"/>
            </w:r>
            <w:r w:rsidR="00B36442">
              <w:rPr>
                <w:vertAlign w:val="superscript"/>
              </w:rPr>
              <w:t>8</w:t>
            </w:r>
            <w:r w:rsidR="00BD664B" w:rsidRPr="00007450">
              <w:rPr>
                <w:vertAlign w:val="superscript"/>
              </w:rPr>
              <w:fldChar w:fldCharType="end"/>
            </w:r>
            <w:r w:rsidRPr="00007450">
              <w:t xml:space="preserve"> identified in the submission. </w:t>
            </w:r>
            <w:r w:rsidR="00FB6872" w:rsidRPr="00ED31D0">
              <w:t>This estimate</w:t>
            </w:r>
            <w:r w:rsidR="00FB6872" w:rsidRPr="00007450">
              <w:t xml:space="preserve"> </w:t>
            </w:r>
            <w:r w:rsidRPr="00007450">
              <w:t>was not used in the submission due to the exclusion of Ki67 and genomic assay criteria. However</w:t>
            </w:r>
            <w:r w:rsidR="0054078E" w:rsidRPr="00007450">
              <w:t>,</w:t>
            </w:r>
            <w:r w:rsidRPr="00007450">
              <w:t xml:space="preserve"> given the limitation on tests subsidised (and used) through the MBS, this </w:t>
            </w:r>
            <w:r w:rsidR="00DA5227">
              <w:t>justification</w:t>
            </w:r>
            <w:r w:rsidR="00CA4A71" w:rsidRPr="00007450">
              <w:t xml:space="preserve"> </w:t>
            </w:r>
            <w:r w:rsidRPr="00007450">
              <w:t>may not be reasonable.</w:t>
            </w:r>
          </w:p>
          <w:p w14:paraId="79738A0D" w14:textId="77777777" w:rsidR="000952EF" w:rsidRPr="00007450" w:rsidRDefault="000952EF" w:rsidP="00864C4B">
            <w:pPr>
              <w:pStyle w:val="TableText0"/>
              <w:keepNext w:val="0"/>
            </w:pPr>
          </w:p>
          <w:p w14:paraId="4D592333" w14:textId="3FAB1EF8" w:rsidR="000952EF" w:rsidRPr="00007450" w:rsidRDefault="000952EF" w:rsidP="00864C4B">
            <w:pPr>
              <w:pStyle w:val="TableText0"/>
              <w:keepNext w:val="0"/>
            </w:pPr>
          </w:p>
        </w:tc>
      </w:tr>
      <w:tr w:rsidR="001D523F" w:rsidRPr="00007450" w14:paraId="2D40CA60" w14:textId="77777777" w:rsidTr="004374A5">
        <w:trPr>
          <w:cantSplit/>
        </w:trPr>
        <w:tc>
          <w:tcPr>
            <w:tcW w:w="1020" w:type="pct"/>
          </w:tcPr>
          <w:p w14:paraId="21CC7791" w14:textId="77777777" w:rsidR="001D523F" w:rsidRPr="00007450" w:rsidRDefault="001D523F" w:rsidP="00864C4B">
            <w:pPr>
              <w:pStyle w:val="TableText0"/>
              <w:keepNext w:val="0"/>
            </w:pPr>
            <w:r w:rsidRPr="00007450">
              <w:t>Proportion of patients who do not receive tamoxifen</w:t>
            </w:r>
          </w:p>
        </w:tc>
        <w:tc>
          <w:tcPr>
            <w:tcW w:w="1729" w:type="pct"/>
          </w:tcPr>
          <w:p w14:paraId="3C13B225" w14:textId="7282EE4D" w:rsidR="001D523F" w:rsidRPr="00007450" w:rsidRDefault="001D523F" w:rsidP="00864C4B">
            <w:pPr>
              <w:pStyle w:val="TableText0"/>
              <w:keepNext w:val="0"/>
            </w:pPr>
            <w:r w:rsidRPr="00007450">
              <w:t>Increasing from 85.6% in Year 1 to 90.6% in Year 6 based on linear forecast of 10% PBS sample data analysis</w:t>
            </w:r>
            <w:r w:rsidR="00F21A33">
              <w:t>.</w:t>
            </w:r>
          </w:p>
        </w:tc>
        <w:tc>
          <w:tcPr>
            <w:tcW w:w="2251" w:type="pct"/>
          </w:tcPr>
          <w:p w14:paraId="5AA5FF52" w14:textId="46304170" w:rsidR="001D523F" w:rsidRPr="00007450" w:rsidRDefault="001D523F" w:rsidP="00864C4B">
            <w:pPr>
              <w:pStyle w:val="TableText0"/>
              <w:keepNext w:val="0"/>
            </w:pPr>
            <w:r w:rsidRPr="00007450">
              <w:t>Projections of current PBS data may overestimate the tamoxifen market share if ribociclib listing affects tamoxifen use</w:t>
            </w:r>
            <w:r w:rsidR="0016224D" w:rsidRPr="00007450">
              <w:t xml:space="preserve"> due to patients opting for hormone therapies which may be used with ribociclib</w:t>
            </w:r>
            <w:r w:rsidRPr="00007450">
              <w:t>.</w:t>
            </w:r>
          </w:p>
        </w:tc>
      </w:tr>
      <w:tr w:rsidR="001D523F" w:rsidRPr="00007450" w14:paraId="2A2B4F97" w14:textId="77777777" w:rsidTr="004374A5">
        <w:trPr>
          <w:cantSplit/>
        </w:trPr>
        <w:tc>
          <w:tcPr>
            <w:tcW w:w="1020" w:type="pct"/>
          </w:tcPr>
          <w:p w14:paraId="29A099B2" w14:textId="77777777" w:rsidR="001D523F" w:rsidRPr="00007450" w:rsidRDefault="001D523F" w:rsidP="00864C4B">
            <w:pPr>
              <w:pStyle w:val="TableText0"/>
              <w:keepNext w:val="0"/>
            </w:pPr>
            <w:r w:rsidRPr="00007450">
              <w:t>Grandfathered patients</w:t>
            </w:r>
          </w:p>
        </w:tc>
        <w:tc>
          <w:tcPr>
            <w:tcW w:w="1729" w:type="pct"/>
          </w:tcPr>
          <w:p w14:paraId="11350CD2" w14:textId="77777777" w:rsidR="001D523F" w:rsidRPr="00007450" w:rsidRDefault="001D523F" w:rsidP="00864C4B">
            <w:pPr>
              <w:pStyle w:val="TableText0"/>
              <w:keepNext w:val="0"/>
            </w:pPr>
            <w:r w:rsidRPr="00007450">
              <w:t xml:space="preserve">None. </w:t>
            </w:r>
          </w:p>
        </w:tc>
        <w:tc>
          <w:tcPr>
            <w:tcW w:w="2251" w:type="pct"/>
          </w:tcPr>
          <w:p w14:paraId="3B398EE2" w14:textId="77777777" w:rsidR="001D523F" w:rsidRPr="00007450" w:rsidRDefault="001D523F" w:rsidP="00864C4B">
            <w:pPr>
              <w:pStyle w:val="TableText0"/>
              <w:keepNext w:val="0"/>
            </w:pPr>
            <w:r w:rsidRPr="00007450">
              <w:t xml:space="preserve">This was not reasonable given the current access program and proposed listing for grandfathered patients. </w:t>
            </w:r>
          </w:p>
        </w:tc>
      </w:tr>
      <w:tr w:rsidR="001D523F" w:rsidRPr="00007450" w14:paraId="5A7D6991" w14:textId="77777777" w:rsidTr="004374A5">
        <w:trPr>
          <w:cantSplit/>
        </w:trPr>
        <w:tc>
          <w:tcPr>
            <w:tcW w:w="1020" w:type="pct"/>
          </w:tcPr>
          <w:p w14:paraId="5A992560" w14:textId="77777777" w:rsidR="001D523F" w:rsidRPr="00007450" w:rsidRDefault="001D523F" w:rsidP="00864C4B">
            <w:pPr>
              <w:pStyle w:val="TableText0"/>
              <w:keepNext w:val="0"/>
            </w:pPr>
            <w:r w:rsidRPr="00007450">
              <w:t>Uptake rate</w:t>
            </w:r>
          </w:p>
        </w:tc>
        <w:tc>
          <w:tcPr>
            <w:tcW w:w="1729" w:type="pct"/>
          </w:tcPr>
          <w:p w14:paraId="403BC5B1" w14:textId="3BB79E9C" w:rsidR="001D523F" w:rsidRPr="00007450" w:rsidRDefault="001D523F" w:rsidP="00864C4B">
            <w:pPr>
              <w:pStyle w:val="TableText0"/>
              <w:keepNext w:val="0"/>
            </w:pPr>
            <w:r w:rsidRPr="00007450">
              <w:t xml:space="preserve">Increasing from </w:t>
            </w:r>
            <w:r w:rsidR="00E44B9A" w:rsidRPr="00E44B9A">
              <w:rPr>
                <w:color w:val="000000"/>
                <w:spacing w:val="53"/>
                <w:shd w:val="solid" w:color="000000" w:fill="000000"/>
                <w:fitText w:val="330" w:id="-628909560"/>
                <w14:textFill>
                  <w14:solidFill>
                    <w14:srgbClr w14:val="000000">
                      <w14:alpha w14:val="100000"/>
                    </w14:srgbClr>
                  </w14:solidFill>
                </w14:textFill>
              </w:rPr>
              <w:t>|||</w:t>
            </w:r>
            <w:r w:rsidR="00E44B9A" w:rsidRPr="00E44B9A">
              <w:rPr>
                <w:color w:val="000000"/>
                <w:spacing w:val="1"/>
                <w:shd w:val="solid" w:color="000000" w:fill="000000"/>
                <w:fitText w:val="330" w:id="-628909560"/>
                <w14:textFill>
                  <w14:solidFill>
                    <w14:srgbClr w14:val="000000">
                      <w14:alpha w14:val="100000"/>
                    </w14:srgbClr>
                  </w14:solidFill>
                </w14:textFill>
              </w:rPr>
              <w:t>|</w:t>
            </w:r>
            <w:r w:rsidRPr="00007450">
              <w:t xml:space="preserve">% in Year 1 to </w:t>
            </w:r>
            <w:r w:rsidR="00E44B9A" w:rsidRPr="00E44B9A">
              <w:rPr>
                <w:color w:val="000000"/>
                <w:spacing w:val="53"/>
                <w:shd w:val="solid" w:color="000000" w:fill="000000"/>
                <w:fitText w:val="330" w:id="-628909559"/>
                <w14:textFill>
                  <w14:solidFill>
                    <w14:srgbClr w14:val="000000">
                      <w14:alpha w14:val="100000"/>
                    </w14:srgbClr>
                  </w14:solidFill>
                </w14:textFill>
              </w:rPr>
              <w:t>|||</w:t>
            </w:r>
            <w:r w:rsidR="00E44B9A" w:rsidRPr="00E44B9A">
              <w:rPr>
                <w:color w:val="000000"/>
                <w:spacing w:val="1"/>
                <w:shd w:val="solid" w:color="000000" w:fill="000000"/>
                <w:fitText w:val="330" w:id="-628909559"/>
                <w14:textFill>
                  <w14:solidFill>
                    <w14:srgbClr w14:val="000000">
                      <w14:alpha w14:val="100000"/>
                    </w14:srgbClr>
                  </w14:solidFill>
                </w14:textFill>
              </w:rPr>
              <w:t>|</w:t>
            </w:r>
            <w:r w:rsidRPr="00007450">
              <w:t>% in Year 5 (Assumption)</w:t>
            </w:r>
            <w:r w:rsidR="00F21A33">
              <w:t>.</w:t>
            </w:r>
          </w:p>
        </w:tc>
        <w:tc>
          <w:tcPr>
            <w:tcW w:w="2251" w:type="pct"/>
          </w:tcPr>
          <w:p w14:paraId="501BEDC4" w14:textId="1654AB66" w:rsidR="00B6069B" w:rsidRPr="00007450" w:rsidRDefault="001D523F" w:rsidP="00864C4B">
            <w:pPr>
              <w:pStyle w:val="TableText0"/>
              <w:keepNext w:val="0"/>
            </w:pPr>
            <w:r w:rsidRPr="00007450">
              <w:t xml:space="preserve">This was overestimated given that the PBAC previously considered the maximum uptake rate of </w:t>
            </w:r>
            <w:r w:rsidR="00E44B9A" w:rsidRPr="00E44B9A">
              <w:rPr>
                <w:color w:val="000000"/>
                <w:spacing w:val="53"/>
                <w:shd w:val="solid" w:color="000000" w:fill="000000"/>
                <w:fitText w:val="330" w:id="-628909558"/>
                <w14:textFill>
                  <w14:solidFill>
                    <w14:srgbClr w14:val="000000">
                      <w14:alpha w14:val="100000"/>
                    </w14:srgbClr>
                  </w14:solidFill>
                </w14:textFill>
              </w:rPr>
              <w:t>|||</w:t>
            </w:r>
            <w:r w:rsidR="00E44B9A" w:rsidRPr="00E44B9A">
              <w:rPr>
                <w:color w:val="000000"/>
                <w:spacing w:val="1"/>
                <w:shd w:val="solid" w:color="000000" w:fill="000000"/>
                <w:fitText w:val="330" w:id="-628909558"/>
                <w14:textFill>
                  <w14:solidFill>
                    <w14:srgbClr w14:val="000000">
                      <w14:alpha w14:val="100000"/>
                    </w14:srgbClr>
                  </w14:solidFill>
                </w14:textFill>
              </w:rPr>
              <w:t>|</w:t>
            </w:r>
            <w:r w:rsidRPr="00007450">
              <w:t>% applied in a higher-risk population to be an overestimate</w:t>
            </w:r>
            <w:r w:rsidR="00D822DF" w:rsidRPr="00007450">
              <w:t xml:space="preserve">, given that 20% of patients eligible for </w:t>
            </w:r>
            <w:r w:rsidR="00F93042">
              <w:t xml:space="preserve">an </w:t>
            </w:r>
            <w:r w:rsidR="00D822DF" w:rsidRPr="00007450">
              <w:t>CDK4/6i in this setting</w:t>
            </w:r>
            <w:r w:rsidRPr="00007450">
              <w:t xml:space="preserve"> </w:t>
            </w:r>
            <w:r w:rsidR="001D3F29" w:rsidRPr="00007450">
              <w:t xml:space="preserve">decline use </w:t>
            </w:r>
            <w:r w:rsidRPr="00007450">
              <w:t>(para</w:t>
            </w:r>
            <w:r w:rsidR="006F23C0" w:rsidRPr="00007450">
              <w:t>.</w:t>
            </w:r>
            <w:r w:rsidRPr="00007450">
              <w:t xml:space="preserve"> 6.64 ribociclib PSD, November 2024 PBAC meeting).</w:t>
            </w:r>
          </w:p>
        </w:tc>
      </w:tr>
      <w:tr w:rsidR="001D523F" w:rsidRPr="00007450" w14:paraId="5CCEE08B" w14:textId="77777777" w:rsidTr="004374A5">
        <w:trPr>
          <w:cantSplit/>
        </w:trPr>
        <w:tc>
          <w:tcPr>
            <w:tcW w:w="1020" w:type="pct"/>
          </w:tcPr>
          <w:p w14:paraId="1847D910" w14:textId="77777777" w:rsidR="001D523F" w:rsidRPr="00007450" w:rsidRDefault="001D523F" w:rsidP="00864C4B">
            <w:pPr>
              <w:pStyle w:val="TableText0"/>
              <w:keepNext w:val="0"/>
            </w:pPr>
            <w:r w:rsidRPr="00007450">
              <w:t>Duration of (adjuvant) ribociclib treatment</w:t>
            </w:r>
          </w:p>
        </w:tc>
        <w:tc>
          <w:tcPr>
            <w:tcW w:w="1729" w:type="pct"/>
          </w:tcPr>
          <w:p w14:paraId="175EF82E" w14:textId="577E4B24" w:rsidR="001D523F" w:rsidRPr="00007450" w:rsidRDefault="001D523F" w:rsidP="00864C4B">
            <w:pPr>
              <w:pStyle w:val="TableText0"/>
              <w:keepNext w:val="0"/>
            </w:pPr>
            <w:r w:rsidRPr="00007450">
              <w:t>118.19 weeks</w:t>
            </w:r>
            <w:r w:rsidR="002003C6" w:rsidRPr="00007450">
              <w:t xml:space="preserve"> (equivalent to 2.27 years), based on the complete time-to-treatment discontinuation curve from the PBS-subgroup of the NATALEE trial</w:t>
            </w:r>
            <w:r w:rsidR="00F21A33">
              <w:t>.</w:t>
            </w:r>
          </w:p>
        </w:tc>
        <w:tc>
          <w:tcPr>
            <w:tcW w:w="2251" w:type="pct"/>
          </w:tcPr>
          <w:p w14:paraId="3163CD7C" w14:textId="161E1D8A" w:rsidR="001D523F" w:rsidRPr="00007450" w:rsidRDefault="002003C6" w:rsidP="00864C4B">
            <w:pPr>
              <w:pStyle w:val="TableText0"/>
              <w:keepNext w:val="0"/>
            </w:pPr>
            <w:r w:rsidRPr="00007450">
              <w:t xml:space="preserve">Given that patients in practice are likely to be older than the trial, a reduced duration of treatment may be expected. </w:t>
            </w:r>
            <w:r w:rsidR="00544F80" w:rsidRPr="00007450">
              <w:t>Due to similar concerns, the PBAC previously considered that abemaciclib use would be less than reported in the trial and that a mean treatment duration of 18 months was more reasonable (para</w:t>
            </w:r>
            <w:r w:rsidR="006F23C0" w:rsidRPr="00007450">
              <w:t>.</w:t>
            </w:r>
            <w:r w:rsidR="00544F80" w:rsidRPr="00007450">
              <w:t xml:space="preserve"> 7.13, abemaciclib PSD, November 2023 PBAC meeting).</w:t>
            </w:r>
          </w:p>
        </w:tc>
      </w:tr>
      <w:tr w:rsidR="00544F80" w:rsidRPr="00007450" w14:paraId="11CA916D" w14:textId="77777777" w:rsidTr="004374A5">
        <w:trPr>
          <w:cantSplit/>
        </w:trPr>
        <w:tc>
          <w:tcPr>
            <w:tcW w:w="1020" w:type="pct"/>
          </w:tcPr>
          <w:p w14:paraId="5B5552AA" w14:textId="77777777" w:rsidR="000064C9" w:rsidRPr="00007450" w:rsidRDefault="000064C9" w:rsidP="00864C4B">
            <w:pPr>
              <w:pStyle w:val="TableText0"/>
              <w:keepNext w:val="0"/>
            </w:pPr>
            <w:r w:rsidRPr="00007450">
              <w:t>Compliance</w:t>
            </w:r>
          </w:p>
          <w:p w14:paraId="3FDF46F2" w14:textId="559F4CE2" w:rsidR="00544F80" w:rsidRPr="00007450" w:rsidRDefault="00544F80" w:rsidP="00864C4B">
            <w:pPr>
              <w:pStyle w:val="TableText0"/>
              <w:keepNext w:val="0"/>
            </w:pPr>
            <w:r w:rsidRPr="00007450">
              <w:t>No. (adjuvant) ribociclib scripts per year</w:t>
            </w:r>
          </w:p>
        </w:tc>
        <w:tc>
          <w:tcPr>
            <w:tcW w:w="1729" w:type="pct"/>
          </w:tcPr>
          <w:p w14:paraId="73B177F8" w14:textId="1B2B3C0F" w:rsidR="00544F80" w:rsidRPr="00007450" w:rsidRDefault="00544F80" w:rsidP="00864C4B">
            <w:pPr>
              <w:pStyle w:val="TableText0"/>
              <w:keepNext w:val="0"/>
            </w:pPr>
            <w:r w:rsidRPr="00007450">
              <w:t>12.59, based on 13.04 28-day cycles per year, assuming 96.52% compliance, where compliance was based on the mean dose intensity (334 mg, NATALEE) as a proportion of planned dose intensity (346 mg), adjusted in the submission for dose reductions</w:t>
            </w:r>
            <w:r w:rsidR="004C51BA">
              <w:t>.</w:t>
            </w:r>
            <w:r w:rsidR="00BD664B" w:rsidRPr="00007450">
              <w:rPr>
                <w:vertAlign w:val="superscript"/>
              </w:rPr>
              <w:t>a</w:t>
            </w:r>
          </w:p>
        </w:tc>
        <w:tc>
          <w:tcPr>
            <w:tcW w:w="2251" w:type="pct"/>
          </w:tcPr>
          <w:p w14:paraId="6EEAACC4" w14:textId="77777777" w:rsidR="00544F80" w:rsidRPr="00007450" w:rsidRDefault="00544F80" w:rsidP="00864C4B">
            <w:pPr>
              <w:pStyle w:val="TableText0"/>
              <w:keepNext w:val="0"/>
            </w:pPr>
            <w:r w:rsidRPr="00007450">
              <w:t>The RDI reported in the NATALEE trial was 83.4%, however was derived assuming planned dose intensity of 400 mg per day. This was more consistent with previous PBAC advice which suggested compliance be less than reported for hormonal therapy (84%) (para</w:t>
            </w:r>
            <w:r w:rsidR="006F23C0" w:rsidRPr="00007450">
              <w:t>.</w:t>
            </w:r>
            <w:r w:rsidRPr="00007450">
              <w:t xml:space="preserve"> 7.14, abemaciclib PSD, March 2023 PBAC meeting).</w:t>
            </w:r>
            <w:r w:rsidR="000F4D14" w:rsidRPr="00007450">
              <w:t xml:space="preserve"> </w:t>
            </w:r>
          </w:p>
          <w:p w14:paraId="7A545EED" w14:textId="3B88A6C0" w:rsidR="000F4D14" w:rsidRPr="00007450" w:rsidDel="002003C6" w:rsidRDefault="000F4D14" w:rsidP="00864C4B">
            <w:pPr>
              <w:pStyle w:val="TableText0"/>
              <w:keepNext w:val="0"/>
            </w:pPr>
          </w:p>
        </w:tc>
      </w:tr>
      <w:tr w:rsidR="003871F9" w:rsidRPr="00007450" w14:paraId="6ADFDDF0" w14:textId="77777777" w:rsidTr="004374A5">
        <w:trPr>
          <w:cantSplit/>
        </w:trPr>
        <w:tc>
          <w:tcPr>
            <w:tcW w:w="1020" w:type="pct"/>
          </w:tcPr>
          <w:p w14:paraId="5A4B4B5A" w14:textId="6DA28943" w:rsidR="003871F9" w:rsidRPr="00007450" w:rsidRDefault="003871F9" w:rsidP="00864C4B">
            <w:pPr>
              <w:pStyle w:val="TableText0"/>
              <w:keepNext w:val="0"/>
            </w:pPr>
            <w:r w:rsidRPr="00007450">
              <w:t>Reduction in metastatic breast cancer incidence</w:t>
            </w:r>
          </w:p>
        </w:tc>
        <w:tc>
          <w:tcPr>
            <w:tcW w:w="1729" w:type="pct"/>
          </w:tcPr>
          <w:p w14:paraId="15969324" w14:textId="49EB52D4" w:rsidR="003871F9" w:rsidRPr="00007450" w:rsidRDefault="003871F9" w:rsidP="00864C4B">
            <w:pPr>
              <w:pStyle w:val="TableText0"/>
              <w:keepNext w:val="0"/>
            </w:pPr>
            <w:r w:rsidRPr="00005CEE">
              <w:t>19 cases in Year 1, increasing to 177 cases (revised: 164)</w:t>
            </w:r>
            <w:r w:rsidRPr="00007450">
              <w:t xml:space="preserve"> in Year 6 based on </w:t>
            </w:r>
            <w:r w:rsidR="00964196" w:rsidRPr="00007450">
              <w:t>extrapolations of iDFS from the NATALEE trial, assuming 38.2% and 56.4% of events, respectively following ribociclib + ET and ET alone, were metastatic breast cancer events</w:t>
            </w:r>
            <w:r w:rsidR="00914EBE">
              <w:t>.</w:t>
            </w:r>
          </w:p>
        </w:tc>
        <w:tc>
          <w:tcPr>
            <w:tcW w:w="2251" w:type="pct"/>
          </w:tcPr>
          <w:p w14:paraId="4C977E94" w14:textId="473A3C58" w:rsidR="003871F9" w:rsidRPr="00007450" w:rsidRDefault="003871F9" w:rsidP="00864C4B">
            <w:pPr>
              <w:pStyle w:val="TableText0"/>
              <w:keepNext w:val="0"/>
            </w:pPr>
            <w:r w:rsidRPr="00007450">
              <w:t>Given the low number of iDF events in the NATALEE trial</w:t>
            </w:r>
            <w:r w:rsidR="00964196" w:rsidRPr="00007450">
              <w:t>,</w:t>
            </w:r>
            <w:r w:rsidRPr="00007450">
              <w:t xml:space="preserve"> differences in incidence of mBC across treatment arms are uncertain.</w:t>
            </w:r>
            <w:r w:rsidR="001327E2" w:rsidRPr="00007450">
              <w:t xml:space="preserve"> </w:t>
            </w:r>
          </w:p>
        </w:tc>
      </w:tr>
      <w:tr w:rsidR="007A7DD7" w:rsidRPr="00007450" w14:paraId="147F9EBD" w14:textId="77777777" w:rsidTr="004374A5">
        <w:trPr>
          <w:cantSplit/>
        </w:trPr>
        <w:tc>
          <w:tcPr>
            <w:tcW w:w="1020" w:type="pct"/>
          </w:tcPr>
          <w:p w14:paraId="3573E994" w14:textId="542311C9" w:rsidR="007A7DD7" w:rsidRPr="00007450" w:rsidRDefault="007A7DD7" w:rsidP="00864C4B">
            <w:pPr>
              <w:pStyle w:val="TableText0"/>
              <w:keepNext w:val="0"/>
            </w:pPr>
            <w:r w:rsidRPr="00007450">
              <w:lastRenderedPageBreak/>
              <w:t>Duration of metastatic breast cancer treatment</w:t>
            </w:r>
          </w:p>
        </w:tc>
        <w:tc>
          <w:tcPr>
            <w:tcW w:w="1729" w:type="pct"/>
          </w:tcPr>
          <w:p w14:paraId="496CAC3A" w14:textId="2425B41B" w:rsidR="007A7DD7" w:rsidRPr="00007450" w:rsidRDefault="007A7DD7" w:rsidP="00864C4B">
            <w:pPr>
              <w:pStyle w:val="TableText0"/>
            </w:pPr>
            <w:r w:rsidRPr="00007450">
              <w:t>CDK4/6i + fulvestrant: 104.7 weeks</w:t>
            </w:r>
          </w:p>
          <w:p w14:paraId="6917FC1E" w14:textId="5A6BCB99" w:rsidR="007A7DD7" w:rsidRPr="00007450" w:rsidRDefault="007A7DD7" w:rsidP="00864C4B">
            <w:pPr>
              <w:pStyle w:val="TableText0"/>
            </w:pPr>
            <w:r w:rsidRPr="00007450">
              <w:t>Fulvestrant (monotherapy): 63.9 weeks</w:t>
            </w:r>
          </w:p>
          <w:p w14:paraId="582FFCF0" w14:textId="2FC1F4AA" w:rsidR="007A7DD7" w:rsidRPr="00007450" w:rsidRDefault="007A7DD7" w:rsidP="00864C4B">
            <w:pPr>
              <w:pStyle w:val="TableText0"/>
            </w:pPr>
            <w:r w:rsidRPr="00007450">
              <w:t>Everolimus + exemestane: 105.5 weeks</w:t>
            </w:r>
          </w:p>
          <w:p w14:paraId="327F5252" w14:textId="77777777" w:rsidR="007A7DD7" w:rsidRPr="00007450" w:rsidRDefault="007A7DD7" w:rsidP="00864C4B">
            <w:pPr>
              <w:pStyle w:val="TableText0"/>
              <w:keepNext w:val="0"/>
            </w:pPr>
            <w:r w:rsidRPr="00007450">
              <w:t>Exemestane (monotherapy), tamoxifen or capecitabine: 47.7 weeks</w:t>
            </w:r>
          </w:p>
          <w:p w14:paraId="3AD49740" w14:textId="0331A985" w:rsidR="007A7DD7" w:rsidRPr="00007450" w:rsidRDefault="007A7DD7" w:rsidP="00864C4B">
            <w:pPr>
              <w:pStyle w:val="TableText0"/>
              <w:keepNext w:val="0"/>
            </w:pPr>
            <w:r w:rsidRPr="00007450">
              <w:t xml:space="preserve">Based on </w:t>
            </w:r>
            <w:r w:rsidR="00936954" w:rsidRPr="00007450">
              <w:t>hazard ratio</w:t>
            </w:r>
            <w:r w:rsidRPr="00007450">
              <w:t>s applied to data for patients with ET-sensitive metastatic breast cancer</w:t>
            </w:r>
          </w:p>
        </w:tc>
        <w:tc>
          <w:tcPr>
            <w:tcW w:w="2251" w:type="pct"/>
          </w:tcPr>
          <w:p w14:paraId="08BB4CD8" w14:textId="6994608D" w:rsidR="007A7DD7" w:rsidRPr="00007450" w:rsidRDefault="007A7DD7" w:rsidP="00864C4B">
            <w:pPr>
              <w:pStyle w:val="TableText0"/>
              <w:keepNext w:val="0"/>
            </w:pPr>
            <w:r w:rsidRPr="00007450">
              <w:t xml:space="preserve">For CDK4/6i, the </w:t>
            </w:r>
            <w:r w:rsidR="00936954" w:rsidRPr="00007450">
              <w:t>hazard ratio</w:t>
            </w:r>
            <w:r w:rsidRPr="00007450">
              <w:t xml:space="preserve"> applied was 1, which was not likely to be reasonable as patients who experience distant recurrence within the projected period have ET-resistant </w:t>
            </w:r>
            <w:r w:rsidR="00824A7A" w:rsidRPr="00007450">
              <w:t>disease and</w:t>
            </w:r>
            <w:r w:rsidRPr="00007450">
              <w:t xml:space="preserve"> would likely have a shorter duration of treatment than those who are ET-sensitive .</w:t>
            </w:r>
          </w:p>
        </w:tc>
      </w:tr>
      <w:tr w:rsidR="001D523F" w:rsidRPr="00007450" w14:paraId="0AB10FEE" w14:textId="77777777" w:rsidTr="004374A5">
        <w:trPr>
          <w:cantSplit/>
        </w:trPr>
        <w:tc>
          <w:tcPr>
            <w:tcW w:w="1020" w:type="pct"/>
            <w:tcBorders>
              <w:bottom w:val="single" w:sz="4" w:space="0" w:color="auto"/>
            </w:tcBorders>
          </w:tcPr>
          <w:p w14:paraId="4357B953" w14:textId="77777777" w:rsidR="001D523F" w:rsidRPr="00007450" w:rsidRDefault="001D523F" w:rsidP="00864C4B">
            <w:pPr>
              <w:pStyle w:val="TableText0"/>
              <w:keepNext w:val="0"/>
            </w:pPr>
            <w:r w:rsidRPr="00007450">
              <w:t>Ribociclib (adjuvant)</w:t>
            </w:r>
          </w:p>
        </w:tc>
        <w:tc>
          <w:tcPr>
            <w:tcW w:w="1729" w:type="pct"/>
            <w:tcBorders>
              <w:bottom w:val="single" w:sz="4" w:space="0" w:color="auto"/>
            </w:tcBorders>
          </w:tcPr>
          <w:p w14:paraId="176D8E48" w14:textId="51CF8B57" w:rsidR="001D523F" w:rsidRPr="00007450" w:rsidRDefault="001D523F" w:rsidP="00864C4B">
            <w:pPr>
              <w:pStyle w:val="TableText0"/>
              <w:keepNext w:val="0"/>
              <w:keepLines w:val="0"/>
            </w:pPr>
            <w:r w:rsidRPr="00007450">
              <w:t>42-pack: $</w:t>
            </w:r>
            <w:r w:rsidR="00E44B9A" w:rsidRPr="00E44B9A">
              <w:rPr>
                <w:color w:val="000000"/>
                <w:spacing w:val="53"/>
                <w:shd w:val="solid" w:color="000000" w:fill="000000"/>
                <w:fitText w:val="330" w:id="-628909557"/>
                <w14:textFill>
                  <w14:solidFill>
                    <w14:srgbClr w14:val="000000">
                      <w14:alpha w14:val="100000"/>
                    </w14:srgbClr>
                  </w14:solidFill>
                </w14:textFill>
              </w:rPr>
              <w:t>|||</w:t>
            </w:r>
            <w:r w:rsidR="00E44B9A" w:rsidRPr="00E44B9A">
              <w:rPr>
                <w:color w:val="000000"/>
                <w:spacing w:val="1"/>
                <w:shd w:val="solid" w:color="000000" w:fill="000000"/>
                <w:fitText w:val="330" w:id="-628909557"/>
                <w14:textFill>
                  <w14:solidFill>
                    <w14:srgbClr w14:val="000000">
                      <w14:alpha w14:val="100000"/>
                    </w14:srgbClr>
                  </w14:solidFill>
                </w14:textFill>
              </w:rPr>
              <w:t>|</w:t>
            </w:r>
          </w:p>
          <w:p w14:paraId="60F80D90" w14:textId="1EB50601" w:rsidR="001D523F" w:rsidRPr="00007450" w:rsidRDefault="001D523F" w:rsidP="00864C4B">
            <w:pPr>
              <w:pStyle w:val="TableText0"/>
              <w:keepNext w:val="0"/>
            </w:pPr>
            <w:r w:rsidRPr="00007450">
              <w:t>21-pack: $</w:t>
            </w:r>
            <w:r w:rsidR="00E44B9A" w:rsidRPr="00E44B9A">
              <w:rPr>
                <w:color w:val="000000"/>
                <w:spacing w:val="53"/>
                <w:shd w:val="solid" w:color="000000" w:fill="000000"/>
                <w:fitText w:val="330" w:id="-628909556"/>
                <w14:textFill>
                  <w14:solidFill>
                    <w14:srgbClr w14:val="000000">
                      <w14:alpha w14:val="100000"/>
                    </w14:srgbClr>
                  </w14:solidFill>
                </w14:textFill>
              </w:rPr>
              <w:t>|||</w:t>
            </w:r>
            <w:r w:rsidR="00E44B9A" w:rsidRPr="00E44B9A">
              <w:rPr>
                <w:color w:val="000000"/>
                <w:spacing w:val="1"/>
                <w:shd w:val="solid" w:color="000000" w:fill="000000"/>
                <w:fitText w:val="330" w:id="-628909556"/>
                <w14:textFill>
                  <w14:solidFill>
                    <w14:srgbClr w14:val="000000">
                      <w14:alpha w14:val="100000"/>
                    </w14:srgbClr>
                  </w14:solidFill>
                </w14:textFill>
              </w:rPr>
              <w:t>|</w:t>
            </w:r>
          </w:p>
        </w:tc>
        <w:tc>
          <w:tcPr>
            <w:tcW w:w="2251" w:type="pct"/>
            <w:tcBorders>
              <w:bottom w:val="single" w:sz="4" w:space="0" w:color="auto"/>
            </w:tcBorders>
          </w:tcPr>
          <w:p w14:paraId="272D2A00" w14:textId="6BDAA3D1" w:rsidR="001D523F" w:rsidRPr="00007450" w:rsidRDefault="001D523F" w:rsidP="00864C4B">
            <w:pPr>
              <w:pStyle w:val="TableText0"/>
              <w:keepNext w:val="0"/>
            </w:pPr>
          </w:p>
        </w:tc>
      </w:tr>
      <w:tr w:rsidR="001D523F" w:rsidRPr="00007450" w14:paraId="0D99C6A2" w14:textId="77777777" w:rsidTr="004374A5">
        <w:trPr>
          <w:cantSplit/>
          <w:trHeight w:val="70"/>
        </w:trPr>
        <w:tc>
          <w:tcPr>
            <w:tcW w:w="1020" w:type="pct"/>
            <w:tcBorders>
              <w:right w:val="nil"/>
            </w:tcBorders>
          </w:tcPr>
          <w:p w14:paraId="45BCCD57" w14:textId="77777777" w:rsidR="001D523F" w:rsidRPr="00007450" w:rsidRDefault="001D523F" w:rsidP="00864C4B">
            <w:pPr>
              <w:pStyle w:val="TableText0"/>
              <w:keepNext w:val="0"/>
            </w:pPr>
            <w:r w:rsidRPr="00007450">
              <w:t>Affected MBS items</w:t>
            </w:r>
          </w:p>
        </w:tc>
        <w:tc>
          <w:tcPr>
            <w:tcW w:w="1729" w:type="pct"/>
            <w:tcBorders>
              <w:left w:val="nil"/>
              <w:right w:val="nil"/>
            </w:tcBorders>
          </w:tcPr>
          <w:p w14:paraId="771E5F10" w14:textId="77777777" w:rsidR="001D523F" w:rsidRPr="00007450" w:rsidRDefault="001D523F" w:rsidP="00864C4B">
            <w:pPr>
              <w:pStyle w:val="TableText0"/>
              <w:keepNext w:val="0"/>
              <w:keepLines w:val="0"/>
            </w:pPr>
          </w:p>
        </w:tc>
        <w:tc>
          <w:tcPr>
            <w:tcW w:w="2251" w:type="pct"/>
            <w:tcBorders>
              <w:left w:val="nil"/>
            </w:tcBorders>
          </w:tcPr>
          <w:p w14:paraId="6331EE8F" w14:textId="77777777" w:rsidR="001D523F" w:rsidRPr="00007450" w:rsidRDefault="001D523F" w:rsidP="00864C4B">
            <w:pPr>
              <w:pStyle w:val="TableText0"/>
              <w:keepNext w:val="0"/>
            </w:pPr>
          </w:p>
        </w:tc>
      </w:tr>
      <w:tr w:rsidR="001D523F" w:rsidRPr="00007450" w14:paraId="3297CC28" w14:textId="77777777" w:rsidTr="004374A5">
        <w:trPr>
          <w:cantSplit/>
        </w:trPr>
        <w:tc>
          <w:tcPr>
            <w:tcW w:w="1020" w:type="pct"/>
          </w:tcPr>
          <w:p w14:paraId="5F65F0CB" w14:textId="77777777" w:rsidR="001D523F" w:rsidRPr="00007450" w:rsidRDefault="001D523F" w:rsidP="00864C4B">
            <w:pPr>
              <w:pStyle w:val="TableText0"/>
              <w:keepNext w:val="0"/>
            </w:pPr>
            <w:r w:rsidRPr="00007450">
              <w:t>ECG</w:t>
            </w:r>
          </w:p>
        </w:tc>
        <w:tc>
          <w:tcPr>
            <w:tcW w:w="1729" w:type="pct"/>
          </w:tcPr>
          <w:p w14:paraId="289CC176" w14:textId="742D0F46" w:rsidR="00E923BA" w:rsidRPr="00007450" w:rsidRDefault="001D523F" w:rsidP="00864C4B">
            <w:pPr>
              <w:pStyle w:val="TableText0"/>
              <w:keepNext w:val="0"/>
            </w:pPr>
            <w:r w:rsidRPr="00007450">
              <w:t>$206.96</w:t>
            </w:r>
            <w:r w:rsidR="00BD664B" w:rsidRPr="00007450">
              <w:rPr>
                <w:vertAlign w:val="superscript"/>
              </w:rPr>
              <w:t>b</w:t>
            </w:r>
            <w:r w:rsidR="00BD664B" w:rsidRPr="00007450">
              <w:t xml:space="preserve"> </w:t>
            </w:r>
            <w:r w:rsidRPr="00007450">
              <w:t>(MBS item 55129)</w:t>
            </w:r>
            <w:r w:rsidR="00E923BA" w:rsidRPr="00007450">
              <w:t xml:space="preserve"> </w:t>
            </w:r>
          </w:p>
          <w:p w14:paraId="0460DE09" w14:textId="77777777" w:rsidR="00E923BA" w:rsidRPr="00007450" w:rsidRDefault="00E923BA" w:rsidP="00864C4B">
            <w:pPr>
              <w:pStyle w:val="TableText0"/>
              <w:keepNext w:val="0"/>
            </w:pPr>
          </w:p>
          <w:p w14:paraId="64D38192" w14:textId="16EBDBD4" w:rsidR="001D523F" w:rsidRPr="00007450" w:rsidRDefault="00E923BA" w:rsidP="00864C4B">
            <w:pPr>
              <w:pStyle w:val="TableText0"/>
              <w:keepNext w:val="0"/>
            </w:pPr>
            <w:r w:rsidRPr="00007450">
              <w:t>Ribociclib (adjuvant or metastatic): 2 services in the first year of treatment</w:t>
            </w:r>
          </w:p>
        </w:tc>
        <w:tc>
          <w:tcPr>
            <w:tcW w:w="2251" w:type="pct"/>
          </w:tcPr>
          <w:p w14:paraId="211EB879" w14:textId="3E8AA73C" w:rsidR="001D523F" w:rsidRPr="00007450" w:rsidRDefault="001D523F" w:rsidP="00864C4B">
            <w:pPr>
              <w:pStyle w:val="TableText0"/>
              <w:keepNext w:val="0"/>
            </w:pPr>
            <w:r w:rsidRPr="00007450">
              <w:t xml:space="preserve">The cited item </w:t>
            </w:r>
            <w:r w:rsidR="003871F9" w:rsidRPr="00007450">
              <w:t xml:space="preserve">is for </w:t>
            </w:r>
            <w:r w:rsidR="001D3F29" w:rsidRPr="00007450">
              <w:t xml:space="preserve">a </w:t>
            </w:r>
            <w:r w:rsidR="003871F9" w:rsidRPr="00007450">
              <w:t xml:space="preserve">transthoracic </w:t>
            </w:r>
            <w:r w:rsidR="001D3F29" w:rsidRPr="00007450">
              <w:t xml:space="preserve">ECHO, rather than ECG, </w:t>
            </w:r>
            <w:r w:rsidR="003871F9" w:rsidRPr="00007450">
              <w:t xml:space="preserve">and so </w:t>
            </w:r>
            <w:r w:rsidRPr="00007450">
              <w:t>may not be appliable. MBS item 11704 (schedule fee: $35.60) may be more appropriate</w:t>
            </w:r>
            <w:r w:rsidR="003871F9" w:rsidRPr="00007450">
              <w:t xml:space="preserve"> and was used in previous analyses presented to the PBAC (para</w:t>
            </w:r>
            <w:r w:rsidR="006F23C0" w:rsidRPr="00007450">
              <w:t>.</w:t>
            </w:r>
            <w:r w:rsidR="003871F9" w:rsidRPr="00007450">
              <w:t xml:space="preserve"> 6.40, abemaciclib PSD, March 2019 PBAC meeting)</w:t>
            </w:r>
            <w:r w:rsidR="000F6079" w:rsidRPr="00007450">
              <w:t>. Use per patient may be underestimated as some patients with prolonged QT may require additional ECGs (Table 16, ribociclib PSD November 2024 PBAC meeting).</w:t>
            </w:r>
          </w:p>
        </w:tc>
      </w:tr>
      <w:tr w:rsidR="001D523F" w:rsidRPr="00007450" w14:paraId="5FE97C9B" w14:textId="77777777" w:rsidTr="004374A5">
        <w:trPr>
          <w:cantSplit/>
        </w:trPr>
        <w:tc>
          <w:tcPr>
            <w:tcW w:w="1020" w:type="pct"/>
          </w:tcPr>
          <w:p w14:paraId="047FD7FA" w14:textId="77777777" w:rsidR="001D523F" w:rsidRPr="00007450" w:rsidRDefault="001D523F" w:rsidP="00864C4B">
            <w:pPr>
              <w:pStyle w:val="TableText0"/>
              <w:keepNext w:val="0"/>
            </w:pPr>
            <w:r w:rsidRPr="00007450">
              <w:t>FBC</w:t>
            </w:r>
          </w:p>
        </w:tc>
        <w:tc>
          <w:tcPr>
            <w:tcW w:w="1729" w:type="pct"/>
          </w:tcPr>
          <w:p w14:paraId="59061E65" w14:textId="27B319E9" w:rsidR="00E923BA" w:rsidRPr="00007450" w:rsidRDefault="001D523F" w:rsidP="00864C4B">
            <w:pPr>
              <w:pStyle w:val="TableText0"/>
              <w:keepNext w:val="0"/>
            </w:pPr>
            <w:r w:rsidRPr="00007450">
              <w:t>$13.56 </w:t>
            </w:r>
            <w:r w:rsidR="00BD664B" w:rsidRPr="00007450">
              <w:rPr>
                <w:vertAlign w:val="superscript"/>
              </w:rPr>
              <w:t>b</w:t>
            </w:r>
            <w:r w:rsidR="00BD664B" w:rsidRPr="00007450">
              <w:t xml:space="preserve"> </w:t>
            </w:r>
            <w:r w:rsidRPr="00007450">
              <w:t>(MBS item 65070)</w:t>
            </w:r>
            <w:r w:rsidR="00E923BA" w:rsidRPr="00007450">
              <w:t xml:space="preserve"> </w:t>
            </w:r>
          </w:p>
          <w:p w14:paraId="5A4F32CC" w14:textId="77777777" w:rsidR="00E923BA" w:rsidRPr="00007450" w:rsidRDefault="00E923BA" w:rsidP="00864C4B">
            <w:pPr>
              <w:pStyle w:val="TableText0"/>
              <w:keepNext w:val="0"/>
            </w:pPr>
          </w:p>
          <w:p w14:paraId="2BD58DEE" w14:textId="4AB03025" w:rsidR="00E923BA" w:rsidRPr="00007450" w:rsidRDefault="00E923BA" w:rsidP="00864C4B">
            <w:pPr>
              <w:pStyle w:val="TableText0"/>
              <w:keepNext w:val="0"/>
            </w:pPr>
            <w:r w:rsidRPr="00007450">
              <w:t>Ribociclib (adjuvant or metastatic) or palbociclib: 6, 4 and 3 services respectively in the first, second and third years of treatment.</w:t>
            </w:r>
          </w:p>
          <w:p w14:paraId="69E51155" w14:textId="77777777" w:rsidR="00E923BA" w:rsidRPr="00007450" w:rsidRDefault="00E923BA" w:rsidP="00864C4B">
            <w:pPr>
              <w:pStyle w:val="TableText0"/>
              <w:keepNext w:val="0"/>
            </w:pPr>
          </w:p>
          <w:p w14:paraId="378D4333" w14:textId="4769A7AA" w:rsidR="001D523F" w:rsidRPr="00007450" w:rsidRDefault="00E923BA" w:rsidP="00864C4B">
            <w:pPr>
              <w:pStyle w:val="TableText0"/>
              <w:keepNext w:val="0"/>
            </w:pPr>
            <w:r w:rsidRPr="00007450">
              <w:t>Abemaciclib: 7 services in the first year of treatment</w:t>
            </w:r>
          </w:p>
        </w:tc>
        <w:tc>
          <w:tcPr>
            <w:tcW w:w="2251" w:type="pct"/>
          </w:tcPr>
          <w:p w14:paraId="4157C9E7" w14:textId="77777777" w:rsidR="001D523F" w:rsidRPr="00007450" w:rsidRDefault="001D523F" w:rsidP="00864C4B">
            <w:pPr>
              <w:pStyle w:val="TableText0"/>
              <w:keepNext w:val="0"/>
            </w:pPr>
            <w:r w:rsidRPr="00007450">
              <w:t>Reasonable.</w:t>
            </w:r>
          </w:p>
        </w:tc>
      </w:tr>
      <w:tr w:rsidR="001D523F" w:rsidRPr="00007450" w14:paraId="7B238857" w14:textId="77777777" w:rsidTr="004374A5">
        <w:trPr>
          <w:cantSplit/>
        </w:trPr>
        <w:tc>
          <w:tcPr>
            <w:tcW w:w="1020" w:type="pct"/>
          </w:tcPr>
          <w:p w14:paraId="1B5E3069" w14:textId="77777777" w:rsidR="001D523F" w:rsidRPr="00007450" w:rsidRDefault="001D523F" w:rsidP="00864C4B">
            <w:pPr>
              <w:pStyle w:val="TableText0"/>
              <w:keepNext w:val="0"/>
            </w:pPr>
            <w:r w:rsidRPr="00007450">
              <w:t>Electrolytes</w:t>
            </w:r>
          </w:p>
        </w:tc>
        <w:tc>
          <w:tcPr>
            <w:tcW w:w="1729" w:type="pct"/>
          </w:tcPr>
          <w:p w14:paraId="0AF076C6" w14:textId="7FAFE7A3" w:rsidR="00E923BA" w:rsidRPr="00007450" w:rsidRDefault="001D523F" w:rsidP="00864C4B">
            <w:pPr>
              <w:pStyle w:val="TableText0"/>
              <w:keepNext w:val="0"/>
            </w:pPr>
            <w:r w:rsidRPr="00007450">
              <w:t>$12.52</w:t>
            </w:r>
            <w:r w:rsidR="00BD664B" w:rsidRPr="00007450">
              <w:rPr>
                <w:vertAlign w:val="superscript"/>
              </w:rPr>
              <w:t>b</w:t>
            </w:r>
            <w:r w:rsidR="00BD664B" w:rsidRPr="00007450">
              <w:t xml:space="preserve"> </w:t>
            </w:r>
            <w:r w:rsidRPr="00007450">
              <w:t>(MBS item 66509)</w:t>
            </w:r>
            <w:r w:rsidR="00E923BA" w:rsidRPr="00007450">
              <w:t xml:space="preserve"> </w:t>
            </w:r>
          </w:p>
          <w:p w14:paraId="46094546" w14:textId="77777777" w:rsidR="00E923BA" w:rsidRPr="00007450" w:rsidRDefault="00E923BA" w:rsidP="00864C4B">
            <w:pPr>
              <w:pStyle w:val="TableText0"/>
              <w:keepNext w:val="0"/>
            </w:pPr>
          </w:p>
          <w:p w14:paraId="0773E76B" w14:textId="2473514B" w:rsidR="001D523F" w:rsidRPr="00007450" w:rsidRDefault="00E923BA" w:rsidP="00864C4B">
            <w:pPr>
              <w:pStyle w:val="TableText0"/>
              <w:keepNext w:val="0"/>
            </w:pPr>
            <w:r w:rsidRPr="00007450">
              <w:t>Ribociclib (adjuvant or metastatic): 3 services in the first year of treatment</w:t>
            </w:r>
          </w:p>
        </w:tc>
        <w:tc>
          <w:tcPr>
            <w:tcW w:w="2251" w:type="pct"/>
          </w:tcPr>
          <w:p w14:paraId="04819AFD" w14:textId="77777777" w:rsidR="001D523F" w:rsidRPr="00007450" w:rsidRDefault="001D523F" w:rsidP="00864C4B">
            <w:pPr>
              <w:pStyle w:val="TableText0"/>
              <w:keepNext w:val="0"/>
            </w:pPr>
            <w:r w:rsidRPr="00007450">
              <w:t>Reasonable.</w:t>
            </w:r>
          </w:p>
        </w:tc>
      </w:tr>
      <w:tr w:rsidR="001D523F" w:rsidRPr="00007450" w14:paraId="6DDE1ED5" w14:textId="77777777" w:rsidTr="004374A5">
        <w:trPr>
          <w:cantSplit/>
        </w:trPr>
        <w:tc>
          <w:tcPr>
            <w:tcW w:w="1020" w:type="pct"/>
          </w:tcPr>
          <w:p w14:paraId="1D3266CC" w14:textId="77777777" w:rsidR="001D523F" w:rsidRPr="00007450" w:rsidRDefault="001D523F" w:rsidP="00864C4B">
            <w:pPr>
              <w:pStyle w:val="TableText0"/>
              <w:keepNext w:val="0"/>
            </w:pPr>
            <w:r w:rsidRPr="00007450">
              <w:t>LFT</w:t>
            </w:r>
          </w:p>
        </w:tc>
        <w:tc>
          <w:tcPr>
            <w:tcW w:w="1729" w:type="pct"/>
          </w:tcPr>
          <w:p w14:paraId="3DF40FA5" w14:textId="1A56581F" w:rsidR="001D523F" w:rsidRPr="00007450" w:rsidRDefault="001D523F" w:rsidP="00864C4B">
            <w:pPr>
              <w:pStyle w:val="TableText0"/>
              <w:keepNext w:val="0"/>
            </w:pPr>
            <w:r w:rsidRPr="00007450">
              <w:t>$14.16</w:t>
            </w:r>
            <w:r w:rsidR="00BD664B" w:rsidRPr="00007450">
              <w:rPr>
                <w:vertAlign w:val="superscript"/>
              </w:rPr>
              <w:t>b</w:t>
            </w:r>
            <w:r w:rsidR="00BD664B" w:rsidRPr="00007450">
              <w:t xml:space="preserve"> </w:t>
            </w:r>
            <w:r w:rsidRPr="00007450">
              <w:t>(MBS item 66512)</w:t>
            </w:r>
          </w:p>
          <w:p w14:paraId="4085DD83" w14:textId="77777777" w:rsidR="00E923BA" w:rsidRPr="00007450" w:rsidRDefault="00E923BA" w:rsidP="00864C4B">
            <w:pPr>
              <w:pStyle w:val="TableText0"/>
              <w:keepNext w:val="0"/>
            </w:pPr>
          </w:p>
          <w:p w14:paraId="319E56E2" w14:textId="3B5D0D00" w:rsidR="00E923BA" w:rsidRPr="00007450" w:rsidRDefault="00E923BA" w:rsidP="00864C4B">
            <w:pPr>
              <w:pStyle w:val="TableText0"/>
              <w:keepNext w:val="0"/>
            </w:pPr>
            <w:r w:rsidRPr="00007450">
              <w:t>Ribociclib (adjuvant or metastatic): 6, 4 and 3 services respectively in the first, second and third years of treatment.</w:t>
            </w:r>
          </w:p>
        </w:tc>
        <w:tc>
          <w:tcPr>
            <w:tcW w:w="2251" w:type="pct"/>
          </w:tcPr>
          <w:p w14:paraId="2277ED7A" w14:textId="77777777" w:rsidR="001D523F" w:rsidRPr="00007450" w:rsidRDefault="001D523F" w:rsidP="00864C4B">
            <w:pPr>
              <w:pStyle w:val="TableText0"/>
              <w:keepNext w:val="0"/>
            </w:pPr>
            <w:r w:rsidRPr="00007450">
              <w:t>Reasonable.</w:t>
            </w:r>
          </w:p>
        </w:tc>
      </w:tr>
      <w:tr w:rsidR="001D523F" w:rsidRPr="00007450" w14:paraId="44B4F890" w14:textId="77777777" w:rsidTr="004374A5">
        <w:trPr>
          <w:cantSplit/>
        </w:trPr>
        <w:tc>
          <w:tcPr>
            <w:tcW w:w="1020" w:type="pct"/>
          </w:tcPr>
          <w:p w14:paraId="7D51D673" w14:textId="77777777" w:rsidR="001D523F" w:rsidRPr="00007450" w:rsidRDefault="001D523F" w:rsidP="00864C4B">
            <w:pPr>
              <w:pStyle w:val="TableText0"/>
              <w:keepNext w:val="0"/>
            </w:pPr>
            <w:r w:rsidRPr="00007450">
              <w:t>ALT and AST</w:t>
            </w:r>
          </w:p>
        </w:tc>
        <w:tc>
          <w:tcPr>
            <w:tcW w:w="1729" w:type="pct"/>
          </w:tcPr>
          <w:p w14:paraId="109F374D" w14:textId="7D7F5322" w:rsidR="00E923BA" w:rsidRPr="00007450" w:rsidRDefault="001D523F" w:rsidP="00864C4B">
            <w:pPr>
              <w:pStyle w:val="TableText0"/>
              <w:keepNext w:val="0"/>
            </w:pPr>
            <w:r w:rsidRPr="00007450">
              <w:t>$9.32</w:t>
            </w:r>
            <w:r w:rsidR="00BD664B" w:rsidRPr="00007450">
              <w:rPr>
                <w:vertAlign w:val="superscript"/>
              </w:rPr>
              <w:t>b</w:t>
            </w:r>
            <w:r w:rsidR="00BD664B" w:rsidRPr="00007450">
              <w:t xml:space="preserve"> </w:t>
            </w:r>
            <w:r w:rsidRPr="00007450">
              <w:t>(MBS item 66503)</w:t>
            </w:r>
          </w:p>
          <w:p w14:paraId="0571FBBC" w14:textId="77777777" w:rsidR="00E923BA" w:rsidRPr="00007450" w:rsidRDefault="00E923BA" w:rsidP="00864C4B">
            <w:pPr>
              <w:pStyle w:val="TableText0"/>
              <w:keepNext w:val="0"/>
            </w:pPr>
          </w:p>
          <w:p w14:paraId="479CEA65" w14:textId="399EA2A5" w:rsidR="001D523F" w:rsidRPr="00007450" w:rsidRDefault="00E923BA" w:rsidP="00864C4B">
            <w:pPr>
              <w:pStyle w:val="TableText0"/>
              <w:keepNext w:val="0"/>
            </w:pPr>
            <w:r w:rsidRPr="00007450">
              <w:t>Abemaciclib: 7 services in the first year of treatment</w:t>
            </w:r>
          </w:p>
        </w:tc>
        <w:tc>
          <w:tcPr>
            <w:tcW w:w="2251" w:type="pct"/>
          </w:tcPr>
          <w:p w14:paraId="69D8FED4" w14:textId="77777777" w:rsidR="001D523F" w:rsidRPr="00007450" w:rsidRDefault="001D523F" w:rsidP="00864C4B">
            <w:pPr>
              <w:pStyle w:val="TableText0"/>
              <w:keepNext w:val="0"/>
            </w:pPr>
            <w:r w:rsidRPr="00007450">
              <w:t>Reasonable.</w:t>
            </w:r>
          </w:p>
        </w:tc>
      </w:tr>
    </w:tbl>
    <w:p w14:paraId="6DB07537" w14:textId="77777777" w:rsidR="001D523F" w:rsidRPr="00007450" w:rsidRDefault="001D523F" w:rsidP="00864C4B">
      <w:pPr>
        <w:pStyle w:val="TableFigureFooter"/>
      </w:pPr>
      <w:r w:rsidRPr="00007450">
        <w:t>Source: Adapted from Table 4.1, pp149–151 of the submission.</w:t>
      </w:r>
    </w:p>
    <w:p w14:paraId="258DB512" w14:textId="046B0E2A" w:rsidR="001D523F" w:rsidRPr="00007450" w:rsidRDefault="001D523F" w:rsidP="00864C4B">
      <w:pPr>
        <w:pStyle w:val="TableFigureFooter"/>
      </w:pPr>
      <w:r w:rsidRPr="00007450">
        <w:t xml:space="preserve">ALT = alanine aminotransferase; AST = aspartate aminotransferase; </w:t>
      </w:r>
      <w:r w:rsidR="00936954" w:rsidRPr="00007450">
        <w:t xml:space="preserve">CDK4/6i = cyclin-dependent kinases 4 and 6 inhibitor; </w:t>
      </w:r>
      <w:r w:rsidRPr="00007450">
        <w:t xml:space="preserve">ECG = electrocardiogram; ECHO = echocardiogram; </w:t>
      </w:r>
      <w:r w:rsidR="00936954" w:rsidRPr="00007450">
        <w:t xml:space="preserve">ET = endocrine therapy; </w:t>
      </w:r>
      <w:r w:rsidRPr="00007450">
        <w:t xml:space="preserve">FBC = full blood count; HER2 = human epidermal growth factor receptor 2; HR = hormone receptor; </w:t>
      </w:r>
      <w:r w:rsidR="00936954" w:rsidRPr="00007450">
        <w:t xml:space="preserve">iDF = invasive disease-free; iDFS = invasive disease-free survival; </w:t>
      </w:r>
      <w:r w:rsidRPr="00007450">
        <w:t>LFT = liver function test; PSD = public summary document; RDI = relative dose intensity</w:t>
      </w:r>
    </w:p>
    <w:p w14:paraId="35CC2CCB" w14:textId="32023871" w:rsidR="001D523F" w:rsidRPr="00007450" w:rsidRDefault="00BD664B" w:rsidP="00864C4B">
      <w:pPr>
        <w:pStyle w:val="TableFigureFooter"/>
      </w:pPr>
      <w:r w:rsidRPr="00007450">
        <w:rPr>
          <w:vertAlign w:val="superscript"/>
        </w:rPr>
        <w:t>a</w:t>
      </w:r>
      <w:r w:rsidR="001D523F" w:rsidRPr="00007450">
        <w:t xml:space="preserve"> 72.8% × 400 mg + 27.2% × 200 mg</w:t>
      </w:r>
    </w:p>
    <w:p w14:paraId="74DF3A04" w14:textId="0CC9FEE7" w:rsidR="001D523F" w:rsidRPr="00007450" w:rsidRDefault="00BD664B" w:rsidP="00864C4B">
      <w:pPr>
        <w:pStyle w:val="TableFigureFooter"/>
      </w:pPr>
      <w:r w:rsidRPr="00007450">
        <w:rPr>
          <w:vertAlign w:val="superscript"/>
        </w:rPr>
        <w:t>b</w:t>
      </w:r>
      <w:r w:rsidRPr="00007450">
        <w:t xml:space="preserve"> </w:t>
      </w:r>
      <w:r w:rsidR="001D523F" w:rsidRPr="00007450">
        <w:t>Assuming an 80% level of rebate</w:t>
      </w:r>
    </w:p>
    <w:p w14:paraId="32C1963A" w14:textId="3E453A1C" w:rsidR="001D523F" w:rsidRPr="00007450" w:rsidRDefault="001D523F" w:rsidP="00864C4B">
      <w:pPr>
        <w:pStyle w:val="3-BodyText"/>
      </w:pPr>
      <w:r w:rsidRPr="00007450">
        <w:t xml:space="preserve">The estimated use and financial implications associated with the listing of ribociclib is presented in </w:t>
      </w:r>
      <w:r w:rsidRPr="00007450">
        <w:fldChar w:fldCharType="begin"/>
      </w:r>
      <w:r w:rsidRPr="00007450">
        <w:instrText xml:space="preserve"> REF _Ref104805295 \h  \* MERGEFORMAT </w:instrText>
      </w:r>
      <w:r w:rsidRPr="00007450">
        <w:fldChar w:fldCharType="separate"/>
      </w:r>
      <w:r w:rsidR="00B36442" w:rsidRPr="00007450">
        <w:t xml:space="preserve">Table </w:t>
      </w:r>
      <w:r w:rsidR="00B36442">
        <w:t>18</w:t>
      </w:r>
      <w:r w:rsidRPr="00007450">
        <w:fldChar w:fldCharType="end"/>
      </w:r>
      <w:r w:rsidRPr="00007450">
        <w:t>.</w:t>
      </w:r>
    </w:p>
    <w:p w14:paraId="47AD02C4" w14:textId="66847BC4" w:rsidR="001D523F" w:rsidRPr="00007450" w:rsidRDefault="001D523F" w:rsidP="00864C4B">
      <w:pPr>
        <w:pStyle w:val="TableFigureHeading"/>
        <w:rPr>
          <w:rStyle w:val="CommentReference"/>
          <w:b/>
          <w:szCs w:val="24"/>
        </w:rPr>
      </w:pPr>
      <w:bookmarkStart w:id="86" w:name="_Ref104805295"/>
      <w:r w:rsidRPr="00007450">
        <w:lastRenderedPageBreak/>
        <w:t xml:space="preserve">Table </w:t>
      </w:r>
      <w:r w:rsidR="001C7776">
        <w:fldChar w:fldCharType="begin"/>
      </w:r>
      <w:r w:rsidR="001C7776">
        <w:instrText xml:space="preserve"> SEQ Table \* ARABIC </w:instrText>
      </w:r>
      <w:r w:rsidR="001C7776">
        <w:fldChar w:fldCharType="separate"/>
      </w:r>
      <w:r w:rsidR="00B36442">
        <w:rPr>
          <w:noProof/>
        </w:rPr>
        <w:t>18</w:t>
      </w:r>
      <w:r w:rsidR="001C7776">
        <w:rPr>
          <w:noProof/>
        </w:rPr>
        <w:fldChar w:fldCharType="end"/>
      </w:r>
      <w:bookmarkEnd w:id="86"/>
      <w:r w:rsidRPr="00007450">
        <w:t>:</w:t>
      </w:r>
      <w:r w:rsidRPr="00007450">
        <w:rPr>
          <w:rStyle w:val="CommentReference"/>
          <w:b/>
          <w:szCs w:val="24"/>
        </w:rPr>
        <w:t xml:space="preserve"> Estimated use and financial implications</w:t>
      </w:r>
    </w:p>
    <w:tbl>
      <w:tblPr>
        <w:tblStyle w:val="TableGrid"/>
        <w:tblW w:w="5028" w:type="pct"/>
        <w:tblLayout w:type="fixed"/>
        <w:tblLook w:val="04A0" w:firstRow="1" w:lastRow="0" w:firstColumn="1" w:lastColumn="0" w:noHBand="0" w:noVBand="1"/>
        <w:tblCaption w:val="Table 18: Estimated use and financial implications"/>
      </w:tblPr>
      <w:tblGrid>
        <w:gridCol w:w="2262"/>
        <w:gridCol w:w="1134"/>
        <w:gridCol w:w="1134"/>
        <w:gridCol w:w="1134"/>
        <w:gridCol w:w="1134"/>
        <w:gridCol w:w="1134"/>
        <w:gridCol w:w="1135"/>
      </w:tblGrid>
      <w:tr w:rsidR="001D523F" w:rsidRPr="00007450" w14:paraId="03A15B8B" w14:textId="77777777">
        <w:tc>
          <w:tcPr>
            <w:tcW w:w="1247" w:type="pct"/>
            <w:noWrap/>
          </w:tcPr>
          <w:p w14:paraId="534FEEEC" w14:textId="77777777" w:rsidR="001D523F" w:rsidRPr="00007450" w:rsidRDefault="001D523F" w:rsidP="00864C4B">
            <w:pPr>
              <w:pStyle w:val="In-tableHeading"/>
              <w:rPr>
                <w:lang w:val="en-AU"/>
              </w:rPr>
            </w:pPr>
          </w:p>
        </w:tc>
        <w:tc>
          <w:tcPr>
            <w:tcW w:w="625" w:type="pct"/>
            <w:noWrap/>
          </w:tcPr>
          <w:p w14:paraId="3C8DA5C8" w14:textId="77777777" w:rsidR="001D523F" w:rsidRPr="00007450" w:rsidRDefault="001D523F" w:rsidP="00864C4B">
            <w:pPr>
              <w:pStyle w:val="In-tableHeading"/>
              <w:jc w:val="center"/>
              <w:rPr>
                <w:lang w:val="en-AU"/>
              </w:rPr>
            </w:pPr>
            <w:r w:rsidRPr="00007450">
              <w:rPr>
                <w:lang w:val="en-AU"/>
              </w:rPr>
              <w:t>Year 1</w:t>
            </w:r>
          </w:p>
        </w:tc>
        <w:tc>
          <w:tcPr>
            <w:tcW w:w="625" w:type="pct"/>
            <w:noWrap/>
          </w:tcPr>
          <w:p w14:paraId="211DBF87" w14:textId="77777777" w:rsidR="001D523F" w:rsidRPr="00007450" w:rsidRDefault="001D523F" w:rsidP="00864C4B">
            <w:pPr>
              <w:pStyle w:val="In-tableHeading"/>
              <w:jc w:val="center"/>
              <w:rPr>
                <w:lang w:val="en-AU"/>
              </w:rPr>
            </w:pPr>
            <w:r w:rsidRPr="00007450">
              <w:rPr>
                <w:lang w:val="en-AU"/>
              </w:rPr>
              <w:t>Year 2</w:t>
            </w:r>
          </w:p>
        </w:tc>
        <w:tc>
          <w:tcPr>
            <w:tcW w:w="625" w:type="pct"/>
            <w:noWrap/>
          </w:tcPr>
          <w:p w14:paraId="0D4957AB" w14:textId="77777777" w:rsidR="001D523F" w:rsidRPr="00007450" w:rsidRDefault="001D523F" w:rsidP="00864C4B">
            <w:pPr>
              <w:pStyle w:val="In-tableHeading"/>
              <w:jc w:val="center"/>
              <w:rPr>
                <w:lang w:val="en-AU"/>
              </w:rPr>
            </w:pPr>
            <w:r w:rsidRPr="00007450">
              <w:rPr>
                <w:lang w:val="en-AU"/>
              </w:rPr>
              <w:t>Year 3</w:t>
            </w:r>
          </w:p>
        </w:tc>
        <w:tc>
          <w:tcPr>
            <w:tcW w:w="625" w:type="pct"/>
            <w:noWrap/>
          </w:tcPr>
          <w:p w14:paraId="51B4E262" w14:textId="77777777" w:rsidR="001D523F" w:rsidRPr="00007450" w:rsidRDefault="001D523F" w:rsidP="00864C4B">
            <w:pPr>
              <w:pStyle w:val="In-tableHeading"/>
              <w:jc w:val="center"/>
              <w:rPr>
                <w:lang w:val="en-AU"/>
              </w:rPr>
            </w:pPr>
            <w:r w:rsidRPr="00007450">
              <w:rPr>
                <w:lang w:val="en-AU"/>
              </w:rPr>
              <w:t>Year 4</w:t>
            </w:r>
          </w:p>
        </w:tc>
        <w:tc>
          <w:tcPr>
            <w:tcW w:w="625" w:type="pct"/>
            <w:noWrap/>
          </w:tcPr>
          <w:p w14:paraId="235DAA56" w14:textId="77777777" w:rsidR="001D523F" w:rsidRPr="00007450" w:rsidRDefault="001D523F" w:rsidP="00864C4B">
            <w:pPr>
              <w:pStyle w:val="In-tableHeading"/>
              <w:jc w:val="center"/>
              <w:rPr>
                <w:lang w:val="en-AU"/>
              </w:rPr>
            </w:pPr>
            <w:r w:rsidRPr="00007450">
              <w:rPr>
                <w:lang w:val="en-AU"/>
              </w:rPr>
              <w:t>Year 5</w:t>
            </w:r>
          </w:p>
        </w:tc>
        <w:tc>
          <w:tcPr>
            <w:tcW w:w="626" w:type="pct"/>
            <w:noWrap/>
          </w:tcPr>
          <w:p w14:paraId="5B5C6BD3" w14:textId="77777777" w:rsidR="001D523F" w:rsidRPr="00007450" w:rsidRDefault="001D523F" w:rsidP="00864C4B">
            <w:pPr>
              <w:pStyle w:val="In-tableHeading"/>
              <w:jc w:val="center"/>
              <w:rPr>
                <w:lang w:val="en-AU"/>
              </w:rPr>
            </w:pPr>
            <w:r w:rsidRPr="00007450">
              <w:rPr>
                <w:lang w:val="en-AU"/>
              </w:rPr>
              <w:t>Year 6</w:t>
            </w:r>
          </w:p>
        </w:tc>
      </w:tr>
      <w:tr w:rsidR="001D523F" w:rsidRPr="00007450" w14:paraId="28BE73B2" w14:textId="77777777">
        <w:tc>
          <w:tcPr>
            <w:tcW w:w="1247" w:type="pct"/>
            <w:noWrap/>
          </w:tcPr>
          <w:p w14:paraId="60418776" w14:textId="77777777" w:rsidR="001D523F" w:rsidRPr="00007450" w:rsidRDefault="001D523F" w:rsidP="00864C4B">
            <w:pPr>
              <w:pStyle w:val="In-tableHeading"/>
              <w:rPr>
                <w:b w:val="0"/>
                <w:bCs/>
                <w:lang w:val="en-AU"/>
              </w:rPr>
            </w:pPr>
            <w:r w:rsidRPr="00007450">
              <w:rPr>
                <w:b w:val="0"/>
                <w:bCs/>
                <w:lang w:val="en-AU"/>
              </w:rPr>
              <w:t>Breast cancer incidence (3.36% growth)</w:t>
            </w:r>
          </w:p>
        </w:tc>
        <w:tc>
          <w:tcPr>
            <w:tcW w:w="625" w:type="pct"/>
            <w:noWrap/>
          </w:tcPr>
          <w:p w14:paraId="4CF69AE6" w14:textId="38970BE0" w:rsidR="001D523F" w:rsidRPr="00192F0E" w:rsidRDefault="00E44B9A" w:rsidP="00864C4B">
            <w:pPr>
              <w:pStyle w:val="In-tableHeading"/>
              <w:jc w:val="right"/>
              <w:rPr>
                <w:b w:val="0"/>
                <w:bCs/>
                <w:highlight w:val="darkGray"/>
                <w:vertAlign w:val="superscript"/>
                <w:lang w:val="en-AU"/>
              </w:rPr>
            </w:pPr>
            <w:r w:rsidRPr="002309EA">
              <w:rPr>
                <w:b w:val="0"/>
                <w:bCs/>
                <w:color w:val="000000"/>
                <w:spacing w:val="53"/>
                <w:shd w:val="solid" w:color="000000" w:fill="000000"/>
                <w:fitText w:val="330" w:id="-628909312"/>
                <w:lang w:val="en-AU"/>
                <w14:textFill>
                  <w14:solidFill>
                    <w14:srgbClr w14:val="000000">
                      <w14:alpha w14:val="100000"/>
                    </w14:srgbClr>
                  </w14:solidFill>
                </w14:textFill>
              </w:rPr>
              <w:t>|||</w:t>
            </w:r>
            <w:r w:rsidRPr="002309EA">
              <w:rPr>
                <w:b w:val="0"/>
                <w:bCs/>
                <w:color w:val="000000"/>
                <w:spacing w:val="1"/>
                <w:shd w:val="solid" w:color="000000" w:fill="000000"/>
                <w:fitText w:val="330" w:id="-628909312"/>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2BA14C03" w14:textId="1135029F"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11"/>
                <w:lang w:val="en-AU"/>
                <w14:textFill>
                  <w14:solidFill>
                    <w14:srgbClr w14:val="000000">
                      <w14:alpha w14:val="100000"/>
                    </w14:srgbClr>
                  </w14:solidFill>
                </w14:textFill>
              </w:rPr>
              <w:t>|||</w:t>
            </w:r>
            <w:r w:rsidRPr="00E44B9A">
              <w:rPr>
                <w:b w:val="0"/>
                <w:bCs/>
                <w:color w:val="000000"/>
                <w:spacing w:val="1"/>
                <w:shd w:val="solid" w:color="000000" w:fill="000000"/>
                <w:fitText w:val="330" w:id="-628909311"/>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65EDDC7D" w14:textId="1C21DDA5"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10"/>
                <w:lang w:val="en-AU"/>
                <w14:textFill>
                  <w14:solidFill>
                    <w14:srgbClr w14:val="000000">
                      <w14:alpha w14:val="100000"/>
                    </w14:srgbClr>
                  </w14:solidFill>
                </w14:textFill>
              </w:rPr>
              <w:t>|||</w:t>
            </w:r>
            <w:r w:rsidRPr="00E44B9A">
              <w:rPr>
                <w:b w:val="0"/>
                <w:bCs/>
                <w:color w:val="000000"/>
                <w:spacing w:val="1"/>
                <w:shd w:val="solid" w:color="000000" w:fill="000000"/>
                <w:fitText w:val="330" w:id="-628909310"/>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71309999" w14:textId="33B8C588"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9"/>
                <w:lang w:val="en-AU"/>
                <w14:textFill>
                  <w14:solidFill>
                    <w14:srgbClr w14:val="000000">
                      <w14:alpha w14:val="100000"/>
                    </w14:srgbClr>
                  </w14:solidFill>
                </w14:textFill>
              </w:rPr>
              <w:t>|||</w:t>
            </w:r>
            <w:r w:rsidRPr="00E44B9A">
              <w:rPr>
                <w:b w:val="0"/>
                <w:bCs/>
                <w:color w:val="000000"/>
                <w:spacing w:val="1"/>
                <w:shd w:val="solid" w:color="000000" w:fill="000000"/>
                <w:fitText w:val="330" w:id="-628909309"/>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70817BE3" w14:textId="132AF342"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8"/>
                <w:lang w:val="en-AU"/>
                <w14:textFill>
                  <w14:solidFill>
                    <w14:srgbClr w14:val="000000">
                      <w14:alpha w14:val="100000"/>
                    </w14:srgbClr>
                  </w14:solidFill>
                </w14:textFill>
              </w:rPr>
              <w:t>|||</w:t>
            </w:r>
            <w:r w:rsidRPr="00E44B9A">
              <w:rPr>
                <w:b w:val="0"/>
                <w:bCs/>
                <w:color w:val="000000"/>
                <w:spacing w:val="1"/>
                <w:shd w:val="solid" w:color="000000" w:fill="000000"/>
                <w:fitText w:val="330" w:id="-628909308"/>
                <w:lang w:val="en-AU"/>
                <w14:textFill>
                  <w14:solidFill>
                    <w14:srgbClr w14:val="000000">
                      <w14:alpha w14:val="100000"/>
                    </w14:srgbClr>
                  </w14:solidFill>
                </w14:textFill>
              </w:rPr>
              <w:t>|</w:t>
            </w:r>
            <w:r w:rsidR="00192F0E" w:rsidRPr="00192F0E">
              <w:rPr>
                <w:b w:val="0"/>
                <w:bCs/>
                <w:vertAlign w:val="superscript"/>
                <w:lang w:val="en-AU"/>
              </w:rPr>
              <w:t>1</w:t>
            </w:r>
          </w:p>
        </w:tc>
        <w:tc>
          <w:tcPr>
            <w:tcW w:w="626" w:type="pct"/>
            <w:noWrap/>
          </w:tcPr>
          <w:p w14:paraId="327AB6AA" w14:textId="39A71BB3"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7"/>
                <w:lang w:val="en-AU"/>
                <w14:textFill>
                  <w14:solidFill>
                    <w14:srgbClr w14:val="000000">
                      <w14:alpha w14:val="100000"/>
                    </w14:srgbClr>
                  </w14:solidFill>
                </w14:textFill>
              </w:rPr>
              <w:t>|||</w:t>
            </w:r>
            <w:r w:rsidRPr="00E44B9A">
              <w:rPr>
                <w:b w:val="0"/>
                <w:bCs/>
                <w:color w:val="000000"/>
                <w:spacing w:val="1"/>
                <w:shd w:val="solid" w:color="000000" w:fill="000000"/>
                <w:fitText w:val="330" w:id="-628909307"/>
                <w:lang w:val="en-AU"/>
                <w14:textFill>
                  <w14:solidFill>
                    <w14:srgbClr w14:val="000000">
                      <w14:alpha w14:val="100000"/>
                    </w14:srgbClr>
                  </w14:solidFill>
                </w14:textFill>
              </w:rPr>
              <w:t>|</w:t>
            </w:r>
            <w:r w:rsidR="00192F0E" w:rsidRPr="00192F0E">
              <w:rPr>
                <w:b w:val="0"/>
                <w:bCs/>
                <w:vertAlign w:val="superscript"/>
                <w:lang w:val="en-AU"/>
              </w:rPr>
              <w:t>1</w:t>
            </w:r>
          </w:p>
        </w:tc>
      </w:tr>
      <w:tr w:rsidR="001D523F" w:rsidRPr="00007450" w14:paraId="6D064FDB" w14:textId="77777777">
        <w:tc>
          <w:tcPr>
            <w:tcW w:w="1247" w:type="pct"/>
            <w:noWrap/>
          </w:tcPr>
          <w:p w14:paraId="2D6948A2" w14:textId="77777777" w:rsidR="001D523F" w:rsidRPr="00007450" w:rsidRDefault="001D523F" w:rsidP="00864C4B">
            <w:pPr>
              <w:pStyle w:val="In-tableHeading"/>
              <w:rPr>
                <w:b w:val="0"/>
                <w:bCs/>
                <w:lang w:val="en-AU"/>
              </w:rPr>
            </w:pPr>
            <w:r w:rsidRPr="00007450">
              <w:rPr>
                <w:b w:val="0"/>
                <w:bCs/>
                <w:lang w:val="en-AU"/>
              </w:rPr>
              <w:t>No. patients with Stage I–III disease (95.0%)</w:t>
            </w:r>
          </w:p>
        </w:tc>
        <w:tc>
          <w:tcPr>
            <w:tcW w:w="625" w:type="pct"/>
            <w:noWrap/>
          </w:tcPr>
          <w:p w14:paraId="3B1447F1" w14:textId="2123FA94"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6"/>
                <w:lang w:val="en-AU"/>
                <w14:textFill>
                  <w14:solidFill>
                    <w14:srgbClr w14:val="000000">
                      <w14:alpha w14:val="100000"/>
                    </w14:srgbClr>
                  </w14:solidFill>
                </w14:textFill>
              </w:rPr>
              <w:t>|||</w:t>
            </w:r>
            <w:r w:rsidRPr="00E44B9A">
              <w:rPr>
                <w:b w:val="0"/>
                <w:bCs/>
                <w:color w:val="000000"/>
                <w:spacing w:val="1"/>
                <w:shd w:val="solid" w:color="000000" w:fill="000000"/>
                <w:fitText w:val="330" w:id="-628909306"/>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1418C145" w14:textId="39FB3C14"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5"/>
                <w:lang w:val="en-AU"/>
                <w14:textFill>
                  <w14:solidFill>
                    <w14:srgbClr w14:val="000000">
                      <w14:alpha w14:val="100000"/>
                    </w14:srgbClr>
                  </w14:solidFill>
                </w14:textFill>
              </w:rPr>
              <w:t>|||</w:t>
            </w:r>
            <w:r w:rsidRPr="00E44B9A">
              <w:rPr>
                <w:b w:val="0"/>
                <w:bCs/>
                <w:color w:val="000000"/>
                <w:spacing w:val="1"/>
                <w:shd w:val="solid" w:color="000000" w:fill="000000"/>
                <w:fitText w:val="330" w:id="-628909305"/>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14BB29F1" w14:textId="46ADB7AA"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4"/>
                <w:lang w:val="en-AU"/>
                <w14:textFill>
                  <w14:solidFill>
                    <w14:srgbClr w14:val="000000">
                      <w14:alpha w14:val="100000"/>
                    </w14:srgbClr>
                  </w14:solidFill>
                </w14:textFill>
              </w:rPr>
              <w:t>|||</w:t>
            </w:r>
            <w:r w:rsidRPr="00E44B9A">
              <w:rPr>
                <w:b w:val="0"/>
                <w:bCs/>
                <w:color w:val="000000"/>
                <w:spacing w:val="1"/>
                <w:shd w:val="solid" w:color="000000" w:fill="000000"/>
                <w:fitText w:val="330" w:id="-628909304"/>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6B44CD07" w14:textId="1390B8CA"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3"/>
                <w:lang w:val="en-AU"/>
                <w14:textFill>
                  <w14:solidFill>
                    <w14:srgbClr w14:val="000000">
                      <w14:alpha w14:val="100000"/>
                    </w14:srgbClr>
                  </w14:solidFill>
                </w14:textFill>
              </w:rPr>
              <w:t>|||</w:t>
            </w:r>
            <w:r w:rsidRPr="00E44B9A">
              <w:rPr>
                <w:b w:val="0"/>
                <w:bCs/>
                <w:color w:val="000000"/>
                <w:spacing w:val="1"/>
                <w:shd w:val="solid" w:color="000000" w:fill="000000"/>
                <w:fitText w:val="330" w:id="-628909303"/>
                <w:lang w:val="en-AU"/>
                <w14:textFill>
                  <w14:solidFill>
                    <w14:srgbClr w14:val="000000">
                      <w14:alpha w14:val="100000"/>
                    </w14:srgbClr>
                  </w14:solidFill>
                </w14:textFill>
              </w:rPr>
              <w:t>|</w:t>
            </w:r>
            <w:r w:rsidR="00192F0E" w:rsidRPr="00192F0E">
              <w:rPr>
                <w:b w:val="0"/>
                <w:bCs/>
                <w:vertAlign w:val="superscript"/>
                <w:lang w:val="en-AU"/>
              </w:rPr>
              <w:t>1</w:t>
            </w:r>
          </w:p>
        </w:tc>
        <w:tc>
          <w:tcPr>
            <w:tcW w:w="625" w:type="pct"/>
            <w:noWrap/>
          </w:tcPr>
          <w:p w14:paraId="497A7483" w14:textId="4774C0A6"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2"/>
                <w:lang w:val="en-AU"/>
                <w14:textFill>
                  <w14:solidFill>
                    <w14:srgbClr w14:val="000000">
                      <w14:alpha w14:val="100000"/>
                    </w14:srgbClr>
                  </w14:solidFill>
                </w14:textFill>
              </w:rPr>
              <w:t>|||</w:t>
            </w:r>
            <w:r w:rsidRPr="00E44B9A">
              <w:rPr>
                <w:b w:val="0"/>
                <w:bCs/>
                <w:color w:val="000000"/>
                <w:spacing w:val="1"/>
                <w:shd w:val="solid" w:color="000000" w:fill="000000"/>
                <w:fitText w:val="330" w:id="-628909302"/>
                <w:lang w:val="en-AU"/>
                <w14:textFill>
                  <w14:solidFill>
                    <w14:srgbClr w14:val="000000">
                      <w14:alpha w14:val="100000"/>
                    </w14:srgbClr>
                  </w14:solidFill>
                </w14:textFill>
              </w:rPr>
              <w:t>|</w:t>
            </w:r>
            <w:r w:rsidR="00192F0E" w:rsidRPr="00192F0E">
              <w:rPr>
                <w:b w:val="0"/>
                <w:bCs/>
                <w:vertAlign w:val="superscript"/>
                <w:lang w:val="en-AU"/>
              </w:rPr>
              <w:t>1</w:t>
            </w:r>
          </w:p>
        </w:tc>
        <w:tc>
          <w:tcPr>
            <w:tcW w:w="626" w:type="pct"/>
            <w:noWrap/>
          </w:tcPr>
          <w:p w14:paraId="79D49FE0" w14:textId="0BD0189F"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1"/>
                <w:lang w:val="en-AU"/>
                <w14:textFill>
                  <w14:solidFill>
                    <w14:srgbClr w14:val="000000">
                      <w14:alpha w14:val="100000"/>
                    </w14:srgbClr>
                  </w14:solidFill>
                </w14:textFill>
              </w:rPr>
              <w:t>|||</w:t>
            </w:r>
            <w:r w:rsidRPr="00E44B9A">
              <w:rPr>
                <w:b w:val="0"/>
                <w:bCs/>
                <w:color w:val="000000"/>
                <w:spacing w:val="1"/>
                <w:shd w:val="solid" w:color="000000" w:fill="000000"/>
                <w:fitText w:val="330" w:id="-628909301"/>
                <w:lang w:val="en-AU"/>
                <w14:textFill>
                  <w14:solidFill>
                    <w14:srgbClr w14:val="000000">
                      <w14:alpha w14:val="100000"/>
                    </w14:srgbClr>
                  </w14:solidFill>
                </w14:textFill>
              </w:rPr>
              <w:t>|</w:t>
            </w:r>
            <w:r w:rsidR="00192F0E" w:rsidRPr="00192F0E">
              <w:rPr>
                <w:b w:val="0"/>
                <w:bCs/>
                <w:vertAlign w:val="superscript"/>
                <w:lang w:val="en-AU"/>
              </w:rPr>
              <w:t>1</w:t>
            </w:r>
          </w:p>
        </w:tc>
      </w:tr>
      <w:tr w:rsidR="001D523F" w:rsidRPr="00007450" w14:paraId="3350B722" w14:textId="77777777">
        <w:tc>
          <w:tcPr>
            <w:tcW w:w="1247" w:type="pct"/>
            <w:noWrap/>
          </w:tcPr>
          <w:p w14:paraId="26326B96" w14:textId="680BFA26" w:rsidR="001D523F" w:rsidRPr="00007450" w:rsidRDefault="001D523F" w:rsidP="00864C4B">
            <w:pPr>
              <w:pStyle w:val="In-tableHeading"/>
              <w:rPr>
                <w:b w:val="0"/>
                <w:bCs/>
                <w:lang w:val="en-AU"/>
              </w:rPr>
            </w:pPr>
            <w:r w:rsidRPr="00007450">
              <w:rPr>
                <w:b w:val="0"/>
                <w:bCs/>
                <w:lang w:val="en-AU"/>
              </w:rPr>
              <w:t>No. patients who are HR+ / HER2</w:t>
            </w:r>
            <w:r w:rsidR="0016038A">
              <w:rPr>
                <w:b w:val="0"/>
                <w:bCs/>
                <w:lang w:val="en-AU"/>
              </w:rPr>
              <w:t>-</w:t>
            </w:r>
            <w:r w:rsidRPr="00007450">
              <w:rPr>
                <w:b w:val="0"/>
                <w:bCs/>
                <w:lang w:val="en-AU"/>
              </w:rPr>
              <w:t xml:space="preserve"> (72.9%)</w:t>
            </w:r>
          </w:p>
        </w:tc>
        <w:tc>
          <w:tcPr>
            <w:tcW w:w="625" w:type="pct"/>
            <w:noWrap/>
          </w:tcPr>
          <w:p w14:paraId="77562A09" w14:textId="357A1186"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0"/>
                <w:lang w:val="en-AU"/>
                <w14:textFill>
                  <w14:solidFill>
                    <w14:srgbClr w14:val="000000">
                      <w14:alpha w14:val="100000"/>
                    </w14:srgbClr>
                  </w14:solidFill>
                </w14:textFill>
              </w:rPr>
              <w:t>|||</w:t>
            </w:r>
            <w:r w:rsidRPr="00E44B9A">
              <w:rPr>
                <w:b w:val="0"/>
                <w:bCs/>
                <w:color w:val="000000"/>
                <w:spacing w:val="1"/>
                <w:shd w:val="solid" w:color="000000" w:fill="000000"/>
                <w:fitText w:val="330" w:id="-628909300"/>
                <w:lang w:val="en-AU"/>
                <w14:textFill>
                  <w14:solidFill>
                    <w14:srgbClr w14:val="000000">
                      <w14:alpha w14:val="100000"/>
                    </w14:srgbClr>
                  </w14:solidFill>
                </w14:textFill>
              </w:rPr>
              <w:t>|</w:t>
            </w:r>
            <w:r w:rsidR="00F518FE">
              <w:rPr>
                <w:b w:val="0"/>
                <w:bCs/>
                <w:vertAlign w:val="superscript"/>
                <w:lang w:val="en-AU"/>
              </w:rPr>
              <w:t>2</w:t>
            </w:r>
          </w:p>
        </w:tc>
        <w:tc>
          <w:tcPr>
            <w:tcW w:w="625" w:type="pct"/>
            <w:noWrap/>
          </w:tcPr>
          <w:p w14:paraId="3F97A596" w14:textId="5F24CC9A"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299"/>
                <w:lang w:val="en-AU"/>
                <w14:textFill>
                  <w14:solidFill>
                    <w14:srgbClr w14:val="000000">
                      <w14:alpha w14:val="100000"/>
                    </w14:srgbClr>
                  </w14:solidFill>
                </w14:textFill>
              </w:rPr>
              <w:t>|||</w:t>
            </w:r>
            <w:r w:rsidRPr="00E44B9A">
              <w:rPr>
                <w:b w:val="0"/>
                <w:bCs/>
                <w:color w:val="000000"/>
                <w:spacing w:val="1"/>
                <w:shd w:val="solid" w:color="000000" w:fill="000000"/>
                <w:fitText w:val="330" w:id="-628909299"/>
                <w:lang w:val="en-AU"/>
                <w14:textFill>
                  <w14:solidFill>
                    <w14:srgbClr w14:val="000000">
                      <w14:alpha w14:val="100000"/>
                    </w14:srgbClr>
                  </w14:solidFill>
                </w14:textFill>
              </w:rPr>
              <w:t>|</w:t>
            </w:r>
            <w:r w:rsidR="00F518FE">
              <w:rPr>
                <w:b w:val="0"/>
                <w:bCs/>
                <w:vertAlign w:val="superscript"/>
                <w:lang w:val="en-AU"/>
              </w:rPr>
              <w:t>2</w:t>
            </w:r>
          </w:p>
        </w:tc>
        <w:tc>
          <w:tcPr>
            <w:tcW w:w="625" w:type="pct"/>
            <w:noWrap/>
          </w:tcPr>
          <w:p w14:paraId="37B85152" w14:textId="6FD285FC"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298"/>
                <w:lang w:val="en-AU"/>
                <w14:textFill>
                  <w14:solidFill>
                    <w14:srgbClr w14:val="000000">
                      <w14:alpha w14:val="100000"/>
                    </w14:srgbClr>
                  </w14:solidFill>
                </w14:textFill>
              </w:rPr>
              <w:t>|||</w:t>
            </w:r>
            <w:r w:rsidRPr="00E44B9A">
              <w:rPr>
                <w:b w:val="0"/>
                <w:bCs/>
                <w:color w:val="000000"/>
                <w:spacing w:val="1"/>
                <w:shd w:val="solid" w:color="000000" w:fill="000000"/>
                <w:fitText w:val="330" w:id="-628909298"/>
                <w:lang w:val="en-AU"/>
                <w14:textFill>
                  <w14:solidFill>
                    <w14:srgbClr w14:val="000000">
                      <w14:alpha w14:val="100000"/>
                    </w14:srgbClr>
                  </w14:solidFill>
                </w14:textFill>
              </w:rPr>
              <w:t>|</w:t>
            </w:r>
            <w:r w:rsidR="00F518FE">
              <w:rPr>
                <w:b w:val="0"/>
                <w:bCs/>
                <w:vertAlign w:val="superscript"/>
                <w:lang w:val="en-AU"/>
              </w:rPr>
              <w:t>2</w:t>
            </w:r>
          </w:p>
        </w:tc>
        <w:tc>
          <w:tcPr>
            <w:tcW w:w="625" w:type="pct"/>
            <w:noWrap/>
          </w:tcPr>
          <w:p w14:paraId="35148ADC" w14:textId="63904844"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297"/>
                <w:lang w:val="en-AU"/>
                <w14:textFill>
                  <w14:solidFill>
                    <w14:srgbClr w14:val="000000">
                      <w14:alpha w14:val="100000"/>
                    </w14:srgbClr>
                  </w14:solidFill>
                </w14:textFill>
              </w:rPr>
              <w:t>|||</w:t>
            </w:r>
            <w:r w:rsidRPr="00E44B9A">
              <w:rPr>
                <w:b w:val="0"/>
                <w:bCs/>
                <w:color w:val="000000"/>
                <w:spacing w:val="1"/>
                <w:shd w:val="solid" w:color="000000" w:fill="000000"/>
                <w:fitText w:val="330" w:id="-628909297"/>
                <w:lang w:val="en-AU"/>
                <w14:textFill>
                  <w14:solidFill>
                    <w14:srgbClr w14:val="000000">
                      <w14:alpha w14:val="100000"/>
                    </w14:srgbClr>
                  </w14:solidFill>
                </w14:textFill>
              </w:rPr>
              <w:t>|</w:t>
            </w:r>
            <w:r w:rsidR="00F518FE">
              <w:rPr>
                <w:b w:val="0"/>
                <w:bCs/>
                <w:vertAlign w:val="superscript"/>
                <w:lang w:val="en-AU"/>
              </w:rPr>
              <w:t>2</w:t>
            </w:r>
          </w:p>
        </w:tc>
        <w:tc>
          <w:tcPr>
            <w:tcW w:w="625" w:type="pct"/>
            <w:noWrap/>
          </w:tcPr>
          <w:p w14:paraId="701FEC1E" w14:textId="671D35B0"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296"/>
                <w:lang w:val="en-AU"/>
                <w14:textFill>
                  <w14:solidFill>
                    <w14:srgbClr w14:val="000000">
                      <w14:alpha w14:val="100000"/>
                    </w14:srgbClr>
                  </w14:solidFill>
                </w14:textFill>
              </w:rPr>
              <w:t>|||</w:t>
            </w:r>
            <w:r w:rsidRPr="00E44B9A">
              <w:rPr>
                <w:b w:val="0"/>
                <w:bCs/>
                <w:color w:val="000000"/>
                <w:spacing w:val="1"/>
                <w:shd w:val="solid" w:color="000000" w:fill="000000"/>
                <w:fitText w:val="330" w:id="-628909296"/>
                <w:lang w:val="en-AU"/>
                <w14:textFill>
                  <w14:solidFill>
                    <w14:srgbClr w14:val="000000">
                      <w14:alpha w14:val="100000"/>
                    </w14:srgbClr>
                  </w14:solidFill>
                </w14:textFill>
              </w:rPr>
              <w:t>|</w:t>
            </w:r>
            <w:r w:rsidR="00F518FE">
              <w:rPr>
                <w:b w:val="0"/>
                <w:bCs/>
                <w:vertAlign w:val="superscript"/>
                <w:lang w:val="en-AU"/>
              </w:rPr>
              <w:t>2</w:t>
            </w:r>
          </w:p>
        </w:tc>
        <w:tc>
          <w:tcPr>
            <w:tcW w:w="626" w:type="pct"/>
            <w:noWrap/>
          </w:tcPr>
          <w:p w14:paraId="13B21EB5" w14:textId="45D4E4F2"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12"/>
                <w:lang w:val="en-AU"/>
                <w14:textFill>
                  <w14:solidFill>
                    <w14:srgbClr w14:val="000000">
                      <w14:alpha w14:val="100000"/>
                    </w14:srgbClr>
                  </w14:solidFill>
                </w14:textFill>
              </w:rPr>
              <w:t>|||</w:t>
            </w:r>
            <w:r w:rsidRPr="00E44B9A">
              <w:rPr>
                <w:b w:val="0"/>
                <w:bCs/>
                <w:color w:val="000000"/>
                <w:spacing w:val="1"/>
                <w:shd w:val="solid" w:color="000000" w:fill="000000"/>
                <w:fitText w:val="330" w:id="-628909312"/>
                <w:lang w:val="en-AU"/>
                <w14:textFill>
                  <w14:solidFill>
                    <w14:srgbClr w14:val="000000">
                      <w14:alpha w14:val="100000"/>
                    </w14:srgbClr>
                  </w14:solidFill>
                </w14:textFill>
              </w:rPr>
              <w:t>|</w:t>
            </w:r>
            <w:r w:rsidR="00F518FE">
              <w:rPr>
                <w:b w:val="0"/>
                <w:bCs/>
                <w:vertAlign w:val="superscript"/>
                <w:lang w:val="en-AU"/>
              </w:rPr>
              <w:t>2</w:t>
            </w:r>
          </w:p>
        </w:tc>
      </w:tr>
      <w:tr w:rsidR="001D523F" w:rsidRPr="00007450" w14:paraId="24F71671" w14:textId="77777777">
        <w:tc>
          <w:tcPr>
            <w:tcW w:w="1247" w:type="pct"/>
            <w:noWrap/>
          </w:tcPr>
          <w:p w14:paraId="3A8E61BA" w14:textId="77777777" w:rsidR="001D523F" w:rsidRPr="00007450" w:rsidRDefault="001D523F" w:rsidP="00864C4B">
            <w:pPr>
              <w:pStyle w:val="In-tableHeading"/>
              <w:rPr>
                <w:b w:val="0"/>
                <w:bCs/>
                <w:lang w:val="en-AU"/>
              </w:rPr>
            </w:pPr>
            <w:r w:rsidRPr="00007450">
              <w:rPr>
                <w:b w:val="0"/>
                <w:bCs/>
                <w:lang w:val="en-AU"/>
              </w:rPr>
              <w:t>No. patients who meet proposed high-risk criteria (26.5%)</w:t>
            </w:r>
          </w:p>
        </w:tc>
        <w:tc>
          <w:tcPr>
            <w:tcW w:w="625" w:type="pct"/>
            <w:noWrap/>
          </w:tcPr>
          <w:p w14:paraId="0347F643" w14:textId="69A10054" w:rsidR="001D523F" w:rsidRPr="00015B29" w:rsidRDefault="00E44B9A" w:rsidP="00864C4B">
            <w:pPr>
              <w:pStyle w:val="In-tableHeading"/>
              <w:jc w:val="right"/>
              <w:rPr>
                <w:b w:val="0"/>
                <w:bCs/>
                <w:highlight w:val="darkGray"/>
                <w:vertAlign w:val="superscript"/>
                <w:lang w:val="en-AU"/>
              </w:rPr>
            </w:pPr>
            <w:r w:rsidRPr="00E44B9A">
              <w:rPr>
                <w:b w:val="0"/>
                <w:bCs/>
                <w:color w:val="000000"/>
                <w:spacing w:val="53"/>
                <w:shd w:val="solid" w:color="000000" w:fill="000000"/>
                <w:fitText w:val="330" w:id="-628909311"/>
                <w:lang w:val="en-AU"/>
                <w14:textFill>
                  <w14:solidFill>
                    <w14:srgbClr w14:val="000000">
                      <w14:alpha w14:val="100000"/>
                    </w14:srgbClr>
                  </w14:solidFill>
                </w14:textFill>
              </w:rPr>
              <w:t>|||</w:t>
            </w:r>
            <w:r w:rsidRPr="00E44B9A">
              <w:rPr>
                <w:b w:val="0"/>
                <w:bCs/>
                <w:color w:val="000000"/>
                <w:spacing w:val="1"/>
                <w:shd w:val="solid" w:color="000000" w:fill="000000"/>
                <w:fitText w:val="330" w:id="-628909311"/>
                <w:lang w:val="en-AU"/>
                <w14:textFill>
                  <w14:solidFill>
                    <w14:srgbClr w14:val="000000">
                      <w14:alpha w14:val="100000"/>
                    </w14:srgbClr>
                  </w14:solidFill>
                </w14:textFill>
              </w:rPr>
              <w:t>|</w:t>
            </w:r>
            <w:r w:rsidR="00A23671" w:rsidRPr="00A23671">
              <w:rPr>
                <w:b w:val="0"/>
                <w:bCs/>
                <w:vertAlign w:val="superscript"/>
                <w:lang w:val="en-AU"/>
              </w:rPr>
              <w:t>3</w:t>
            </w:r>
          </w:p>
        </w:tc>
        <w:tc>
          <w:tcPr>
            <w:tcW w:w="625" w:type="pct"/>
            <w:noWrap/>
          </w:tcPr>
          <w:p w14:paraId="7ABF2C12" w14:textId="4C9EF520"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10"/>
                <w:lang w:val="en-AU"/>
                <w14:textFill>
                  <w14:solidFill>
                    <w14:srgbClr w14:val="000000">
                      <w14:alpha w14:val="100000"/>
                    </w14:srgbClr>
                  </w14:solidFill>
                </w14:textFill>
              </w:rPr>
              <w:t>|||</w:t>
            </w:r>
            <w:r w:rsidRPr="00E44B9A">
              <w:rPr>
                <w:b w:val="0"/>
                <w:bCs/>
                <w:color w:val="000000"/>
                <w:spacing w:val="1"/>
                <w:shd w:val="solid" w:color="000000" w:fill="000000"/>
                <w:fitText w:val="330" w:id="-628909310"/>
                <w:lang w:val="en-AU"/>
                <w14:textFill>
                  <w14:solidFill>
                    <w14:srgbClr w14:val="000000">
                      <w14:alpha w14:val="100000"/>
                    </w14:srgbClr>
                  </w14:solidFill>
                </w14:textFill>
              </w:rPr>
              <w:t>|</w:t>
            </w:r>
            <w:r w:rsidR="00A23671" w:rsidRPr="00A23671">
              <w:rPr>
                <w:b w:val="0"/>
                <w:bCs/>
                <w:vertAlign w:val="superscript"/>
                <w:lang w:val="en-AU"/>
              </w:rPr>
              <w:t>3</w:t>
            </w:r>
          </w:p>
        </w:tc>
        <w:tc>
          <w:tcPr>
            <w:tcW w:w="625" w:type="pct"/>
            <w:noWrap/>
          </w:tcPr>
          <w:p w14:paraId="130AB68A" w14:textId="6880E9A9"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9"/>
                <w:lang w:val="en-AU"/>
                <w14:textFill>
                  <w14:solidFill>
                    <w14:srgbClr w14:val="000000">
                      <w14:alpha w14:val="100000"/>
                    </w14:srgbClr>
                  </w14:solidFill>
                </w14:textFill>
              </w:rPr>
              <w:t>|||</w:t>
            </w:r>
            <w:r w:rsidRPr="00E44B9A">
              <w:rPr>
                <w:b w:val="0"/>
                <w:bCs/>
                <w:color w:val="000000"/>
                <w:spacing w:val="1"/>
                <w:shd w:val="solid" w:color="000000" w:fill="000000"/>
                <w:fitText w:val="330" w:id="-628909309"/>
                <w:lang w:val="en-AU"/>
                <w14:textFill>
                  <w14:solidFill>
                    <w14:srgbClr w14:val="000000">
                      <w14:alpha w14:val="100000"/>
                    </w14:srgbClr>
                  </w14:solidFill>
                </w14:textFill>
              </w:rPr>
              <w:t>|</w:t>
            </w:r>
            <w:r w:rsidR="00A23671" w:rsidRPr="00A23671">
              <w:rPr>
                <w:b w:val="0"/>
                <w:bCs/>
                <w:vertAlign w:val="superscript"/>
                <w:lang w:val="en-AU"/>
              </w:rPr>
              <w:t>3</w:t>
            </w:r>
          </w:p>
        </w:tc>
        <w:tc>
          <w:tcPr>
            <w:tcW w:w="625" w:type="pct"/>
            <w:noWrap/>
          </w:tcPr>
          <w:p w14:paraId="1D098A40" w14:textId="1E5F0853"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8"/>
                <w:lang w:val="en-AU"/>
                <w14:textFill>
                  <w14:solidFill>
                    <w14:srgbClr w14:val="000000">
                      <w14:alpha w14:val="100000"/>
                    </w14:srgbClr>
                  </w14:solidFill>
                </w14:textFill>
              </w:rPr>
              <w:t>|||</w:t>
            </w:r>
            <w:r w:rsidRPr="00E44B9A">
              <w:rPr>
                <w:b w:val="0"/>
                <w:bCs/>
                <w:color w:val="000000"/>
                <w:spacing w:val="1"/>
                <w:shd w:val="solid" w:color="000000" w:fill="000000"/>
                <w:fitText w:val="330" w:id="-628909308"/>
                <w:lang w:val="en-AU"/>
                <w14:textFill>
                  <w14:solidFill>
                    <w14:srgbClr w14:val="000000">
                      <w14:alpha w14:val="100000"/>
                    </w14:srgbClr>
                  </w14:solidFill>
                </w14:textFill>
              </w:rPr>
              <w:t>|</w:t>
            </w:r>
            <w:r w:rsidR="00A23671" w:rsidRPr="00A23671">
              <w:rPr>
                <w:b w:val="0"/>
                <w:bCs/>
                <w:vertAlign w:val="superscript"/>
                <w:lang w:val="en-AU"/>
              </w:rPr>
              <w:t>3</w:t>
            </w:r>
          </w:p>
        </w:tc>
        <w:tc>
          <w:tcPr>
            <w:tcW w:w="625" w:type="pct"/>
            <w:noWrap/>
          </w:tcPr>
          <w:p w14:paraId="120982FC" w14:textId="5CC20072" w:rsidR="001D523F" w:rsidRPr="00192F0E" w:rsidRDefault="00E44B9A" w:rsidP="00864C4B">
            <w:pPr>
              <w:pStyle w:val="In-tableHeading"/>
              <w:jc w:val="right"/>
              <w:rPr>
                <w:b w:val="0"/>
                <w:bCs/>
                <w:highlight w:val="darkGray"/>
                <w:lang w:val="en-AU"/>
              </w:rPr>
            </w:pPr>
            <w:r w:rsidRPr="00E44B9A">
              <w:rPr>
                <w:b w:val="0"/>
                <w:bCs/>
                <w:color w:val="000000"/>
                <w:spacing w:val="53"/>
                <w:shd w:val="solid" w:color="000000" w:fill="000000"/>
                <w:fitText w:val="330" w:id="-628909307"/>
                <w:lang w:val="en-AU"/>
                <w14:textFill>
                  <w14:solidFill>
                    <w14:srgbClr w14:val="000000">
                      <w14:alpha w14:val="100000"/>
                    </w14:srgbClr>
                  </w14:solidFill>
                </w14:textFill>
              </w:rPr>
              <w:t>|||</w:t>
            </w:r>
            <w:r w:rsidRPr="00E44B9A">
              <w:rPr>
                <w:b w:val="0"/>
                <w:bCs/>
                <w:color w:val="000000"/>
                <w:spacing w:val="1"/>
                <w:shd w:val="solid" w:color="000000" w:fill="000000"/>
                <w:fitText w:val="330" w:id="-628909307"/>
                <w:lang w:val="en-AU"/>
                <w14:textFill>
                  <w14:solidFill>
                    <w14:srgbClr w14:val="000000">
                      <w14:alpha w14:val="100000"/>
                    </w14:srgbClr>
                  </w14:solidFill>
                </w14:textFill>
              </w:rPr>
              <w:t>|</w:t>
            </w:r>
            <w:r w:rsidR="00A23671" w:rsidRPr="00A23671">
              <w:rPr>
                <w:b w:val="0"/>
                <w:bCs/>
                <w:vertAlign w:val="superscript"/>
                <w:lang w:val="en-AU"/>
              </w:rPr>
              <w:t>3</w:t>
            </w:r>
          </w:p>
        </w:tc>
        <w:tc>
          <w:tcPr>
            <w:tcW w:w="626" w:type="pct"/>
            <w:noWrap/>
          </w:tcPr>
          <w:p w14:paraId="11F2A6D6" w14:textId="1B2F8D84" w:rsidR="001D523F" w:rsidRPr="00A23671" w:rsidRDefault="00E44B9A" w:rsidP="00864C4B">
            <w:pPr>
              <w:pStyle w:val="In-tableHeading"/>
              <w:jc w:val="right"/>
              <w:rPr>
                <w:b w:val="0"/>
                <w:bCs/>
                <w:highlight w:val="darkGray"/>
                <w:vertAlign w:val="superscript"/>
                <w:lang w:val="en-AU"/>
              </w:rPr>
            </w:pPr>
            <w:r w:rsidRPr="00E44B9A">
              <w:rPr>
                <w:b w:val="0"/>
                <w:bCs/>
                <w:color w:val="000000"/>
                <w:spacing w:val="53"/>
                <w:shd w:val="solid" w:color="000000" w:fill="000000"/>
                <w:fitText w:val="330" w:id="-628909306"/>
                <w:lang w:val="en-AU"/>
                <w14:textFill>
                  <w14:solidFill>
                    <w14:srgbClr w14:val="000000">
                      <w14:alpha w14:val="100000"/>
                    </w14:srgbClr>
                  </w14:solidFill>
                </w14:textFill>
              </w:rPr>
              <w:t>|||</w:t>
            </w:r>
            <w:r w:rsidRPr="00E44B9A">
              <w:rPr>
                <w:b w:val="0"/>
                <w:bCs/>
                <w:color w:val="000000"/>
                <w:spacing w:val="1"/>
                <w:shd w:val="solid" w:color="000000" w:fill="000000"/>
                <w:fitText w:val="330" w:id="-628909306"/>
                <w:lang w:val="en-AU"/>
                <w14:textFill>
                  <w14:solidFill>
                    <w14:srgbClr w14:val="000000">
                      <w14:alpha w14:val="100000"/>
                    </w14:srgbClr>
                  </w14:solidFill>
                </w14:textFill>
              </w:rPr>
              <w:t>|</w:t>
            </w:r>
            <w:r w:rsidR="00A23671" w:rsidRPr="00A23671">
              <w:rPr>
                <w:b w:val="0"/>
                <w:bCs/>
                <w:vertAlign w:val="superscript"/>
                <w:lang w:val="en-AU"/>
              </w:rPr>
              <w:t>4</w:t>
            </w:r>
          </w:p>
        </w:tc>
      </w:tr>
      <w:tr w:rsidR="001D523F" w:rsidRPr="00007450" w14:paraId="33B7B3F3" w14:textId="77777777">
        <w:tc>
          <w:tcPr>
            <w:tcW w:w="1247" w:type="pct"/>
            <w:noWrap/>
          </w:tcPr>
          <w:p w14:paraId="3624B775" w14:textId="77777777" w:rsidR="001D523F" w:rsidRPr="00007450" w:rsidRDefault="001D523F" w:rsidP="00864C4B">
            <w:pPr>
              <w:pStyle w:val="In-tableHeading"/>
              <w:rPr>
                <w:b w:val="0"/>
                <w:bCs/>
                <w:lang w:val="en-AU"/>
              </w:rPr>
            </w:pPr>
            <w:r w:rsidRPr="00007450">
              <w:rPr>
                <w:b w:val="0"/>
                <w:bCs/>
                <w:lang w:val="en-AU"/>
              </w:rPr>
              <w:t>Proportion who do not receive tamoxifen</w:t>
            </w:r>
          </w:p>
        </w:tc>
        <w:tc>
          <w:tcPr>
            <w:tcW w:w="625" w:type="pct"/>
            <w:noWrap/>
          </w:tcPr>
          <w:p w14:paraId="399EC524" w14:textId="10FE9AF5" w:rsidR="001D523F" w:rsidRPr="00510084" w:rsidRDefault="00E44B9A" w:rsidP="00864C4B">
            <w:pPr>
              <w:pStyle w:val="In-tableHeading"/>
              <w:jc w:val="right"/>
              <w:rPr>
                <w:b w:val="0"/>
                <w:bCs/>
                <w:lang w:val="en-AU"/>
              </w:rPr>
            </w:pPr>
            <w:r w:rsidRPr="00510084">
              <w:rPr>
                <w:b w:val="0"/>
                <w:bCs/>
                <w:color w:val="000000"/>
                <w:spacing w:val="48"/>
                <w:shd w:val="solid" w:color="000000" w:fill="000000"/>
                <w:fitText w:val="315" w:id="-628909305"/>
                <w:lang w:val="en-AU"/>
                <w14:textFill>
                  <w14:solidFill>
                    <w14:srgbClr w14:val="000000">
                      <w14:alpha w14:val="100000"/>
                    </w14:srgbClr>
                  </w14:solidFill>
                </w14:textFill>
              </w:rPr>
              <w:t>|||</w:t>
            </w:r>
            <w:r w:rsidRPr="00510084">
              <w:rPr>
                <w:b w:val="0"/>
                <w:bCs/>
                <w:color w:val="000000"/>
                <w:spacing w:val="1"/>
                <w:shd w:val="solid" w:color="000000" w:fill="000000"/>
                <w:fitText w:val="315" w:id="-628909305"/>
                <w:lang w:val="en-AU"/>
                <w14:textFill>
                  <w14:solidFill>
                    <w14:srgbClr w14:val="000000">
                      <w14:alpha w14:val="100000"/>
                    </w14:srgbClr>
                  </w14:solidFill>
                </w14:textFill>
              </w:rPr>
              <w:t>|</w:t>
            </w:r>
            <w:r w:rsidR="001D523F" w:rsidRPr="00510084">
              <w:rPr>
                <w:b w:val="0"/>
                <w:bCs/>
                <w:lang w:val="en-AU"/>
              </w:rPr>
              <w:t>%</w:t>
            </w:r>
          </w:p>
        </w:tc>
        <w:tc>
          <w:tcPr>
            <w:tcW w:w="625" w:type="pct"/>
            <w:noWrap/>
          </w:tcPr>
          <w:p w14:paraId="1AFDD46A" w14:textId="3A8DFE43" w:rsidR="001D523F" w:rsidRPr="00510084" w:rsidRDefault="00E44B9A" w:rsidP="00864C4B">
            <w:pPr>
              <w:pStyle w:val="In-tableHeading"/>
              <w:jc w:val="right"/>
              <w:rPr>
                <w:b w:val="0"/>
                <w:bCs/>
                <w:lang w:val="en-AU"/>
              </w:rPr>
            </w:pPr>
            <w:r w:rsidRPr="00510084">
              <w:rPr>
                <w:b w:val="0"/>
                <w:bCs/>
                <w:color w:val="000000"/>
                <w:spacing w:val="48"/>
                <w:shd w:val="solid" w:color="000000" w:fill="000000"/>
                <w:fitText w:val="315" w:id="-628909304"/>
                <w:lang w:val="en-AU"/>
                <w14:textFill>
                  <w14:solidFill>
                    <w14:srgbClr w14:val="000000">
                      <w14:alpha w14:val="100000"/>
                    </w14:srgbClr>
                  </w14:solidFill>
                </w14:textFill>
              </w:rPr>
              <w:t>|||</w:t>
            </w:r>
            <w:r w:rsidRPr="00510084">
              <w:rPr>
                <w:b w:val="0"/>
                <w:bCs/>
                <w:color w:val="000000"/>
                <w:spacing w:val="1"/>
                <w:shd w:val="solid" w:color="000000" w:fill="000000"/>
                <w:fitText w:val="315" w:id="-628909304"/>
                <w:lang w:val="en-AU"/>
                <w14:textFill>
                  <w14:solidFill>
                    <w14:srgbClr w14:val="000000">
                      <w14:alpha w14:val="100000"/>
                    </w14:srgbClr>
                  </w14:solidFill>
                </w14:textFill>
              </w:rPr>
              <w:t>|</w:t>
            </w:r>
            <w:r w:rsidR="001D523F" w:rsidRPr="00510084">
              <w:rPr>
                <w:b w:val="0"/>
                <w:bCs/>
                <w:lang w:val="en-AU"/>
              </w:rPr>
              <w:t>%</w:t>
            </w:r>
          </w:p>
        </w:tc>
        <w:tc>
          <w:tcPr>
            <w:tcW w:w="625" w:type="pct"/>
            <w:noWrap/>
          </w:tcPr>
          <w:p w14:paraId="16CAB449" w14:textId="6E204795" w:rsidR="001D523F" w:rsidRPr="00510084" w:rsidRDefault="00E44B9A" w:rsidP="00864C4B">
            <w:pPr>
              <w:pStyle w:val="In-tableHeading"/>
              <w:jc w:val="right"/>
              <w:rPr>
                <w:b w:val="0"/>
                <w:bCs/>
                <w:lang w:val="en-AU"/>
              </w:rPr>
            </w:pPr>
            <w:r w:rsidRPr="00510084">
              <w:rPr>
                <w:b w:val="0"/>
                <w:bCs/>
                <w:color w:val="000000"/>
                <w:spacing w:val="48"/>
                <w:shd w:val="solid" w:color="000000" w:fill="000000"/>
                <w:fitText w:val="315" w:id="-628909303"/>
                <w:lang w:val="en-AU"/>
                <w14:textFill>
                  <w14:solidFill>
                    <w14:srgbClr w14:val="000000">
                      <w14:alpha w14:val="100000"/>
                    </w14:srgbClr>
                  </w14:solidFill>
                </w14:textFill>
              </w:rPr>
              <w:t>|||</w:t>
            </w:r>
            <w:r w:rsidRPr="00510084">
              <w:rPr>
                <w:b w:val="0"/>
                <w:bCs/>
                <w:color w:val="000000"/>
                <w:spacing w:val="1"/>
                <w:shd w:val="solid" w:color="000000" w:fill="000000"/>
                <w:fitText w:val="315" w:id="-628909303"/>
                <w:lang w:val="en-AU"/>
                <w14:textFill>
                  <w14:solidFill>
                    <w14:srgbClr w14:val="000000">
                      <w14:alpha w14:val="100000"/>
                    </w14:srgbClr>
                  </w14:solidFill>
                </w14:textFill>
              </w:rPr>
              <w:t>|</w:t>
            </w:r>
            <w:r w:rsidR="001D523F" w:rsidRPr="00510084">
              <w:rPr>
                <w:b w:val="0"/>
                <w:bCs/>
                <w:lang w:val="en-AU"/>
              </w:rPr>
              <w:t>%</w:t>
            </w:r>
          </w:p>
        </w:tc>
        <w:tc>
          <w:tcPr>
            <w:tcW w:w="625" w:type="pct"/>
            <w:noWrap/>
          </w:tcPr>
          <w:p w14:paraId="79731CD2" w14:textId="120A029B" w:rsidR="001D523F" w:rsidRPr="00510084" w:rsidRDefault="00E44B9A" w:rsidP="00864C4B">
            <w:pPr>
              <w:pStyle w:val="In-tableHeading"/>
              <w:jc w:val="right"/>
              <w:rPr>
                <w:b w:val="0"/>
                <w:bCs/>
                <w:lang w:val="en-AU"/>
              </w:rPr>
            </w:pPr>
            <w:r w:rsidRPr="00510084">
              <w:rPr>
                <w:b w:val="0"/>
                <w:bCs/>
                <w:color w:val="000000"/>
                <w:spacing w:val="48"/>
                <w:shd w:val="solid" w:color="000000" w:fill="000000"/>
                <w:fitText w:val="315" w:id="-628909302"/>
                <w:lang w:val="en-AU"/>
                <w14:textFill>
                  <w14:solidFill>
                    <w14:srgbClr w14:val="000000">
                      <w14:alpha w14:val="100000"/>
                    </w14:srgbClr>
                  </w14:solidFill>
                </w14:textFill>
              </w:rPr>
              <w:t>|||</w:t>
            </w:r>
            <w:r w:rsidRPr="00510084">
              <w:rPr>
                <w:b w:val="0"/>
                <w:bCs/>
                <w:color w:val="000000"/>
                <w:spacing w:val="1"/>
                <w:shd w:val="solid" w:color="000000" w:fill="000000"/>
                <w:fitText w:val="315" w:id="-628909302"/>
                <w:lang w:val="en-AU"/>
                <w14:textFill>
                  <w14:solidFill>
                    <w14:srgbClr w14:val="000000">
                      <w14:alpha w14:val="100000"/>
                    </w14:srgbClr>
                  </w14:solidFill>
                </w14:textFill>
              </w:rPr>
              <w:t>|</w:t>
            </w:r>
            <w:r w:rsidR="001D523F" w:rsidRPr="00510084">
              <w:rPr>
                <w:b w:val="0"/>
                <w:bCs/>
                <w:lang w:val="en-AU"/>
              </w:rPr>
              <w:t>%</w:t>
            </w:r>
          </w:p>
        </w:tc>
        <w:tc>
          <w:tcPr>
            <w:tcW w:w="625" w:type="pct"/>
            <w:noWrap/>
          </w:tcPr>
          <w:p w14:paraId="5025AF5B" w14:textId="3C50C55C" w:rsidR="001D523F" w:rsidRPr="00510084" w:rsidRDefault="00E44B9A" w:rsidP="00864C4B">
            <w:pPr>
              <w:pStyle w:val="In-tableHeading"/>
              <w:jc w:val="right"/>
              <w:rPr>
                <w:b w:val="0"/>
                <w:bCs/>
                <w:lang w:val="en-AU"/>
              </w:rPr>
            </w:pPr>
            <w:r w:rsidRPr="00510084">
              <w:rPr>
                <w:b w:val="0"/>
                <w:bCs/>
                <w:color w:val="000000"/>
                <w:spacing w:val="48"/>
                <w:shd w:val="solid" w:color="000000" w:fill="000000"/>
                <w:fitText w:val="315" w:id="-628909301"/>
                <w:lang w:val="en-AU"/>
                <w14:textFill>
                  <w14:solidFill>
                    <w14:srgbClr w14:val="000000">
                      <w14:alpha w14:val="100000"/>
                    </w14:srgbClr>
                  </w14:solidFill>
                </w14:textFill>
              </w:rPr>
              <w:t>|||</w:t>
            </w:r>
            <w:r w:rsidRPr="00510084">
              <w:rPr>
                <w:b w:val="0"/>
                <w:bCs/>
                <w:color w:val="000000"/>
                <w:spacing w:val="1"/>
                <w:shd w:val="solid" w:color="000000" w:fill="000000"/>
                <w:fitText w:val="315" w:id="-628909301"/>
                <w:lang w:val="en-AU"/>
                <w14:textFill>
                  <w14:solidFill>
                    <w14:srgbClr w14:val="000000">
                      <w14:alpha w14:val="100000"/>
                    </w14:srgbClr>
                  </w14:solidFill>
                </w14:textFill>
              </w:rPr>
              <w:t>|</w:t>
            </w:r>
            <w:r w:rsidR="001D523F" w:rsidRPr="00510084">
              <w:rPr>
                <w:b w:val="0"/>
                <w:bCs/>
                <w:lang w:val="en-AU"/>
              </w:rPr>
              <w:t>%</w:t>
            </w:r>
          </w:p>
        </w:tc>
        <w:tc>
          <w:tcPr>
            <w:tcW w:w="626" w:type="pct"/>
            <w:noWrap/>
          </w:tcPr>
          <w:p w14:paraId="50C514B1" w14:textId="535A8515" w:rsidR="001D523F" w:rsidRPr="00510084" w:rsidRDefault="00E44B9A" w:rsidP="00864C4B">
            <w:pPr>
              <w:pStyle w:val="In-tableHeading"/>
              <w:jc w:val="right"/>
              <w:rPr>
                <w:b w:val="0"/>
                <w:bCs/>
                <w:lang w:val="en-AU"/>
              </w:rPr>
            </w:pPr>
            <w:r w:rsidRPr="00510084">
              <w:rPr>
                <w:b w:val="0"/>
                <w:bCs/>
                <w:color w:val="000000"/>
                <w:spacing w:val="53"/>
                <w:shd w:val="solid" w:color="000000" w:fill="000000"/>
                <w:fitText w:val="330" w:id="-628909300"/>
                <w:lang w:val="en-AU"/>
                <w14:textFill>
                  <w14:solidFill>
                    <w14:srgbClr w14:val="000000">
                      <w14:alpha w14:val="100000"/>
                    </w14:srgbClr>
                  </w14:solidFill>
                </w14:textFill>
              </w:rPr>
              <w:t>|||</w:t>
            </w:r>
            <w:r w:rsidRPr="00510084">
              <w:rPr>
                <w:b w:val="0"/>
                <w:bCs/>
                <w:color w:val="000000"/>
                <w:spacing w:val="1"/>
                <w:shd w:val="solid" w:color="000000" w:fill="000000"/>
                <w:fitText w:val="330" w:id="-628909300"/>
                <w:lang w:val="en-AU"/>
                <w14:textFill>
                  <w14:solidFill>
                    <w14:srgbClr w14:val="000000">
                      <w14:alpha w14:val="100000"/>
                    </w14:srgbClr>
                  </w14:solidFill>
                </w14:textFill>
              </w:rPr>
              <w:t>|</w:t>
            </w:r>
            <w:r w:rsidR="001D523F" w:rsidRPr="00510084">
              <w:rPr>
                <w:b w:val="0"/>
                <w:bCs/>
                <w:lang w:val="en-AU"/>
              </w:rPr>
              <w:t>%</w:t>
            </w:r>
          </w:p>
        </w:tc>
      </w:tr>
      <w:tr w:rsidR="001D523F" w:rsidRPr="00007450" w14:paraId="2690A2B7" w14:textId="77777777">
        <w:tc>
          <w:tcPr>
            <w:tcW w:w="1247" w:type="pct"/>
            <w:noWrap/>
          </w:tcPr>
          <w:p w14:paraId="297F4F77" w14:textId="77777777" w:rsidR="001D523F" w:rsidRPr="00007450" w:rsidRDefault="001D523F" w:rsidP="00864C4B">
            <w:pPr>
              <w:pStyle w:val="In-tableHeading"/>
              <w:rPr>
                <w:b w:val="0"/>
                <w:bCs/>
                <w:lang w:val="en-AU"/>
              </w:rPr>
            </w:pPr>
            <w:r w:rsidRPr="00007450">
              <w:rPr>
                <w:b w:val="0"/>
                <w:bCs/>
                <w:lang w:val="en-AU"/>
              </w:rPr>
              <w:t>No. patients who do not receive tamoxifen</w:t>
            </w:r>
          </w:p>
        </w:tc>
        <w:tc>
          <w:tcPr>
            <w:tcW w:w="625" w:type="pct"/>
            <w:noWrap/>
          </w:tcPr>
          <w:p w14:paraId="14184813" w14:textId="5E50C7D4" w:rsidR="001D523F" w:rsidRPr="00856AE3" w:rsidRDefault="00E44B9A" w:rsidP="00864C4B">
            <w:pPr>
              <w:pStyle w:val="In-tableHeading"/>
              <w:jc w:val="right"/>
              <w:rPr>
                <w:b w:val="0"/>
                <w:bCs/>
                <w:highlight w:val="darkGray"/>
                <w:vertAlign w:val="superscript"/>
                <w:lang w:val="en-AU"/>
              </w:rPr>
            </w:pPr>
            <w:r w:rsidRPr="00E44B9A">
              <w:rPr>
                <w:b w:val="0"/>
                <w:bCs/>
                <w:color w:val="000000"/>
                <w:spacing w:val="53"/>
                <w:shd w:val="solid" w:color="000000" w:fill="000000"/>
                <w:fitText w:val="330" w:id="-628909299"/>
                <w:lang w:val="en-AU"/>
                <w14:textFill>
                  <w14:solidFill>
                    <w14:srgbClr w14:val="000000">
                      <w14:alpha w14:val="100000"/>
                    </w14:srgbClr>
                  </w14:solidFill>
                </w14:textFill>
              </w:rPr>
              <w:t>|||</w:t>
            </w:r>
            <w:r w:rsidRPr="00E44B9A">
              <w:rPr>
                <w:b w:val="0"/>
                <w:bCs/>
                <w:color w:val="000000"/>
                <w:spacing w:val="1"/>
                <w:shd w:val="solid" w:color="000000" w:fill="000000"/>
                <w:fitText w:val="330" w:id="-628909299"/>
                <w:lang w:val="en-AU"/>
                <w14:textFill>
                  <w14:solidFill>
                    <w14:srgbClr w14:val="000000">
                      <w14:alpha w14:val="100000"/>
                    </w14:srgbClr>
                  </w14:solidFill>
                </w14:textFill>
              </w:rPr>
              <w:t>|</w:t>
            </w:r>
            <w:r w:rsidR="00BF6DF2" w:rsidRPr="00BF6DF2">
              <w:rPr>
                <w:b w:val="0"/>
                <w:bCs/>
                <w:vertAlign w:val="superscript"/>
                <w:lang w:val="en-AU"/>
              </w:rPr>
              <w:t>3</w:t>
            </w:r>
          </w:p>
        </w:tc>
        <w:tc>
          <w:tcPr>
            <w:tcW w:w="625" w:type="pct"/>
            <w:noWrap/>
          </w:tcPr>
          <w:p w14:paraId="0291AB17" w14:textId="1D54F635"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298"/>
                <w:lang w:val="en-AU"/>
                <w14:textFill>
                  <w14:solidFill>
                    <w14:srgbClr w14:val="000000">
                      <w14:alpha w14:val="100000"/>
                    </w14:srgbClr>
                  </w14:solidFill>
                </w14:textFill>
              </w:rPr>
              <w:t>|||</w:t>
            </w:r>
            <w:r w:rsidRPr="00E44B9A">
              <w:rPr>
                <w:b w:val="0"/>
                <w:bCs/>
                <w:color w:val="000000"/>
                <w:spacing w:val="1"/>
                <w:shd w:val="solid" w:color="000000" w:fill="000000"/>
                <w:fitText w:val="330" w:id="-628909298"/>
                <w:lang w:val="en-AU"/>
                <w14:textFill>
                  <w14:solidFill>
                    <w14:srgbClr w14:val="000000">
                      <w14:alpha w14:val="100000"/>
                    </w14:srgbClr>
                  </w14:solidFill>
                </w14:textFill>
              </w:rPr>
              <w:t>|</w:t>
            </w:r>
            <w:r w:rsidR="00BF6DF2" w:rsidRPr="00BF6DF2">
              <w:rPr>
                <w:b w:val="0"/>
                <w:bCs/>
                <w:vertAlign w:val="superscript"/>
                <w:lang w:val="en-AU"/>
              </w:rPr>
              <w:t>3</w:t>
            </w:r>
          </w:p>
        </w:tc>
        <w:tc>
          <w:tcPr>
            <w:tcW w:w="625" w:type="pct"/>
            <w:noWrap/>
          </w:tcPr>
          <w:p w14:paraId="295D4EF3" w14:textId="4B41CF75"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297"/>
                <w:lang w:val="en-AU"/>
                <w14:textFill>
                  <w14:solidFill>
                    <w14:srgbClr w14:val="000000">
                      <w14:alpha w14:val="100000"/>
                    </w14:srgbClr>
                  </w14:solidFill>
                </w14:textFill>
              </w:rPr>
              <w:t>|||</w:t>
            </w:r>
            <w:r w:rsidRPr="00E44B9A">
              <w:rPr>
                <w:b w:val="0"/>
                <w:bCs/>
                <w:color w:val="000000"/>
                <w:spacing w:val="1"/>
                <w:shd w:val="solid" w:color="000000" w:fill="000000"/>
                <w:fitText w:val="330" w:id="-628909297"/>
                <w:lang w:val="en-AU"/>
                <w14:textFill>
                  <w14:solidFill>
                    <w14:srgbClr w14:val="000000">
                      <w14:alpha w14:val="100000"/>
                    </w14:srgbClr>
                  </w14:solidFill>
                </w14:textFill>
              </w:rPr>
              <w:t>|</w:t>
            </w:r>
            <w:r w:rsidR="00BF6DF2" w:rsidRPr="00BF6DF2">
              <w:rPr>
                <w:b w:val="0"/>
                <w:bCs/>
                <w:vertAlign w:val="superscript"/>
                <w:lang w:val="en-AU"/>
              </w:rPr>
              <w:t>3</w:t>
            </w:r>
          </w:p>
        </w:tc>
        <w:tc>
          <w:tcPr>
            <w:tcW w:w="625" w:type="pct"/>
            <w:noWrap/>
          </w:tcPr>
          <w:p w14:paraId="7BAA7F97" w14:textId="09002E16"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296"/>
                <w:lang w:val="en-AU"/>
                <w14:textFill>
                  <w14:solidFill>
                    <w14:srgbClr w14:val="000000">
                      <w14:alpha w14:val="100000"/>
                    </w14:srgbClr>
                  </w14:solidFill>
                </w14:textFill>
              </w:rPr>
              <w:t>|||</w:t>
            </w:r>
            <w:r w:rsidRPr="00E44B9A">
              <w:rPr>
                <w:b w:val="0"/>
                <w:bCs/>
                <w:color w:val="000000"/>
                <w:spacing w:val="1"/>
                <w:shd w:val="solid" w:color="000000" w:fill="000000"/>
                <w:fitText w:val="330" w:id="-628909296"/>
                <w:lang w:val="en-AU"/>
                <w14:textFill>
                  <w14:solidFill>
                    <w14:srgbClr w14:val="000000">
                      <w14:alpha w14:val="100000"/>
                    </w14:srgbClr>
                  </w14:solidFill>
                </w14:textFill>
              </w:rPr>
              <w:t>|</w:t>
            </w:r>
            <w:r w:rsidR="00BF6DF2" w:rsidRPr="00BF6DF2">
              <w:rPr>
                <w:b w:val="0"/>
                <w:bCs/>
                <w:vertAlign w:val="superscript"/>
                <w:lang w:val="en-AU"/>
              </w:rPr>
              <w:t>3</w:t>
            </w:r>
          </w:p>
        </w:tc>
        <w:tc>
          <w:tcPr>
            <w:tcW w:w="625" w:type="pct"/>
            <w:noWrap/>
          </w:tcPr>
          <w:p w14:paraId="56EDC75B" w14:textId="42A05A63"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312"/>
                <w:lang w:val="en-AU"/>
                <w14:textFill>
                  <w14:solidFill>
                    <w14:srgbClr w14:val="000000">
                      <w14:alpha w14:val="100000"/>
                    </w14:srgbClr>
                  </w14:solidFill>
                </w14:textFill>
              </w:rPr>
              <w:t>|||</w:t>
            </w:r>
            <w:r w:rsidRPr="00E44B9A">
              <w:rPr>
                <w:b w:val="0"/>
                <w:bCs/>
                <w:color w:val="000000"/>
                <w:spacing w:val="1"/>
                <w:shd w:val="solid" w:color="000000" w:fill="000000"/>
                <w:fitText w:val="330" w:id="-628909312"/>
                <w:lang w:val="en-AU"/>
                <w14:textFill>
                  <w14:solidFill>
                    <w14:srgbClr w14:val="000000">
                      <w14:alpha w14:val="100000"/>
                    </w14:srgbClr>
                  </w14:solidFill>
                </w14:textFill>
              </w:rPr>
              <w:t>|</w:t>
            </w:r>
            <w:r w:rsidR="00BF6DF2" w:rsidRPr="00BF6DF2">
              <w:rPr>
                <w:b w:val="0"/>
                <w:bCs/>
                <w:vertAlign w:val="superscript"/>
                <w:lang w:val="en-AU"/>
              </w:rPr>
              <w:t>3</w:t>
            </w:r>
          </w:p>
        </w:tc>
        <w:tc>
          <w:tcPr>
            <w:tcW w:w="626" w:type="pct"/>
            <w:noWrap/>
          </w:tcPr>
          <w:p w14:paraId="7B05BF81" w14:textId="5A4F82F6"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311"/>
                <w:lang w:val="en-AU"/>
                <w14:textFill>
                  <w14:solidFill>
                    <w14:srgbClr w14:val="000000">
                      <w14:alpha w14:val="100000"/>
                    </w14:srgbClr>
                  </w14:solidFill>
                </w14:textFill>
              </w:rPr>
              <w:t>|||</w:t>
            </w:r>
            <w:r w:rsidRPr="00E44B9A">
              <w:rPr>
                <w:b w:val="0"/>
                <w:bCs/>
                <w:color w:val="000000"/>
                <w:spacing w:val="1"/>
                <w:shd w:val="solid" w:color="000000" w:fill="000000"/>
                <w:fitText w:val="330" w:id="-628909311"/>
                <w:lang w:val="en-AU"/>
                <w14:textFill>
                  <w14:solidFill>
                    <w14:srgbClr w14:val="000000">
                      <w14:alpha w14:val="100000"/>
                    </w14:srgbClr>
                  </w14:solidFill>
                </w14:textFill>
              </w:rPr>
              <w:t>|</w:t>
            </w:r>
            <w:r w:rsidR="00BF6DF2" w:rsidRPr="00BF6DF2">
              <w:rPr>
                <w:b w:val="0"/>
                <w:bCs/>
                <w:vertAlign w:val="superscript"/>
                <w:lang w:val="en-AU"/>
              </w:rPr>
              <w:t>3</w:t>
            </w:r>
          </w:p>
        </w:tc>
      </w:tr>
      <w:tr w:rsidR="001D523F" w:rsidRPr="00007450" w14:paraId="4DF96495" w14:textId="77777777" w:rsidTr="00E44B9A">
        <w:tc>
          <w:tcPr>
            <w:tcW w:w="1247" w:type="pct"/>
            <w:noWrap/>
          </w:tcPr>
          <w:p w14:paraId="15BEFADC" w14:textId="77777777" w:rsidR="001D523F" w:rsidRPr="00007450" w:rsidRDefault="001D523F" w:rsidP="00864C4B">
            <w:pPr>
              <w:pStyle w:val="In-tableHeading"/>
              <w:rPr>
                <w:b w:val="0"/>
                <w:bCs/>
                <w:lang w:val="en-AU"/>
              </w:rPr>
            </w:pPr>
            <w:r w:rsidRPr="00007450">
              <w:rPr>
                <w:b w:val="0"/>
                <w:bCs/>
                <w:lang w:val="en-AU"/>
              </w:rPr>
              <w:t>Proportion who uptake treatment</w:t>
            </w:r>
          </w:p>
        </w:tc>
        <w:tc>
          <w:tcPr>
            <w:tcW w:w="625" w:type="pct"/>
            <w:tcBorders>
              <w:bottom w:val="single" w:sz="4" w:space="0" w:color="auto"/>
            </w:tcBorders>
            <w:noWrap/>
          </w:tcPr>
          <w:p w14:paraId="5AAA7C1F" w14:textId="1E032A67" w:rsidR="001D523F" w:rsidRPr="00007450" w:rsidRDefault="00E44B9A" w:rsidP="00864C4B">
            <w:pPr>
              <w:pStyle w:val="In-tableHeading"/>
              <w:jc w:val="right"/>
              <w:rPr>
                <w:b w:val="0"/>
                <w:bCs/>
                <w:lang w:val="en-AU"/>
              </w:rPr>
            </w:pPr>
            <w:r w:rsidRPr="00E44B9A">
              <w:rPr>
                <w:b w:val="0"/>
                <w:bCs/>
                <w:color w:val="000000"/>
                <w:spacing w:val="48"/>
                <w:shd w:val="solid" w:color="000000" w:fill="000000"/>
                <w:fitText w:val="315" w:id="-628909310"/>
                <w:lang w:val="en-AU"/>
                <w14:textFill>
                  <w14:solidFill>
                    <w14:srgbClr w14:val="000000">
                      <w14:alpha w14:val="100000"/>
                    </w14:srgbClr>
                  </w14:solidFill>
                </w14:textFill>
              </w:rPr>
              <w:t>|||</w:t>
            </w:r>
            <w:r w:rsidRPr="00E44B9A">
              <w:rPr>
                <w:b w:val="0"/>
                <w:bCs/>
                <w:color w:val="000000"/>
                <w:spacing w:val="1"/>
                <w:shd w:val="solid" w:color="000000" w:fill="000000"/>
                <w:fitText w:val="315" w:id="-628909310"/>
                <w:lang w:val="en-AU"/>
                <w14:textFill>
                  <w14:solidFill>
                    <w14:srgbClr w14:val="000000">
                      <w14:alpha w14:val="100000"/>
                    </w14:srgbClr>
                  </w14:solidFill>
                </w14:textFill>
              </w:rPr>
              <w:t>|</w:t>
            </w:r>
            <w:r w:rsidR="001D523F" w:rsidRPr="00007450">
              <w:rPr>
                <w:b w:val="0"/>
                <w:bCs/>
                <w:lang w:val="en-AU"/>
              </w:rPr>
              <w:t>%</w:t>
            </w:r>
          </w:p>
        </w:tc>
        <w:tc>
          <w:tcPr>
            <w:tcW w:w="625" w:type="pct"/>
            <w:noWrap/>
          </w:tcPr>
          <w:p w14:paraId="5968A5ED" w14:textId="3DE0ECEA" w:rsidR="001D523F" w:rsidRPr="00007450" w:rsidRDefault="00E44B9A" w:rsidP="00864C4B">
            <w:pPr>
              <w:pStyle w:val="In-tableHeading"/>
              <w:jc w:val="right"/>
              <w:rPr>
                <w:b w:val="0"/>
                <w:bCs/>
                <w:lang w:val="en-AU"/>
              </w:rPr>
            </w:pPr>
            <w:r w:rsidRPr="00E44B9A">
              <w:rPr>
                <w:b w:val="0"/>
                <w:bCs/>
                <w:color w:val="000000"/>
                <w:spacing w:val="48"/>
                <w:shd w:val="solid" w:color="000000" w:fill="000000"/>
                <w:fitText w:val="315" w:id="-628909309"/>
                <w:lang w:val="en-AU"/>
                <w14:textFill>
                  <w14:solidFill>
                    <w14:srgbClr w14:val="000000">
                      <w14:alpha w14:val="100000"/>
                    </w14:srgbClr>
                  </w14:solidFill>
                </w14:textFill>
              </w:rPr>
              <w:t>|||</w:t>
            </w:r>
            <w:r w:rsidRPr="00E44B9A">
              <w:rPr>
                <w:b w:val="0"/>
                <w:bCs/>
                <w:color w:val="000000"/>
                <w:spacing w:val="1"/>
                <w:shd w:val="solid" w:color="000000" w:fill="000000"/>
                <w:fitText w:val="315" w:id="-628909309"/>
                <w:lang w:val="en-AU"/>
                <w14:textFill>
                  <w14:solidFill>
                    <w14:srgbClr w14:val="000000">
                      <w14:alpha w14:val="100000"/>
                    </w14:srgbClr>
                  </w14:solidFill>
                </w14:textFill>
              </w:rPr>
              <w:t>|</w:t>
            </w:r>
            <w:r w:rsidR="001D523F" w:rsidRPr="00007450">
              <w:rPr>
                <w:b w:val="0"/>
                <w:bCs/>
                <w:lang w:val="en-AU"/>
              </w:rPr>
              <w:t>%</w:t>
            </w:r>
          </w:p>
        </w:tc>
        <w:tc>
          <w:tcPr>
            <w:tcW w:w="625" w:type="pct"/>
            <w:noWrap/>
          </w:tcPr>
          <w:p w14:paraId="1EB247D2" w14:textId="121EDC55" w:rsidR="001D523F" w:rsidRPr="00007450" w:rsidRDefault="00E44B9A" w:rsidP="00864C4B">
            <w:pPr>
              <w:pStyle w:val="In-tableHeading"/>
              <w:jc w:val="right"/>
              <w:rPr>
                <w:b w:val="0"/>
                <w:bCs/>
                <w:lang w:val="en-AU"/>
              </w:rPr>
            </w:pPr>
            <w:r w:rsidRPr="00E44B9A">
              <w:rPr>
                <w:b w:val="0"/>
                <w:bCs/>
                <w:color w:val="000000"/>
                <w:spacing w:val="48"/>
                <w:shd w:val="solid" w:color="000000" w:fill="000000"/>
                <w:fitText w:val="315" w:id="-628909308"/>
                <w:lang w:val="en-AU"/>
                <w14:textFill>
                  <w14:solidFill>
                    <w14:srgbClr w14:val="000000">
                      <w14:alpha w14:val="100000"/>
                    </w14:srgbClr>
                  </w14:solidFill>
                </w14:textFill>
              </w:rPr>
              <w:t>|||</w:t>
            </w:r>
            <w:r w:rsidRPr="00E44B9A">
              <w:rPr>
                <w:b w:val="0"/>
                <w:bCs/>
                <w:color w:val="000000"/>
                <w:spacing w:val="1"/>
                <w:shd w:val="solid" w:color="000000" w:fill="000000"/>
                <w:fitText w:val="315" w:id="-628909308"/>
                <w:lang w:val="en-AU"/>
                <w14:textFill>
                  <w14:solidFill>
                    <w14:srgbClr w14:val="000000">
                      <w14:alpha w14:val="100000"/>
                    </w14:srgbClr>
                  </w14:solidFill>
                </w14:textFill>
              </w:rPr>
              <w:t>|</w:t>
            </w:r>
            <w:r w:rsidR="001D523F" w:rsidRPr="00007450">
              <w:rPr>
                <w:b w:val="0"/>
                <w:bCs/>
                <w:lang w:val="en-AU"/>
              </w:rPr>
              <w:t>%</w:t>
            </w:r>
          </w:p>
        </w:tc>
        <w:tc>
          <w:tcPr>
            <w:tcW w:w="625" w:type="pct"/>
            <w:noWrap/>
          </w:tcPr>
          <w:p w14:paraId="387A0B25" w14:textId="722ABD59" w:rsidR="001D523F" w:rsidRPr="00007450" w:rsidRDefault="00E44B9A" w:rsidP="00864C4B">
            <w:pPr>
              <w:pStyle w:val="In-tableHeading"/>
              <w:jc w:val="right"/>
              <w:rPr>
                <w:b w:val="0"/>
                <w:bCs/>
                <w:lang w:val="en-AU"/>
              </w:rPr>
            </w:pPr>
            <w:r w:rsidRPr="00E44B9A">
              <w:rPr>
                <w:b w:val="0"/>
                <w:bCs/>
                <w:color w:val="000000"/>
                <w:spacing w:val="48"/>
                <w:shd w:val="solid" w:color="000000" w:fill="000000"/>
                <w:fitText w:val="315" w:id="-628909307"/>
                <w:lang w:val="en-AU"/>
                <w14:textFill>
                  <w14:solidFill>
                    <w14:srgbClr w14:val="000000">
                      <w14:alpha w14:val="100000"/>
                    </w14:srgbClr>
                  </w14:solidFill>
                </w14:textFill>
              </w:rPr>
              <w:t>|||</w:t>
            </w:r>
            <w:r w:rsidRPr="00E44B9A">
              <w:rPr>
                <w:b w:val="0"/>
                <w:bCs/>
                <w:color w:val="000000"/>
                <w:spacing w:val="1"/>
                <w:shd w:val="solid" w:color="000000" w:fill="000000"/>
                <w:fitText w:val="315" w:id="-628909307"/>
                <w:lang w:val="en-AU"/>
                <w14:textFill>
                  <w14:solidFill>
                    <w14:srgbClr w14:val="000000">
                      <w14:alpha w14:val="100000"/>
                    </w14:srgbClr>
                  </w14:solidFill>
                </w14:textFill>
              </w:rPr>
              <w:t>|</w:t>
            </w:r>
            <w:r w:rsidR="001D523F" w:rsidRPr="00007450">
              <w:rPr>
                <w:b w:val="0"/>
                <w:bCs/>
                <w:lang w:val="en-AU"/>
              </w:rPr>
              <w:t>%</w:t>
            </w:r>
          </w:p>
        </w:tc>
        <w:tc>
          <w:tcPr>
            <w:tcW w:w="625" w:type="pct"/>
            <w:noWrap/>
          </w:tcPr>
          <w:p w14:paraId="3D0A6BB3" w14:textId="5101A535" w:rsidR="001D523F" w:rsidRPr="00007450" w:rsidRDefault="00E44B9A" w:rsidP="00864C4B">
            <w:pPr>
              <w:pStyle w:val="In-tableHeading"/>
              <w:jc w:val="right"/>
              <w:rPr>
                <w:b w:val="0"/>
                <w:bCs/>
                <w:lang w:val="en-AU"/>
              </w:rPr>
            </w:pPr>
            <w:r w:rsidRPr="00E44B9A">
              <w:rPr>
                <w:b w:val="0"/>
                <w:bCs/>
                <w:color w:val="000000"/>
                <w:spacing w:val="48"/>
                <w:shd w:val="solid" w:color="000000" w:fill="000000"/>
                <w:fitText w:val="315" w:id="-628909306"/>
                <w:lang w:val="en-AU"/>
                <w14:textFill>
                  <w14:solidFill>
                    <w14:srgbClr w14:val="000000">
                      <w14:alpha w14:val="100000"/>
                    </w14:srgbClr>
                  </w14:solidFill>
                </w14:textFill>
              </w:rPr>
              <w:t>|||</w:t>
            </w:r>
            <w:r w:rsidRPr="00E44B9A">
              <w:rPr>
                <w:b w:val="0"/>
                <w:bCs/>
                <w:color w:val="000000"/>
                <w:spacing w:val="1"/>
                <w:shd w:val="solid" w:color="000000" w:fill="000000"/>
                <w:fitText w:val="315" w:id="-628909306"/>
                <w:lang w:val="en-AU"/>
                <w14:textFill>
                  <w14:solidFill>
                    <w14:srgbClr w14:val="000000">
                      <w14:alpha w14:val="100000"/>
                    </w14:srgbClr>
                  </w14:solidFill>
                </w14:textFill>
              </w:rPr>
              <w:t>|</w:t>
            </w:r>
            <w:r w:rsidR="001D523F" w:rsidRPr="00007450">
              <w:rPr>
                <w:b w:val="0"/>
                <w:bCs/>
                <w:lang w:val="en-AU"/>
              </w:rPr>
              <w:t>%</w:t>
            </w:r>
          </w:p>
        </w:tc>
        <w:tc>
          <w:tcPr>
            <w:tcW w:w="626" w:type="pct"/>
            <w:noWrap/>
          </w:tcPr>
          <w:p w14:paraId="53D28306" w14:textId="6F0E7207" w:rsidR="001D523F" w:rsidRPr="00007450" w:rsidRDefault="00E44B9A" w:rsidP="00864C4B">
            <w:pPr>
              <w:pStyle w:val="In-tableHeading"/>
              <w:jc w:val="right"/>
              <w:rPr>
                <w:b w:val="0"/>
                <w:bCs/>
                <w:lang w:val="en-AU"/>
              </w:rPr>
            </w:pPr>
            <w:r w:rsidRPr="00E44B9A">
              <w:rPr>
                <w:b w:val="0"/>
                <w:bCs/>
                <w:color w:val="000000"/>
                <w:spacing w:val="53"/>
                <w:shd w:val="solid" w:color="000000" w:fill="000000"/>
                <w:fitText w:val="330" w:id="-628909305"/>
                <w:lang w:val="en-AU"/>
                <w14:textFill>
                  <w14:solidFill>
                    <w14:srgbClr w14:val="000000">
                      <w14:alpha w14:val="100000"/>
                    </w14:srgbClr>
                  </w14:solidFill>
                </w14:textFill>
              </w:rPr>
              <w:t>|||</w:t>
            </w:r>
            <w:r w:rsidRPr="00E44B9A">
              <w:rPr>
                <w:b w:val="0"/>
                <w:bCs/>
                <w:color w:val="000000"/>
                <w:spacing w:val="1"/>
                <w:shd w:val="solid" w:color="000000" w:fill="000000"/>
                <w:fitText w:val="330" w:id="-628909305"/>
                <w:lang w:val="en-AU"/>
                <w14:textFill>
                  <w14:solidFill>
                    <w14:srgbClr w14:val="000000">
                      <w14:alpha w14:val="100000"/>
                    </w14:srgbClr>
                  </w14:solidFill>
                </w14:textFill>
              </w:rPr>
              <w:t>|</w:t>
            </w:r>
            <w:r w:rsidR="001D523F" w:rsidRPr="00007450">
              <w:rPr>
                <w:b w:val="0"/>
                <w:bCs/>
                <w:lang w:val="en-AU"/>
              </w:rPr>
              <w:t>%</w:t>
            </w:r>
          </w:p>
        </w:tc>
      </w:tr>
      <w:tr w:rsidR="00943918" w:rsidRPr="00007450" w14:paraId="63AABC89" w14:textId="77777777" w:rsidTr="00943918">
        <w:tc>
          <w:tcPr>
            <w:tcW w:w="1247" w:type="pct"/>
            <w:noWrap/>
          </w:tcPr>
          <w:p w14:paraId="34AB50A4" w14:textId="5B73EADB" w:rsidR="00943918" w:rsidRPr="00007450" w:rsidRDefault="00943918" w:rsidP="00943918">
            <w:pPr>
              <w:pStyle w:val="TableText0"/>
            </w:pPr>
            <w:r w:rsidRPr="00007450">
              <w:t xml:space="preserve">No. patients who initiate treatment each year </w:t>
            </w:r>
          </w:p>
        </w:tc>
        <w:tc>
          <w:tcPr>
            <w:tcW w:w="625" w:type="pct"/>
            <w:noWrap/>
          </w:tcPr>
          <w:p w14:paraId="2B4160B9" w14:textId="47F57960" w:rsidR="00943918" w:rsidRPr="003B7021" w:rsidRDefault="00982C57" w:rsidP="00943918">
            <w:pPr>
              <w:pStyle w:val="TableText0"/>
              <w:jc w:val="right"/>
              <w:rPr>
                <w:color w:val="000000"/>
                <w14:textFill>
                  <w14:solidFill>
                    <w14:srgbClr w14:val="000000">
                      <w14:alpha w14:val="100000"/>
                    </w14:srgbClr>
                  </w14:solidFill>
                </w14:textFill>
              </w:rPr>
            </w:pPr>
            <w:r>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c>
          <w:tcPr>
            <w:tcW w:w="625" w:type="pct"/>
            <w:noWrap/>
          </w:tcPr>
          <w:p w14:paraId="06285514" w14:textId="06763E7A" w:rsidR="00943918" w:rsidRPr="00510084" w:rsidRDefault="00982C57" w:rsidP="00943918">
            <w:pPr>
              <w:pStyle w:val="TableText0"/>
              <w:jc w:val="right"/>
              <w:rPr>
                <w:color w:val="000000"/>
                <w:shd w:val="solid" w:color="000000" w:fill="000000"/>
                <w14:textFill>
                  <w14:solidFill>
                    <w14:srgbClr w14:val="000000">
                      <w14:alpha w14:val="100000"/>
                    </w14:srgbClr>
                  </w14:solidFill>
                </w14:textFill>
              </w:rPr>
            </w:pPr>
            <w:r>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c>
          <w:tcPr>
            <w:tcW w:w="625" w:type="pct"/>
            <w:noWrap/>
          </w:tcPr>
          <w:p w14:paraId="545498C3" w14:textId="2BF746D7" w:rsidR="00943918" w:rsidRPr="00E44B9A" w:rsidRDefault="00982C57" w:rsidP="00943918">
            <w:pPr>
              <w:pStyle w:val="TableText0"/>
              <w:jc w:val="right"/>
              <w:rPr>
                <w:color w:val="000000"/>
                <w:shd w:val="solid" w:color="000000" w:fill="000000"/>
                <w14:textFill>
                  <w14:solidFill>
                    <w14:srgbClr w14:val="000000">
                      <w14:alpha w14:val="100000"/>
                    </w14:srgbClr>
                  </w14:solidFill>
                </w14:textFill>
              </w:rPr>
            </w:pPr>
            <w:r>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c>
          <w:tcPr>
            <w:tcW w:w="625" w:type="pct"/>
            <w:noWrap/>
          </w:tcPr>
          <w:p w14:paraId="4C754908" w14:textId="08163A75" w:rsidR="00943918" w:rsidRPr="00E44B9A" w:rsidRDefault="00982C57" w:rsidP="00943918">
            <w:pPr>
              <w:pStyle w:val="TableText0"/>
              <w:jc w:val="right"/>
              <w:rPr>
                <w:color w:val="000000"/>
                <w:shd w:val="solid" w:color="000000" w:fill="000000"/>
                <w14:textFill>
                  <w14:solidFill>
                    <w14:srgbClr w14:val="000000">
                      <w14:alpha w14:val="100000"/>
                    </w14:srgbClr>
                  </w14:solidFill>
                </w14:textFill>
              </w:rPr>
            </w:pPr>
            <w:r>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c>
          <w:tcPr>
            <w:tcW w:w="625" w:type="pct"/>
            <w:noWrap/>
          </w:tcPr>
          <w:p w14:paraId="4A7F89BA" w14:textId="2B41FA11" w:rsidR="00943918" w:rsidRPr="00E44B9A" w:rsidRDefault="00982C57" w:rsidP="00943918">
            <w:pPr>
              <w:pStyle w:val="TableText0"/>
              <w:jc w:val="right"/>
              <w:rPr>
                <w:color w:val="000000"/>
                <w:shd w:val="solid" w:color="000000" w:fill="000000"/>
                <w14:textFill>
                  <w14:solidFill>
                    <w14:srgbClr w14:val="000000">
                      <w14:alpha w14:val="100000"/>
                    </w14:srgbClr>
                  </w14:solidFill>
                </w14:textFill>
              </w:rPr>
            </w:pPr>
            <w:r>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c>
          <w:tcPr>
            <w:tcW w:w="626" w:type="pct"/>
            <w:noWrap/>
          </w:tcPr>
          <w:p w14:paraId="19D38BE6" w14:textId="0C11CD7C" w:rsidR="00943918" w:rsidRPr="00E44B9A" w:rsidRDefault="00982C57" w:rsidP="00943918">
            <w:pPr>
              <w:pStyle w:val="TableText0"/>
              <w:jc w:val="right"/>
              <w:rPr>
                <w:color w:val="000000"/>
                <w:shd w:val="solid" w:color="000000" w:fill="000000"/>
                <w14:textFill>
                  <w14:solidFill>
                    <w14:srgbClr w14:val="000000">
                      <w14:alpha w14:val="100000"/>
                    </w14:srgbClr>
                  </w14:solidFill>
                </w14:textFill>
              </w:rPr>
            </w:pPr>
            <w:r w:rsidRPr="000667D2">
              <w:rPr>
                <w:color w:val="000000"/>
                <w:shd w:val="solid" w:color="000000" w:fill="000000"/>
                <w14:textFill>
                  <w14:solidFill>
                    <w14:srgbClr w14:val="000000">
                      <w14:alpha w14:val="100000"/>
                    </w14:srgbClr>
                  </w14:solidFill>
                </w14:textFill>
              </w:rPr>
              <w:t>&amp;&amp;&amp;</w:t>
            </w:r>
            <w:r w:rsidR="00943918" w:rsidRPr="00943918">
              <w:rPr>
                <w:color w:val="000000"/>
                <w:shd w:val="solid" w:color="000000" w:fill="000000"/>
                <w14:textFill>
                  <w14:solidFill>
                    <w14:srgbClr w14:val="000000">
                      <w14:alpha w14:val="100000"/>
                    </w14:srgbClr>
                  </w14:solidFill>
                </w14:textFill>
              </w:rPr>
              <w:t>|</w:t>
            </w:r>
            <w:r w:rsidR="00943918">
              <w:rPr>
                <w:vertAlign w:val="superscript"/>
              </w:rPr>
              <w:t>3</w:t>
            </w:r>
          </w:p>
        </w:tc>
      </w:tr>
      <w:tr w:rsidR="001D523F" w:rsidRPr="00007450" w14:paraId="35AF85A3" w14:textId="77777777">
        <w:tc>
          <w:tcPr>
            <w:tcW w:w="1247" w:type="pct"/>
            <w:noWrap/>
            <w:hideMark/>
          </w:tcPr>
          <w:p w14:paraId="48528B37" w14:textId="77777777" w:rsidR="001D523F" w:rsidRPr="00007450" w:rsidRDefault="001D523F" w:rsidP="00864C4B">
            <w:pPr>
              <w:pStyle w:val="TableText0"/>
            </w:pPr>
            <w:r w:rsidRPr="00007450">
              <w:t>No. patient-years on treatment </w:t>
            </w:r>
            <w:r w:rsidRPr="00007450">
              <w:rPr>
                <w:vertAlign w:val="superscript"/>
              </w:rPr>
              <w:t>a</w:t>
            </w:r>
          </w:p>
        </w:tc>
        <w:tc>
          <w:tcPr>
            <w:tcW w:w="625" w:type="pct"/>
            <w:noWrap/>
            <w:hideMark/>
          </w:tcPr>
          <w:p w14:paraId="21B388A9" w14:textId="3E374BCF" w:rsidR="001D523F" w:rsidRPr="00007450" w:rsidRDefault="00E44B9A" w:rsidP="00864C4B">
            <w:pPr>
              <w:pStyle w:val="TableText0"/>
              <w:jc w:val="right"/>
            </w:pPr>
            <w:r w:rsidRPr="00E44B9A">
              <w:rPr>
                <w:color w:val="000000"/>
                <w:spacing w:val="53"/>
                <w:shd w:val="solid" w:color="000000" w:fill="000000"/>
                <w:fitText w:val="330" w:id="-628909298"/>
                <w14:textFill>
                  <w14:solidFill>
                    <w14:srgbClr w14:val="000000">
                      <w14:alpha w14:val="100000"/>
                    </w14:srgbClr>
                  </w14:solidFill>
                </w14:textFill>
              </w:rPr>
              <w:t>|||</w:t>
            </w:r>
            <w:r w:rsidRPr="00E44B9A">
              <w:rPr>
                <w:color w:val="000000"/>
                <w:spacing w:val="1"/>
                <w:shd w:val="solid" w:color="000000" w:fill="000000"/>
                <w:fitText w:val="330" w:id="-628909298"/>
                <w14:textFill>
                  <w14:solidFill>
                    <w14:srgbClr w14:val="000000">
                      <w14:alpha w14:val="100000"/>
                    </w14:srgbClr>
                  </w14:solidFill>
                </w14:textFill>
              </w:rPr>
              <w:t>|</w:t>
            </w:r>
            <w:r w:rsidR="00B76806">
              <w:rPr>
                <w:vertAlign w:val="superscript"/>
              </w:rPr>
              <w:t>3</w:t>
            </w:r>
          </w:p>
        </w:tc>
        <w:tc>
          <w:tcPr>
            <w:tcW w:w="625" w:type="pct"/>
            <w:noWrap/>
            <w:hideMark/>
          </w:tcPr>
          <w:p w14:paraId="7F8E8066" w14:textId="588B3F5F" w:rsidR="001D523F" w:rsidRPr="00510084" w:rsidRDefault="00E44B9A" w:rsidP="00864C4B">
            <w:pPr>
              <w:pStyle w:val="TableText0"/>
              <w:jc w:val="right"/>
            </w:pPr>
            <w:r w:rsidRPr="00510084">
              <w:rPr>
                <w:color w:val="000000"/>
                <w:spacing w:val="53"/>
                <w:shd w:val="solid" w:color="000000" w:fill="000000"/>
                <w:fitText w:val="330" w:id="-628909297"/>
                <w14:textFill>
                  <w14:solidFill>
                    <w14:srgbClr w14:val="000000">
                      <w14:alpha w14:val="100000"/>
                    </w14:srgbClr>
                  </w14:solidFill>
                </w14:textFill>
              </w:rPr>
              <w:t>|||</w:t>
            </w:r>
            <w:r w:rsidRPr="00510084">
              <w:rPr>
                <w:color w:val="000000"/>
                <w:spacing w:val="1"/>
                <w:shd w:val="solid" w:color="000000" w:fill="000000"/>
                <w:fitText w:val="330" w:id="-628909297"/>
                <w14:textFill>
                  <w14:solidFill>
                    <w14:srgbClr w14:val="000000">
                      <w14:alpha w14:val="100000"/>
                    </w14:srgbClr>
                  </w14:solidFill>
                </w14:textFill>
              </w:rPr>
              <w:t>|</w:t>
            </w:r>
            <w:r w:rsidR="00AB0B3D" w:rsidRPr="00510084">
              <w:rPr>
                <w:vertAlign w:val="superscript"/>
              </w:rPr>
              <w:t>4</w:t>
            </w:r>
          </w:p>
        </w:tc>
        <w:tc>
          <w:tcPr>
            <w:tcW w:w="625" w:type="pct"/>
            <w:noWrap/>
            <w:hideMark/>
          </w:tcPr>
          <w:p w14:paraId="18E0D46D" w14:textId="4FA8BB2B" w:rsidR="001D523F" w:rsidRPr="00510084" w:rsidRDefault="00E44B9A" w:rsidP="00864C4B">
            <w:pPr>
              <w:pStyle w:val="TableText0"/>
              <w:jc w:val="right"/>
            </w:pPr>
            <w:r w:rsidRPr="00510084">
              <w:rPr>
                <w:color w:val="000000"/>
                <w:spacing w:val="53"/>
                <w:shd w:val="solid" w:color="000000" w:fill="000000"/>
                <w:fitText w:val="330" w:id="-628909296"/>
                <w14:textFill>
                  <w14:solidFill>
                    <w14:srgbClr w14:val="000000">
                      <w14:alpha w14:val="100000"/>
                    </w14:srgbClr>
                  </w14:solidFill>
                </w14:textFill>
              </w:rPr>
              <w:t>|||</w:t>
            </w:r>
            <w:r w:rsidRPr="00510084">
              <w:rPr>
                <w:color w:val="000000"/>
                <w:spacing w:val="1"/>
                <w:shd w:val="solid" w:color="000000" w:fill="000000"/>
                <w:fitText w:val="330" w:id="-628909296"/>
                <w14:textFill>
                  <w14:solidFill>
                    <w14:srgbClr w14:val="000000">
                      <w14:alpha w14:val="100000"/>
                    </w14:srgbClr>
                  </w14:solidFill>
                </w14:textFill>
              </w:rPr>
              <w:t>|</w:t>
            </w:r>
            <w:r w:rsidR="00AB0B3D" w:rsidRPr="00510084">
              <w:rPr>
                <w:vertAlign w:val="superscript"/>
              </w:rPr>
              <w:t>4</w:t>
            </w:r>
          </w:p>
        </w:tc>
        <w:tc>
          <w:tcPr>
            <w:tcW w:w="625" w:type="pct"/>
            <w:noWrap/>
            <w:hideMark/>
          </w:tcPr>
          <w:p w14:paraId="04420762" w14:textId="11BA3D64" w:rsidR="001D523F" w:rsidRPr="00510084" w:rsidRDefault="00E44B9A" w:rsidP="00864C4B">
            <w:pPr>
              <w:pStyle w:val="TableText0"/>
              <w:jc w:val="right"/>
            </w:pPr>
            <w:r w:rsidRPr="00510084">
              <w:rPr>
                <w:color w:val="000000"/>
                <w:spacing w:val="53"/>
                <w:shd w:val="solid" w:color="000000" w:fill="000000"/>
                <w:fitText w:val="330" w:id="-628909312"/>
                <w14:textFill>
                  <w14:solidFill>
                    <w14:srgbClr w14:val="000000">
                      <w14:alpha w14:val="100000"/>
                    </w14:srgbClr>
                  </w14:solidFill>
                </w14:textFill>
              </w:rPr>
              <w:t>|||</w:t>
            </w:r>
            <w:r w:rsidRPr="00510084">
              <w:rPr>
                <w:color w:val="000000"/>
                <w:spacing w:val="1"/>
                <w:shd w:val="solid" w:color="000000" w:fill="000000"/>
                <w:fitText w:val="330" w:id="-628909312"/>
                <w14:textFill>
                  <w14:solidFill>
                    <w14:srgbClr w14:val="000000">
                      <w14:alpha w14:val="100000"/>
                    </w14:srgbClr>
                  </w14:solidFill>
                </w14:textFill>
              </w:rPr>
              <w:t>|</w:t>
            </w:r>
            <w:r w:rsidR="00AB0B3D" w:rsidRPr="00510084">
              <w:rPr>
                <w:vertAlign w:val="superscript"/>
              </w:rPr>
              <w:t>4</w:t>
            </w:r>
          </w:p>
        </w:tc>
        <w:tc>
          <w:tcPr>
            <w:tcW w:w="625" w:type="pct"/>
            <w:noWrap/>
            <w:hideMark/>
          </w:tcPr>
          <w:p w14:paraId="7421ED66" w14:textId="660654ED" w:rsidR="001D523F" w:rsidRPr="00510084" w:rsidRDefault="00E44B9A" w:rsidP="00864C4B">
            <w:pPr>
              <w:pStyle w:val="TableText0"/>
              <w:jc w:val="right"/>
            </w:pPr>
            <w:r w:rsidRPr="00510084">
              <w:rPr>
                <w:color w:val="000000"/>
                <w:spacing w:val="53"/>
                <w:shd w:val="solid" w:color="000000" w:fill="000000"/>
                <w:fitText w:val="330" w:id="-628909311"/>
                <w14:textFill>
                  <w14:solidFill>
                    <w14:srgbClr w14:val="000000">
                      <w14:alpha w14:val="100000"/>
                    </w14:srgbClr>
                  </w14:solidFill>
                </w14:textFill>
              </w:rPr>
              <w:t>|||</w:t>
            </w:r>
            <w:r w:rsidRPr="00510084">
              <w:rPr>
                <w:color w:val="000000"/>
                <w:spacing w:val="1"/>
                <w:shd w:val="solid" w:color="000000" w:fill="000000"/>
                <w:fitText w:val="330" w:id="-628909311"/>
                <w14:textFill>
                  <w14:solidFill>
                    <w14:srgbClr w14:val="000000">
                      <w14:alpha w14:val="100000"/>
                    </w14:srgbClr>
                  </w14:solidFill>
                </w14:textFill>
              </w:rPr>
              <w:t>|</w:t>
            </w:r>
            <w:r w:rsidR="00AB0B3D" w:rsidRPr="00510084">
              <w:rPr>
                <w:vertAlign w:val="superscript"/>
              </w:rPr>
              <w:t>4</w:t>
            </w:r>
          </w:p>
        </w:tc>
        <w:tc>
          <w:tcPr>
            <w:tcW w:w="626" w:type="pct"/>
            <w:noWrap/>
            <w:hideMark/>
          </w:tcPr>
          <w:p w14:paraId="549D681A" w14:textId="15351FAC" w:rsidR="001D523F" w:rsidRPr="00510084" w:rsidRDefault="00E44B9A" w:rsidP="00864C4B">
            <w:pPr>
              <w:pStyle w:val="TableText0"/>
              <w:jc w:val="right"/>
            </w:pPr>
            <w:r w:rsidRPr="00510084">
              <w:rPr>
                <w:color w:val="000000"/>
                <w:spacing w:val="53"/>
                <w:shd w:val="solid" w:color="000000" w:fill="000000"/>
                <w:fitText w:val="330" w:id="-628909310"/>
                <w14:textFill>
                  <w14:solidFill>
                    <w14:srgbClr w14:val="000000">
                      <w14:alpha w14:val="100000"/>
                    </w14:srgbClr>
                  </w14:solidFill>
                </w14:textFill>
              </w:rPr>
              <w:t>|||</w:t>
            </w:r>
            <w:r w:rsidRPr="00510084">
              <w:rPr>
                <w:color w:val="000000"/>
                <w:spacing w:val="1"/>
                <w:shd w:val="solid" w:color="000000" w:fill="000000"/>
                <w:fitText w:val="330" w:id="-628909310"/>
                <w14:textFill>
                  <w14:solidFill>
                    <w14:srgbClr w14:val="000000">
                      <w14:alpha w14:val="100000"/>
                    </w14:srgbClr>
                  </w14:solidFill>
                </w14:textFill>
              </w:rPr>
              <w:t>|</w:t>
            </w:r>
            <w:r w:rsidR="00AB0B3D" w:rsidRPr="00510084">
              <w:rPr>
                <w:vertAlign w:val="superscript"/>
              </w:rPr>
              <w:t>4</w:t>
            </w:r>
          </w:p>
        </w:tc>
      </w:tr>
      <w:tr w:rsidR="001D523F" w:rsidRPr="00007450" w14:paraId="203B6086" w14:textId="77777777">
        <w:tc>
          <w:tcPr>
            <w:tcW w:w="1247" w:type="pct"/>
            <w:tcBorders>
              <w:bottom w:val="single" w:sz="4" w:space="0" w:color="auto"/>
            </w:tcBorders>
            <w:noWrap/>
            <w:hideMark/>
          </w:tcPr>
          <w:p w14:paraId="29A6900A" w14:textId="77777777" w:rsidR="001D523F" w:rsidRPr="00007450" w:rsidRDefault="001D523F" w:rsidP="00864C4B">
            <w:pPr>
              <w:pStyle w:val="TableText0"/>
            </w:pPr>
            <w:r w:rsidRPr="00007450">
              <w:t>No. scripts (12.59 per patient-year on treatment) </w:t>
            </w:r>
            <w:r w:rsidRPr="00007450">
              <w:rPr>
                <w:vertAlign w:val="superscript"/>
              </w:rPr>
              <w:t>b</w:t>
            </w:r>
          </w:p>
        </w:tc>
        <w:tc>
          <w:tcPr>
            <w:tcW w:w="625" w:type="pct"/>
            <w:tcBorders>
              <w:bottom w:val="single" w:sz="4" w:space="0" w:color="auto"/>
            </w:tcBorders>
            <w:noWrap/>
            <w:hideMark/>
          </w:tcPr>
          <w:p w14:paraId="75F09098" w14:textId="74C3AFDB" w:rsidR="001D523F" w:rsidRPr="00AB0B3D" w:rsidRDefault="00E44B9A" w:rsidP="00864C4B">
            <w:pPr>
              <w:pStyle w:val="TableText0"/>
              <w:jc w:val="right"/>
              <w:rPr>
                <w:b/>
                <w:bCs w:val="0"/>
                <w:vertAlign w:val="superscript"/>
              </w:rPr>
            </w:pPr>
            <w:r w:rsidRPr="00E44B9A">
              <w:rPr>
                <w:color w:val="000000"/>
                <w:spacing w:val="53"/>
                <w:shd w:val="solid" w:color="000000" w:fill="000000"/>
                <w:fitText w:val="330" w:id="-628909309"/>
                <w14:textFill>
                  <w14:solidFill>
                    <w14:srgbClr w14:val="000000">
                      <w14:alpha w14:val="100000"/>
                    </w14:srgbClr>
                  </w14:solidFill>
                </w14:textFill>
              </w:rPr>
              <w:t>|||</w:t>
            </w:r>
            <w:r w:rsidRPr="00E44B9A">
              <w:rPr>
                <w:color w:val="000000"/>
                <w:spacing w:val="1"/>
                <w:shd w:val="solid" w:color="000000" w:fill="000000"/>
                <w:fitText w:val="330" w:id="-628909309"/>
                <w14:textFill>
                  <w14:solidFill>
                    <w14:srgbClr w14:val="000000">
                      <w14:alpha w14:val="100000"/>
                    </w14:srgbClr>
                  </w14:solidFill>
                </w14:textFill>
              </w:rPr>
              <w:t>|</w:t>
            </w:r>
            <w:r w:rsidR="00AB0B3D">
              <w:rPr>
                <w:vertAlign w:val="superscript"/>
              </w:rPr>
              <w:t>5</w:t>
            </w:r>
          </w:p>
        </w:tc>
        <w:tc>
          <w:tcPr>
            <w:tcW w:w="625" w:type="pct"/>
            <w:tcBorders>
              <w:bottom w:val="single" w:sz="4" w:space="0" w:color="auto"/>
            </w:tcBorders>
            <w:noWrap/>
            <w:hideMark/>
          </w:tcPr>
          <w:p w14:paraId="28E80391" w14:textId="3D6EB82A" w:rsidR="001D523F" w:rsidRPr="00AB0B3D" w:rsidRDefault="00E44B9A" w:rsidP="00864C4B">
            <w:pPr>
              <w:pStyle w:val="TableText0"/>
              <w:jc w:val="right"/>
              <w:rPr>
                <w:vertAlign w:val="superscript"/>
              </w:rPr>
            </w:pPr>
            <w:r w:rsidRPr="00E44B9A">
              <w:rPr>
                <w:color w:val="000000"/>
                <w:spacing w:val="53"/>
                <w:shd w:val="solid" w:color="000000" w:fill="000000"/>
                <w:fitText w:val="330" w:id="-628909308"/>
                <w14:textFill>
                  <w14:solidFill>
                    <w14:srgbClr w14:val="000000">
                      <w14:alpha w14:val="100000"/>
                    </w14:srgbClr>
                  </w14:solidFill>
                </w14:textFill>
              </w:rPr>
              <w:t>|||</w:t>
            </w:r>
            <w:r w:rsidRPr="00E44B9A">
              <w:rPr>
                <w:color w:val="000000"/>
                <w:spacing w:val="1"/>
                <w:shd w:val="solid" w:color="000000" w:fill="000000"/>
                <w:fitText w:val="330" w:id="-628909308"/>
                <w14:textFill>
                  <w14:solidFill>
                    <w14:srgbClr w14:val="000000">
                      <w14:alpha w14:val="100000"/>
                    </w14:srgbClr>
                  </w14:solidFill>
                </w14:textFill>
              </w:rPr>
              <w:t>|</w:t>
            </w:r>
            <w:r w:rsidR="00AB0B3D" w:rsidRPr="00AB0B3D">
              <w:rPr>
                <w:vertAlign w:val="superscript"/>
              </w:rPr>
              <w:t>6</w:t>
            </w:r>
          </w:p>
        </w:tc>
        <w:tc>
          <w:tcPr>
            <w:tcW w:w="625" w:type="pct"/>
            <w:tcBorders>
              <w:bottom w:val="single" w:sz="4" w:space="0" w:color="auto"/>
            </w:tcBorders>
            <w:noWrap/>
            <w:hideMark/>
          </w:tcPr>
          <w:p w14:paraId="67DD9E53" w14:textId="54C7C1E1" w:rsidR="001D523F" w:rsidRPr="00AB0B3D" w:rsidRDefault="00E44B9A" w:rsidP="00864C4B">
            <w:pPr>
              <w:pStyle w:val="TableText0"/>
              <w:jc w:val="right"/>
              <w:rPr>
                <w:vertAlign w:val="superscript"/>
              </w:rPr>
            </w:pPr>
            <w:r w:rsidRPr="00E44B9A">
              <w:rPr>
                <w:color w:val="000000"/>
                <w:spacing w:val="53"/>
                <w:shd w:val="solid" w:color="000000" w:fill="000000"/>
                <w:fitText w:val="330" w:id="-628909307"/>
                <w14:textFill>
                  <w14:solidFill>
                    <w14:srgbClr w14:val="000000">
                      <w14:alpha w14:val="100000"/>
                    </w14:srgbClr>
                  </w14:solidFill>
                </w14:textFill>
              </w:rPr>
              <w:t>|||</w:t>
            </w:r>
            <w:r w:rsidRPr="00E44B9A">
              <w:rPr>
                <w:color w:val="000000"/>
                <w:spacing w:val="1"/>
                <w:shd w:val="solid" w:color="000000" w:fill="000000"/>
                <w:fitText w:val="330" w:id="-628909307"/>
                <w14:textFill>
                  <w14:solidFill>
                    <w14:srgbClr w14:val="000000">
                      <w14:alpha w14:val="100000"/>
                    </w14:srgbClr>
                  </w14:solidFill>
                </w14:textFill>
              </w:rPr>
              <w:t>|</w:t>
            </w:r>
            <w:r w:rsidR="006362B9">
              <w:rPr>
                <w:vertAlign w:val="superscript"/>
              </w:rPr>
              <w:t>7</w:t>
            </w:r>
          </w:p>
        </w:tc>
        <w:tc>
          <w:tcPr>
            <w:tcW w:w="625" w:type="pct"/>
            <w:tcBorders>
              <w:bottom w:val="single" w:sz="4" w:space="0" w:color="auto"/>
            </w:tcBorders>
            <w:noWrap/>
            <w:hideMark/>
          </w:tcPr>
          <w:p w14:paraId="3C0FCF63" w14:textId="405CA42E" w:rsidR="001D523F" w:rsidRPr="006362B9" w:rsidRDefault="00E44B9A" w:rsidP="00864C4B">
            <w:pPr>
              <w:pStyle w:val="TableText0"/>
              <w:jc w:val="right"/>
              <w:rPr>
                <w:vertAlign w:val="superscript"/>
              </w:rPr>
            </w:pPr>
            <w:r w:rsidRPr="00E44B9A">
              <w:rPr>
                <w:color w:val="000000"/>
                <w:spacing w:val="53"/>
                <w:shd w:val="solid" w:color="000000" w:fill="000000"/>
                <w:fitText w:val="330" w:id="-628909306"/>
                <w14:textFill>
                  <w14:solidFill>
                    <w14:srgbClr w14:val="000000">
                      <w14:alpha w14:val="100000"/>
                    </w14:srgbClr>
                  </w14:solidFill>
                </w14:textFill>
              </w:rPr>
              <w:t>|||</w:t>
            </w:r>
            <w:r w:rsidRPr="00E44B9A">
              <w:rPr>
                <w:color w:val="000000"/>
                <w:spacing w:val="1"/>
                <w:shd w:val="solid" w:color="000000" w:fill="000000"/>
                <w:fitText w:val="330" w:id="-628909306"/>
                <w14:textFill>
                  <w14:solidFill>
                    <w14:srgbClr w14:val="000000">
                      <w14:alpha w14:val="100000"/>
                    </w14:srgbClr>
                  </w14:solidFill>
                </w14:textFill>
              </w:rPr>
              <w:t>|</w:t>
            </w:r>
            <w:r w:rsidR="006362B9">
              <w:rPr>
                <w:vertAlign w:val="superscript"/>
              </w:rPr>
              <w:t>8</w:t>
            </w:r>
          </w:p>
        </w:tc>
        <w:tc>
          <w:tcPr>
            <w:tcW w:w="625" w:type="pct"/>
            <w:tcBorders>
              <w:bottom w:val="single" w:sz="4" w:space="0" w:color="auto"/>
            </w:tcBorders>
            <w:noWrap/>
            <w:hideMark/>
          </w:tcPr>
          <w:p w14:paraId="4593DEC2" w14:textId="575D6D88" w:rsidR="001D523F" w:rsidRPr="00067F7B" w:rsidRDefault="00E44B9A" w:rsidP="00864C4B">
            <w:pPr>
              <w:pStyle w:val="TableText0"/>
              <w:jc w:val="right"/>
              <w:rPr>
                <w:vertAlign w:val="superscript"/>
              </w:rPr>
            </w:pPr>
            <w:r w:rsidRPr="00E44B9A">
              <w:rPr>
                <w:color w:val="000000"/>
                <w:spacing w:val="53"/>
                <w:shd w:val="solid" w:color="000000" w:fill="000000"/>
                <w:fitText w:val="330" w:id="-628909305"/>
                <w14:textFill>
                  <w14:solidFill>
                    <w14:srgbClr w14:val="000000">
                      <w14:alpha w14:val="100000"/>
                    </w14:srgbClr>
                  </w14:solidFill>
                </w14:textFill>
              </w:rPr>
              <w:t>|||</w:t>
            </w:r>
            <w:r w:rsidRPr="00E44B9A">
              <w:rPr>
                <w:color w:val="000000"/>
                <w:spacing w:val="1"/>
                <w:shd w:val="solid" w:color="000000" w:fill="000000"/>
                <w:fitText w:val="330" w:id="-628909305"/>
                <w14:textFill>
                  <w14:solidFill>
                    <w14:srgbClr w14:val="000000">
                      <w14:alpha w14:val="100000"/>
                    </w14:srgbClr>
                  </w14:solidFill>
                </w14:textFill>
              </w:rPr>
              <w:t>|</w:t>
            </w:r>
            <w:r w:rsidR="00067F7B">
              <w:rPr>
                <w:vertAlign w:val="superscript"/>
              </w:rPr>
              <w:t>9</w:t>
            </w:r>
          </w:p>
        </w:tc>
        <w:tc>
          <w:tcPr>
            <w:tcW w:w="626" w:type="pct"/>
            <w:tcBorders>
              <w:bottom w:val="single" w:sz="4" w:space="0" w:color="auto"/>
            </w:tcBorders>
            <w:noWrap/>
            <w:hideMark/>
          </w:tcPr>
          <w:p w14:paraId="54D5917E" w14:textId="415C0BCA" w:rsidR="001D523F" w:rsidRPr="00067F7B" w:rsidRDefault="00E44B9A" w:rsidP="00864C4B">
            <w:pPr>
              <w:pStyle w:val="TableText0"/>
              <w:jc w:val="right"/>
              <w:rPr>
                <w:vertAlign w:val="superscript"/>
              </w:rPr>
            </w:pPr>
            <w:r w:rsidRPr="00E44B9A">
              <w:rPr>
                <w:color w:val="000000"/>
                <w:spacing w:val="53"/>
                <w:shd w:val="solid" w:color="000000" w:fill="000000"/>
                <w:fitText w:val="330" w:id="-628909304"/>
                <w14:textFill>
                  <w14:solidFill>
                    <w14:srgbClr w14:val="000000">
                      <w14:alpha w14:val="100000"/>
                    </w14:srgbClr>
                  </w14:solidFill>
                </w14:textFill>
              </w:rPr>
              <w:t>|||</w:t>
            </w:r>
            <w:r w:rsidRPr="00E44B9A">
              <w:rPr>
                <w:color w:val="000000"/>
                <w:spacing w:val="1"/>
                <w:shd w:val="solid" w:color="000000" w:fill="000000"/>
                <w:fitText w:val="330" w:id="-628909304"/>
                <w14:textFill>
                  <w14:solidFill>
                    <w14:srgbClr w14:val="000000">
                      <w14:alpha w14:val="100000"/>
                    </w14:srgbClr>
                  </w14:solidFill>
                </w14:textFill>
              </w:rPr>
              <w:t>|</w:t>
            </w:r>
            <w:r w:rsidR="00067F7B">
              <w:rPr>
                <w:vertAlign w:val="superscript"/>
              </w:rPr>
              <w:t>10</w:t>
            </w:r>
          </w:p>
        </w:tc>
      </w:tr>
      <w:tr w:rsidR="001D523F" w:rsidRPr="00007450" w14:paraId="6E1014FF" w14:textId="77777777">
        <w:tc>
          <w:tcPr>
            <w:tcW w:w="1247" w:type="pct"/>
            <w:tcBorders>
              <w:bottom w:val="single" w:sz="4" w:space="0" w:color="auto"/>
              <w:right w:val="nil"/>
            </w:tcBorders>
            <w:noWrap/>
            <w:hideMark/>
          </w:tcPr>
          <w:p w14:paraId="20F2AEAD" w14:textId="77777777" w:rsidR="001D523F" w:rsidRPr="00007450" w:rsidRDefault="001D523F" w:rsidP="00864C4B">
            <w:pPr>
              <w:pStyle w:val="TableText0"/>
              <w:numPr>
                <w:ilvl w:val="0"/>
                <w:numId w:val="11"/>
              </w:numPr>
              <w:ind w:left="164" w:hanging="142"/>
            </w:pPr>
            <w:r w:rsidRPr="00007450">
              <w:t>42-tablet pack (72.8%)</w:t>
            </w:r>
          </w:p>
        </w:tc>
        <w:tc>
          <w:tcPr>
            <w:tcW w:w="625" w:type="pct"/>
            <w:tcBorders>
              <w:left w:val="nil"/>
              <w:bottom w:val="single" w:sz="4" w:space="0" w:color="auto"/>
              <w:right w:val="nil"/>
            </w:tcBorders>
            <w:noWrap/>
            <w:hideMark/>
          </w:tcPr>
          <w:p w14:paraId="1923ECF4"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124618C5"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26310606"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41C0E075"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1F6FBEE6" w14:textId="77777777" w:rsidR="001D523F" w:rsidRPr="00007450" w:rsidRDefault="001D523F" w:rsidP="00864C4B">
            <w:pPr>
              <w:pStyle w:val="TableText0"/>
            </w:pPr>
          </w:p>
        </w:tc>
        <w:tc>
          <w:tcPr>
            <w:tcW w:w="626" w:type="pct"/>
            <w:tcBorders>
              <w:left w:val="nil"/>
              <w:bottom w:val="single" w:sz="4" w:space="0" w:color="auto"/>
            </w:tcBorders>
            <w:noWrap/>
            <w:hideMark/>
          </w:tcPr>
          <w:p w14:paraId="1CFB4198" w14:textId="77777777" w:rsidR="001D523F" w:rsidRPr="00007450" w:rsidRDefault="001D523F" w:rsidP="00864C4B">
            <w:pPr>
              <w:pStyle w:val="TableText0"/>
            </w:pPr>
          </w:p>
        </w:tc>
      </w:tr>
      <w:tr w:rsidR="001D523F" w:rsidRPr="00007450" w14:paraId="5D21EE44" w14:textId="77777777">
        <w:tc>
          <w:tcPr>
            <w:tcW w:w="1247" w:type="pct"/>
            <w:tcBorders>
              <w:top w:val="single" w:sz="4" w:space="0" w:color="auto"/>
              <w:bottom w:val="nil"/>
            </w:tcBorders>
            <w:noWrap/>
            <w:hideMark/>
          </w:tcPr>
          <w:p w14:paraId="7A025DFD" w14:textId="77777777" w:rsidR="001D523F" w:rsidRPr="00007450" w:rsidRDefault="001D523F" w:rsidP="00864C4B">
            <w:pPr>
              <w:pStyle w:val="TableText0"/>
              <w:numPr>
                <w:ilvl w:val="1"/>
                <w:numId w:val="11"/>
              </w:numPr>
              <w:tabs>
                <w:tab w:val="left" w:pos="306"/>
              </w:tabs>
              <w:ind w:left="164" w:firstLine="0"/>
            </w:pPr>
            <w:r w:rsidRPr="00007450">
              <w:t>No. RPBS scripts</w:t>
            </w:r>
          </w:p>
        </w:tc>
        <w:tc>
          <w:tcPr>
            <w:tcW w:w="625" w:type="pct"/>
            <w:tcBorders>
              <w:top w:val="single" w:sz="4" w:space="0" w:color="auto"/>
              <w:bottom w:val="nil"/>
            </w:tcBorders>
            <w:noWrap/>
            <w:hideMark/>
          </w:tcPr>
          <w:p w14:paraId="47DCADB8" w14:textId="166A3927" w:rsidR="001D523F" w:rsidRPr="00067F7B" w:rsidRDefault="00E44B9A" w:rsidP="00864C4B">
            <w:pPr>
              <w:pStyle w:val="TableText0"/>
              <w:jc w:val="right"/>
              <w:rPr>
                <w:vertAlign w:val="superscript"/>
              </w:rPr>
            </w:pPr>
            <w:r w:rsidRPr="00E44B9A">
              <w:rPr>
                <w:color w:val="000000"/>
                <w:spacing w:val="53"/>
                <w:shd w:val="solid" w:color="000000" w:fill="000000"/>
                <w:fitText w:val="330" w:id="-628909303"/>
                <w14:textFill>
                  <w14:solidFill>
                    <w14:srgbClr w14:val="000000">
                      <w14:alpha w14:val="100000"/>
                    </w14:srgbClr>
                  </w14:solidFill>
                </w14:textFill>
              </w:rPr>
              <w:t>|||</w:t>
            </w:r>
            <w:r w:rsidRPr="00E44B9A">
              <w:rPr>
                <w:color w:val="000000"/>
                <w:spacing w:val="1"/>
                <w:shd w:val="solid" w:color="000000" w:fill="000000"/>
                <w:fitText w:val="330" w:id="-628909303"/>
                <w14:textFill>
                  <w14:solidFill>
                    <w14:srgbClr w14:val="000000">
                      <w14:alpha w14:val="100000"/>
                    </w14:srgbClr>
                  </w14:solidFill>
                </w14:textFill>
              </w:rPr>
              <w:t>|</w:t>
            </w:r>
            <w:r w:rsidR="00067F7B">
              <w:rPr>
                <w:vertAlign w:val="superscript"/>
              </w:rPr>
              <w:t>11</w:t>
            </w:r>
          </w:p>
        </w:tc>
        <w:tc>
          <w:tcPr>
            <w:tcW w:w="625" w:type="pct"/>
            <w:tcBorders>
              <w:top w:val="single" w:sz="4" w:space="0" w:color="auto"/>
              <w:bottom w:val="nil"/>
            </w:tcBorders>
            <w:noWrap/>
            <w:hideMark/>
          </w:tcPr>
          <w:p w14:paraId="78013A97" w14:textId="22BEFEC2" w:rsidR="001D523F" w:rsidRPr="00007450" w:rsidRDefault="00E44B9A" w:rsidP="00864C4B">
            <w:pPr>
              <w:pStyle w:val="TableText0"/>
              <w:jc w:val="right"/>
            </w:pPr>
            <w:r w:rsidRPr="00E44B9A">
              <w:rPr>
                <w:color w:val="000000"/>
                <w:spacing w:val="53"/>
                <w:shd w:val="solid" w:color="000000" w:fill="000000"/>
                <w:fitText w:val="330" w:id="-628909302"/>
                <w14:textFill>
                  <w14:solidFill>
                    <w14:srgbClr w14:val="000000">
                      <w14:alpha w14:val="100000"/>
                    </w14:srgbClr>
                  </w14:solidFill>
                </w14:textFill>
              </w:rPr>
              <w:t>|||</w:t>
            </w:r>
            <w:r w:rsidRPr="00E44B9A">
              <w:rPr>
                <w:color w:val="000000"/>
                <w:spacing w:val="1"/>
                <w:shd w:val="solid" w:color="000000" w:fill="000000"/>
                <w:fitText w:val="330" w:id="-628909302"/>
                <w14:textFill>
                  <w14:solidFill>
                    <w14:srgbClr w14:val="000000">
                      <w14:alpha w14:val="100000"/>
                    </w14:srgbClr>
                  </w14:solidFill>
                </w14:textFill>
              </w:rPr>
              <w:t>|</w:t>
            </w:r>
            <w:r w:rsidR="00067F7B">
              <w:rPr>
                <w:vertAlign w:val="superscript"/>
              </w:rPr>
              <w:t>11</w:t>
            </w:r>
          </w:p>
        </w:tc>
        <w:tc>
          <w:tcPr>
            <w:tcW w:w="625" w:type="pct"/>
            <w:tcBorders>
              <w:top w:val="single" w:sz="4" w:space="0" w:color="auto"/>
              <w:bottom w:val="nil"/>
            </w:tcBorders>
            <w:noWrap/>
            <w:hideMark/>
          </w:tcPr>
          <w:p w14:paraId="6231AF62" w14:textId="090F7C72" w:rsidR="001D523F" w:rsidRPr="00007450" w:rsidRDefault="00E44B9A" w:rsidP="00864C4B">
            <w:pPr>
              <w:pStyle w:val="TableText0"/>
              <w:jc w:val="right"/>
            </w:pPr>
            <w:r w:rsidRPr="00E44B9A">
              <w:rPr>
                <w:color w:val="000000"/>
                <w:spacing w:val="53"/>
                <w:shd w:val="solid" w:color="000000" w:fill="000000"/>
                <w:fitText w:val="330" w:id="-628909301"/>
                <w14:textFill>
                  <w14:solidFill>
                    <w14:srgbClr w14:val="000000">
                      <w14:alpha w14:val="100000"/>
                    </w14:srgbClr>
                  </w14:solidFill>
                </w14:textFill>
              </w:rPr>
              <w:t>|||</w:t>
            </w:r>
            <w:r w:rsidRPr="00E44B9A">
              <w:rPr>
                <w:color w:val="000000"/>
                <w:spacing w:val="1"/>
                <w:shd w:val="solid" w:color="000000" w:fill="000000"/>
                <w:fitText w:val="330" w:id="-628909301"/>
                <w14:textFill>
                  <w14:solidFill>
                    <w14:srgbClr w14:val="000000">
                      <w14:alpha w14:val="100000"/>
                    </w14:srgbClr>
                  </w14:solidFill>
                </w14:textFill>
              </w:rPr>
              <w:t>|</w:t>
            </w:r>
            <w:r w:rsidR="00067F7B">
              <w:rPr>
                <w:vertAlign w:val="superscript"/>
              </w:rPr>
              <w:t>11</w:t>
            </w:r>
          </w:p>
        </w:tc>
        <w:tc>
          <w:tcPr>
            <w:tcW w:w="625" w:type="pct"/>
            <w:tcBorders>
              <w:top w:val="single" w:sz="4" w:space="0" w:color="auto"/>
              <w:bottom w:val="nil"/>
            </w:tcBorders>
            <w:noWrap/>
            <w:hideMark/>
          </w:tcPr>
          <w:p w14:paraId="27223E9C" w14:textId="4AD66772" w:rsidR="001D523F" w:rsidRPr="00007450" w:rsidRDefault="00E44B9A" w:rsidP="00864C4B">
            <w:pPr>
              <w:pStyle w:val="TableText0"/>
              <w:jc w:val="right"/>
            </w:pPr>
            <w:r w:rsidRPr="00E44B9A">
              <w:rPr>
                <w:color w:val="000000"/>
                <w:spacing w:val="53"/>
                <w:shd w:val="solid" w:color="000000" w:fill="000000"/>
                <w:fitText w:val="330" w:id="-628909300"/>
                <w14:textFill>
                  <w14:solidFill>
                    <w14:srgbClr w14:val="000000">
                      <w14:alpha w14:val="100000"/>
                    </w14:srgbClr>
                  </w14:solidFill>
                </w14:textFill>
              </w:rPr>
              <w:t>|||</w:t>
            </w:r>
            <w:r w:rsidRPr="00E44B9A">
              <w:rPr>
                <w:color w:val="000000"/>
                <w:spacing w:val="1"/>
                <w:shd w:val="solid" w:color="000000" w:fill="000000"/>
                <w:fitText w:val="330" w:id="-628909300"/>
                <w14:textFill>
                  <w14:solidFill>
                    <w14:srgbClr w14:val="000000">
                      <w14:alpha w14:val="100000"/>
                    </w14:srgbClr>
                  </w14:solidFill>
                </w14:textFill>
              </w:rPr>
              <w:t>|</w:t>
            </w:r>
            <w:r w:rsidR="00067F7B">
              <w:rPr>
                <w:vertAlign w:val="superscript"/>
              </w:rPr>
              <w:t>11</w:t>
            </w:r>
          </w:p>
        </w:tc>
        <w:tc>
          <w:tcPr>
            <w:tcW w:w="625" w:type="pct"/>
            <w:tcBorders>
              <w:top w:val="single" w:sz="4" w:space="0" w:color="auto"/>
              <w:bottom w:val="nil"/>
            </w:tcBorders>
            <w:noWrap/>
            <w:hideMark/>
          </w:tcPr>
          <w:p w14:paraId="67C8B1BF" w14:textId="6C1EBBFB" w:rsidR="001D523F" w:rsidRPr="00007450" w:rsidRDefault="00E44B9A" w:rsidP="00864C4B">
            <w:pPr>
              <w:pStyle w:val="TableText0"/>
              <w:jc w:val="right"/>
            </w:pPr>
            <w:r w:rsidRPr="00E44B9A">
              <w:rPr>
                <w:color w:val="000000"/>
                <w:spacing w:val="53"/>
                <w:shd w:val="solid" w:color="000000" w:fill="000000"/>
                <w:fitText w:val="330" w:id="-628909299"/>
                <w14:textFill>
                  <w14:solidFill>
                    <w14:srgbClr w14:val="000000">
                      <w14:alpha w14:val="100000"/>
                    </w14:srgbClr>
                  </w14:solidFill>
                </w14:textFill>
              </w:rPr>
              <w:t>|||</w:t>
            </w:r>
            <w:r w:rsidRPr="00E44B9A">
              <w:rPr>
                <w:color w:val="000000"/>
                <w:spacing w:val="1"/>
                <w:shd w:val="solid" w:color="000000" w:fill="000000"/>
                <w:fitText w:val="330" w:id="-628909299"/>
                <w14:textFill>
                  <w14:solidFill>
                    <w14:srgbClr w14:val="000000">
                      <w14:alpha w14:val="100000"/>
                    </w14:srgbClr>
                  </w14:solidFill>
                </w14:textFill>
              </w:rPr>
              <w:t>|</w:t>
            </w:r>
            <w:r w:rsidR="00067F7B">
              <w:rPr>
                <w:vertAlign w:val="superscript"/>
              </w:rPr>
              <w:t>11</w:t>
            </w:r>
          </w:p>
        </w:tc>
        <w:tc>
          <w:tcPr>
            <w:tcW w:w="626" w:type="pct"/>
            <w:tcBorders>
              <w:top w:val="single" w:sz="4" w:space="0" w:color="auto"/>
              <w:bottom w:val="nil"/>
            </w:tcBorders>
            <w:noWrap/>
            <w:hideMark/>
          </w:tcPr>
          <w:p w14:paraId="1957ECBE" w14:textId="6FE45860" w:rsidR="001D523F" w:rsidRPr="00007450" w:rsidRDefault="00E44B9A" w:rsidP="00864C4B">
            <w:pPr>
              <w:pStyle w:val="TableText0"/>
              <w:jc w:val="right"/>
            </w:pPr>
            <w:r w:rsidRPr="00E44B9A">
              <w:rPr>
                <w:color w:val="000000"/>
                <w:spacing w:val="53"/>
                <w:shd w:val="solid" w:color="000000" w:fill="000000"/>
                <w:fitText w:val="330" w:id="-628909298"/>
                <w14:textFill>
                  <w14:solidFill>
                    <w14:srgbClr w14:val="000000">
                      <w14:alpha w14:val="100000"/>
                    </w14:srgbClr>
                  </w14:solidFill>
                </w14:textFill>
              </w:rPr>
              <w:t>|||</w:t>
            </w:r>
            <w:r w:rsidRPr="00E44B9A">
              <w:rPr>
                <w:color w:val="000000"/>
                <w:spacing w:val="1"/>
                <w:shd w:val="solid" w:color="000000" w:fill="000000"/>
                <w:fitText w:val="330" w:id="-628909298"/>
                <w14:textFill>
                  <w14:solidFill>
                    <w14:srgbClr w14:val="000000">
                      <w14:alpha w14:val="100000"/>
                    </w14:srgbClr>
                  </w14:solidFill>
                </w14:textFill>
              </w:rPr>
              <w:t>|</w:t>
            </w:r>
            <w:r w:rsidR="00067F7B">
              <w:rPr>
                <w:vertAlign w:val="superscript"/>
              </w:rPr>
              <w:t>11</w:t>
            </w:r>
          </w:p>
        </w:tc>
      </w:tr>
      <w:tr w:rsidR="001D523F" w:rsidRPr="00007450" w14:paraId="55C7A12B" w14:textId="77777777">
        <w:tc>
          <w:tcPr>
            <w:tcW w:w="1247" w:type="pct"/>
            <w:tcBorders>
              <w:top w:val="nil"/>
              <w:bottom w:val="single" w:sz="4" w:space="0" w:color="auto"/>
            </w:tcBorders>
            <w:noWrap/>
            <w:hideMark/>
          </w:tcPr>
          <w:p w14:paraId="79BE9E36" w14:textId="77777777" w:rsidR="001D523F" w:rsidRPr="00007450" w:rsidRDefault="001D523F" w:rsidP="00864C4B">
            <w:pPr>
              <w:pStyle w:val="TableText0"/>
              <w:numPr>
                <w:ilvl w:val="1"/>
                <w:numId w:val="11"/>
              </w:numPr>
              <w:tabs>
                <w:tab w:val="left" w:pos="306"/>
              </w:tabs>
              <w:ind w:left="164" w:firstLine="0"/>
            </w:pPr>
            <w:r w:rsidRPr="00007450">
              <w:t>No. PBS scripts</w:t>
            </w:r>
          </w:p>
        </w:tc>
        <w:tc>
          <w:tcPr>
            <w:tcW w:w="625" w:type="pct"/>
            <w:tcBorders>
              <w:top w:val="nil"/>
              <w:bottom w:val="single" w:sz="4" w:space="0" w:color="auto"/>
            </w:tcBorders>
            <w:noWrap/>
            <w:hideMark/>
          </w:tcPr>
          <w:p w14:paraId="20C872F5" w14:textId="4333943A" w:rsidR="001D523F" w:rsidRPr="00067F7B" w:rsidRDefault="00E44B9A" w:rsidP="00864C4B">
            <w:pPr>
              <w:pStyle w:val="TableText0"/>
              <w:jc w:val="right"/>
              <w:rPr>
                <w:vertAlign w:val="superscript"/>
              </w:rPr>
            </w:pPr>
            <w:r w:rsidRPr="00E44B9A">
              <w:rPr>
                <w:color w:val="000000"/>
                <w:spacing w:val="53"/>
                <w:shd w:val="solid" w:color="000000" w:fill="000000"/>
                <w:fitText w:val="330" w:id="-628909297"/>
                <w14:textFill>
                  <w14:solidFill>
                    <w14:srgbClr w14:val="000000">
                      <w14:alpha w14:val="100000"/>
                    </w14:srgbClr>
                  </w14:solidFill>
                </w14:textFill>
              </w:rPr>
              <w:t>|||</w:t>
            </w:r>
            <w:r w:rsidRPr="00E44B9A">
              <w:rPr>
                <w:color w:val="000000"/>
                <w:spacing w:val="1"/>
                <w:shd w:val="solid" w:color="000000" w:fill="000000"/>
                <w:fitText w:val="330" w:id="-628909297"/>
                <w14:textFill>
                  <w14:solidFill>
                    <w14:srgbClr w14:val="000000">
                      <w14:alpha w14:val="100000"/>
                    </w14:srgbClr>
                  </w14:solidFill>
                </w14:textFill>
              </w:rPr>
              <w:t>|</w:t>
            </w:r>
            <w:r w:rsidR="00153D54">
              <w:rPr>
                <w:vertAlign w:val="superscript"/>
              </w:rPr>
              <w:t>1</w:t>
            </w:r>
          </w:p>
        </w:tc>
        <w:tc>
          <w:tcPr>
            <w:tcW w:w="625" w:type="pct"/>
            <w:tcBorders>
              <w:top w:val="nil"/>
              <w:bottom w:val="single" w:sz="4" w:space="0" w:color="auto"/>
            </w:tcBorders>
            <w:noWrap/>
            <w:hideMark/>
          </w:tcPr>
          <w:p w14:paraId="44EEE5DD" w14:textId="398C5010" w:rsidR="001D523F" w:rsidRPr="00153D54" w:rsidRDefault="00E44B9A" w:rsidP="00864C4B">
            <w:pPr>
              <w:pStyle w:val="TableText0"/>
              <w:jc w:val="right"/>
              <w:rPr>
                <w:vertAlign w:val="superscript"/>
              </w:rPr>
            </w:pPr>
            <w:r w:rsidRPr="00E44B9A">
              <w:rPr>
                <w:color w:val="000000"/>
                <w:spacing w:val="53"/>
                <w:shd w:val="solid" w:color="000000" w:fill="000000"/>
                <w:fitText w:val="330" w:id="-628909296"/>
                <w14:textFill>
                  <w14:solidFill>
                    <w14:srgbClr w14:val="000000">
                      <w14:alpha w14:val="100000"/>
                    </w14:srgbClr>
                  </w14:solidFill>
                </w14:textFill>
              </w:rPr>
              <w:t>|||</w:t>
            </w:r>
            <w:r w:rsidRPr="00E44B9A">
              <w:rPr>
                <w:color w:val="000000"/>
                <w:spacing w:val="1"/>
                <w:shd w:val="solid" w:color="000000" w:fill="000000"/>
                <w:fitText w:val="330" w:id="-628909296"/>
                <w14:textFill>
                  <w14:solidFill>
                    <w14:srgbClr w14:val="000000">
                      <w14:alpha w14:val="100000"/>
                    </w14:srgbClr>
                  </w14:solidFill>
                </w14:textFill>
              </w:rPr>
              <w:t>|</w:t>
            </w:r>
            <w:r w:rsidR="00153D54">
              <w:rPr>
                <w:vertAlign w:val="superscript"/>
              </w:rPr>
              <w:t>12</w:t>
            </w:r>
          </w:p>
        </w:tc>
        <w:tc>
          <w:tcPr>
            <w:tcW w:w="625" w:type="pct"/>
            <w:tcBorders>
              <w:top w:val="nil"/>
              <w:bottom w:val="single" w:sz="4" w:space="0" w:color="auto"/>
            </w:tcBorders>
            <w:noWrap/>
            <w:hideMark/>
          </w:tcPr>
          <w:p w14:paraId="1BF5265B" w14:textId="31681967" w:rsidR="001D523F" w:rsidRPr="009D0C7D" w:rsidRDefault="00E44B9A" w:rsidP="00864C4B">
            <w:pPr>
              <w:pStyle w:val="TableText0"/>
              <w:jc w:val="right"/>
              <w:rPr>
                <w:vertAlign w:val="superscript"/>
              </w:rPr>
            </w:pPr>
            <w:r w:rsidRPr="00E44B9A">
              <w:rPr>
                <w:color w:val="000000"/>
                <w:spacing w:val="53"/>
                <w:shd w:val="solid" w:color="000000" w:fill="000000"/>
                <w:fitText w:val="330" w:id="-628909312"/>
                <w14:textFill>
                  <w14:solidFill>
                    <w14:srgbClr w14:val="000000">
                      <w14:alpha w14:val="100000"/>
                    </w14:srgbClr>
                  </w14:solidFill>
                </w14:textFill>
              </w:rPr>
              <w:t>|||</w:t>
            </w:r>
            <w:r w:rsidRPr="00E44B9A">
              <w:rPr>
                <w:color w:val="000000"/>
                <w:spacing w:val="1"/>
                <w:shd w:val="solid" w:color="000000" w:fill="000000"/>
                <w:fitText w:val="330" w:id="-628909312"/>
                <w14:textFill>
                  <w14:solidFill>
                    <w14:srgbClr w14:val="000000">
                      <w14:alpha w14:val="100000"/>
                    </w14:srgbClr>
                  </w14:solidFill>
                </w14:textFill>
              </w:rPr>
              <w:t>|</w:t>
            </w:r>
            <w:r w:rsidR="009D0C7D">
              <w:rPr>
                <w:vertAlign w:val="superscript"/>
              </w:rPr>
              <w:t>13</w:t>
            </w:r>
          </w:p>
        </w:tc>
        <w:tc>
          <w:tcPr>
            <w:tcW w:w="625" w:type="pct"/>
            <w:tcBorders>
              <w:top w:val="nil"/>
              <w:bottom w:val="single" w:sz="4" w:space="0" w:color="auto"/>
            </w:tcBorders>
            <w:noWrap/>
            <w:hideMark/>
          </w:tcPr>
          <w:p w14:paraId="26CD2715" w14:textId="5D6989ED" w:rsidR="001D523F" w:rsidRPr="00007450" w:rsidRDefault="00E44B9A" w:rsidP="00864C4B">
            <w:pPr>
              <w:pStyle w:val="TableText0"/>
              <w:jc w:val="right"/>
            </w:pPr>
            <w:r w:rsidRPr="00E44B9A">
              <w:rPr>
                <w:color w:val="000000"/>
                <w:spacing w:val="53"/>
                <w:shd w:val="solid" w:color="000000" w:fill="000000"/>
                <w:fitText w:val="330" w:id="-628909311"/>
                <w14:textFill>
                  <w14:solidFill>
                    <w14:srgbClr w14:val="000000">
                      <w14:alpha w14:val="100000"/>
                    </w14:srgbClr>
                  </w14:solidFill>
                </w14:textFill>
              </w:rPr>
              <w:t>|||</w:t>
            </w:r>
            <w:r w:rsidRPr="00E44B9A">
              <w:rPr>
                <w:color w:val="000000"/>
                <w:spacing w:val="1"/>
                <w:shd w:val="solid" w:color="000000" w:fill="000000"/>
                <w:fitText w:val="330" w:id="-628909311"/>
                <w14:textFill>
                  <w14:solidFill>
                    <w14:srgbClr w14:val="000000">
                      <w14:alpha w14:val="100000"/>
                    </w14:srgbClr>
                  </w14:solidFill>
                </w14:textFill>
              </w:rPr>
              <w:t>|</w:t>
            </w:r>
            <w:r w:rsidR="009D0C7D">
              <w:rPr>
                <w:vertAlign w:val="superscript"/>
              </w:rPr>
              <w:t>13</w:t>
            </w:r>
          </w:p>
        </w:tc>
        <w:tc>
          <w:tcPr>
            <w:tcW w:w="625" w:type="pct"/>
            <w:tcBorders>
              <w:top w:val="nil"/>
              <w:bottom w:val="single" w:sz="4" w:space="0" w:color="auto"/>
            </w:tcBorders>
            <w:noWrap/>
            <w:hideMark/>
          </w:tcPr>
          <w:p w14:paraId="2761290C" w14:textId="259E640E" w:rsidR="001D523F" w:rsidRPr="009D0C7D" w:rsidRDefault="00E44B9A" w:rsidP="00864C4B">
            <w:pPr>
              <w:pStyle w:val="TableText0"/>
              <w:jc w:val="right"/>
              <w:rPr>
                <w:vertAlign w:val="superscript"/>
              </w:rPr>
            </w:pPr>
            <w:r w:rsidRPr="00E44B9A">
              <w:rPr>
                <w:color w:val="000000"/>
                <w:spacing w:val="53"/>
                <w:shd w:val="solid" w:color="000000" w:fill="000000"/>
                <w:fitText w:val="330" w:id="-628909310"/>
                <w14:textFill>
                  <w14:solidFill>
                    <w14:srgbClr w14:val="000000">
                      <w14:alpha w14:val="100000"/>
                    </w14:srgbClr>
                  </w14:solidFill>
                </w14:textFill>
              </w:rPr>
              <w:t>|||</w:t>
            </w:r>
            <w:r w:rsidRPr="00E44B9A">
              <w:rPr>
                <w:color w:val="000000"/>
                <w:spacing w:val="1"/>
                <w:shd w:val="solid" w:color="000000" w:fill="000000"/>
                <w:fitText w:val="330" w:id="-628909310"/>
                <w14:textFill>
                  <w14:solidFill>
                    <w14:srgbClr w14:val="000000">
                      <w14:alpha w14:val="100000"/>
                    </w14:srgbClr>
                  </w14:solidFill>
                </w14:textFill>
              </w:rPr>
              <w:t>|</w:t>
            </w:r>
            <w:r w:rsidR="009D0C7D">
              <w:rPr>
                <w:vertAlign w:val="superscript"/>
              </w:rPr>
              <w:t>6</w:t>
            </w:r>
          </w:p>
        </w:tc>
        <w:tc>
          <w:tcPr>
            <w:tcW w:w="626" w:type="pct"/>
            <w:tcBorders>
              <w:top w:val="nil"/>
              <w:bottom w:val="single" w:sz="4" w:space="0" w:color="auto"/>
            </w:tcBorders>
            <w:noWrap/>
            <w:hideMark/>
          </w:tcPr>
          <w:p w14:paraId="557071B9" w14:textId="416519E9" w:rsidR="001D523F" w:rsidRPr="009D0C7D" w:rsidRDefault="00E44B9A" w:rsidP="00864C4B">
            <w:pPr>
              <w:pStyle w:val="TableText0"/>
              <w:jc w:val="right"/>
              <w:rPr>
                <w:vertAlign w:val="superscript"/>
              </w:rPr>
            </w:pPr>
            <w:r w:rsidRPr="00E44B9A">
              <w:rPr>
                <w:color w:val="000000"/>
                <w:spacing w:val="53"/>
                <w:shd w:val="solid" w:color="000000" w:fill="000000"/>
                <w:fitText w:val="330" w:id="-628909309"/>
                <w14:textFill>
                  <w14:solidFill>
                    <w14:srgbClr w14:val="000000">
                      <w14:alpha w14:val="100000"/>
                    </w14:srgbClr>
                  </w14:solidFill>
                </w14:textFill>
              </w:rPr>
              <w:t>|||</w:t>
            </w:r>
            <w:r w:rsidRPr="00E44B9A">
              <w:rPr>
                <w:color w:val="000000"/>
                <w:spacing w:val="1"/>
                <w:shd w:val="solid" w:color="000000" w:fill="000000"/>
                <w:fitText w:val="330" w:id="-628909309"/>
                <w14:textFill>
                  <w14:solidFill>
                    <w14:srgbClr w14:val="000000">
                      <w14:alpha w14:val="100000"/>
                    </w14:srgbClr>
                  </w14:solidFill>
                </w14:textFill>
              </w:rPr>
              <w:t>|</w:t>
            </w:r>
            <w:r w:rsidR="009D0C7D">
              <w:rPr>
                <w:vertAlign w:val="superscript"/>
              </w:rPr>
              <w:t>6</w:t>
            </w:r>
          </w:p>
        </w:tc>
      </w:tr>
      <w:tr w:rsidR="001D523F" w:rsidRPr="00007450" w14:paraId="553E02F0" w14:textId="77777777">
        <w:tc>
          <w:tcPr>
            <w:tcW w:w="1247" w:type="pct"/>
            <w:tcBorders>
              <w:bottom w:val="single" w:sz="4" w:space="0" w:color="auto"/>
              <w:right w:val="nil"/>
            </w:tcBorders>
            <w:noWrap/>
            <w:hideMark/>
          </w:tcPr>
          <w:p w14:paraId="667EDC17" w14:textId="77777777" w:rsidR="001D523F" w:rsidRPr="00007450" w:rsidRDefault="001D523F" w:rsidP="00864C4B">
            <w:pPr>
              <w:pStyle w:val="TableText0"/>
              <w:numPr>
                <w:ilvl w:val="0"/>
                <w:numId w:val="11"/>
              </w:numPr>
              <w:ind w:left="164" w:hanging="142"/>
            </w:pPr>
            <w:r w:rsidRPr="00007450">
              <w:t>21-tablet pack (27.2%)</w:t>
            </w:r>
          </w:p>
        </w:tc>
        <w:tc>
          <w:tcPr>
            <w:tcW w:w="625" w:type="pct"/>
            <w:tcBorders>
              <w:left w:val="nil"/>
              <w:bottom w:val="single" w:sz="4" w:space="0" w:color="auto"/>
              <w:right w:val="nil"/>
            </w:tcBorders>
            <w:noWrap/>
            <w:hideMark/>
          </w:tcPr>
          <w:p w14:paraId="2BCE46A8"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23796EE1"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049F6B09"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72D9DBB5" w14:textId="77777777" w:rsidR="001D523F" w:rsidRPr="00007450" w:rsidRDefault="001D523F" w:rsidP="00864C4B">
            <w:pPr>
              <w:pStyle w:val="TableText0"/>
            </w:pPr>
          </w:p>
        </w:tc>
        <w:tc>
          <w:tcPr>
            <w:tcW w:w="625" w:type="pct"/>
            <w:tcBorders>
              <w:left w:val="nil"/>
              <w:bottom w:val="single" w:sz="4" w:space="0" w:color="auto"/>
              <w:right w:val="nil"/>
            </w:tcBorders>
            <w:noWrap/>
            <w:hideMark/>
          </w:tcPr>
          <w:p w14:paraId="2ACEABBC" w14:textId="77777777" w:rsidR="001D523F" w:rsidRPr="00007450" w:rsidRDefault="001D523F" w:rsidP="00864C4B">
            <w:pPr>
              <w:pStyle w:val="TableText0"/>
            </w:pPr>
          </w:p>
        </w:tc>
        <w:tc>
          <w:tcPr>
            <w:tcW w:w="626" w:type="pct"/>
            <w:tcBorders>
              <w:left w:val="nil"/>
              <w:bottom w:val="single" w:sz="4" w:space="0" w:color="auto"/>
            </w:tcBorders>
            <w:noWrap/>
            <w:hideMark/>
          </w:tcPr>
          <w:p w14:paraId="559F243C" w14:textId="77777777" w:rsidR="001D523F" w:rsidRPr="00007450" w:rsidRDefault="001D523F" w:rsidP="00864C4B">
            <w:pPr>
              <w:pStyle w:val="TableText0"/>
            </w:pPr>
          </w:p>
        </w:tc>
      </w:tr>
      <w:tr w:rsidR="001D523F" w:rsidRPr="00007450" w14:paraId="10F4806F" w14:textId="77777777">
        <w:tc>
          <w:tcPr>
            <w:tcW w:w="1247" w:type="pct"/>
            <w:tcBorders>
              <w:bottom w:val="nil"/>
            </w:tcBorders>
            <w:noWrap/>
            <w:hideMark/>
          </w:tcPr>
          <w:p w14:paraId="470395AB" w14:textId="77777777" w:rsidR="001D523F" w:rsidRPr="00007450" w:rsidRDefault="001D523F" w:rsidP="00864C4B">
            <w:pPr>
              <w:pStyle w:val="TableText0"/>
              <w:numPr>
                <w:ilvl w:val="1"/>
                <w:numId w:val="11"/>
              </w:numPr>
              <w:tabs>
                <w:tab w:val="left" w:pos="306"/>
              </w:tabs>
              <w:ind w:left="164" w:firstLine="0"/>
            </w:pPr>
            <w:r w:rsidRPr="00007450">
              <w:t>No. RPBS scripts</w:t>
            </w:r>
          </w:p>
        </w:tc>
        <w:tc>
          <w:tcPr>
            <w:tcW w:w="625" w:type="pct"/>
            <w:tcBorders>
              <w:bottom w:val="nil"/>
            </w:tcBorders>
            <w:noWrap/>
            <w:hideMark/>
          </w:tcPr>
          <w:p w14:paraId="6F918AD9" w14:textId="2C9FA306" w:rsidR="001D523F" w:rsidRPr="00007450" w:rsidRDefault="00E44B9A" w:rsidP="00864C4B">
            <w:pPr>
              <w:pStyle w:val="TableText0"/>
              <w:jc w:val="right"/>
            </w:pPr>
            <w:r w:rsidRPr="00E44B9A">
              <w:rPr>
                <w:color w:val="000000"/>
                <w:spacing w:val="53"/>
                <w:shd w:val="solid" w:color="000000" w:fill="000000"/>
                <w:fitText w:val="330" w:id="-628909308"/>
                <w14:textFill>
                  <w14:solidFill>
                    <w14:srgbClr w14:val="000000">
                      <w14:alpha w14:val="100000"/>
                    </w14:srgbClr>
                  </w14:solidFill>
                </w14:textFill>
              </w:rPr>
              <w:t>|||</w:t>
            </w:r>
            <w:r w:rsidRPr="00E44B9A">
              <w:rPr>
                <w:color w:val="000000"/>
                <w:spacing w:val="1"/>
                <w:shd w:val="solid" w:color="000000" w:fill="000000"/>
                <w:fitText w:val="330" w:id="-628909308"/>
                <w14:textFill>
                  <w14:solidFill>
                    <w14:srgbClr w14:val="000000">
                      <w14:alpha w14:val="100000"/>
                    </w14:srgbClr>
                  </w14:solidFill>
                </w14:textFill>
              </w:rPr>
              <w:t>|</w:t>
            </w:r>
            <w:r w:rsidR="009D0C7D">
              <w:rPr>
                <w:vertAlign w:val="superscript"/>
              </w:rPr>
              <w:t>11</w:t>
            </w:r>
          </w:p>
        </w:tc>
        <w:tc>
          <w:tcPr>
            <w:tcW w:w="625" w:type="pct"/>
            <w:tcBorders>
              <w:bottom w:val="nil"/>
            </w:tcBorders>
            <w:noWrap/>
            <w:hideMark/>
          </w:tcPr>
          <w:p w14:paraId="3D889CD8" w14:textId="473F4A5A" w:rsidR="001D523F" w:rsidRPr="00007450" w:rsidRDefault="00E44B9A" w:rsidP="00864C4B">
            <w:pPr>
              <w:pStyle w:val="TableText0"/>
              <w:jc w:val="right"/>
            </w:pPr>
            <w:r w:rsidRPr="00E44B9A">
              <w:rPr>
                <w:color w:val="000000"/>
                <w:spacing w:val="53"/>
                <w:shd w:val="solid" w:color="000000" w:fill="000000"/>
                <w:fitText w:val="330" w:id="-628909307"/>
                <w14:textFill>
                  <w14:solidFill>
                    <w14:srgbClr w14:val="000000">
                      <w14:alpha w14:val="100000"/>
                    </w14:srgbClr>
                  </w14:solidFill>
                </w14:textFill>
              </w:rPr>
              <w:t>|||</w:t>
            </w:r>
            <w:r w:rsidRPr="00E44B9A">
              <w:rPr>
                <w:color w:val="000000"/>
                <w:spacing w:val="1"/>
                <w:shd w:val="solid" w:color="000000" w:fill="000000"/>
                <w:fitText w:val="330" w:id="-628909307"/>
                <w14:textFill>
                  <w14:solidFill>
                    <w14:srgbClr w14:val="000000">
                      <w14:alpha w14:val="100000"/>
                    </w14:srgbClr>
                  </w14:solidFill>
                </w14:textFill>
              </w:rPr>
              <w:t>|</w:t>
            </w:r>
            <w:r w:rsidR="009D0C7D">
              <w:rPr>
                <w:vertAlign w:val="superscript"/>
              </w:rPr>
              <w:t>11</w:t>
            </w:r>
          </w:p>
        </w:tc>
        <w:tc>
          <w:tcPr>
            <w:tcW w:w="625" w:type="pct"/>
            <w:tcBorders>
              <w:bottom w:val="nil"/>
            </w:tcBorders>
            <w:noWrap/>
            <w:hideMark/>
          </w:tcPr>
          <w:p w14:paraId="3CF5E79B" w14:textId="31AE9639" w:rsidR="001D523F" w:rsidRPr="00007450" w:rsidRDefault="00E44B9A" w:rsidP="00864C4B">
            <w:pPr>
              <w:pStyle w:val="TableText0"/>
              <w:jc w:val="right"/>
            </w:pPr>
            <w:r w:rsidRPr="00E44B9A">
              <w:rPr>
                <w:color w:val="000000"/>
                <w:spacing w:val="53"/>
                <w:shd w:val="solid" w:color="000000" w:fill="000000"/>
                <w:fitText w:val="330" w:id="-628909306"/>
                <w14:textFill>
                  <w14:solidFill>
                    <w14:srgbClr w14:val="000000">
                      <w14:alpha w14:val="100000"/>
                    </w14:srgbClr>
                  </w14:solidFill>
                </w14:textFill>
              </w:rPr>
              <w:t>|||</w:t>
            </w:r>
            <w:r w:rsidRPr="00E44B9A">
              <w:rPr>
                <w:color w:val="000000"/>
                <w:spacing w:val="1"/>
                <w:shd w:val="solid" w:color="000000" w:fill="000000"/>
                <w:fitText w:val="330" w:id="-628909306"/>
                <w14:textFill>
                  <w14:solidFill>
                    <w14:srgbClr w14:val="000000">
                      <w14:alpha w14:val="100000"/>
                    </w14:srgbClr>
                  </w14:solidFill>
                </w14:textFill>
              </w:rPr>
              <w:t>|</w:t>
            </w:r>
            <w:r w:rsidR="009D0C7D">
              <w:rPr>
                <w:vertAlign w:val="superscript"/>
              </w:rPr>
              <w:t>11</w:t>
            </w:r>
          </w:p>
        </w:tc>
        <w:tc>
          <w:tcPr>
            <w:tcW w:w="625" w:type="pct"/>
            <w:tcBorders>
              <w:bottom w:val="nil"/>
            </w:tcBorders>
            <w:noWrap/>
            <w:hideMark/>
          </w:tcPr>
          <w:p w14:paraId="40C2F6AE" w14:textId="00871315" w:rsidR="001D523F" w:rsidRPr="00007450" w:rsidRDefault="00E44B9A" w:rsidP="00864C4B">
            <w:pPr>
              <w:pStyle w:val="TableText0"/>
              <w:jc w:val="right"/>
            </w:pPr>
            <w:r w:rsidRPr="00E44B9A">
              <w:rPr>
                <w:color w:val="000000"/>
                <w:spacing w:val="53"/>
                <w:shd w:val="solid" w:color="000000" w:fill="000000"/>
                <w:fitText w:val="330" w:id="-628909305"/>
                <w14:textFill>
                  <w14:solidFill>
                    <w14:srgbClr w14:val="000000">
                      <w14:alpha w14:val="100000"/>
                    </w14:srgbClr>
                  </w14:solidFill>
                </w14:textFill>
              </w:rPr>
              <w:t>|||</w:t>
            </w:r>
            <w:r w:rsidRPr="00E44B9A">
              <w:rPr>
                <w:color w:val="000000"/>
                <w:spacing w:val="1"/>
                <w:shd w:val="solid" w:color="000000" w:fill="000000"/>
                <w:fitText w:val="330" w:id="-628909305"/>
                <w14:textFill>
                  <w14:solidFill>
                    <w14:srgbClr w14:val="000000">
                      <w14:alpha w14:val="100000"/>
                    </w14:srgbClr>
                  </w14:solidFill>
                </w14:textFill>
              </w:rPr>
              <w:t>|</w:t>
            </w:r>
            <w:r w:rsidR="009D0C7D">
              <w:rPr>
                <w:vertAlign w:val="superscript"/>
              </w:rPr>
              <w:t>11</w:t>
            </w:r>
          </w:p>
        </w:tc>
        <w:tc>
          <w:tcPr>
            <w:tcW w:w="625" w:type="pct"/>
            <w:tcBorders>
              <w:bottom w:val="nil"/>
            </w:tcBorders>
            <w:noWrap/>
            <w:hideMark/>
          </w:tcPr>
          <w:p w14:paraId="127E5518" w14:textId="13A639B8" w:rsidR="001D523F" w:rsidRPr="00007450" w:rsidRDefault="00E44B9A" w:rsidP="00864C4B">
            <w:pPr>
              <w:pStyle w:val="TableText0"/>
              <w:jc w:val="right"/>
            </w:pPr>
            <w:r w:rsidRPr="00E44B9A">
              <w:rPr>
                <w:color w:val="000000"/>
                <w:spacing w:val="53"/>
                <w:shd w:val="solid" w:color="000000" w:fill="000000"/>
                <w:fitText w:val="330" w:id="-628909304"/>
                <w14:textFill>
                  <w14:solidFill>
                    <w14:srgbClr w14:val="000000">
                      <w14:alpha w14:val="100000"/>
                    </w14:srgbClr>
                  </w14:solidFill>
                </w14:textFill>
              </w:rPr>
              <w:t>|||</w:t>
            </w:r>
            <w:r w:rsidRPr="00E44B9A">
              <w:rPr>
                <w:color w:val="000000"/>
                <w:spacing w:val="1"/>
                <w:shd w:val="solid" w:color="000000" w:fill="000000"/>
                <w:fitText w:val="330" w:id="-628909304"/>
                <w14:textFill>
                  <w14:solidFill>
                    <w14:srgbClr w14:val="000000">
                      <w14:alpha w14:val="100000"/>
                    </w14:srgbClr>
                  </w14:solidFill>
                </w14:textFill>
              </w:rPr>
              <w:t>|</w:t>
            </w:r>
            <w:r w:rsidR="009D0C7D">
              <w:rPr>
                <w:vertAlign w:val="superscript"/>
              </w:rPr>
              <w:t>11</w:t>
            </w:r>
          </w:p>
        </w:tc>
        <w:tc>
          <w:tcPr>
            <w:tcW w:w="626" w:type="pct"/>
            <w:tcBorders>
              <w:bottom w:val="nil"/>
            </w:tcBorders>
            <w:noWrap/>
            <w:hideMark/>
          </w:tcPr>
          <w:p w14:paraId="13933211" w14:textId="10891F62" w:rsidR="001D523F" w:rsidRPr="00007450" w:rsidRDefault="00E44B9A" w:rsidP="00864C4B">
            <w:pPr>
              <w:pStyle w:val="TableText0"/>
              <w:jc w:val="right"/>
            </w:pPr>
            <w:r w:rsidRPr="00E44B9A">
              <w:rPr>
                <w:color w:val="000000"/>
                <w:spacing w:val="53"/>
                <w:shd w:val="solid" w:color="000000" w:fill="000000"/>
                <w:fitText w:val="330" w:id="-628909303"/>
                <w14:textFill>
                  <w14:solidFill>
                    <w14:srgbClr w14:val="000000">
                      <w14:alpha w14:val="100000"/>
                    </w14:srgbClr>
                  </w14:solidFill>
                </w14:textFill>
              </w:rPr>
              <w:t>|||</w:t>
            </w:r>
            <w:r w:rsidRPr="00E44B9A">
              <w:rPr>
                <w:color w:val="000000"/>
                <w:spacing w:val="1"/>
                <w:shd w:val="solid" w:color="000000" w:fill="000000"/>
                <w:fitText w:val="330" w:id="-628909303"/>
                <w14:textFill>
                  <w14:solidFill>
                    <w14:srgbClr w14:val="000000">
                      <w14:alpha w14:val="100000"/>
                    </w14:srgbClr>
                  </w14:solidFill>
                </w14:textFill>
              </w:rPr>
              <w:t>|</w:t>
            </w:r>
            <w:r w:rsidR="009D0C7D">
              <w:rPr>
                <w:vertAlign w:val="superscript"/>
              </w:rPr>
              <w:t>11</w:t>
            </w:r>
          </w:p>
        </w:tc>
      </w:tr>
      <w:tr w:rsidR="001D523F" w:rsidRPr="00007450" w14:paraId="36925132" w14:textId="77777777">
        <w:tc>
          <w:tcPr>
            <w:tcW w:w="1247" w:type="pct"/>
            <w:tcBorders>
              <w:top w:val="nil"/>
            </w:tcBorders>
            <w:noWrap/>
            <w:hideMark/>
          </w:tcPr>
          <w:p w14:paraId="0EEFD607" w14:textId="77777777" w:rsidR="001D523F" w:rsidRPr="00007450" w:rsidRDefault="001D523F" w:rsidP="00864C4B">
            <w:pPr>
              <w:pStyle w:val="TableText0"/>
              <w:numPr>
                <w:ilvl w:val="1"/>
                <w:numId w:val="11"/>
              </w:numPr>
              <w:tabs>
                <w:tab w:val="left" w:pos="306"/>
              </w:tabs>
              <w:ind w:left="164" w:firstLine="0"/>
            </w:pPr>
            <w:r w:rsidRPr="00007450">
              <w:t>No. PBS scripts</w:t>
            </w:r>
          </w:p>
        </w:tc>
        <w:tc>
          <w:tcPr>
            <w:tcW w:w="625" w:type="pct"/>
            <w:tcBorders>
              <w:top w:val="nil"/>
            </w:tcBorders>
            <w:noWrap/>
            <w:hideMark/>
          </w:tcPr>
          <w:p w14:paraId="21F28AC2" w14:textId="71C1E6DF" w:rsidR="001D523F" w:rsidRPr="009D0C7D" w:rsidRDefault="00E44B9A" w:rsidP="00864C4B">
            <w:pPr>
              <w:pStyle w:val="TableText0"/>
              <w:jc w:val="right"/>
              <w:rPr>
                <w:vertAlign w:val="superscript"/>
              </w:rPr>
            </w:pPr>
            <w:r w:rsidRPr="00E44B9A">
              <w:rPr>
                <w:color w:val="000000"/>
                <w:spacing w:val="53"/>
                <w:shd w:val="solid" w:color="000000" w:fill="000000"/>
                <w:fitText w:val="330" w:id="-628909302"/>
                <w14:textFill>
                  <w14:solidFill>
                    <w14:srgbClr w14:val="000000">
                      <w14:alpha w14:val="100000"/>
                    </w14:srgbClr>
                  </w14:solidFill>
                </w14:textFill>
              </w:rPr>
              <w:t>|||</w:t>
            </w:r>
            <w:r w:rsidRPr="00E44B9A">
              <w:rPr>
                <w:color w:val="000000"/>
                <w:spacing w:val="1"/>
                <w:shd w:val="solid" w:color="000000" w:fill="000000"/>
                <w:fitText w:val="330" w:id="-628909302"/>
                <w14:textFill>
                  <w14:solidFill>
                    <w14:srgbClr w14:val="000000">
                      <w14:alpha w14:val="100000"/>
                    </w14:srgbClr>
                  </w14:solidFill>
                </w14:textFill>
              </w:rPr>
              <w:t>|</w:t>
            </w:r>
            <w:r w:rsidR="009D0C7D">
              <w:rPr>
                <w:vertAlign w:val="superscript"/>
              </w:rPr>
              <w:t>2</w:t>
            </w:r>
          </w:p>
        </w:tc>
        <w:tc>
          <w:tcPr>
            <w:tcW w:w="625" w:type="pct"/>
            <w:tcBorders>
              <w:top w:val="nil"/>
            </w:tcBorders>
            <w:noWrap/>
            <w:hideMark/>
          </w:tcPr>
          <w:p w14:paraId="70C20180" w14:textId="33F8B454" w:rsidR="001D523F" w:rsidRPr="009D0C7D" w:rsidRDefault="00E44B9A" w:rsidP="00864C4B">
            <w:pPr>
              <w:pStyle w:val="TableText0"/>
              <w:jc w:val="right"/>
              <w:rPr>
                <w:vertAlign w:val="superscript"/>
              </w:rPr>
            </w:pPr>
            <w:r w:rsidRPr="00E44B9A">
              <w:rPr>
                <w:color w:val="000000"/>
                <w:spacing w:val="53"/>
                <w:shd w:val="solid" w:color="000000" w:fill="000000"/>
                <w:fitText w:val="330" w:id="-628909301"/>
                <w14:textFill>
                  <w14:solidFill>
                    <w14:srgbClr w14:val="000000">
                      <w14:alpha w14:val="100000"/>
                    </w14:srgbClr>
                  </w14:solidFill>
                </w14:textFill>
              </w:rPr>
              <w:t>|||</w:t>
            </w:r>
            <w:r w:rsidRPr="00E44B9A">
              <w:rPr>
                <w:color w:val="000000"/>
                <w:spacing w:val="1"/>
                <w:shd w:val="solid" w:color="000000" w:fill="000000"/>
                <w:fitText w:val="330" w:id="-628909301"/>
                <w14:textFill>
                  <w14:solidFill>
                    <w14:srgbClr w14:val="000000">
                      <w14:alpha w14:val="100000"/>
                    </w14:srgbClr>
                  </w14:solidFill>
                </w14:textFill>
              </w:rPr>
              <w:t>|</w:t>
            </w:r>
            <w:r w:rsidR="009D0C7D">
              <w:rPr>
                <w:vertAlign w:val="superscript"/>
              </w:rPr>
              <w:t>1</w:t>
            </w:r>
          </w:p>
        </w:tc>
        <w:tc>
          <w:tcPr>
            <w:tcW w:w="625" w:type="pct"/>
            <w:tcBorders>
              <w:top w:val="nil"/>
            </w:tcBorders>
            <w:noWrap/>
            <w:hideMark/>
          </w:tcPr>
          <w:p w14:paraId="5DC08136" w14:textId="7EBF847E" w:rsidR="001D523F" w:rsidRPr="00007450" w:rsidRDefault="00E44B9A" w:rsidP="00864C4B">
            <w:pPr>
              <w:pStyle w:val="TableText0"/>
              <w:jc w:val="right"/>
            </w:pPr>
            <w:r w:rsidRPr="00E44B9A">
              <w:rPr>
                <w:color w:val="000000"/>
                <w:spacing w:val="53"/>
                <w:shd w:val="solid" w:color="000000" w:fill="000000"/>
                <w:fitText w:val="330" w:id="-628909300"/>
                <w14:textFill>
                  <w14:solidFill>
                    <w14:srgbClr w14:val="000000">
                      <w14:alpha w14:val="100000"/>
                    </w14:srgbClr>
                  </w14:solidFill>
                </w14:textFill>
              </w:rPr>
              <w:t>|||</w:t>
            </w:r>
            <w:r w:rsidRPr="00E44B9A">
              <w:rPr>
                <w:color w:val="000000"/>
                <w:spacing w:val="1"/>
                <w:shd w:val="solid" w:color="000000" w:fill="000000"/>
                <w:fitText w:val="330" w:id="-628909300"/>
                <w14:textFill>
                  <w14:solidFill>
                    <w14:srgbClr w14:val="000000">
                      <w14:alpha w14:val="100000"/>
                    </w14:srgbClr>
                  </w14:solidFill>
                </w14:textFill>
              </w:rPr>
              <w:t>|</w:t>
            </w:r>
            <w:r w:rsidR="009D0C7D">
              <w:rPr>
                <w:vertAlign w:val="superscript"/>
              </w:rPr>
              <w:t>1</w:t>
            </w:r>
          </w:p>
        </w:tc>
        <w:tc>
          <w:tcPr>
            <w:tcW w:w="625" w:type="pct"/>
            <w:tcBorders>
              <w:top w:val="nil"/>
            </w:tcBorders>
            <w:noWrap/>
            <w:hideMark/>
          </w:tcPr>
          <w:p w14:paraId="3D29DC3E" w14:textId="22D46802" w:rsidR="001D523F" w:rsidRPr="00007450" w:rsidRDefault="00E44B9A" w:rsidP="00864C4B">
            <w:pPr>
              <w:pStyle w:val="TableText0"/>
              <w:jc w:val="right"/>
            </w:pPr>
            <w:r w:rsidRPr="00E44B9A">
              <w:rPr>
                <w:color w:val="000000"/>
                <w:spacing w:val="53"/>
                <w:shd w:val="solid" w:color="000000" w:fill="000000"/>
                <w:fitText w:val="330" w:id="-628909299"/>
                <w14:textFill>
                  <w14:solidFill>
                    <w14:srgbClr w14:val="000000">
                      <w14:alpha w14:val="100000"/>
                    </w14:srgbClr>
                  </w14:solidFill>
                </w14:textFill>
              </w:rPr>
              <w:t>|||</w:t>
            </w:r>
            <w:r w:rsidRPr="00E44B9A">
              <w:rPr>
                <w:color w:val="000000"/>
                <w:spacing w:val="1"/>
                <w:shd w:val="solid" w:color="000000" w:fill="000000"/>
                <w:fitText w:val="330" w:id="-628909299"/>
                <w14:textFill>
                  <w14:solidFill>
                    <w14:srgbClr w14:val="000000">
                      <w14:alpha w14:val="100000"/>
                    </w14:srgbClr>
                  </w14:solidFill>
                </w14:textFill>
              </w:rPr>
              <w:t>|</w:t>
            </w:r>
            <w:r w:rsidR="009D0C7D">
              <w:rPr>
                <w:vertAlign w:val="superscript"/>
              </w:rPr>
              <w:t>1</w:t>
            </w:r>
          </w:p>
        </w:tc>
        <w:tc>
          <w:tcPr>
            <w:tcW w:w="625" w:type="pct"/>
            <w:tcBorders>
              <w:top w:val="nil"/>
            </w:tcBorders>
            <w:noWrap/>
            <w:hideMark/>
          </w:tcPr>
          <w:p w14:paraId="09F31862" w14:textId="3A247097" w:rsidR="001D523F" w:rsidRPr="00CA147B" w:rsidRDefault="00E44B9A" w:rsidP="00864C4B">
            <w:pPr>
              <w:pStyle w:val="TableText0"/>
              <w:jc w:val="right"/>
              <w:rPr>
                <w:vertAlign w:val="superscript"/>
              </w:rPr>
            </w:pPr>
            <w:r w:rsidRPr="00E44B9A">
              <w:rPr>
                <w:color w:val="000000"/>
                <w:spacing w:val="53"/>
                <w:shd w:val="solid" w:color="000000" w:fill="000000"/>
                <w:fitText w:val="330" w:id="-628909298"/>
                <w14:textFill>
                  <w14:solidFill>
                    <w14:srgbClr w14:val="000000">
                      <w14:alpha w14:val="100000"/>
                    </w14:srgbClr>
                  </w14:solidFill>
                </w14:textFill>
              </w:rPr>
              <w:t>|||</w:t>
            </w:r>
            <w:r w:rsidRPr="00E44B9A">
              <w:rPr>
                <w:color w:val="000000"/>
                <w:spacing w:val="1"/>
                <w:shd w:val="solid" w:color="000000" w:fill="000000"/>
                <w:fitText w:val="330" w:id="-628909298"/>
                <w14:textFill>
                  <w14:solidFill>
                    <w14:srgbClr w14:val="000000">
                      <w14:alpha w14:val="100000"/>
                    </w14:srgbClr>
                  </w14:solidFill>
                </w14:textFill>
              </w:rPr>
              <w:t>|</w:t>
            </w:r>
            <w:r w:rsidR="00CA147B">
              <w:rPr>
                <w:vertAlign w:val="superscript"/>
              </w:rPr>
              <w:t>5</w:t>
            </w:r>
          </w:p>
        </w:tc>
        <w:tc>
          <w:tcPr>
            <w:tcW w:w="626" w:type="pct"/>
            <w:tcBorders>
              <w:top w:val="nil"/>
            </w:tcBorders>
            <w:noWrap/>
            <w:hideMark/>
          </w:tcPr>
          <w:p w14:paraId="4DFB239E" w14:textId="0765E5F7" w:rsidR="001D523F" w:rsidRPr="00007450" w:rsidRDefault="00E44B9A" w:rsidP="00864C4B">
            <w:pPr>
              <w:pStyle w:val="TableText0"/>
              <w:jc w:val="right"/>
            </w:pPr>
            <w:r w:rsidRPr="00E44B9A">
              <w:rPr>
                <w:color w:val="000000"/>
                <w:spacing w:val="53"/>
                <w:shd w:val="solid" w:color="000000" w:fill="000000"/>
                <w:fitText w:val="330" w:id="-628909297"/>
                <w14:textFill>
                  <w14:solidFill>
                    <w14:srgbClr w14:val="000000">
                      <w14:alpha w14:val="100000"/>
                    </w14:srgbClr>
                  </w14:solidFill>
                </w14:textFill>
              </w:rPr>
              <w:t>|||</w:t>
            </w:r>
            <w:r w:rsidRPr="00E44B9A">
              <w:rPr>
                <w:color w:val="000000"/>
                <w:spacing w:val="1"/>
                <w:shd w:val="solid" w:color="000000" w:fill="000000"/>
                <w:fitText w:val="330" w:id="-628909297"/>
                <w14:textFill>
                  <w14:solidFill>
                    <w14:srgbClr w14:val="000000">
                      <w14:alpha w14:val="100000"/>
                    </w14:srgbClr>
                  </w14:solidFill>
                </w14:textFill>
              </w:rPr>
              <w:t>|</w:t>
            </w:r>
            <w:r w:rsidR="00CA147B">
              <w:rPr>
                <w:vertAlign w:val="superscript"/>
              </w:rPr>
              <w:t>5</w:t>
            </w:r>
          </w:p>
        </w:tc>
      </w:tr>
      <w:tr w:rsidR="001D523F" w:rsidRPr="00007450" w14:paraId="3E8B7BA3" w14:textId="77777777">
        <w:tc>
          <w:tcPr>
            <w:tcW w:w="1247" w:type="pct"/>
            <w:noWrap/>
            <w:hideMark/>
          </w:tcPr>
          <w:p w14:paraId="2641BB1D" w14:textId="193FB2F0" w:rsidR="001D523F" w:rsidRPr="00007450" w:rsidRDefault="001D523F" w:rsidP="00864C4B">
            <w:pPr>
              <w:pStyle w:val="TableText0"/>
            </w:pPr>
            <w:r w:rsidRPr="00007450">
              <w:t>Cost of ribociclib (42-pack) ($</w:t>
            </w:r>
            <w:r w:rsidR="00E44B9A" w:rsidRPr="00E44B9A">
              <w:rPr>
                <w:color w:val="000000"/>
                <w:spacing w:val="53"/>
                <w:shd w:val="solid" w:color="000000" w:fill="000000"/>
                <w:fitText w:val="330" w:id="-628909296"/>
                <w14:textFill>
                  <w14:solidFill>
                    <w14:srgbClr w14:val="000000">
                      <w14:alpha w14:val="100000"/>
                    </w14:srgbClr>
                  </w14:solidFill>
                </w14:textFill>
              </w:rPr>
              <w:t>|||</w:t>
            </w:r>
            <w:r w:rsidR="00E44B9A" w:rsidRPr="00E44B9A">
              <w:rPr>
                <w:color w:val="000000"/>
                <w:spacing w:val="1"/>
                <w:shd w:val="solid" w:color="000000" w:fill="000000"/>
                <w:fitText w:val="330" w:id="-628909296"/>
                <w14:textFill>
                  <w14:solidFill>
                    <w14:srgbClr w14:val="000000">
                      <w14:alpha w14:val="100000"/>
                    </w14:srgbClr>
                  </w14:solidFill>
                </w14:textFill>
              </w:rPr>
              <w:t>|</w:t>
            </w:r>
            <w:r w:rsidRPr="00007450">
              <w:t>per script)</w:t>
            </w:r>
          </w:p>
        </w:tc>
        <w:tc>
          <w:tcPr>
            <w:tcW w:w="625" w:type="pct"/>
            <w:noWrap/>
            <w:hideMark/>
          </w:tcPr>
          <w:p w14:paraId="42B41A1B" w14:textId="620CFF6B" w:rsidR="001D523F" w:rsidRPr="00C97675"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2"/>
                <w14:textFill>
                  <w14:solidFill>
                    <w14:srgbClr w14:val="000000">
                      <w14:alpha w14:val="100000"/>
                    </w14:srgbClr>
                  </w14:solidFill>
                </w14:textFill>
              </w:rPr>
              <w:t>|||</w:t>
            </w:r>
            <w:r w:rsidR="00E44B9A" w:rsidRPr="00E44B9A">
              <w:rPr>
                <w:color w:val="000000"/>
                <w:spacing w:val="1"/>
                <w:shd w:val="solid" w:color="000000" w:fill="000000"/>
                <w:fitText w:val="330" w:id="-628909312"/>
                <w14:textFill>
                  <w14:solidFill>
                    <w14:srgbClr w14:val="000000">
                      <w14:alpha w14:val="100000"/>
                    </w14:srgbClr>
                  </w14:solidFill>
                </w14:textFill>
              </w:rPr>
              <w:t>|</w:t>
            </w:r>
            <w:r w:rsidR="00C97675">
              <w:rPr>
                <w:vertAlign w:val="superscript"/>
              </w:rPr>
              <w:t>14</w:t>
            </w:r>
          </w:p>
        </w:tc>
        <w:tc>
          <w:tcPr>
            <w:tcW w:w="625" w:type="pct"/>
            <w:noWrap/>
            <w:hideMark/>
          </w:tcPr>
          <w:p w14:paraId="125A5E18" w14:textId="07F3E0C3" w:rsidR="001D523F" w:rsidRPr="00D14B48"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1"/>
                <w14:textFill>
                  <w14:solidFill>
                    <w14:srgbClr w14:val="000000">
                      <w14:alpha w14:val="100000"/>
                    </w14:srgbClr>
                  </w14:solidFill>
                </w14:textFill>
              </w:rPr>
              <w:t>|||</w:t>
            </w:r>
            <w:r w:rsidR="00E44B9A" w:rsidRPr="00E44B9A">
              <w:rPr>
                <w:color w:val="000000"/>
                <w:spacing w:val="1"/>
                <w:shd w:val="solid" w:color="000000" w:fill="000000"/>
                <w:fitText w:val="330" w:id="-628909311"/>
                <w14:textFill>
                  <w14:solidFill>
                    <w14:srgbClr w14:val="000000">
                      <w14:alpha w14:val="100000"/>
                    </w14:srgbClr>
                  </w14:solidFill>
                </w14:textFill>
              </w:rPr>
              <w:t>|</w:t>
            </w:r>
            <w:r w:rsidR="00D14B48">
              <w:rPr>
                <w:vertAlign w:val="superscript"/>
              </w:rPr>
              <w:t xml:space="preserve"> 15</w:t>
            </w:r>
          </w:p>
        </w:tc>
        <w:tc>
          <w:tcPr>
            <w:tcW w:w="625" w:type="pct"/>
            <w:noWrap/>
            <w:hideMark/>
          </w:tcPr>
          <w:p w14:paraId="2FD881DB" w14:textId="084FE62E" w:rsidR="001D523F" w:rsidRPr="0075000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0"/>
                <w14:textFill>
                  <w14:solidFill>
                    <w14:srgbClr w14:val="000000">
                      <w14:alpha w14:val="100000"/>
                    </w14:srgbClr>
                  </w14:solidFill>
                </w14:textFill>
              </w:rPr>
              <w:t>|||</w:t>
            </w:r>
            <w:r w:rsidR="00E44B9A" w:rsidRPr="00E44B9A">
              <w:rPr>
                <w:color w:val="000000"/>
                <w:spacing w:val="1"/>
                <w:shd w:val="solid" w:color="000000" w:fill="000000"/>
                <w:fitText w:val="330" w:id="-628909310"/>
                <w14:textFill>
                  <w14:solidFill>
                    <w14:srgbClr w14:val="000000">
                      <w14:alpha w14:val="100000"/>
                    </w14:srgbClr>
                  </w14:solidFill>
                </w14:textFill>
              </w:rPr>
              <w:t>|</w:t>
            </w:r>
            <w:r w:rsidR="0075000D">
              <w:rPr>
                <w:vertAlign w:val="superscript"/>
              </w:rPr>
              <w:t>16</w:t>
            </w:r>
          </w:p>
        </w:tc>
        <w:tc>
          <w:tcPr>
            <w:tcW w:w="625" w:type="pct"/>
            <w:noWrap/>
            <w:hideMark/>
          </w:tcPr>
          <w:p w14:paraId="1FFA7ECF" w14:textId="3B2C4C9E" w:rsidR="001D523F" w:rsidRPr="0075000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75000D">
              <w:rPr>
                <w:vertAlign w:val="superscript"/>
              </w:rPr>
              <w:t>17</w:t>
            </w:r>
          </w:p>
        </w:tc>
        <w:tc>
          <w:tcPr>
            <w:tcW w:w="625" w:type="pct"/>
            <w:noWrap/>
            <w:hideMark/>
          </w:tcPr>
          <w:p w14:paraId="67DF9347" w14:textId="043FB4F1" w:rsidR="001D523F" w:rsidRPr="0075000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8"/>
                <w14:textFill>
                  <w14:solidFill>
                    <w14:srgbClr w14:val="000000">
                      <w14:alpha w14:val="100000"/>
                    </w14:srgbClr>
                  </w14:solidFill>
                </w14:textFill>
              </w:rPr>
              <w:t>|||</w:t>
            </w:r>
            <w:r w:rsidR="00E44B9A" w:rsidRPr="00E44B9A">
              <w:rPr>
                <w:color w:val="000000"/>
                <w:spacing w:val="1"/>
                <w:shd w:val="solid" w:color="000000" w:fill="000000"/>
                <w:fitText w:val="330" w:id="-628909308"/>
                <w14:textFill>
                  <w14:solidFill>
                    <w14:srgbClr w14:val="000000">
                      <w14:alpha w14:val="100000"/>
                    </w14:srgbClr>
                  </w14:solidFill>
                </w14:textFill>
              </w:rPr>
              <w:t>|</w:t>
            </w:r>
            <w:r w:rsidR="0075000D">
              <w:rPr>
                <w:vertAlign w:val="superscript"/>
              </w:rPr>
              <w:t>17</w:t>
            </w:r>
          </w:p>
        </w:tc>
        <w:tc>
          <w:tcPr>
            <w:tcW w:w="626" w:type="pct"/>
            <w:noWrap/>
            <w:hideMark/>
          </w:tcPr>
          <w:p w14:paraId="072200F5" w14:textId="0261A16F" w:rsidR="001D523F" w:rsidRPr="0075000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7"/>
                <w14:textFill>
                  <w14:solidFill>
                    <w14:srgbClr w14:val="000000">
                      <w14:alpha w14:val="100000"/>
                    </w14:srgbClr>
                  </w14:solidFill>
                </w14:textFill>
              </w:rPr>
              <w:t>|||</w:t>
            </w:r>
            <w:r w:rsidR="00E44B9A" w:rsidRPr="00E44B9A">
              <w:rPr>
                <w:color w:val="000000"/>
                <w:spacing w:val="1"/>
                <w:shd w:val="solid" w:color="000000" w:fill="000000"/>
                <w:fitText w:val="330" w:id="-628909307"/>
                <w14:textFill>
                  <w14:solidFill>
                    <w14:srgbClr w14:val="000000">
                      <w14:alpha w14:val="100000"/>
                    </w14:srgbClr>
                  </w14:solidFill>
                </w14:textFill>
              </w:rPr>
              <w:t>|</w:t>
            </w:r>
            <w:r w:rsidR="0075000D">
              <w:rPr>
                <w:vertAlign w:val="superscript"/>
              </w:rPr>
              <w:t>18</w:t>
            </w:r>
          </w:p>
        </w:tc>
      </w:tr>
      <w:tr w:rsidR="001D523F" w:rsidRPr="00007450" w14:paraId="1A6D138F" w14:textId="77777777">
        <w:tc>
          <w:tcPr>
            <w:tcW w:w="1247" w:type="pct"/>
            <w:noWrap/>
            <w:hideMark/>
          </w:tcPr>
          <w:p w14:paraId="081304BE" w14:textId="306F4ED9" w:rsidR="001D523F" w:rsidRPr="00007450" w:rsidRDefault="001D523F" w:rsidP="00864C4B">
            <w:pPr>
              <w:pStyle w:val="TableText0"/>
            </w:pPr>
            <w:r w:rsidRPr="00007450">
              <w:t>Cost of ribociclib (21-pack) ($</w:t>
            </w:r>
            <w:r w:rsidR="00E44B9A" w:rsidRPr="00E44B9A">
              <w:rPr>
                <w:color w:val="000000"/>
                <w:spacing w:val="53"/>
                <w:shd w:val="solid" w:color="000000" w:fill="000000"/>
                <w:fitText w:val="330" w:id="-628909306"/>
                <w14:textFill>
                  <w14:solidFill>
                    <w14:srgbClr w14:val="000000">
                      <w14:alpha w14:val="100000"/>
                    </w14:srgbClr>
                  </w14:solidFill>
                </w14:textFill>
              </w:rPr>
              <w:t>|||</w:t>
            </w:r>
            <w:r w:rsidR="00E44B9A" w:rsidRPr="00E44B9A">
              <w:rPr>
                <w:color w:val="000000"/>
                <w:spacing w:val="1"/>
                <w:shd w:val="solid" w:color="000000" w:fill="000000"/>
                <w:fitText w:val="330" w:id="-628909306"/>
                <w14:textFill>
                  <w14:solidFill>
                    <w14:srgbClr w14:val="000000">
                      <w14:alpha w14:val="100000"/>
                    </w14:srgbClr>
                  </w14:solidFill>
                </w14:textFill>
              </w:rPr>
              <w:t>|</w:t>
            </w:r>
            <w:r w:rsidRPr="00007450">
              <w:t>per script)</w:t>
            </w:r>
          </w:p>
        </w:tc>
        <w:tc>
          <w:tcPr>
            <w:tcW w:w="625" w:type="pct"/>
            <w:noWrap/>
            <w:hideMark/>
          </w:tcPr>
          <w:p w14:paraId="5CA9AF69" w14:textId="66DCCF28"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5"/>
                <w14:textFill>
                  <w14:solidFill>
                    <w14:srgbClr w14:val="000000">
                      <w14:alpha w14:val="100000"/>
                    </w14:srgbClr>
                  </w14:solidFill>
                </w14:textFill>
              </w:rPr>
              <w:t>|||</w:t>
            </w:r>
            <w:r w:rsidR="00E44B9A" w:rsidRPr="00E44B9A">
              <w:rPr>
                <w:color w:val="000000"/>
                <w:spacing w:val="1"/>
                <w:shd w:val="solid" w:color="000000" w:fill="000000"/>
                <w:fitText w:val="330" w:id="-628909305"/>
                <w14:textFill>
                  <w14:solidFill>
                    <w14:srgbClr w14:val="000000">
                      <w14:alpha w14:val="100000"/>
                    </w14:srgbClr>
                  </w14:solidFill>
                </w14:textFill>
              </w:rPr>
              <w:t>|</w:t>
            </w:r>
            <w:r w:rsidR="0031686E">
              <w:br/>
            </w:r>
            <w:r w:rsidR="0031686E" w:rsidRPr="0031686E">
              <w:rPr>
                <w:vertAlign w:val="superscript"/>
              </w:rPr>
              <w:t>19</w:t>
            </w:r>
          </w:p>
        </w:tc>
        <w:tc>
          <w:tcPr>
            <w:tcW w:w="625" w:type="pct"/>
            <w:noWrap/>
            <w:hideMark/>
          </w:tcPr>
          <w:p w14:paraId="74BB266F" w14:textId="03753A1F" w:rsidR="001D523F" w:rsidRPr="00AF79EE"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4"/>
                <w14:textFill>
                  <w14:solidFill>
                    <w14:srgbClr w14:val="000000">
                      <w14:alpha w14:val="100000"/>
                    </w14:srgbClr>
                  </w14:solidFill>
                </w14:textFill>
              </w:rPr>
              <w:t>|||</w:t>
            </w:r>
            <w:r w:rsidR="00E44B9A" w:rsidRPr="00E44B9A">
              <w:rPr>
                <w:color w:val="000000"/>
                <w:spacing w:val="1"/>
                <w:shd w:val="solid" w:color="000000" w:fill="000000"/>
                <w:fitText w:val="330" w:id="-628909304"/>
                <w14:textFill>
                  <w14:solidFill>
                    <w14:srgbClr w14:val="000000">
                      <w14:alpha w14:val="100000"/>
                    </w14:srgbClr>
                  </w14:solidFill>
                </w14:textFill>
              </w:rPr>
              <w:t>|</w:t>
            </w:r>
            <w:r w:rsidR="00AF79EE">
              <w:rPr>
                <w:vertAlign w:val="superscript"/>
              </w:rPr>
              <w:t>20</w:t>
            </w:r>
          </w:p>
        </w:tc>
        <w:tc>
          <w:tcPr>
            <w:tcW w:w="625" w:type="pct"/>
            <w:noWrap/>
            <w:hideMark/>
          </w:tcPr>
          <w:p w14:paraId="4ABE619E" w14:textId="70A0A661" w:rsidR="001D523F" w:rsidRPr="00AF79EE"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3"/>
                <w14:textFill>
                  <w14:solidFill>
                    <w14:srgbClr w14:val="000000">
                      <w14:alpha w14:val="100000"/>
                    </w14:srgbClr>
                  </w14:solidFill>
                </w14:textFill>
              </w:rPr>
              <w:t>|||</w:t>
            </w:r>
            <w:r w:rsidR="00E44B9A" w:rsidRPr="00E44B9A">
              <w:rPr>
                <w:color w:val="000000"/>
                <w:spacing w:val="1"/>
                <w:shd w:val="solid" w:color="000000" w:fill="000000"/>
                <w:fitText w:val="330" w:id="-628909303"/>
                <w14:textFill>
                  <w14:solidFill>
                    <w14:srgbClr w14:val="000000">
                      <w14:alpha w14:val="100000"/>
                    </w14:srgbClr>
                  </w14:solidFill>
                </w14:textFill>
              </w:rPr>
              <w:t>|</w:t>
            </w:r>
            <w:r w:rsidR="00AF79EE">
              <w:rPr>
                <w:vertAlign w:val="superscript"/>
              </w:rPr>
              <w:t>20</w:t>
            </w:r>
          </w:p>
        </w:tc>
        <w:tc>
          <w:tcPr>
            <w:tcW w:w="625" w:type="pct"/>
            <w:noWrap/>
            <w:hideMark/>
          </w:tcPr>
          <w:p w14:paraId="04B3B674" w14:textId="2429A2A6" w:rsidR="001D523F" w:rsidRPr="00F459C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F459CA">
              <w:rPr>
                <w:vertAlign w:val="superscript"/>
              </w:rPr>
              <w:t>20</w:t>
            </w:r>
          </w:p>
        </w:tc>
        <w:tc>
          <w:tcPr>
            <w:tcW w:w="625" w:type="pct"/>
            <w:noWrap/>
            <w:hideMark/>
          </w:tcPr>
          <w:p w14:paraId="7D6B41A0" w14:textId="2217C9D3" w:rsidR="001D523F" w:rsidRPr="00F459C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00F459CA">
              <w:rPr>
                <w:vertAlign w:val="superscript"/>
              </w:rPr>
              <w:t>20</w:t>
            </w:r>
          </w:p>
        </w:tc>
        <w:tc>
          <w:tcPr>
            <w:tcW w:w="626" w:type="pct"/>
            <w:noWrap/>
            <w:hideMark/>
          </w:tcPr>
          <w:p w14:paraId="16C18DE4" w14:textId="6FC58C05" w:rsidR="001D523F" w:rsidRPr="00F459C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00F459CA">
              <w:rPr>
                <w:vertAlign w:val="superscript"/>
              </w:rPr>
              <w:t>20</w:t>
            </w:r>
          </w:p>
        </w:tc>
      </w:tr>
      <w:tr w:rsidR="001D523F" w:rsidRPr="00007450" w14:paraId="6F8DE945" w14:textId="77777777">
        <w:tc>
          <w:tcPr>
            <w:tcW w:w="1247" w:type="pct"/>
            <w:noWrap/>
            <w:hideMark/>
          </w:tcPr>
          <w:p w14:paraId="65942379" w14:textId="77777777" w:rsidR="001D523F" w:rsidRPr="00007450" w:rsidRDefault="001D523F" w:rsidP="00864C4B">
            <w:pPr>
              <w:pStyle w:val="TableText0"/>
              <w:rPr>
                <w:b/>
                <w:bCs w:val="0"/>
              </w:rPr>
            </w:pPr>
            <w:r w:rsidRPr="00007450">
              <w:rPr>
                <w:b/>
                <w:bCs w:val="0"/>
              </w:rPr>
              <w:t>Cost to the PBS/RPBS, less copayments</w:t>
            </w:r>
          </w:p>
        </w:tc>
        <w:tc>
          <w:tcPr>
            <w:tcW w:w="625" w:type="pct"/>
            <w:noWrap/>
            <w:hideMark/>
          </w:tcPr>
          <w:p w14:paraId="7F21C094" w14:textId="2E28F789" w:rsidR="001D523F" w:rsidRPr="00F459CA" w:rsidRDefault="001D523F" w:rsidP="00864C4B">
            <w:pPr>
              <w:pStyle w:val="TableText0"/>
              <w:jc w:val="right"/>
              <w:rPr>
                <w:b/>
                <w:bCs w:val="0"/>
                <w:vertAlign w:val="superscript"/>
              </w:rPr>
            </w:pPr>
            <w:r w:rsidRPr="00007450">
              <w:rPr>
                <w:b/>
                <w:bCs w:val="0"/>
              </w:rPr>
              <w:t>$</w:t>
            </w:r>
            <w:r w:rsidR="00E44B9A" w:rsidRPr="00E44B9A">
              <w:rPr>
                <w:b/>
                <w:bCs w:val="0"/>
                <w:color w:val="000000"/>
                <w:spacing w:val="53"/>
                <w:shd w:val="solid" w:color="000000" w:fill="000000"/>
                <w:fitText w:val="345" w:id="-628909299"/>
                <w14:textFill>
                  <w14:solidFill>
                    <w14:srgbClr w14:val="000000">
                      <w14:alpha w14:val="100000"/>
                    </w14:srgbClr>
                  </w14:solidFill>
                </w14:textFill>
              </w:rPr>
              <w:t>|||</w:t>
            </w:r>
            <w:r w:rsidR="00E44B9A" w:rsidRPr="00E44B9A">
              <w:rPr>
                <w:b/>
                <w:bCs w:val="0"/>
                <w:color w:val="000000"/>
                <w:spacing w:val="3"/>
                <w:shd w:val="solid" w:color="000000" w:fill="000000"/>
                <w:fitText w:val="345" w:id="-628909299"/>
                <w14:textFill>
                  <w14:solidFill>
                    <w14:srgbClr w14:val="000000">
                      <w14:alpha w14:val="100000"/>
                    </w14:srgbClr>
                  </w14:solidFill>
                </w14:textFill>
              </w:rPr>
              <w:t>|</w:t>
            </w:r>
            <w:r w:rsidR="009D03AA" w:rsidRPr="009D03AA">
              <w:rPr>
                <w:vertAlign w:val="superscript"/>
              </w:rPr>
              <w:t>21</w:t>
            </w:r>
          </w:p>
        </w:tc>
        <w:tc>
          <w:tcPr>
            <w:tcW w:w="625" w:type="pct"/>
            <w:noWrap/>
            <w:hideMark/>
          </w:tcPr>
          <w:p w14:paraId="4CE5F5FC" w14:textId="48742671" w:rsidR="001D523F" w:rsidRPr="009D03AA" w:rsidRDefault="001D523F" w:rsidP="00864C4B">
            <w:pPr>
              <w:pStyle w:val="TableText0"/>
              <w:jc w:val="right"/>
              <w:rPr>
                <w:b/>
                <w:bCs w:val="0"/>
                <w:vertAlign w:val="superscript"/>
              </w:rPr>
            </w:pPr>
            <w:r w:rsidRPr="00007450">
              <w:rPr>
                <w:b/>
                <w:bCs w:val="0"/>
              </w:rPr>
              <w:t>$</w:t>
            </w:r>
            <w:r w:rsidR="00E44B9A" w:rsidRPr="00E44B9A">
              <w:rPr>
                <w:b/>
                <w:bCs w:val="0"/>
                <w:color w:val="000000"/>
                <w:spacing w:val="53"/>
                <w:shd w:val="solid" w:color="000000" w:fill="000000"/>
                <w:fitText w:val="345" w:id="-628909298"/>
                <w14:textFill>
                  <w14:solidFill>
                    <w14:srgbClr w14:val="000000">
                      <w14:alpha w14:val="100000"/>
                    </w14:srgbClr>
                  </w14:solidFill>
                </w14:textFill>
              </w:rPr>
              <w:t>|||</w:t>
            </w:r>
            <w:r w:rsidR="00E44B9A" w:rsidRPr="00E44B9A">
              <w:rPr>
                <w:b/>
                <w:bCs w:val="0"/>
                <w:color w:val="000000"/>
                <w:spacing w:val="3"/>
                <w:shd w:val="solid" w:color="000000" w:fill="000000"/>
                <w:fitText w:val="345" w:id="-628909298"/>
                <w14:textFill>
                  <w14:solidFill>
                    <w14:srgbClr w14:val="000000">
                      <w14:alpha w14:val="100000"/>
                    </w14:srgbClr>
                  </w14:solidFill>
                </w14:textFill>
              </w:rPr>
              <w:t>|</w:t>
            </w:r>
            <w:r w:rsidR="00312B61" w:rsidRPr="00312B61">
              <w:rPr>
                <w:vertAlign w:val="superscript"/>
              </w:rPr>
              <w:t>16</w:t>
            </w:r>
          </w:p>
        </w:tc>
        <w:tc>
          <w:tcPr>
            <w:tcW w:w="625" w:type="pct"/>
            <w:noWrap/>
            <w:hideMark/>
          </w:tcPr>
          <w:p w14:paraId="2D1AA714" w14:textId="45E4A7D4" w:rsidR="001D523F" w:rsidRPr="00312B61"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297"/>
                <w14:textFill>
                  <w14:solidFill>
                    <w14:srgbClr w14:val="000000">
                      <w14:alpha w14:val="100000"/>
                    </w14:srgbClr>
                  </w14:solidFill>
                </w14:textFill>
              </w:rPr>
              <w:t>|||</w:t>
            </w:r>
            <w:r w:rsidR="00E44B9A" w:rsidRPr="00E44B9A">
              <w:rPr>
                <w:b/>
                <w:bCs w:val="0"/>
                <w:color w:val="000000"/>
                <w:spacing w:val="3"/>
                <w:shd w:val="solid" w:color="000000" w:fill="000000"/>
                <w:fitText w:val="345" w:id="-628909297"/>
                <w14:textFill>
                  <w14:solidFill>
                    <w14:srgbClr w14:val="000000">
                      <w14:alpha w14:val="100000"/>
                    </w14:srgbClr>
                  </w14:solidFill>
                </w14:textFill>
              </w:rPr>
              <w:t>|</w:t>
            </w:r>
            <w:r w:rsidR="00312B61">
              <w:rPr>
                <w:vertAlign w:val="superscript"/>
              </w:rPr>
              <w:t>17</w:t>
            </w:r>
          </w:p>
        </w:tc>
        <w:tc>
          <w:tcPr>
            <w:tcW w:w="625" w:type="pct"/>
            <w:noWrap/>
            <w:hideMark/>
          </w:tcPr>
          <w:p w14:paraId="72887EA2" w14:textId="1164D2A6" w:rsidR="001D523F" w:rsidRPr="00312B61" w:rsidRDefault="001D523F" w:rsidP="00864C4B">
            <w:pPr>
              <w:pStyle w:val="TableText0"/>
              <w:jc w:val="right"/>
              <w:rPr>
                <w:b/>
                <w:bCs w:val="0"/>
                <w:vertAlign w:val="superscript"/>
              </w:rPr>
            </w:pPr>
            <w:r w:rsidRPr="00007450">
              <w:rPr>
                <w:b/>
                <w:bCs w:val="0"/>
              </w:rPr>
              <w:t>$</w:t>
            </w:r>
            <w:r w:rsidR="00E44B9A" w:rsidRPr="00E44B9A">
              <w:rPr>
                <w:b/>
                <w:bCs w:val="0"/>
                <w:color w:val="000000"/>
                <w:spacing w:val="53"/>
                <w:shd w:val="solid" w:color="000000" w:fill="000000"/>
                <w:fitText w:val="345" w:id="-628909296"/>
                <w14:textFill>
                  <w14:solidFill>
                    <w14:srgbClr w14:val="000000">
                      <w14:alpha w14:val="100000"/>
                    </w14:srgbClr>
                  </w14:solidFill>
                </w14:textFill>
              </w:rPr>
              <w:t>|||</w:t>
            </w:r>
            <w:r w:rsidR="00E44B9A" w:rsidRPr="00E44B9A">
              <w:rPr>
                <w:b/>
                <w:bCs w:val="0"/>
                <w:color w:val="000000"/>
                <w:spacing w:val="3"/>
                <w:shd w:val="solid" w:color="000000" w:fill="000000"/>
                <w:fitText w:val="345" w:id="-628909296"/>
                <w14:textFill>
                  <w14:solidFill>
                    <w14:srgbClr w14:val="000000">
                      <w14:alpha w14:val="100000"/>
                    </w14:srgbClr>
                  </w14:solidFill>
                </w14:textFill>
              </w:rPr>
              <w:t>|</w:t>
            </w:r>
            <w:r w:rsidR="00312B61" w:rsidRPr="00312B61">
              <w:rPr>
                <w:vertAlign w:val="superscript"/>
              </w:rPr>
              <w:t>18</w:t>
            </w:r>
          </w:p>
        </w:tc>
        <w:tc>
          <w:tcPr>
            <w:tcW w:w="625" w:type="pct"/>
            <w:noWrap/>
            <w:hideMark/>
          </w:tcPr>
          <w:p w14:paraId="796EFAEB" w14:textId="22A5E12D" w:rsidR="001D523F" w:rsidRPr="00312B61"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312"/>
                <w14:textFill>
                  <w14:solidFill>
                    <w14:srgbClr w14:val="000000">
                      <w14:alpha w14:val="100000"/>
                    </w14:srgbClr>
                  </w14:solidFill>
                </w14:textFill>
              </w:rPr>
              <w:t>|||</w:t>
            </w:r>
            <w:r w:rsidR="00E44B9A" w:rsidRPr="00E44B9A">
              <w:rPr>
                <w:b/>
                <w:bCs w:val="0"/>
                <w:color w:val="000000"/>
                <w:spacing w:val="3"/>
                <w:shd w:val="solid" w:color="000000" w:fill="000000"/>
                <w:fitText w:val="345" w:id="-628909312"/>
                <w14:textFill>
                  <w14:solidFill>
                    <w14:srgbClr w14:val="000000">
                      <w14:alpha w14:val="100000"/>
                    </w14:srgbClr>
                  </w14:solidFill>
                </w14:textFill>
              </w:rPr>
              <w:t>|</w:t>
            </w:r>
            <w:r w:rsidR="00312B61">
              <w:rPr>
                <w:vertAlign w:val="superscript"/>
              </w:rPr>
              <w:t>18</w:t>
            </w:r>
          </w:p>
        </w:tc>
        <w:tc>
          <w:tcPr>
            <w:tcW w:w="626" w:type="pct"/>
            <w:noWrap/>
            <w:hideMark/>
          </w:tcPr>
          <w:p w14:paraId="319D0321" w14:textId="637D8DA3" w:rsidR="001D523F" w:rsidRPr="009E1BF7" w:rsidRDefault="001D523F" w:rsidP="00864C4B">
            <w:pPr>
              <w:pStyle w:val="TableText0"/>
              <w:jc w:val="right"/>
              <w:rPr>
                <w:b/>
                <w:bCs w:val="0"/>
                <w:vertAlign w:val="superscript"/>
              </w:rPr>
            </w:pPr>
            <w:r w:rsidRPr="00007450">
              <w:rPr>
                <w:b/>
                <w:bCs w:val="0"/>
              </w:rPr>
              <w:t>$</w:t>
            </w:r>
            <w:r w:rsidR="00E44B9A" w:rsidRPr="00E44B9A">
              <w:rPr>
                <w:b/>
                <w:bCs w:val="0"/>
                <w:color w:val="000000"/>
                <w:spacing w:val="53"/>
                <w:shd w:val="solid" w:color="000000" w:fill="000000"/>
                <w:fitText w:val="345" w:id="-628909311"/>
                <w14:textFill>
                  <w14:solidFill>
                    <w14:srgbClr w14:val="000000">
                      <w14:alpha w14:val="100000"/>
                    </w14:srgbClr>
                  </w14:solidFill>
                </w14:textFill>
              </w:rPr>
              <w:t>|||</w:t>
            </w:r>
            <w:r w:rsidR="00E44B9A" w:rsidRPr="00E44B9A">
              <w:rPr>
                <w:b/>
                <w:bCs w:val="0"/>
                <w:color w:val="000000"/>
                <w:spacing w:val="3"/>
                <w:shd w:val="solid" w:color="000000" w:fill="000000"/>
                <w:fitText w:val="345" w:id="-628909311"/>
                <w14:textFill>
                  <w14:solidFill>
                    <w14:srgbClr w14:val="000000">
                      <w14:alpha w14:val="100000"/>
                    </w14:srgbClr>
                  </w14:solidFill>
                </w14:textFill>
              </w:rPr>
              <w:t>|</w:t>
            </w:r>
            <w:r w:rsidR="009E1BF7" w:rsidRPr="009E1BF7">
              <w:rPr>
                <w:vertAlign w:val="superscript"/>
              </w:rPr>
              <w:t>22</w:t>
            </w:r>
          </w:p>
        </w:tc>
      </w:tr>
      <w:tr w:rsidR="001D523F" w:rsidRPr="00007450" w14:paraId="04927E85" w14:textId="77777777">
        <w:tc>
          <w:tcPr>
            <w:tcW w:w="1247" w:type="pct"/>
            <w:noWrap/>
          </w:tcPr>
          <w:p w14:paraId="323AE591" w14:textId="77777777" w:rsidR="001D523F" w:rsidRPr="00007450" w:rsidRDefault="001D523F" w:rsidP="00864C4B">
            <w:pPr>
              <w:pStyle w:val="TableText0"/>
            </w:pPr>
            <w:r w:rsidRPr="00007450">
              <w:t>Cost to the PBS/RPBS for increase in adjuvant ET due to ribociclib listing</w:t>
            </w:r>
          </w:p>
        </w:tc>
        <w:tc>
          <w:tcPr>
            <w:tcW w:w="625" w:type="pct"/>
            <w:noWrap/>
          </w:tcPr>
          <w:p w14:paraId="1885BBED" w14:textId="4F36F96D" w:rsidR="001D523F" w:rsidRPr="001D1FB5"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0"/>
                <w14:textFill>
                  <w14:solidFill>
                    <w14:srgbClr w14:val="000000">
                      <w14:alpha w14:val="100000"/>
                    </w14:srgbClr>
                  </w14:solidFill>
                </w14:textFill>
              </w:rPr>
              <w:t>|||</w:t>
            </w:r>
            <w:r w:rsidR="00E44B9A" w:rsidRPr="00E44B9A">
              <w:rPr>
                <w:color w:val="000000"/>
                <w:spacing w:val="1"/>
                <w:shd w:val="solid" w:color="000000" w:fill="000000"/>
                <w:fitText w:val="330" w:id="-628909310"/>
                <w14:textFill>
                  <w14:solidFill>
                    <w14:srgbClr w14:val="000000">
                      <w14:alpha w14:val="100000"/>
                    </w14:srgbClr>
                  </w14:solidFill>
                </w14:textFill>
              </w:rPr>
              <w:t>|</w:t>
            </w:r>
            <w:r w:rsidR="001D1FB5">
              <w:rPr>
                <w:vertAlign w:val="superscript"/>
              </w:rPr>
              <w:t>19</w:t>
            </w:r>
          </w:p>
        </w:tc>
        <w:tc>
          <w:tcPr>
            <w:tcW w:w="625" w:type="pct"/>
            <w:noWrap/>
          </w:tcPr>
          <w:p w14:paraId="5D873B2D" w14:textId="525D24C6"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1D1FB5">
              <w:rPr>
                <w:vertAlign w:val="superscript"/>
              </w:rPr>
              <w:t>19</w:t>
            </w:r>
          </w:p>
        </w:tc>
        <w:tc>
          <w:tcPr>
            <w:tcW w:w="625" w:type="pct"/>
            <w:noWrap/>
          </w:tcPr>
          <w:p w14:paraId="27F62383" w14:textId="24B5132C"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8"/>
                <w14:textFill>
                  <w14:solidFill>
                    <w14:srgbClr w14:val="000000">
                      <w14:alpha w14:val="100000"/>
                    </w14:srgbClr>
                  </w14:solidFill>
                </w14:textFill>
              </w:rPr>
              <w:t>|||</w:t>
            </w:r>
            <w:r w:rsidR="00E44B9A" w:rsidRPr="00E44B9A">
              <w:rPr>
                <w:color w:val="000000"/>
                <w:spacing w:val="1"/>
                <w:shd w:val="solid" w:color="000000" w:fill="000000"/>
                <w:fitText w:val="330" w:id="-628909308"/>
                <w14:textFill>
                  <w14:solidFill>
                    <w14:srgbClr w14:val="000000">
                      <w14:alpha w14:val="100000"/>
                    </w14:srgbClr>
                  </w14:solidFill>
                </w14:textFill>
              </w:rPr>
              <w:t>|</w:t>
            </w:r>
            <w:r w:rsidR="001D1FB5">
              <w:rPr>
                <w:vertAlign w:val="superscript"/>
              </w:rPr>
              <w:t>19</w:t>
            </w:r>
          </w:p>
        </w:tc>
        <w:tc>
          <w:tcPr>
            <w:tcW w:w="625" w:type="pct"/>
            <w:noWrap/>
          </w:tcPr>
          <w:p w14:paraId="28BD1D3A" w14:textId="2E97383E"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7"/>
                <w14:textFill>
                  <w14:solidFill>
                    <w14:srgbClr w14:val="000000">
                      <w14:alpha w14:val="100000"/>
                    </w14:srgbClr>
                  </w14:solidFill>
                </w14:textFill>
              </w:rPr>
              <w:t>|||</w:t>
            </w:r>
            <w:r w:rsidR="00E44B9A" w:rsidRPr="00E44B9A">
              <w:rPr>
                <w:color w:val="000000"/>
                <w:spacing w:val="1"/>
                <w:shd w:val="solid" w:color="000000" w:fill="000000"/>
                <w:fitText w:val="330" w:id="-628909307"/>
                <w14:textFill>
                  <w14:solidFill>
                    <w14:srgbClr w14:val="000000">
                      <w14:alpha w14:val="100000"/>
                    </w14:srgbClr>
                  </w14:solidFill>
                </w14:textFill>
              </w:rPr>
              <w:t>|</w:t>
            </w:r>
            <w:r w:rsidR="001D1FB5">
              <w:rPr>
                <w:vertAlign w:val="superscript"/>
              </w:rPr>
              <w:t>19</w:t>
            </w:r>
          </w:p>
        </w:tc>
        <w:tc>
          <w:tcPr>
            <w:tcW w:w="625" w:type="pct"/>
            <w:noWrap/>
          </w:tcPr>
          <w:p w14:paraId="7A16FC3B" w14:textId="33680800"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6"/>
                <w14:textFill>
                  <w14:solidFill>
                    <w14:srgbClr w14:val="000000">
                      <w14:alpha w14:val="100000"/>
                    </w14:srgbClr>
                  </w14:solidFill>
                </w14:textFill>
              </w:rPr>
              <w:t>|||</w:t>
            </w:r>
            <w:r w:rsidR="00E44B9A" w:rsidRPr="00E44B9A">
              <w:rPr>
                <w:color w:val="000000"/>
                <w:spacing w:val="1"/>
                <w:shd w:val="solid" w:color="000000" w:fill="000000"/>
                <w:fitText w:val="330" w:id="-628909306"/>
                <w14:textFill>
                  <w14:solidFill>
                    <w14:srgbClr w14:val="000000">
                      <w14:alpha w14:val="100000"/>
                    </w14:srgbClr>
                  </w14:solidFill>
                </w14:textFill>
              </w:rPr>
              <w:t>|</w:t>
            </w:r>
            <w:r w:rsidR="001D1FB5">
              <w:rPr>
                <w:vertAlign w:val="superscript"/>
              </w:rPr>
              <w:t>19</w:t>
            </w:r>
          </w:p>
        </w:tc>
        <w:tc>
          <w:tcPr>
            <w:tcW w:w="626" w:type="pct"/>
            <w:noWrap/>
          </w:tcPr>
          <w:p w14:paraId="5ED74C2F" w14:textId="6EE7257F"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5"/>
                <w14:textFill>
                  <w14:solidFill>
                    <w14:srgbClr w14:val="000000">
                      <w14:alpha w14:val="100000"/>
                    </w14:srgbClr>
                  </w14:solidFill>
                </w14:textFill>
              </w:rPr>
              <w:t>|||</w:t>
            </w:r>
            <w:r w:rsidR="00E44B9A" w:rsidRPr="00E44B9A">
              <w:rPr>
                <w:color w:val="000000"/>
                <w:spacing w:val="1"/>
                <w:shd w:val="solid" w:color="000000" w:fill="000000"/>
                <w:fitText w:val="330" w:id="-628909305"/>
                <w14:textFill>
                  <w14:solidFill>
                    <w14:srgbClr w14:val="000000">
                      <w14:alpha w14:val="100000"/>
                    </w14:srgbClr>
                  </w14:solidFill>
                </w14:textFill>
              </w:rPr>
              <w:t>|</w:t>
            </w:r>
            <w:r w:rsidR="001D1FB5">
              <w:rPr>
                <w:vertAlign w:val="superscript"/>
              </w:rPr>
              <w:t>19</w:t>
            </w:r>
          </w:p>
        </w:tc>
      </w:tr>
      <w:tr w:rsidR="001D523F" w:rsidRPr="00007450" w14:paraId="67D93E3A" w14:textId="77777777">
        <w:tc>
          <w:tcPr>
            <w:tcW w:w="1247" w:type="pct"/>
            <w:noWrap/>
          </w:tcPr>
          <w:p w14:paraId="030C66D2" w14:textId="77777777" w:rsidR="001D523F" w:rsidRPr="00007450" w:rsidRDefault="001D523F" w:rsidP="00864C4B">
            <w:pPr>
              <w:pStyle w:val="TableText0"/>
            </w:pPr>
            <w:r w:rsidRPr="00007450">
              <w:t>Cost to the PBS for treatment of mBC</w:t>
            </w:r>
          </w:p>
        </w:tc>
        <w:tc>
          <w:tcPr>
            <w:tcW w:w="625" w:type="pct"/>
            <w:noWrap/>
          </w:tcPr>
          <w:p w14:paraId="0DD14A1A" w14:textId="008FF499"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4"/>
                <w14:textFill>
                  <w14:solidFill>
                    <w14:srgbClr w14:val="000000">
                      <w14:alpha w14:val="100000"/>
                    </w14:srgbClr>
                  </w14:solidFill>
                </w14:textFill>
              </w:rPr>
              <w:t>|||</w:t>
            </w:r>
            <w:r w:rsidR="00E44B9A" w:rsidRPr="00E44B9A">
              <w:rPr>
                <w:color w:val="000000"/>
                <w:spacing w:val="1"/>
                <w:shd w:val="solid" w:color="000000" w:fill="000000"/>
                <w:fitText w:val="330" w:id="-628909304"/>
                <w14:textFill>
                  <w14:solidFill>
                    <w14:srgbClr w14:val="000000">
                      <w14:alpha w14:val="100000"/>
                    </w14:srgbClr>
                  </w14:solidFill>
                </w14:textFill>
              </w:rPr>
              <w:t>|</w:t>
            </w:r>
            <w:r w:rsidR="001D1FB5">
              <w:rPr>
                <w:vertAlign w:val="superscript"/>
              </w:rPr>
              <w:t>19</w:t>
            </w:r>
          </w:p>
        </w:tc>
        <w:tc>
          <w:tcPr>
            <w:tcW w:w="625" w:type="pct"/>
            <w:noWrap/>
          </w:tcPr>
          <w:p w14:paraId="311489AF" w14:textId="2354E021"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3"/>
                <w14:textFill>
                  <w14:solidFill>
                    <w14:srgbClr w14:val="000000">
                      <w14:alpha w14:val="100000"/>
                    </w14:srgbClr>
                  </w14:solidFill>
                </w14:textFill>
              </w:rPr>
              <w:t>|||</w:t>
            </w:r>
            <w:r w:rsidR="00E44B9A" w:rsidRPr="00E44B9A">
              <w:rPr>
                <w:color w:val="000000"/>
                <w:spacing w:val="1"/>
                <w:shd w:val="solid" w:color="000000" w:fill="000000"/>
                <w:fitText w:val="330" w:id="-628909303"/>
                <w14:textFill>
                  <w14:solidFill>
                    <w14:srgbClr w14:val="000000">
                      <w14:alpha w14:val="100000"/>
                    </w14:srgbClr>
                  </w14:solidFill>
                </w14:textFill>
              </w:rPr>
              <w:t>|</w:t>
            </w:r>
            <w:r w:rsidR="001D1FB5">
              <w:rPr>
                <w:vertAlign w:val="superscript"/>
              </w:rPr>
              <w:t>19</w:t>
            </w:r>
          </w:p>
        </w:tc>
        <w:tc>
          <w:tcPr>
            <w:tcW w:w="625" w:type="pct"/>
            <w:noWrap/>
          </w:tcPr>
          <w:p w14:paraId="7BF2DEEE" w14:textId="49988745"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1D1FB5">
              <w:br/>
            </w:r>
            <w:r w:rsidR="001D1FB5">
              <w:rPr>
                <w:vertAlign w:val="superscript"/>
              </w:rPr>
              <w:t>19</w:t>
            </w:r>
          </w:p>
        </w:tc>
        <w:tc>
          <w:tcPr>
            <w:tcW w:w="625" w:type="pct"/>
            <w:noWrap/>
          </w:tcPr>
          <w:p w14:paraId="2F5F40EE" w14:textId="5B835266"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001D1FB5">
              <w:br/>
            </w:r>
            <w:r w:rsidR="001D1FB5">
              <w:rPr>
                <w:vertAlign w:val="superscript"/>
              </w:rPr>
              <w:t>19</w:t>
            </w:r>
          </w:p>
        </w:tc>
        <w:tc>
          <w:tcPr>
            <w:tcW w:w="625" w:type="pct"/>
            <w:noWrap/>
          </w:tcPr>
          <w:p w14:paraId="744AB6A9" w14:textId="1EF038CC"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001D1FB5">
              <w:br/>
            </w:r>
            <w:r w:rsidR="001D1FB5">
              <w:rPr>
                <w:vertAlign w:val="superscript"/>
              </w:rPr>
              <w:t>19</w:t>
            </w:r>
          </w:p>
        </w:tc>
        <w:tc>
          <w:tcPr>
            <w:tcW w:w="626" w:type="pct"/>
            <w:noWrap/>
          </w:tcPr>
          <w:p w14:paraId="714E672E" w14:textId="1AC8AF21" w:rsidR="001D523F" w:rsidRPr="00007450" w:rsidRDefault="001D523F" w:rsidP="00864C4B">
            <w:pPr>
              <w:pStyle w:val="TableText0"/>
              <w:jc w:val="right"/>
            </w:pPr>
            <w:r w:rsidRPr="00007450">
              <w:rPr>
                <w:i/>
                <w:iCs/>
              </w:rPr>
              <w:t>–$</w:t>
            </w:r>
            <w:r w:rsidR="00E44B9A" w:rsidRPr="00E44B9A">
              <w:rPr>
                <w:i/>
                <w:iCs/>
                <w:color w:val="000000"/>
                <w:spacing w:val="53"/>
                <w:shd w:val="solid" w:color="000000" w:fill="000000"/>
                <w:fitText w:val="330" w:id="-628909299"/>
                <w14:textFill>
                  <w14:solidFill>
                    <w14:srgbClr w14:val="000000">
                      <w14:alpha w14:val="100000"/>
                    </w14:srgbClr>
                  </w14:solidFill>
                </w14:textFill>
              </w:rPr>
              <w:t>|||</w:t>
            </w:r>
            <w:r w:rsidR="00E44B9A" w:rsidRPr="00E44B9A">
              <w:rPr>
                <w:i/>
                <w:iCs/>
                <w:color w:val="000000"/>
                <w:spacing w:val="1"/>
                <w:shd w:val="solid" w:color="000000" w:fill="000000"/>
                <w:fitText w:val="330" w:id="-628909299"/>
                <w14:textFill>
                  <w14:solidFill>
                    <w14:srgbClr w14:val="000000">
                      <w14:alpha w14:val="100000"/>
                    </w14:srgbClr>
                  </w14:solidFill>
                </w14:textFill>
              </w:rPr>
              <w:t>|</w:t>
            </w:r>
            <w:r w:rsidR="001D1FB5">
              <w:rPr>
                <w:i/>
                <w:iCs/>
              </w:rPr>
              <w:t xml:space="preserve"> </w:t>
            </w:r>
            <w:r w:rsidR="001D1FB5">
              <w:rPr>
                <w:vertAlign w:val="superscript"/>
              </w:rPr>
              <w:t>19</w:t>
            </w:r>
          </w:p>
        </w:tc>
      </w:tr>
      <w:tr w:rsidR="001D523F" w:rsidRPr="00007450" w14:paraId="0CE94B3A" w14:textId="77777777">
        <w:tc>
          <w:tcPr>
            <w:tcW w:w="1247" w:type="pct"/>
            <w:noWrap/>
          </w:tcPr>
          <w:p w14:paraId="14353447" w14:textId="77777777" w:rsidR="001D523F" w:rsidRPr="00007450" w:rsidRDefault="001D523F" w:rsidP="00864C4B">
            <w:pPr>
              <w:pStyle w:val="TableText0"/>
            </w:pPr>
            <w:r w:rsidRPr="00007450">
              <w:rPr>
                <w:b/>
                <w:bCs w:val="0"/>
              </w:rPr>
              <w:t>Net cost to the PBS/RPBS</w:t>
            </w:r>
          </w:p>
        </w:tc>
        <w:tc>
          <w:tcPr>
            <w:tcW w:w="625" w:type="pct"/>
            <w:noWrap/>
          </w:tcPr>
          <w:p w14:paraId="58234F46" w14:textId="091F5E6B" w:rsidR="001D523F" w:rsidRPr="001D1FB5"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298"/>
                <w14:textFill>
                  <w14:solidFill>
                    <w14:srgbClr w14:val="000000">
                      <w14:alpha w14:val="100000"/>
                    </w14:srgbClr>
                  </w14:solidFill>
                </w14:textFill>
              </w:rPr>
              <w:t>|||</w:t>
            </w:r>
            <w:r w:rsidR="00E44B9A" w:rsidRPr="00E44B9A">
              <w:rPr>
                <w:b/>
                <w:bCs w:val="0"/>
                <w:color w:val="000000"/>
                <w:spacing w:val="3"/>
                <w:shd w:val="solid" w:color="000000" w:fill="000000"/>
                <w:fitText w:val="345" w:id="-628909298"/>
                <w14:textFill>
                  <w14:solidFill>
                    <w14:srgbClr w14:val="000000">
                      <w14:alpha w14:val="100000"/>
                    </w14:srgbClr>
                  </w14:solidFill>
                </w14:textFill>
              </w:rPr>
              <w:t>|</w:t>
            </w:r>
            <w:r w:rsidR="001D1FB5" w:rsidRPr="001D1FB5">
              <w:rPr>
                <w:vertAlign w:val="superscript"/>
              </w:rPr>
              <w:t>21</w:t>
            </w:r>
          </w:p>
        </w:tc>
        <w:tc>
          <w:tcPr>
            <w:tcW w:w="625" w:type="pct"/>
            <w:noWrap/>
          </w:tcPr>
          <w:p w14:paraId="5DA51535" w14:textId="6391BA49" w:rsidR="001D523F" w:rsidRPr="00007450" w:rsidRDefault="001D523F" w:rsidP="00864C4B">
            <w:pPr>
              <w:pStyle w:val="TableText0"/>
              <w:jc w:val="right"/>
            </w:pPr>
            <w:r w:rsidRPr="00007450">
              <w:rPr>
                <w:b/>
                <w:bCs w:val="0"/>
              </w:rPr>
              <w:t>$</w:t>
            </w:r>
            <w:r w:rsidR="00E44B9A" w:rsidRPr="00E44B9A">
              <w:rPr>
                <w:b/>
                <w:bCs w:val="0"/>
                <w:color w:val="000000"/>
                <w:spacing w:val="53"/>
                <w:shd w:val="solid" w:color="000000" w:fill="000000"/>
                <w:fitText w:val="345" w:id="-628909297"/>
                <w14:textFill>
                  <w14:solidFill>
                    <w14:srgbClr w14:val="000000">
                      <w14:alpha w14:val="100000"/>
                    </w14:srgbClr>
                  </w14:solidFill>
                </w14:textFill>
              </w:rPr>
              <w:t>|||</w:t>
            </w:r>
            <w:r w:rsidR="00E44B9A" w:rsidRPr="00E44B9A">
              <w:rPr>
                <w:b/>
                <w:bCs w:val="0"/>
                <w:color w:val="000000"/>
                <w:spacing w:val="3"/>
                <w:shd w:val="solid" w:color="000000" w:fill="000000"/>
                <w:fitText w:val="345" w:id="-628909297"/>
                <w14:textFill>
                  <w14:solidFill>
                    <w14:srgbClr w14:val="000000">
                      <w14:alpha w14:val="100000"/>
                    </w14:srgbClr>
                  </w14:solidFill>
                </w14:textFill>
              </w:rPr>
              <w:t>|</w:t>
            </w:r>
            <w:r w:rsidR="001D1FB5" w:rsidRPr="001D1FB5">
              <w:rPr>
                <w:vertAlign w:val="superscript"/>
              </w:rPr>
              <w:t>16</w:t>
            </w:r>
          </w:p>
        </w:tc>
        <w:tc>
          <w:tcPr>
            <w:tcW w:w="625" w:type="pct"/>
            <w:noWrap/>
          </w:tcPr>
          <w:p w14:paraId="212B77DC" w14:textId="1AD4B954" w:rsidR="001D523F" w:rsidRPr="001D1FB5"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296"/>
                <w14:textFill>
                  <w14:solidFill>
                    <w14:srgbClr w14:val="000000">
                      <w14:alpha w14:val="100000"/>
                    </w14:srgbClr>
                  </w14:solidFill>
                </w14:textFill>
              </w:rPr>
              <w:t>|||</w:t>
            </w:r>
            <w:r w:rsidR="00E44B9A" w:rsidRPr="00E44B9A">
              <w:rPr>
                <w:b/>
                <w:bCs w:val="0"/>
                <w:color w:val="000000"/>
                <w:spacing w:val="3"/>
                <w:shd w:val="solid" w:color="000000" w:fill="000000"/>
                <w:fitText w:val="345" w:id="-628909296"/>
                <w14:textFill>
                  <w14:solidFill>
                    <w14:srgbClr w14:val="000000">
                      <w14:alpha w14:val="100000"/>
                    </w14:srgbClr>
                  </w14:solidFill>
                </w14:textFill>
              </w:rPr>
              <w:t>|</w:t>
            </w:r>
            <w:r w:rsidR="0061376E">
              <w:rPr>
                <w:vertAlign w:val="superscript"/>
              </w:rPr>
              <w:t>17</w:t>
            </w:r>
          </w:p>
        </w:tc>
        <w:tc>
          <w:tcPr>
            <w:tcW w:w="625" w:type="pct"/>
            <w:noWrap/>
          </w:tcPr>
          <w:p w14:paraId="1BA1F217" w14:textId="1747DC5D" w:rsidR="001D523F" w:rsidRPr="0061376E"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312"/>
                <w14:textFill>
                  <w14:solidFill>
                    <w14:srgbClr w14:val="000000">
                      <w14:alpha w14:val="100000"/>
                    </w14:srgbClr>
                  </w14:solidFill>
                </w14:textFill>
              </w:rPr>
              <w:t>|||</w:t>
            </w:r>
            <w:r w:rsidR="00E44B9A" w:rsidRPr="00E44B9A">
              <w:rPr>
                <w:b/>
                <w:bCs w:val="0"/>
                <w:color w:val="000000"/>
                <w:spacing w:val="3"/>
                <w:shd w:val="solid" w:color="000000" w:fill="000000"/>
                <w:fitText w:val="345" w:id="-628909312"/>
                <w14:textFill>
                  <w14:solidFill>
                    <w14:srgbClr w14:val="000000">
                      <w14:alpha w14:val="100000"/>
                    </w14:srgbClr>
                  </w14:solidFill>
                </w14:textFill>
              </w:rPr>
              <w:t>|</w:t>
            </w:r>
            <w:r w:rsidR="0061376E">
              <w:rPr>
                <w:b/>
                <w:bCs w:val="0"/>
              </w:rPr>
              <w:t xml:space="preserve"> </w:t>
            </w:r>
            <w:r w:rsidR="0061376E">
              <w:rPr>
                <w:vertAlign w:val="superscript"/>
              </w:rPr>
              <w:t>18</w:t>
            </w:r>
          </w:p>
        </w:tc>
        <w:tc>
          <w:tcPr>
            <w:tcW w:w="625" w:type="pct"/>
            <w:noWrap/>
          </w:tcPr>
          <w:p w14:paraId="2ED1148E" w14:textId="3DA2BD50" w:rsidR="001D523F" w:rsidRPr="0061376E"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311"/>
                <w14:textFill>
                  <w14:solidFill>
                    <w14:srgbClr w14:val="000000">
                      <w14:alpha w14:val="100000"/>
                    </w14:srgbClr>
                  </w14:solidFill>
                </w14:textFill>
              </w:rPr>
              <w:t>|||</w:t>
            </w:r>
            <w:r w:rsidR="00E44B9A" w:rsidRPr="00E44B9A">
              <w:rPr>
                <w:b/>
                <w:bCs w:val="0"/>
                <w:color w:val="000000"/>
                <w:spacing w:val="3"/>
                <w:shd w:val="solid" w:color="000000" w:fill="000000"/>
                <w:fitText w:val="345" w:id="-628909311"/>
                <w14:textFill>
                  <w14:solidFill>
                    <w14:srgbClr w14:val="000000">
                      <w14:alpha w14:val="100000"/>
                    </w14:srgbClr>
                  </w14:solidFill>
                </w14:textFill>
              </w:rPr>
              <w:t>|</w:t>
            </w:r>
            <w:r w:rsidR="0061376E">
              <w:rPr>
                <w:vertAlign w:val="superscript"/>
              </w:rPr>
              <w:t>18</w:t>
            </w:r>
          </w:p>
        </w:tc>
        <w:tc>
          <w:tcPr>
            <w:tcW w:w="626" w:type="pct"/>
            <w:noWrap/>
          </w:tcPr>
          <w:p w14:paraId="260E47E8" w14:textId="41E66DCF" w:rsidR="001D523F" w:rsidRPr="001D497B" w:rsidRDefault="001D523F" w:rsidP="00864C4B">
            <w:pPr>
              <w:pStyle w:val="TableText0"/>
              <w:jc w:val="right"/>
              <w:rPr>
                <w:vertAlign w:val="superscript"/>
              </w:rPr>
            </w:pPr>
            <w:r w:rsidRPr="00007450">
              <w:rPr>
                <w:b/>
                <w:bCs w:val="0"/>
                <w:i/>
                <w:iCs/>
              </w:rPr>
              <w:t>$</w:t>
            </w:r>
            <w:r w:rsidR="00E44B9A" w:rsidRPr="00E44B9A">
              <w:rPr>
                <w:b/>
                <w:bCs w:val="0"/>
                <w:i/>
                <w:iCs/>
                <w:color w:val="000000"/>
                <w:spacing w:val="53"/>
                <w:shd w:val="solid" w:color="000000" w:fill="000000"/>
                <w:fitText w:val="345" w:id="-628909310"/>
                <w14:textFill>
                  <w14:solidFill>
                    <w14:srgbClr w14:val="000000">
                      <w14:alpha w14:val="100000"/>
                    </w14:srgbClr>
                  </w14:solidFill>
                </w14:textFill>
              </w:rPr>
              <w:t>|||</w:t>
            </w:r>
            <w:r w:rsidR="00E44B9A" w:rsidRPr="00E44B9A">
              <w:rPr>
                <w:b/>
                <w:bCs w:val="0"/>
                <w:i/>
                <w:iCs/>
                <w:color w:val="000000"/>
                <w:spacing w:val="3"/>
                <w:shd w:val="solid" w:color="000000" w:fill="000000"/>
                <w:fitText w:val="345" w:id="-628909310"/>
                <w14:textFill>
                  <w14:solidFill>
                    <w14:srgbClr w14:val="000000">
                      <w14:alpha w14:val="100000"/>
                    </w14:srgbClr>
                  </w14:solidFill>
                </w14:textFill>
              </w:rPr>
              <w:t>|</w:t>
            </w:r>
            <w:r w:rsidR="001D497B">
              <w:rPr>
                <w:b/>
                <w:bCs w:val="0"/>
                <w:vertAlign w:val="superscript"/>
              </w:rPr>
              <w:t xml:space="preserve"> </w:t>
            </w:r>
            <w:r w:rsidR="001D497B" w:rsidRPr="001D497B">
              <w:rPr>
                <w:vertAlign w:val="superscript"/>
              </w:rPr>
              <w:t>22</w:t>
            </w:r>
          </w:p>
        </w:tc>
      </w:tr>
      <w:tr w:rsidR="001D523F" w:rsidRPr="00007450" w14:paraId="68F23CC4" w14:textId="77777777">
        <w:tc>
          <w:tcPr>
            <w:tcW w:w="1247" w:type="pct"/>
            <w:noWrap/>
          </w:tcPr>
          <w:p w14:paraId="6CF7AF88" w14:textId="77777777" w:rsidR="001D523F" w:rsidRPr="00007450" w:rsidRDefault="001D523F" w:rsidP="00864C4B">
            <w:pPr>
              <w:pStyle w:val="TableText0"/>
              <w:rPr>
                <w:b/>
                <w:bCs w:val="0"/>
              </w:rPr>
            </w:pPr>
            <w:r w:rsidRPr="00007450">
              <w:t>Net cost to the MBS</w:t>
            </w:r>
          </w:p>
        </w:tc>
        <w:tc>
          <w:tcPr>
            <w:tcW w:w="625" w:type="pct"/>
            <w:noWrap/>
          </w:tcPr>
          <w:p w14:paraId="7515EED6" w14:textId="04609A9F" w:rsidR="001D523F" w:rsidRPr="001D497B" w:rsidRDefault="001D523F" w:rsidP="00864C4B">
            <w:pPr>
              <w:pStyle w:val="TableText0"/>
              <w:jc w:val="right"/>
              <w:rPr>
                <w:b/>
                <w:bCs w:val="0"/>
                <w:vertAlign w:val="superscript"/>
              </w:rPr>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1D497B">
              <w:t xml:space="preserve"> </w:t>
            </w:r>
            <w:r w:rsidR="001D497B">
              <w:rPr>
                <w:vertAlign w:val="superscript"/>
              </w:rPr>
              <w:t>19</w:t>
            </w:r>
          </w:p>
        </w:tc>
        <w:tc>
          <w:tcPr>
            <w:tcW w:w="625" w:type="pct"/>
            <w:noWrap/>
          </w:tcPr>
          <w:p w14:paraId="65788073" w14:textId="148955B1" w:rsidR="001D523F" w:rsidRPr="00007450" w:rsidRDefault="001D523F" w:rsidP="00864C4B">
            <w:pPr>
              <w:pStyle w:val="TableText0"/>
              <w:jc w:val="right"/>
              <w:rPr>
                <w:b/>
                <w:bCs w:val="0"/>
              </w:rPr>
            </w:pPr>
            <w:r w:rsidRPr="00007450">
              <w:t>$</w:t>
            </w:r>
            <w:r w:rsidR="00E44B9A" w:rsidRPr="00E44B9A">
              <w:rPr>
                <w:color w:val="000000"/>
                <w:spacing w:val="53"/>
                <w:shd w:val="solid" w:color="000000" w:fill="000000"/>
                <w:fitText w:val="330" w:id="-628909308"/>
                <w14:textFill>
                  <w14:solidFill>
                    <w14:srgbClr w14:val="000000">
                      <w14:alpha w14:val="100000"/>
                    </w14:srgbClr>
                  </w14:solidFill>
                </w14:textFill>
              </w:rPr>
              <w:t>|||</w:t>
            </w:r>
            <w:r w:rsidR="00E44B9A" w:rsidRPr="00E44B9A">
              <w:rPr>
                <w:color w:val="000000"/>
                <w:spacing w:val="1"/>
                <w:shd w:val="solid" w:color="000000" w:fill="000000"/>
                <w:fitText w:val="330" w:id="-628909308"/>
                <w14:textFill>
                  <w14:solidFill>
                    <w14:srgbClr w14:val="000000">
                      <w14:alpha w14:val="100000"/>
                    </w14:srgbClr>
                  </w14:solidFill>
                </w14:textFill>
              </w:rPr>
              <w:t>|</w:t>
            </w:r>
            <w:r w:rsidR="001D497B">
              <w:t xml:space="preserve"> </w:t>
            </w:r>
            <w:r w:rsidR="001D497B">
              <w:rPr>
                <w:vertAlign w:val="superscript"/>
              </w:rPr>
              <w:t>19</w:t>
            </w:r>
          </w:p>
        </w:tc>
        <w:tc>
          <w:tcPr>
            <w:tcW w:w="625" w:type="pct"/>
            <w:noWrap/>
          </w:tcPr>
          <w:p w14:paraId="5AE4AD98" w14:textId="6D4C4BE6" w:rsidR="001D523F" w:rsidRPr="00007450" w:rsidRDefault="001D523F" w:rsidP="00864C4B">
            <w:pPr>
              <w:pStyle w:val="TableText0"/>
              <w:jc w:val="right"/>
              <w:rPr>
                <w:b/>
                <w:bCs w:val="0"/>
              </w:rPr>
            </w:pPr>
            <w:r w:rsidRPr="00007450">
              <w:t>$</w:t>
            </w:r>
            <w:r w:rsidR="00E44B9A" w:rsidRPr="00E44B9A">
              <w:rPr>
                <w:color w:val="000000"/>
                <w:spacing w:val="53"/>
                <w:shd w:val="solid" w:color="000000" w:fill="000000"/>
                <w:fitText w:val="330" w:id="-628909307"/>
                <w14:textFill>
                  <w14:solidFill>
                    <w14:srgbClr w14:val="000000">
                      <w14:alpha w14:val="100000"/>
                    </w14:srgbClr>
                  </w14:solidFill>
                </w14:textFill>
              </w:rPr>
              <w:t>|||</w:t>
            </w:r>
            <w:r w:rsidR="00E44B9A" w:rsidRPr="00E44B9A">
              <w:rPr>
                <w:color w:val="000000"/>
                <w:spacing w:val="1"/>
                <w:shd w:val="solid" w:color="000000" w:fill="000000"/>
                <w:fitText w:val="330" w:id="-628909307"/>
                <w14:textFill>
                  <w14:solidFill>
                    <w14:srgbClr w14:val="000000">
                      <w14:alpha w14:val="100000"/>
                    </w14:srgbClr>
                  </w14:solidFill>
                </w14:textFill>
              </w:rPr>
              <w:t>|</w:t>
            </w:r>
            <w:r w:rsidR="001D497B">
              <w:t xml:space="preserve"> </w:t>
            </w:r>
            <w:r w:rsidR="001D497B">
              <w:rPr>
                <w:vertAlign w:val="superscript"/>
              </w:rPr>
              <w:t>19</w:t>
            </w:r>
          </w:p>
        </w:tc>
        <w:tc>
          <w:tcPr>
            <w:tcW w:w="625" w:type="pct"/>
            <w:noWrap/>
          </w:tcPr>
          <w:p w14:paraId="11E476B0" w14:textId="5F4E36D9" w:rsidR="001D523F" w:rsidRPr="00007450" w:rsidRDefault="001D523F" w:rsidP="00864C4B">
            <w:pPr>
              <w:pStyle w:val="TableText0"/>
              <w:jc w:val="right"/>
              <w:rPr>
                <w:b/>
                <w:bCs w:val="0"/>
              </w:rPr>
            </w:pPr>
            <w:r w:rsidRPr="00007450">
              <w:t>$</w:t>
            </w:r>
            <w:r w:rsidR="00E44B9A" w:rsidRPr="00E44B9A">
              <w:rPr>
                <w:color w:val="000000"/>
                <w:spacing w:val="53"/>
                <w:shd w:val="solid" w:color="000000" w:fill="000000"/>
                <w:fitText w:val="330" w:id="-628909306"/>
                <w14:textFill>
                  <w14:solidFill>
                    <w14:srgbClr w14:val="000000">
                      <w14:alpha w14:val="100000"/>
                    </w14:srgbClr>
                  </w14:solidFill>
                </w14:textFill>
              </w:rPr>
              <w:t>|||</w:t>
            </w:r>
            <w:r w:rsidR="00E44B9A" w:rsidRPr="00E44B9A">
              <w:rPr>
                <w:color w:val="000000"/>
                <w:spacing w:val="1"/>
                <w:shd w:val="solid" w:color="000000" w:fill="000000"/>
                <w:fitText w:val="330" w:id="-628909306"/>
                <w14:textFill>
                  <w14:solidFill>
                    <w14:srgbClr w14:val="000000">
                      <w14:alpha w14:val="100000"/>
                    </w14:srgbClr>
                  </w14:solidFill>
                </w14:textFill>
              </w:rPr>
              <w:t>|</w:t>
            </w:r>
            <w:r w:rsidR="001D497B">
              <w:t xml:space="preserve"> </w:t>
            </w:r>
            <w:r w:rsidR="001D497B">
              <w:rPr>
                <w:vertAlign w:val="superscript"/>
              </w:rPr>
              <w:t>19</w:t>
            </w:r>
          </w:p>
        </w:tc>
        <w:tc>
          <w:tcPr>
            <w:tcW w:w="625" w:type="pct"/>
            <w:noWrap/>
          </w:tcPr>
          <w:p w14:paraId="04AA08F2" w14:textId="7A5B89B2" w:rsidR="001D523F" w:rsidRPr="00007450" w:rsidRDefault="001D523F" w:rsidP="00864C4B">
            <w:pPr>
              <w:pStyle w:val="TableText0"/>
              <w:jc w:val="right"/>
              <w:rPr>
                <w:b/>
                <w:bCs w:val="0"/>
              </w:rPr>
            </w:pPr>
            <w:r w:rsidRPr="00007450">
              <w:t>$</w:t>
            </w:r>
            <w:r w:rsidR="00E44B9A" w:rsidRPr="00E44B9A">
              <w:rPr>
                <w:color w:val="000000"/>
                <w:spacing w:val="53"/>
                <w:shd w:val="solid" w:color="000000" w:fill="000000"/>
                <w:fitText w:val="330" w:id="-628909305"/>
                <w14:textFill>
                  <w14:solidFill>
                    <w14:srgbClr w14:val="000000">
                      <w14:alpha w14:val="100000"/>
                    </w14:srgbClr>
                  </w14:solidFill>
                </w14:textFill>
              </w:rPr>
              <w:t>|||</w:t>
            </w:r>
            <w:r w:rsidR="00E44B9A" w:rsidRPr="00E44B9A">
              <w:rPr>
                <w:color w:val="000000"/>
                <w:spacing w:val="1"/>
                <w:shd w:val="solid" w:color="000000" w:fill="000000"/>
                <w:fitText w:val="330" w:id="-628909305"/>
                <w14:textFill>
                  <w14:solidFill>
                    <w14:srgbClr w14:val="000000">
                      <w14:alpha w14:val="100000"/>
                    </w14:srgbClr>
                  </w14:solidFill>
                </w14:textFill>
              </w:rPr>
              <w:t>|</w:t>
            </w:r>
            <w:r w:rsidR="001D497B">
              <w:t xml:space="preserve"> </w:t>
            </w:r>
            <w:r w:rsidR="001D497B">
              <w:rPr>
                <w:vertAlign w:val="superscript"/>
              </w:rPr>
              <w:t>19</w:t>
            </w:r>
          </w:p>
        </w:tc>
        <w:tc>
          <w:tcPr>
            <w:tcW w:w="626" w:type="pct"/>
            <w:noWrap/>
          </w:tcPr>
          <w:p w14:paraId="0A25D893" w14:textId="21F90291" w:rsidR="001D523F" w:rsidRPr="00007450" w:rsidRDefault="001D523F" w:rsidP="00864C4B">
            <w:pPr>
              <w:pStyle w:val="TableText0"/>
              <w:jc w:val="right"/>
              <w:rPr>
                <w:b/>
                <w:bCs w:val="0"/>
                <w:i/>
                <w:iCs/>
              </w:rPr>
            </w:pPr>
            <w:r w:rsidRPr="00007450">
              <w:rPr>
                <w:i/>
                <w:iCs/>
              </w:rPr>
              <w:t>$</w:t>
            </w:r>
            <w:r w:rsidR="00E44B9A" w:rsidRPr="00E44B9A">
              <w:rPr>
                <w:i/>
                <w:iCs/>
                <w:color w:val="000000"/>
                <w:spacing w:val="53"/>
                <w:shd w:val="solid" w:color="000000" w:fill="000000"/>
                <w:fitText w:val="330" w:id="-628909304"/>
                <w14:textFill>
                  <w14:solidFill>
                    <w14:srgbClr w14:val="000000">
                      <w14:alpha w14:val="100000"/>
                    </w14:srgbClr>
                  </w14:solidFill>
                </w14:textFill>
              </w:rPr>
              <w:t>|||</w:t>
            </w:r>
            <w:r w:rsidR="00E44B9A" w:rsidRPr="00E44B9A">
              <w:rPr>
                <w:i/>
                <w:iCs/>
                <w:color w:val="000000"/>
                <w:spacing w:val="1"/>
                <w:shd w:val="solid" w:color="000000" w:fill="000000"/>
                <w:fitText w:val="330" w:id="-628909304"/>
                <w14:textFill>
                  <w14:solidFill>
                    <w14:srgbClr w14:val="000000">
                      <w14:alpha w14:val="100000"/>
                    </w14:srgbClr>
                  </w14:solidFill>
                </w14:textFill>
              </w:rPr>
              <w:t>|</w:t>
            </w:r>
            <w:r w:rsidR="001D497B">
              <w:rPr>
                <w:i/>
                <w:iCs/>
              </w:rPr>
              <w:t xml:space="preserve"> </w:t>
            </w:r>
            <w:r w:rsidR="001D497B">
              <w:rPr>
                <w:vertAlign w:val="superscript"/>
              </w:rPr>
              <w:t>19</w:t>
            </w:r>
          </w:p>
        </w:tc>
      </w:tr>
      <w:tr w:rsidR="001D523F" w:rsidRPr="00007450" w14:paraId="486CF91D" w14:textId="77777777">
        <w:tc>
          <w:tcPr>
            <w:tcW w:w="1247" w:type="pct"/>
            <w:noWrap/>
          </w:tcPr>
          <w:p w14:paraId="30122257" w14:textId="77777777" w:rsidR="001D523F" w:rsidRPr="00007450" w:rsidRDefault="001D523F" w:rsidP="00864C4B">
            <w:pPr>
              <w:pStyle w:val="TableText0"/>
            </w:pPr>
            <w:r w:rsidRPr="00007450">
              <w:t>Net cost to Government health budgets</w:t>
            </w:r>
          </w:p>
        </w:tc>
        <w:tc>
          <w:tcPr>
            <w:tcW w:w="625" w:type="pct"/>
            <w:noWrap/>
          </w:tcPr>
          <w:p w14:paraId="42BC361A" w14:textId="25973C73" w:rsidR="001D523F" w:rsidRPr="001D497B"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3"/>
                <w14:textFill>
                  <w14:solidFill>
                    <w14:srgbClr w14:val="000000">
                      <w14:alpha w14:val="100000"/>
                    </w14:srgbClr>
                  </w14:solidFill>
                </w14:textFill>
              </w:rPr>
              <w:t>|||</w:t>
            </w:r>
            <w:r w:rsidR="00E44B9A" w:rsidRPr="00E44B9A">
              <w:rPr>
                <w:color w:val="000000"/>
                <w:spacing w:val="1"/>
                <w:shd w:val="solid" w:color="000000" w:fill="000000"/>
                <w:fitText w:val="330" w:id="-628909303"/>
                <w14:textFill>
                  <w14:solidFill>
                    <w14:srgbClr w14:val="000000">
                      <w14:alpha w14:val="100000"/>
                    </w14:srgbClr>
                  </w14:solidFill>
                </w14:textFill>
              </w:rPr>
              <w:t>|</w:t>
            </w:r>
            <w:r w:rsidR="001D497B">
              <w:t xml:space="preserve"> </w:t>
            </w:r>
            <w:r w:rsidR="001D497B">
              <w:rPr>
                <w:vertAlign w:val="superscript"/>
              </w:rPr>
              <w:t>21</w:t>
            </w:r>
          </w:p>
        </w:tc>
        <w:tc>
          <w:tcPr>
            <w:tcW w:w="625" w:type="pct"/>
            <w:noWrap/>
          </w:tcPr>
          <w:p w14:paraId="49745CC2" w14:textId="3867E50E" w:rsidR="001D523F" w:rsidRPr="001D497B"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1D497B">
              <w:t xml:space="preserve"> </w:t>
            </w:r>
            <w:r w:rsidR="005E167A">
              <w:rPr>
                <w:vertAlign w:val="superscript"/>
              </w:rPr>
              <w:t>16</w:t>
            </w:r>
          </w:p>
        </w:tc>
        <w:tc>
          <w:tcPr>
            <w:tcW w:w="625" w:type="pct"/>
            <w:noWrap/>
          </w:tcPr>
          <w:p w14:paraId="10176C1A" w14:textId="21F60C1D" w:rsidR="001D523F" w:rsidRPr="005E167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005E167A">
              <w:rPr>
                <w:vertAlign w:val="superscript"/>
              </w:rPr>
              <w:t xml:space="preserve"> 17</w:t>
            </w:r>
          </w:p>
        </w:tc>
        <w:tc>
          <w:tcPr>
            <w:tcW w:w="625" w:type="pct"/>
            <w:noWrap/>
          </w:tcPr>
          <w:p w14:paraId="6D9ACAF4" w14:textId="79847BA6" w:rsidR="001D523F" w:rsidRPr="005E167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005E167A">
              <w:t xml:space="preserve"> </w:t>
            </w:r>
            <w:r w:rsidR="005E167A">
              <w:rPr>
                <w:vertAlign w:val="superscript"/>
              </w:rPr>
              <w:t>18</w:t>
            </w:r>
          </w:p>
        </w:tc>
        <w:tc>
          <w:tcPr>
            <w:tcW w:w="625" w:type="pct"/>
            <w:noWrap/>
          </w:tcPr>
          <w:p w14:paraId="6668E49B" w14:textId="6BB18820" w:rsidR="001D523F" w:rsidRPr="005E167A"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9"/>
                <w14:textFill>
                  <w14:solidFill>
                    <w14:srgbClr w14:val="000000">
                      <w14:alpha w14:val="100000"/>
                    </w14:srgbClr>
                  </w14:solidFill>
                </w14:textFill>
              </w:rPr>
              <w:t>|||</w:t>
            </w:r>
            <w:r w:rsidR="00E44B9A" w:rsidRPr="00E44B9A">
              <w:rPr>
                <w:color w:val="000000"/>
                <w:spacing w:val="1"/>
                <w:shd w:val="solid" w:color="000000" w:fill="000000"/>
                <w:fitText w:val="330" w:id="-628909299"/>
                <w14:textFill>
                  <w14:solidFill>
                    <w14:srgbClr w14:val="000000">
                      <w14:alpha w14:val="100000"/>
                    </w14:srgbClr>
                  </w14:solidFill>
                </w14:textFill>
              </w:rPr>
              <w:t>|</w:t>
            </w:r>
            <w:r w:rsidR="005E167A">
              <w:t xml:space="preserve"> </w:t>
            </w:r>
            <w:r w:rsidR="005E167A">
              <w:rPr>
                <w:vertAlign w:val="superscript"/>
              </w:rPr>
              <w:t>18</w:t>
            </w:r>
          </w:p>
        </w:tc>
        <w:tc>
          <w:tcPr>
            <w:tcW w:w="626" w:type="pct"/>
            <w:noWrap/>
          </w:tcPr>
          <w:p w14:paraId="6116F2C9" w14:textId="0F12E723" w:rsidR="001D523F" w:rsidRPr="005E167A" w:rsidRDefault="001D523F" w:rsidP="00864C4B">
            <w:pPr>
              <w:pStyle w:val="TableText0"/>
              <w:jc w:val="right"/>
              <w:rPr>
                <w:i/>
                <w:iCs/>
                <w:vertAlign w:val="superscript"/>
              </w:rPr>
            </w:pPr>
            <w:r w:rsidRPr="00007450">
              <w:rPr>
                <w:i/>
                <w:iCs/>
              </w:rPr>
              <w:t>$</w:t>
            </w:r>
            <w:r w:rsidR="00E44B9A">
              <w:rPr>
                <w:i/>
                <w:iCs/>
                <w:color w:val="000000"/>
                <w:spacing w:val="52"/>
                <w:shd w:val="solid" w:color="000000" w:fill="000000"/>
                <w:fitText w:val="330" w:id="-628909298"/>
                <w14:textFill>
                  <w14:solidFill>
                    <w14:srgbClr w14:val="000000">
                      <w14:alpha w14:val="100000"/>
                    </w14:srgbClr>
                  </w14:solidFill>
                </w14:textFill>
              </w:rPr>
              <w:t>|||</w:t>
            </w:r>
            <w:r w:rsidR="00E44B9A">
              <w:rPr>
                <w:i/>
                <w:iCs/>
                <w:color w:val="000000"/>
                <w:spacing w:val="2"/>
                <w:shd w:val="solid" w:color="000000" w:fill="000000"/>
                <w:fitText w:val="330" w:id="-628909298"/>
                <w14:textFill>
                  <w14:solidFill>
                    <w14:srgbClr w14:val="000000">
                      <w14:alpha w14:val="100000"/>
                    </w14:srgbClr>
                  </w14:solidFill>
                </w14:textFill>
              </w:rPr>
              <w:t>|</w:t>
            </w:r>
            <w:r w:rsidR="005E167A" w:rsidRPr="005E167A">
              <w:rPr>
                <w:vertAlign w:val="superscript"/>
              </w:rPr>
              <w:t>22</w:t>
            </w:r>
          </w:p>
        </w:tc>
      </w:tr>
    </w:tbl>
    <w:p w14:paraId="179D9D30" w14:textId="77777777" w:rsidR="001D523F" w:rsidRPr="00007450" w:rsidRDefault="001D523F" w:rsidP="00864C4B">
      <w:pPr>
        <w:pStyle w:val="TableFigureFooter"/>
      </w:pPr>
      <w:r w:rsidRPr="00007450">
        <w:t>Source: Constructed during the evaluation from the ‘3a. Scripts - proposed’ and ‘3c. Impact - proposed (eff)’ worksheets in the ‘Kisqali (ribociclib) - eBC N0N1 – UCM.xlsx’ workbook included in the submission.</w:t>
      </w:r>
    </w:p>
    <w:p w14:paraId="14A3F123" w14:textId="77777777" w:rsidR="001D523F" w:rsidRPr="00007450" w:rsidRDefault="001D523F" w:rsidP="00864C4B">
      <w:pPr>
        <w:pStyle w:val="TableFigureFooter"/>
      </w:pPr>
      <w:r w:rsidRPr="00007450">
        <w:t>ET = endocrine therapy; HER2 = human epidermal growth factor receptor 2; HR = hormone receptor; mBC = metastatic breast cancer.</w:t>
      </w:r>
    </w:p>
    <w:p w14:paraId="7066961E" w14:textId="400730E3" w:rsidR="001D523F" w:rsidRPr="00007450" w:rsidRDefault="001D523F" w:rsidP="00864C4B">
      <w:pPr>
        <w:pStyle w:val="TableFigureFooter"/>
      </w:pPr>
      <w:r w:rsidRPr="00007450">
        <w:t>Note: Estimates were revised during the evaluation to correctly multiply the number of patients who initiate ribociclib treatment in Year 6 by the incidence of mBC in the first (rather than sixth) year following treatment initiation.</w:t>
      </w:r>
    </w:p>
    <w:p w14:paraId="2A99E4E7" w14:textId="77777777" w:rsidR="001D523F" w:rsidRPr="00007450" w:rsidRDefault="001D523F" w:rsidP="00864C4B">
      <w:pPr>
        <w:pStyle w:val="TableFigureFooter"/>
      </w:pPr>
      <w:r w:rsidRPr="00007450">
        <w:rPr>
          <w:vertAlign w:val="superscript"/>
        </w:rPr>
        <w:t>a</w:t>
      </w:r>
      <w:r w:rsidRPr="00007450">
        <w:t xml:space="preserve"> Based on an average duration of treatment of 118.19 weeks, implemented as 100% patient-years on treatment in first and second years following initiation, with 27.3% of a year on treatment in the third year. This is equivalent to 28.6 scripts per patient who initiates treatment. </w:t>
      </w:r>
    </w:p>
    <w:p w14:paraId="6CEF29E3" w14:textId="77777777" w:rsidR="001D523F" w:rsidRDefault="001D523F" w:rsidP="00864C4B">
      <w:pPr>
        <w:pStyle w:val="TableFigureFooter"/>
      </w:pPr>
      <w:r w:rsidRPr="00007450">
        <w:rPr>
          <w:vertAlign w:val="superscript"/>
        </w:rPr>
        <w:t>b</w:t>
      </w:r>
      <w:r w:rsidRPr="00007450">
        <w:t xml:space="preserve"> 13.04 scripts per year on treatment (365.25/28), assuming 96.52% compliance</w:t>
      </w:r>
    </w:p>
    <w:p w14:paraId="0D637715" w14:textId="640C6AA0" w:rsidR="00192F0E" w:rsidRDefault="00192F0E" w:rsidP="00864C4B">
      <w:pPr>
        <w:pStyle w:val="TableFigureFooter"/>
        <w:rPr>
          <w:i/>
          <w:iCs/>
        </w:rPr>
      </w:pPr>
      <w:r>
        <w:rPr>
          <w:i/>
          <w:iCs/>
        </w:rPr>
        <w:t>The redacted values correspond to the following ranges:</w:t>
      </w:r>
    </w:p>
    <w:p w14:paraId="586CDCBC" w14:textId="44351455" w:rsidR="00192F0E" w:rsidRDefault="00192F0E" w:rsidP="00864C4B">
      <w:pPr>
        <w:pStyle w:val="TableFigureFooter"/>
        <w:rPr>
          <w:i/>
          <w:iCs/>
        </w:rPr>
      </w:pPr>
      <w:r>
        <w:rPr>
          <w:i/>
          <w:iCs/>
          <w:vertAlign w:val="superscript"/>
        </w:rPr>
        <w:t xml:space="preserve">1 </w:t>
      </w:r>
      <w:r>
        <w:rPr>
          <w:i/>
          <w:iCs/>
        </w:rPr>
        <w:t>20,000 to &lt; 30,000</w:t>
      </w:r>
    </w:p>
    <w:p w14:paraId="2414C5DE" w14:textId="77F77D9D" w:rsidR="00192F0E" w:rsidRDefault="00192F0E" w:rsidP="00864C4B">
      <w:pPr>
        <w:pStyle w:val="TableFigureFooter"/>
        <w:rPr>
          <w:i/>
          <w:iCs/>
        </w:rPr>
      </w:pPr>
      <w:r>
        <w:rPr>
          <w:i/>
          <w:iCs/>
          <w:vertAlign w:val="superscript"/>
        </w:rPr>
        <w:t xml:space="preserve">2 </w:t>
      </w:r>
      <w:r w:rsidR="00F518FE">
        <w:rPr>
          <w:i/>
          <w:iCs/>
        </w:rPr>
        <w:t>10,000 to &lt; 20,000</w:t>
      </w:r>
    </w:p>
    <w:p w14:paraId="248C4430" w14:textId="6E93981C" w:rsidR="00A23671" w:rsidRDefault="00F518FE" w:rsidP="00864C4B">
      <w:pPr>
        <w:pStyle w:val="TableFigureFooter"/>
        <w:rPr>
          <w:i/>
          <w:iCs/>
        </w:rPr>
      </w:pPr>
      <w:r>
        <w:rPr>
          <w:i/>
          <w:iCs/>
          <w:vertAlign w:val="superscript"/>
        </w:rPr>
        <w:lastRenderedPageBreak/>
        <w:t>3</w:t>
      </w:r>
      <w:r>
        <w:rPr>
          <w:i/>
          <w:iCs/>
        </w:rPr>
        <w:t xml:space="preserve"> </w:t>
      </w:r>
      <w:r w:rsidR="00A23671">
        <w:rPr>
          <w:i/>
          <w:iCs/>
        </w:rPr>
        <w:t>500 to &lt; 5,000</w:t>
      </w:r>
    </w:p>
    <w:p w14:paraId="473AF8E7" w14:textId="6102AA47" w:rsidR="00A23671" w:rsidRDefault="00A23671" w:rsidP="00864C4B">
      <w:pPr>
        <w:pStyle w:val="TableFigureFooter"/>
        <w:rPr>
          <w:i/>
          <w:iCs/>
        </w:rPr>
      </w:pPr>
      <w:r w:rsidRPr="00A23671">
        <w:rPr>
          <w:i/>
          <w:iCs/>
          <w:vertAlign w:val="superscript"/>
        </w:rPr>
        <w:t>4</w:t>
      </w:r>
      <w:r>
        <w:rPr>
          <w:i/>
          <w:iCs/>
        </w:rPr>
        <w:t xml:space="preserve"> 5,000 to &lt; 10,000</w:t>
      </w:r>
    </w:p>
    <w:p w14:paraId="58F3C1EF" w14:textId="77777777" w:rsidR="00AB0B3D" w:rsidRDefault="00AB0B3D" w:rsidP="00864C4B">
      <w:pPr>
        <w:pStyle w:val="TableFigureFooter"/>
        <w:rPr>
          <w:i/>
          <w:iCs/>
        </w:rPr>
      </w:pPr>
      <w:r>
        <w:rPr>
          <w:i/>
          <w:iCs/>
          <w:vertAlign w:val="superscript"/>
        </w:rPr>
        <w:t>5</w:t>
      </w:r>
      <w:r>
        <w:rPr>
          <w:i/>
          <w:iCs/>
        </w:rPr>
        <w:t xml:space="preserve"> 30,000 to &lt; 40,000</w:t>
      </w:r>
    </w:p>
    <w:p w14:paraId="69F4B3C7" w14:textId="145E4345" w:rsidR="00AB0B3D" w:rsidRDefault="00AB0B3D" w:rsidP="00864C4B">
      <w:pPr>
        <w:pStyle w:val="TableFigureFooter"/>
        <w:rPr>
          <w:i/>
          <w:iCs/>
        </w:rPr>
      </w:pPr>
      <w:r>
        <w:rPr>
          <w:i/>
          <w:iCs/>
          <w:vertAlign w:val="superscript"/>
        </w:rPr>
        <w:t>6</w:t>
      </w:r>
      <w:r>
        <w:rPr>
          <w:i/>
          <w:iCs/>
        </w:rPr>
        <w:t xml:space="preserve"> 80,000 to &lt; 90,000</w:t>
      </w:r>
    </w:p>
    <w:p w14:paraId="3B4423C4" w14:textId="2657C22B" w:rsidR="006362B9" w:rsidRDefault="006362B9" w:rsidP="00864C4B">
      <w:pPr>
        <w:pStyle w:val="TableFigureFooter"/>
        <w:rPr>
          <w:i/>
          <w:iCs/>
        </w:rPr>
      </w:pPr>
      <w:r>
        <w:rPr>
          <w:i/>
          <w:iCs/>
          <w:vertAlign w:val="superscript"/>
        </w:rPr>
        <w:t>7</w:t>
      </w:r>
      <w:r>
        <w:rPr>
          <w:i/>
          <w:iCs/>
        </w:rPr>
        <w:t xml:space="preserve"> 90,000 to &lt; 100,000</w:t>
      </w:r>
    </w:p>
    <w:p w14:paraId="48543931" w14:textId="3C56BB93" w:rsidR="006362B9" w:rsidRDefault="006362B9" w:rsidP="00864C4B">
      <w:pPr>
        <w:pStyle w:val="TableFigureFooter"/>
        <w:rPr>
          <w:i/>
          <w:iCs/>
        </w:rPr>
      </w:pPr>
      <w:r>
        <w:rPr>
          <w:i/>
          <w:iCs/>
          <w:vertAlign w:val="superscript"/>
        </w:rPr>
        <w:t>8</w:t>
      </w:r>
      <w:r>
        <w:rPr>
          <w:i/>
          <w:iCs/>
        </w:rPr>
        <w:t xml:space="preserve"> 100,000 to &lt; 110,000</w:t>
      </w:r>
    </w:p>
    <w:p w14:paraId="642CF69C" w14:textId="17569DBC" w:rsidR="006362B9" w:rsidRDefault="006362B9" w:rsidP="00864C4B">
      <w:pPr>
        <w:pStyle w:val="TableFigureFooter"/>
        <w:rPr>
          <w:i/>
          <w:iCs/>
        </w:rPr>
      </w:pPr>
      <w:r>
        <w:rPr>
          <w:i/>
          <w:iCs/>
          <w:vertAlign w:val="superscript"/>
        </w:rPr>
        <w:t>9</w:t>
      </w:r>
      <w:r>
        <w:rPr>
          <w:i/>
          <w:iCs/>
        </w:rPr>
        <w:t xml:space="preserve"> </w:t>
      </w:r>
      <w:r w:rsidR="00067F7B">
        <w:rPr>
          <w:i/>
          <w:iCs/>
        </w:rPr>
        <w:t>110,000 to &lt; 120,000</w:t>
      </w:r>
    </w:p>
    <w:p w14:paraId="568163C5" w14:textId="091A70CC" w:rsidR="00067F7B" w:rsidRDefault="00067F7B" w:rsidP="00864C4B">
      <w:pPr>
        <w:pStyle w:val="TableFigureFooter"/>
        <w:rPr>
          <w:i/>
          <w:iCs/>
        </w:rPr>
      </w:pPr>
      <w:r>
        <w:rPr>
          <w:i/>
          <w:iCs/>
          <w:vertAlign w:val="superscript"/>
        </w:rPr>
        <w:t>10</w:t>
      </w:r>
      <w:r>
        <w:rPr>
          <w:i/>
          <w:iCs/>
        </w:rPr>
        <w:t xml:space="preserve"> 120,000 to &lt; 130,000</w:t>
      </w:r>
    </w:p>
    <w:p w14:paraId="7CB0E05A" w14:textId="3101EAE9" w:rsidR="00067F7B" w:rsidRDefault="00067F7B" w:rsidP="00864C4B">
      <w:pPr>
        <w:pStyle w:val="TableFigureFooter"/>
        <w:rPr>
          <w:i/>
          <w:iCs/>
        </w:rPr>
      </w:pPr>
      <w:r>
        <w:rPr>
          <w:i/>
          <w:iCs/>
          <w:vertAlign w:val="superscript"/>
        </w:rPr>
        <w:t>11</w:t>
      </w:r>
      <w:r>
        <w:rPr>
          <w:i/>
          <w:iCs/>
        </w:rPr>
        <w:t xml:space="preserve"> &lt; 500</w:t>
      </w:r>
    </w:p>
    <w:p w14:paraId="5D25AE0C" w14:textId="40F8A550" w:rsidR="00067F7B" w:rsidRDefault="00067F7B" w:rsidP="00864C4B">
      <w:pPr>
        <w:pStyle w:val="TableFigureFooter"/>
        <w:rPr>
          <w:i/>
          <w:iCs/>
        </w:rPr>
      </w:pPr>
      <w:r>
        <w:rPr>
          <w:i/>
          <w:iCs/>
          <w:vertAlign w:val="superscript"/>
        </w:rPr>
        <w:t xml:space="preserve">12 </w:t>
      </w:r>
      <w:r w:rsidR="00153D54" w:rsidRPr="00153D54">
        <w:rPr>
          <w:i/>
          <w:iCs/>
        </w:rPr>
        <w:t>50</w:t>
      </w:r>
      <w:r w:rsidR="00153D54">
        <w:rPr>
          <w:i/>
          <w:iCs/>
        </w:rPr>
        <w:t>,000 to &lt; 60,000</w:t>
      </w:r>
    </w:p>
    <w:p w14:paraId="0A6A1462" w14:textId="6E156495" w:rsidR="00153D54" w:rsidRDefault="00153D54" w:rsidP="00864C4B">
      <w:pPr>
        <w:pStyle w:val="TableFigureFooter"/>
        <w:rPr>
          <w:i/>
          <w:iCs/>
        </w:rPr>
      </w:pPr>
      <w:r>
        <w:rPr>
          <w:i/>
          <w:iCs/>
          <w:vertAlign w:val="superscript"/>
        </w:rPr>
        <w:t>13</w:t>
      </w:r>
      <w:r>
        <w:rPr>
          <w:i/>
          <w:iCs/>
        </w:rPr>
        <w:t xml:space="preserve"> </w:t>
      </w:r>
      <w:r w:rsidR="009D0C7D">
        <w:rPr>
          <w:i/>
          <w:iCs/>
        </w:rPr>
        <w:t>70,000 to &lt; 80,000</w:t>
      </w:r>
    </w:p>
    <w:p w14:paraId="5BBBB6FA" w14:textId="5C55687A" w:rsidR="009D0C7D" w:rsidRDefault="009D0C7D" w:rsidP="00864C4B">
      <w:pPr>
        <w:pStyle w:val="TableFigureFooter"/>
        <w:rPr>
          <w:i/>
          <w:iCs/>
        </w:rPr>
      </w:pPr>
      <w:r>
        <w:rPr>
          <w:i/>
          <w:iCs/>
          <w:vertAlign w:val="superscript"/>
        </w:rPr>
        <w:t>14</w:t>
      </w:r>
      <w:r>
        <w:rPr>
          <w:i/>
          <w:iCs/>
        </w:rPr>
        <w:t xml:space="preserve"> </w:t>
      </w:r>
      <w:r w:rsidR="00C97675">
        <w:rPr>
          <w:i/>
          <w:iCs/>
        </w:rPr>
        <w:t>$20 million to &lt; $30 million</w:t>
      </w:r>
    </w:p>
    <w:p w14:paraId="0CFEC30D" w14:textId="40C3C7FC" w:rsidR="00C97675" w:rsidRDefault="00C97675" w:rsidP="00864C4B">
      <w:pPr>
        <w:pStyle w:val="TableFigureFooter"/>
        <w:rPr>
          <w:i/>
          <w:iCs/>
        </w:rPr>
      </w:pPr>
      <w:r>
        <w:rPr>
          <w:i/>
          <w:iCs/>
          <w:vertAlign w:val="superscript"/>
        </w:rPr>
        <w:t xml:space="preserve">15 </w:t>
      </w:r>
      <w:r w:rsidR="00D14B48">
        <w:rPr>
          <w:i/>
          <w:iCs/>
        </w:rPr>
        <w:t>$50 million to &lt; $60 million</w:t>
      </w:r>
    </w:p>
    <w:p w14:paraId="1760C6EE" w14:textId="39D2FDE3" w:rsidR="00D14B48" w:rsidRDefault="00D14B48" w:rsidP="00864C4B">
      <w:pPr>
        <w:pStyle w:val="TableFigureFooter"/>
        <w:rPr>
          <w:i/>
          <w:iCs/>
        </w:rPr>
      </w:pPr>
      <w:r>
        <w:rPr>
          <w:i/>
          <w:iCs/>
          <w:vertAlign w:val="superscript"/>
        </w:rPr>
        <w:t>16</w:t>
      </w:r>
      <w:r>
        <w:rPr>
          <w:i/>
          <w:iCs/>
        </w:rPr>
        <w:t xml:space="preserve"> $</w:t>
      </w:r>
      <w:r w:rsidR="0075000D">
        <w:rPr>
          <w:i/>
          <w:iCs/>
        </w:rPr>
        <w:t>60 million to &lt; $70 million</w:t>
      </w:r>
    </w:p>
    <w:p w14:paraId="63EE675C" w14:textId="57A51904" w:rsidR="0075000D" w:rsidRDefault="0075000D" w:rsidP="00864C4B">
      <w:pPr>
        <w:pStyle w:val="TableFigureFooter"/>
        <w:rPr>
          <w:i/>
          <w:iCs/>
        </w:rPr>
      </w:pPr>
      <w:r>
        <w:rPr>
          <w:i/>
          <w:iCs/>
          <w:vertAlign w:val="superscript"/>
        </w:rPr>
        <w:t>17</w:t>
      </w:r>
      <w:r>
        <w:rPr>
          <w:i/>
          <w:iCs/>
        </w:rPr>
        <w:t xml:space="preserve"> $70 million to &lt; $80 million</w:t>
      </w:r>
    </w:p>
    <w:p w14:paraId="432B5E40" w14:textId="087FC460" w:rsidR="0075000D" w:rsidRDefault="0075000D" w:rsidP="00864C4B">
      <w:pPr>
        <w:pStyle w:val="TableFigureFooter"/>
        <w:rPr>
          <w:i/>
          <w:iCs/>
        </w:rPr>
      </w:pPr>
      <w:r>
        <w:rPr>
          <w:i/>
          <w:iCs/>
          <w:vertAlign w:val="superscript"/>
        </w:rPr>
        <w:t xml:space="preserve">18 </w:t>
      </w:r>
      <w:r>
        <w:rPr>
          <w:i/>
          <w:iCs/>
        </w:rPr>
        <w:t>$</w:t>
      </w:r>
      <w:r w:rsidR="0031686E">
        <w:rPr>
          <w:i/>
          <w:iCs/>
        </w:rPr>
        <w:t>80 million to &lt; $90 million</w:t>
      </w:r>
    </w:p>
    <w:p w14:paraId="47A435D8" w14:textId="0F6C8C06" w:rsidR="0031686E" w:rsidRDefault="0031686E" w:rsidP="00864C4B">
      <w:pPr>
        <w:pStyle w:val="TableFigureFooter"/>
        <w:rPr>
          <w:i/>
          <w:iCs/>
        </w:rPr>
      </w:pPr>
      <w:r>
        <w:rPr>
          <w:i/>
          <w:iCs/>
          <w:vertAlign w:val="superscript"/>
        </w:rPr>
        <w:t>19</w:t>
      </w:r>
      <w:r>
        <w:rPr>
          <w:i/>
          <w:iCs/>
        </w:rPr>
        <w:t xml:space="preserve"> $</w:t>
      </w:r>
      <w:r w:rsidR="00874265">
        <w:rPr>
          <w:i/>
          <w:iCs/>
        </w:rPr>
        <w:t>0 to &lt; $10 million</w:t>
      </w:r>
    </w:p>
    <w:p w14:paraId="37EDA8C7" w14:textId="63706409" w:rsidR="00874265" w:rsidRDefault="00874265" w:rsidP="00864C4B">
      <w:pPr>
        <w:pStyle w:val="TableFigureFooter"/>
        <w:rPr>
          <w:i/>
          <w:iCs/>
        </w:rPr>
      </w:pPr>
      <w:r>
        <w:rPr>
          <w:i/>
          <w:iCs/>
          <w:vertAlign w:val="superscript"/>
        </w:rPr>
        <w:t>20</w:t>
      </w:r>
      <w:r>
        <w:rPr>
          <w:i/>
          <w:iCs/>
        </w:rPr>
        <w:t xml:space="preserve"> $</w:t>
      </w:r>
      <w:r w:rsidR="00AF79EE">
        <w:rPr>
          <w:i/>
          <w:iCs/>
        </w:rPr>
        <w:t>10 million to &lt; $20 million</w:t>
      </w:r>
    </w:p>
    <w:p w14:paraId="64DDC5CB" w14:textId="122F7C8F" w:rsidR="00AF79EE" w:rsidRDefault="00AF79EE" w:rsidP="00864C4B">
      <w:pPr>
        <w:pStyle w:val="TableFigureFooter"/>
        <w:rPr>
          <w:i/>
          <w:iCs/>
        </w:rPr>
      </w:pPr>
      <w:r>
        <w:rPr>
          <w:i/>
          <w:iCs/>
          <w:vertAlign w:val="superscript"/>
        </w:rPr>
        <w:t>21</w:t>
      </w:r>
      <w:r>
        <w:rPr>
          <w:i/>
          <w:iCs/>
        </w:rPr>
        <w:t xml:space="preserve"> $</w:t>
      </w:r>
      <w:r w:rsidR="009D03AA">
        <w:rPr>
          <w:i/>
          <w:iCs/>
        </w:rPr>
        <w:t>30 million to &lt; $40 million</w:t>
      </w:r>
    </w:p>
    <w:p w14:paraId="039A6CFE" w14:textId="48EE52FC" w:rsidR="00AB0B3D" w:rsidRPr="00AB0B3D" w:rsidRDefault="009D03AA" w:rsidP="00864C4B">
      <w:pPr>
        <w:pStyle w:val="TableFigureFooter"/>
        <w:rPr>
          <w:i/>
          <w:iCs/>
        </w:rPr>
      </w:pPr>
      <w:r>
        <w:rPr>
          <w:i/>
          <w:iCs/>
          <w:vertAlign w:val="superscript"/>
        </w:rPr>
        <w:t>22</w:t>
      </w:r>
      <w:r>
        <w:rPr>
          <w:i/>
          <w:iCs/>
        </w:rPr>
        <w:t xml:space="preserve"> $</w:t>
      </w:r>
      <w:r w:rsidR="009E1BF7">
        <w:rPr>
          <w:i/>
          <w:iCs/>
        </w:rPr>
        <w:t>90 million to &lt; $100 million</w:t>
      </w:r>
    </w:p>
    <w:p w14:paraId="62E42030" w14:textId="62B52BCB" w:rsidR="0095220A" w:rsidRDefault="001D523F" w:rsidP="00864C4B">
      <w:pPr>
        <w:pStyle w:val="3-BodyText"/>
      </w:pPr>
      <w:r w:rsidRPr="00007450">
        <w:t xml:space="preserve">The total cost to the PBS/RPBS of listing ribociclib was estimated to be </w:t>
      </w:r>
      <w:r w:rsidR="00866234" w:rsidRPr="00007450">
        <w:t>$</w:t>
      </w:r>
      <w:r w:rsidR="008A7B3C">
        <w:t>30 million to &lt; $40 million</w:t>
      </w:r>
      <w:r w:rsidR="00866234" w:rsidRPr="00007450">
        <w:t xml:space="preserve"> in first </w:t>
      </w:r>
      <w:r w:rsidR="001A4193" w:rsidRPr="00007450">
        <w:t>year</w:t>
      </w:r>
      <w:r w:rsidR="00866234" w:rsidRPr="00007450">
        <w:t xml:space="preserve"> of listing</w:t>
      </w:r>
      <w:r w:rsidR="001A4193" w:rsidRPr="00007450">
        <w:t xml:space="preserve">, increasing each year to </w:t>
      </w:r>
      <w:r w:rsidRPr="00007450">
        <w:t>$</w:t>
      </w:r>
      <w:r w:rsidR="008A7B3C">
        <w:t>90 million to &lt; $100 million</w:t>
      </w:r>
      <w:r w:rsidRPr="00007450">
        <w:t xml:space="preserve"> in Year 6, total</w:t>
      </w:r>
      <w:r w:rsidR="0091522A" w:rsidRPr="00007450">
        <w:t>ling</w:t>
      </w:r>
      <w:r w:rsidRPr="00007450">
        <w:t xml:space="preserve"> $</w:t>
      </w:r>
      <w:r w:rsidR="008A7B3C">
        <w:t>400 million to &lt; $500 million</w:t>
      </w:r>
      <w:r w:rsidRPr="00007450">
        <w:t xml:space="preserve"> </w:t>
      </w:r>
      <w:r w:rsidR="0091522A" w:rsidRPr="00007450">
        <w:t xml:space="preserve">during </w:t>
      </w:r>
      <w:r w:rsidRPr="00007450">
        <w:t>the first 6 years of listing.</w:t>
      </w:r>
      <w:bookmarkStart w:id="87" w:name="_Ref194671993"/>
      <w:bookmarkStart w:id="88" w:name="_Ref201638671"/>
    </w:p>
    <w:p w14:paraId="056EA1EC" w14:textId="7A2E15F2" w:rsidR="00E824C8" w:rsidRDefault="001D523F" w:rsidP="00864C4B">
      <w:pPr>
        <w:pStyle w:val="3-BodyText"/>
      </w:pPr>
      <w:bookmarkStart w:id="89" w:name="_Ref205352196"/>
      <w:r w:rsidRPr="00007450">
        <w:t xml:space="preserve">Breast cancer incidence was estimated over the projected period by applying an annual </w:t>
      </w:r>
      <w:r w:rsidR="00026FA7" w:rsidRPr="00007450">
        <w:t xml:space="preserve">incidence </w:t>
      </w:r>
      <w:r w:rsidRPr="00007450">
        <w:t>growth rate (</w:t>
      </w:r>
      <w:r w:rsidR="00B451EF" w:rsidRPr="00007450">
        <w:t>3.36%, based on breast cancer incidence projections between 2016–2020)</w:t>
      </w:r>
      <w:r w:rsidR="00981305" w:rsidRPr="00007450">
        <w:t xml:space="preserve"> (AIHW, 2020)</w:t>
      </w:r>
      <w:r w:rsidR="00B451EF" w:rsidRPr="00DC171C">
        <w:rPr>
          <w:vertAlign w:val="superscript"/>
        </w:rPr>
        <w:fldChar w:fldCharType="begin"/>
      </w:r>
      <w:r w:rsidR="00B451EF" w:rsidRPr="00DC171C">
        <w:rPr>
          <w:vertAlign w:val="superscript"/>
        </w:rPr>
        <w:instrText xml:space="preserve"> NOTEREF _Ref198281750 \h  \* MERGEFORMAT </w:instrText>
      </w:r>
      <w:r w:rsidR="00B451EF" w:rsidRPr="00DC171C">
        <w:rPr>
          <w:vertAlign w:val="superscript"/>
        </w:rPr>
      </w:r>
      <w:r w:rsidR="00B451EF" w:rsidRPr="00DC171C">
        <w:rPr>
          <w:vertAlign w:val="superscript"/>
        </w:rPr>
        <w:fldChar w:fldCharType="separate"/>
      </w:r>
      <w:r w:rsidR="00B36442">
        <w:rPr>
          <w:vertAlign w:val="superscript"/>
        </w:rPr>
        <w:t>18</w:t>
      </w:r>
      <w:r w:rsidR="00B451EF" w:rsidRPr="00DC171C">
        <w:rPr>
          <w:vertAlign w:val="superscript"/>
        </w:rPr>
        <w:fldChar w:fldCharType="end"/>
      </w:r>
      <w:r w:rsidRPr="00007450">
        <w:t xml:space="preserve"> to the number of new cases of breast cancer diagnosed in women in Australia in 2016</w:t>
      </w:r>
      <w:r w:rsidR="00B73AA2" w:rsidRPr="00007450">
        <w:t xml:space="preserve"> (AIHW, 2020)</w:t>
      </w:r>
      <w:r w:rsidR="00B451EF" w:rsidRPr="00DC171C">
        <w:rPr>
          <w:vertAlign w:val="superscript"/>
        </w:rPr>
        <w:fldChar w:fldCharType="begin"/>
      </w:r>
      <w:r w:rsidR="00B451EF" w:rsidRPr="00DC171C">
        <w:rPr>
          <w:vertAlign w:val="superscript"/>
        </w:rPr>
        <w:instrText xml:space="preserve"> NOTEREF _Ref198281750 \h  \* MERGEFORMAT </w:instrText>
      </w:r>
      <w:r w:rsidR="00B451EF" w:rsidRPr="00DC171C">
        <w:rPr>
          <w:vertAlign w:val="superscript"/>
        </w:rPr>
      </w:r>
      <w:r w:rsidR="00B451EF" w:rsidRPr="00DC171C">
        <w:rPr>
          <w:vertAlign w:val="superscript"/>
        </w:rPr>
        <w:fldChar w:fldCharType="separate"/>
      </w:r>
      <w:r w:rsidR="00B36442">
        <w:rPr>
          <w:vertAlign w:val="superscript"/>
        </w:rPr>
        <w:t>18</w:t>
      </w:r>
      <w:r w:rsidR="00B451EF" w:rsidRPr="00DC171C">
        <w:rPr>
          <w:vertAlign w:val="superscript"/>
        </w:rPr>
        <w:fldChar w:fldCharType="end"/>
      </w:r>
      <w:r w:rsidR="00981305" w:rsidRPr="00007450">
        <w:t>.</w:t>
      </w:r>
      <w:r w:rsidRPr="00007450">
        <w:t xml:space="preserve"> </w:t>
      </w:r>
      <w:r w:rsidR="00B451EF" w:rsidRPr="00007450">
        <w:t xml:space="preserve">While this was consistent with previous submissions presented to the PBAC (Table 16, ribociclib PSD, November 2024 PBAC meeting; Table 15, abemaciclib PSD, November 2023 PBAC meeting), </w:t>
      </w:r>
      <w:r w:rsidR="00125100" w:rsidRPr="00007450">
        <w:t>recent</w:t>
      </w:r>
      <w:r w:rsidR="00562D33" w:rsidRPr="00007450">
        <w:t xml:space="preserve"> </w:t>
      </w:r>
      <w:r w:rsidR="00981305" w:rsidRPr="00007450">
        <w:t>data published</w:t>
      </w:r>
      <w:r w:rsidR="00125100" w:rsidRPr="00007450">
        <w:t xml:space="preserve"> by the </w:t>
      </w:r>
      <w:r w:rsidRPr="00007450">
        <w:t xml:space="preserve">AIHW </w:t>
      </w:r>
      <w:r w:rsidR="00981305" w:rsidRPr="00007450">
        <w:t>(2024)</w:t>
      </w:r>
      <w:r w:rsidR="00981305" w:rsidRPr="00007450">
        <w:rPr>
          <w:rStyle w:val="FootnoteReference"/>
        </w:rPr>
        <w:fldChar w:fldCharType="begin"/>
      </w:r>
      <w:r w:rsidR="00981305" w:rsidRPr="00DC171C">
        <w:rPr>
          <w:vertAlign w:val="superscript"/>
        </w:rPr>
        <w:instrText xml:space="preserve"> NOTEREF _Ref198280852 \h </w:instrText>
      </w:r>
      <w:r w:rsidR="00981305" w:rsidRPr="00007450">
        <w:rPr>
          <w:rStyle w:val="FootnoteReference"/>
        </w:rPr>
        <w:instrText xml:space="preserve"> \* MERGEFORMAT </w:instrText>
      </w:r>
      <w:r w:rsidR="00981305" w:rsidRPr="00007450">
        <w:rPr>
          <w:rStyle w:val="FootnoteReference"/>
        </w:rPr>
      </w:r>
      <w:r w:rsidR="00981305" w:rsidRPr="00007450">
        <w:rPr>
          <w:rStyle w:val="FootnoteReference"/>
        </w:rPr>
        <w:fldChar w:fldCharType="separate"/>
      </w:r>
      <w:r w:rsidR="00B36442">
        <w:rPr>
          <w:vertAlign w:val="superscript"/>
        </w:rPr>
        <w:t>19</w:t>
      </w:r>
      <w:r w:rsidR="00981305" w:rsidRPr="00007450">
        <w:rPr>
          <w:rStyle w:val="FootnoteReference"/>
        </w:rPr>
        <w:fldChar w:fldCharType="end"/>
      </w:r>
      <w:r w:rsidR="00B36DD5" w:rsidRPr="00007450">
        <w:t xml:space="preserve"> </w:t>
      </w:r>
      <w:r w:rsidRPr="00007450">
        <w:t>reported actual and projected estimates of breast cancer incidence to 2024, suggesting that incidence in the submission</w:t>
      </w:r>
      <w:r w:rsidR="00125100" w:rsidRPr="00007450">
        <w:t xml:space="preserve"> may have</w:t>
      </w:r>
      <w:r w:rsidRPr="00007450">
        <w:t xml:space="preserve"> been overestimated (</w:t>
      </w:r>
      <w:r w:rsidRPr="00DC171C">
        <w:rPr>
          <w:highlight w:val="yellow"/>
        </w:rPr>
        <w:fldChar w:fldCharType="begin"/>
      </w:r>
      <w:r w:rsidRPr="00007450">
        <w:instrText xml:space="preserve"> REF _Ref194671931 \h </w:instrText>
      </w:r>
      <w:r w:rsidRPr="00DC171C">
        <w:rPr>
          <w:highlight w:val="yellow"/>
        </w:rPr>
        <w:instrText xml:space="preserve"> \* MERGEFORMAT </w:instrText>
      </w:r>
      <w:r w:rsidRPr="00DC171C">
        <w:rPr>
          <w:highlight w:val="yellow"/>
        </w:rPr>
      </w:r>
      <w:r w:rsidRPr="00DC171C">
        <w:rPr>
          <w:highlight w:val="yellow"/>
        </w:rPr>
        <w:fldChar w:fldCharType="separate"/>
      </w:r>
      <w:r w:rsidR="00B36442" w:rsidRPr="00007450">
        <w:t xml:space="preserve">Table </w:t>
      </w:r>
      <w:r w:rsidR="00B36442">
        <w:rPr>
          <w:noProof/>
        </w:rPr>
        <w:t>19</w:t>
      </w:r>
      <w:r w:rsidRPr="00DC171C">
        <w:rPr>
          <w:highlight w:val="yellow"/>
        </w:rPr>
        <w:fldChar w:fldCharType="end"/>
      </w:r>
      <w:r w:rsidRPr="00007450">
        <w:t>). Using projections of AIHW</w:t>
      </w:r>
      <w:r w:rsidR="00E5764B" w:rsidRPr="00007450">
        <w:t xml:space="preserve"> (2024)</w:t>
      </w:r>
      <w:r w:rsidR="00981305" w:rsidRPr="00007450">
        <w:rPr>
          <w:rStyle w:val="FootnoteReference"/>
        </w:rPr>
        <w:fldChar w:fldCharType="begin"/>
      </w:r>
      <w:r w:rsidR="00981305" w:rsidRPr="00DC171C">
        <w:rPr>
          <w:vertAlign w:val="superscript"/>
        </w:rPr>
        <w:instrText xml:space="preserve"> NOTEREF _Ref198280852 \h </w:instrText>
      </w:r>
      <w:r w:rsidR="00981305" w:rsidRPr="00007450">
        <w:rPr>
          <w:rStyle w:val="FootnoteReference"/>
        </w:rPr>
        <w:instrText xml:space="preserve"> \* MERGEFORMAT </w:instrText>
      </w:r>
      <w:r w:rsidR="00981305" w:rsidRPr="00007450">
        <w:rPr>
          <w:rStyle w:val="FootnoteReference"/>
        </w:rPr>
      </w:r>
      <w:r w:rsidR="00981305" w:rsidRPr="00007450">
        <w:rPr>
          <w:rStyle w:val="FootnoteReference"/>
        </w:rPr>
        <w:fldChar w:fldCharType="separate"/>
      </w:r>
      <w:r w:rsidR="00B36442">
        <w:rPr>
          <w:vertAlign w:val="superscript"/>
        </w:rPr>
        <w:t>19</w:t>
      </w:r>
      <w:r w:rsidR="00981305" w:rsidRPr="00007450">
        <w:rPr>
          <w:rStyle w:val="FootnoteReference"/>
        </w:rPr>
        <w:fldChar w:fldCharType="end"/>
      </w:r>
      <w:r w:rsidRPr="00007450">
        <w:t xml:space="preserve"> data resulted in an annual </w:t>
      </w:r>
      <w:r w:rsidRPr="002976C3">
        <w:t>9–14</w:t>
      </w:r>
      <w:r w:rsidRPr="00007450">
        <w:t>% decrease in the estimated financial impact to the PBS/RPBS (</w:t>
      </w:r>
      <w:r w:rsidRPr="00DC171C">
        <w:rPr>
          <w:highlight w:val="yellow"/>
        </w:rPr>
        <w:fldChar w:fldCharType="begin"/>
      </w:r>
      <w:r w:rsidRPr="00007450">
        <w:instrText xml:space="preserve"> REF _Ref194671946 \h </w:instrText>
      </w:r>
      <w:r w:rsidRPr="00DC171C">
        <w:rPr>
          <w:highlight w:val="yellow"/>
        </w:rPr>
        <w:instrText xml:space="preserve"> \* MERGEFORMAT </w:instrText>
      </w:r>
      <w:r w:rsidRPr="00DC171C">
        <w:rPr>
          <w:highlight w:val="yellow"/>
        </w:rPr>
      </w:r>
      <w:r w:rsidRPr="00DC171C">
        <w:rPr>
          <w:highlight w:val="yellow"/>
        </w:rPr>
        <w:fldChar w:fldCharType="separate"/>
      </w:r>
      <w:r w:rsidR="00B36442" w:rsidRPr="00007450">
        <w:t xml:space="preserve">Table </w:t>
      </w:r>
      <w:r w:rsidR="00B36442">
        <w:rPr>
          <w:noProof/>
        </w:rPr>
        <w:t>20</w:t>
      </w:r>
      <w:r w:rsidRPr="00DC171C">
        <w:rPr>
          <w:highlight w:val="yellow"/>
        </w:rPr>
        <w:fldChar w:fldCharType="end"/>
      </w:r>
      <w:r w:rsidRPr="00007450">
        <w:t>).</w:t>
      </w:r>
      <w:bookmarkEnd w:id="87"/>
      <w:r w:rsidR="00FB6CBE" w:rsidRPr="00007450">
        <w:t xml:space="preserve"> </w:t>
      </w:r>
      <w:r w:rsidR="00E824C8" w:rsidRPr="00007450">
        <w:t xml:space="preserve">The PSCR </w:t>
      </w:r>
      <w:r w:rsidR="00817A27" w:rsidRPr="00007450">
        <w:t xml:space="preserve">acknowledged </w:t>
      </w:r>
      <w:r w:rsidR="00E824C8" w:rsidRPr="00007450">
        <w:t xml:space="preserve">that </w:t>
      </w:r>
      <w:r w:rsidR="00817A27" w:rsidRPr="00007450">
        <w:t>more recent projections have been pu</w:t>
      </w:r>
      <w:r w:rsidR="00F75350" w:rsidRPr="00007450">
        <w:t xml:space="preserve">blished. However, the PSCR argued </w:t>
      </w:r>
      <w:r w:rsidR="00615DAE" w:rsidRPr="00007450">
        <w:t xml:space="preserve">that </w:t>
      </w:r>
      <w:r w:rsidR="00CC7C62" w:rsidRPr="00007450">
        <w:t>the incidence projections</w:t>
      </w:r>
      <w:r w:rsidR="00615DAE" w:rsidRPr="00007450">
        <w:t xml:space="preserve"> should be estimated</w:t>
      </w:r>
      <w:r w:rsidR="00CC7C62" w:rsidRPr="00007450">
        <w:t xml:space="preserve"> using th</w:t>
      </w:r>
      <w:r w:rsidR="00725CBF" w:rsidRPr="00007450">
        <w:t>e</w:t>
      </w:r>
      <w:r w:rsidR="00CC7C62" w:rsidRPr="00007450">
        <w:t xml:space="preserve"> same data source and methods</w:t>
      </w:r>
      <w:r w:rsidR="00615DAE" w:rsidRPr="00007450">
        <w:t xml:space="preserve"> as was used </w:t>
      </w:r>
      <w:r w:rsidR="00FD359F">
        <w:t xml:space="preserve">previously </w:t>
      </w:r>
      <w:r w:rsidR="00615DAE" w:rsidRPr="00007450">
        <w:t>for abemaciclib and ribociclib</w:t>
      </w:r>
      <w:r w:rsidR="00725CBF" w:rsidRPr="00007450">
        <w:t>.</w:t>
      </w:r>
      <w:r w:rsidR="00913766" w:rsidRPr="00007450">
        <w:t xml:space="preserve"> </w:t>
      </w:r>
      <w:r w:rsidR="00B27638" w:rsidRPr="00007450">
        <w:t>T</w:t>
      </w:r>
      <w:r w:rsidR="00A04070" w:rsidRPr="00007450">
        <w:t>he</w:t>
      </w:r>
      <w:r w:rsidR="00E43F78" w:rsidRPr="00007450">
        <w:t xml:space="preserve"> ESC considered it would be preferable to estimate </w:t>
      </w:r>
      <w:r w:rsidR="00A04070" w:rsidRPr="00007450">
        <w:t>incidence</w:t>
      </w:r>
      <w:r w:rsidR="00E43F78" w:rsidRPr="00007450">
        <w:t xml:space="preserve"> using the most recent projection</w:t>
      </w:r>
      <w:r w:rsidR="005003E5" w:rsidRPr="00007450">
        <w:t>s.</w:t>
      </w:r>
      <w:bookmarkEnd w:id="88"/>
      <w:bookmarkEnd w:id="89"/>
      <w:r w:rsidR="00AB1D6F">
        <w:t xml:space="preserve"> </w:t>
      </w:r>
    </w:p>
    <w:p w14:paraId="20376A7B" w14:textId="69B04DCD" w:rsidR="001D523F" w:rsidRPr="00007450" w:rsidRDefault="001D523F" w:rsidP="00864C4B">
      <w:pPr>
        <w:pStyle w:val="TableFigureHeading"/>
        <w:spacing w:before="120"/>
      </w:pPr>
      <w:bookmarkStart w:id="90" w:name="_Ref194671931"/>
      <w:r w:rsidRPr="00007450">
        <w:t xml:space="preserve">Table </w:t>
      </w:r>
      <w:r w:rsidR="001C7776">
        <w:fldChar w:fldCharType="begin"/>
      </w:r>
      <w:r w:rsidR="001C7776">
        <w:instrText xml:space="preserve"> SEQ Table \* ARABIC </w:instrText>
      </w:r>
      <w:r w:rsidR="001C7776">
        <w:fldChar w:fldCharType="separate"/>
      </w:r>
      <w:r w:rsidR="00B36442">
        <w:rPr>
          <w:noProof/>
        </w:rPr>
        <w:t>19</w:t>
      </w:r>
      <w:r w:rsidR="001C7776">
        <w:rPr>
          <w:noProof/>
        </w:rPr>
        <w:fldChar w:fldCharType="end"/>
      </w:r>
      <w:bookmarkEnd w:id="90"/>
      <w:r w:rsidRPr="00007450">
        <w:t>:</w:t>
      </w:r>
      <w:r w:rsidRPr="00007450">
        <w:rPr>
          <w:rStyle w:val="CommentReference"/>
          <w:b/>
          <w:szCs w:val="24"/>
        </w:rPr>
        <w:t xml:space="preserve"> </w:t>
      </w:r>
      <w:r w:rsidRPr="00007450">
        <w:t>Breast cancer incidence estimated in the submission relative to those reported by the AIHW</w:t>
      </w:r>
      <w:r w:rsidR="00981305" w:rsidRPr="00007450">
        <w:rPr>
          <w:rStyle w:val="FootnoteReference"/>
        </w:rPr>
        <w:fldChar w:fldCharType="begin"/>
      </w:r>
      <w:r w:rsidR="00981305" w:rsidRPr="00007450">
        <w:rPr>
          <w:vertAlign w:val="superscript"/>
        </w:rPr>
        <w:instrText xml:space="preserve"> NOTEREF _Ref198280852 \h </w:instrText>
      </w:r>
      <w:r w:rsidR="00981305" w:rsidRPr="00007450">
        <w:rPr>
          <w:rStyle w:val="FootnoteReference"/>
        </w:rPr>
        <w:instrText xml:space="preserve"> \* MERGEFORMAT </w:instrText>
      </w:r>
      <w:r w:rsidR="00981305" w:rsidRPr="00007450">
        <w:rPr>
          <w:rStyle w:val="FootnoteReference"/>
        </w:rPr>
      </w:r>
      <w:r w:rsidR="00981305" w:rsidRPr="00007450">
        <w:rPr>
          <w:rStyle w:val="FootnoteReference"/>
        </w:rPr>
        <w:fldChar w:fldCharType="separate"/>
      </w:r>
      <w:r w:rsidR="00B36442">
        <w:rPr>
          <w:vertAlign w:val="superscript"/>
        </w:rPr>
        <w:t>19</w:t>
      </w:r>
      <w:r w:rsidR="00981305" w:rsidRPr="00007450">
        <w:rPr>
          <w:rStyle w:val="FootnoteReference"/>
        </w:rPr>
        <w:fldChar w:fldCharType="end"/>
      </w:r>
    </w:p>
    <w:tbl>
      <w:tblPr>
        <w:tblStyle w:val="TableGrid"/>
        <w:tblW w:w="5000" w:type="pct"/>
        <w:tblLayout w:type="fixed"/>
        <w:tblLook w:val="04A0" w:firstRow="1" w:lastRow="0" w:firstColumn="1" w:lastColumn="0" w:noHBand="0" w:noVBand="1"/>
        <w:tblCaption w:val="Table 19: Breast cancer incidence estimated in the submission relative to those reported by the AIHW"/>
      </w:tblPr>
      <w:tblGrid>
        <w:gridCol w:w="2407"/>
        <w:gridCol w:w="734"/>
        <w:gridCol w:w="734"/>
        <w:gridCol w:w="736"/>
        <w:gridCol w:w="734"/>
        <w:gridCol w:w="736"/>
        <w:gridCol w:w="734"/>
        <w:gridCol w:w="736"/>
        <w:gridCol w:w="734"/>
        <w:gridCol w:w="732"/>
      </w:tblGrid>
      <w:tr w:rsidR="001D523F" w:rsidRPr="00007450" w14:paraId="785B6006" w14:textId="77777777">
        <w:tc>
          <w:tcPr>
            <w:tcW w:w="1335" w:type="pct"/>
            <w:noWrap/>
            <w:hideMark/>
          </w:tcPr>
          <w:p w14:paraId="08FCC714" w14:textId="77777777" w:rsidR="001D523F" w:rsidRPr="00007450" w:rsidRDefault="001D523F" w:rsidP="00864C4B">
            <w:pPr>
              <w:pStyle w:val="TableFigureHeading"/>
            </w:pPr>
          </w:p>
        </w:tc>
        <w:tc>
          <w:tcPr>
            <w:tcW w:w="407" w:type="pct"/>
            <w:noWrap/>
            <w:hideMark/>
          </w:tcPr>
          <w:p w14:paraId="646E0E4C" w14:textId="77777777" w:rsidR="001D523F" w:rsidRPr="00007450" w:rsidRDefault="001D523F" w:rsidP="00864C4B">
            <w:pPr>
              <w:pStyle w:val="TableFigureHeading"/>
              <w:jc w:val="center"/>
            </w:pPr>
            <w:r w:rsidRPr="00007450">
              <w:t>2016</w:t>
            </w:r>
          </w:p>
        </w:tc>
        <w:tc>
          <w:tcPr>
            <w:tcW w:w="407" w:type="pct"/>
            <w:noWrap/>
            <w:hideMark/>
          </w:tcPr>
          <w:p w14:paraId="6D27771D" w14:textId="77777777" w:rsidR="001D523F" w:rsidRPr="00007450" w:rsidRDefault="001D523F" w:rsidP="00864C4B">
            <w:pPr>
              <w:pStyle w:val="TableFigureHeading"/>
              <w:jc w:val="center"/>
            </w:pPr>
            <w:r w:rsidRPr="00007450">
              <w:t>2017</w:t>
            </w:r>
          </w:p>
        </w:tc>
        <w:tc>
          <w:tcPr>
            <w:tcW w:w="408" w:type="pct"/>
            <w:noWrap/>
            <w:hideMark/>
          </w:tcPr>
          <w:p w14:paraId="1E1176E4" w14:textId="77777777" w:rsidR="001D523F" w:rsidRPr="00007450" w:rsidRDefault="001D523F" w:rsidP="00864C4B">
            <w:pPr>
              <w:pStyle w:val="TableFigureHeading"/>
              <w:jc w:val="center"/>
            </w:pPr>
            <w:r w:rsidRPr="00007450">
              <w:t>2018</w:t>
            </w:r>
          </w:p>
        </w:tc>
        <w:tc>
          <w:tcPr>
            <w:tcW w:w="407" w:type="pct"/>
            <w:noWrap/>
            <w:hideMark/>
          </w:tcPr>
          <w:p w14:paraId="1F0ADD46" w14:textId="77777777" w:rsidR="001D523F" w:rsidRPr="00007450" w:rsidRDefault="001D523F" w:rsidP="00864C4B">
            <w:pPr>
              <w:pStyle w:val="TableFigureHeading"/>
              <w:jc w:val="center"/>
            </w:pPr>
            <w:r w:rsidRPr="00007450">
              <w:t>2019</w:t>
            </w:r>
          </w:p>
        </w:tc>
        <w:tc>
          <w:tcPr>
            <w:tcW w:w="408" w:type="pct"/>
            <w:noWrap/>
            <w:hideMark/>
          </w:tcPr>
          <w:p w14:paraId="7ED7951A" w14:textId="77777777" w:rsidR="001D523F" w:rsidRPr="00007450" w:rsidRDefault="001D523F" w:rsidP="00864C4B">
            <w:pPr>
              <w:pStyle w:val="TableFigureHeading"/>
              <w:jc w:val="center"/>
            </w:pPr>
            <w:r w:rsidRPr="00007450">
              <w:t>2020</w:t>
            </w:r>
          </w:p>
        </w:tc>
        <w:tc>
          <w:tcPr>
            <w:tcW w:w="407" w:type="pct"/>
            <w:noWrap/>
            <w:hideMark/>
          </w:tcPr>
          <w:p w14:paraId="2F7FFC02" w14:textId="77777777" w:rsidR="001D523F" w:rsidRPr="00007450" w:rsidRDefault="001D523F" w:rsidP="00864C4B">
            <w:pPr>
              <w:pStyle w:val="TableFigureHeading"/>
              <w:jc w:val="center"/>
            </w:pPr>
            <w:r w:rsidRPr="00007450">
              <w:t>2021</w:t>
            </w:r>
          </w:p>
        </w:tc>
        <w:tc>
          <w:tcPr>
            <w:tcW w:w="408" w:type="pct"/>
            <w:noWrap/>
            <w:hideMark/>
          </w:tcPr>
          <w:p w14:paraId="5BF3B26A" w14:textId="77777777" w:rsidR="001D523F" w:rsidRPr="00007450" w:rsidRDefault="001D523F" w:rsidP="00864C4B">
            <w:pPr>
              <w:pStyle w:val="TableFigureHeading"/>
              <w:jc w:val="center"/>
            </w:pPr>
            <w:r w:rsidRPr="00007450">
              <w:t>2022</w:t>
            </w:r>
          </w:p>
        </w:tc>
        <w:tc>
          <w:tcPr>
            <w:tcW w:w="407" w:type="pct"/>
            <w:noWrap/>
            <w:hideMark/>
          </w:tcPr>
          <w:p w14:paraId="2F10769C" w14:textId="77777777" w:rsidR="001D523F" w:rsidRPr="00007450" w:rsidRDefault="001D523F" w:rsidP="00864C4B">
            <w:pPr>
              <w:pStyle w:val="TableFigureHeading"/>
              <w:jc w:val="center"/>
            </w:pPr>
            <w:r w:rsidRPr="00007450">
              <w:t>2023</w:t>
            </w:r>
          </w:p>
        </w:tc>
        <w:tc>
          <w:tcPr>
            <w:tcW w:w="408" w:type="pct"/>
            <w:noWrap/>
            <w:hideMark/>
          </w:tcPr>
          <w:p w14:paraId="25A2F9F1" w14:textId="77777777" w:rsidR="001D523F" w:rsidRPr="00007450" w:rsidRDefault="001D523F" w:rsidP="00864C4B">
            <w:pPr>
              <w:pStyle w:val="TableFigureHeading"/>
              <w:jc w:val="center"/>
            </w:pPr>
            <w:r w:rsidRPr="00007450">
              <w:t>2024</w:t>
            </w:r>
          </w:p>
        </w:tc>
      </w:tr>
      <w:tr w:rsidR="001D523F" w:rsidRPr="00007450" w14:paraId="1094631F" w14:textId="77777777">
        <w:tc>
          <w:tcPr>
            <w:tcW w:w="1335" w:type="pct"/>
            <w:noWrap/>
            <w:hideMark/>
          </w:tcPr>
          <w:p w14:paraId="647FBF56" w14:textId="77777777" w:rsidR="001D523F" w:rsidRPr="00007450" w:rsidRDefault="001D523F" w:rsidP="00864C4B">
            <w:pPr>
              <w:pStyle w:val="TableText0"/>
            </w:pPr>
            <w:r w:rsidRPr="00007450">
              <w:t>Breast cancer incidence (assuming 3.36% annual growth)</w:t>
            </w:r>
          </w:p>
        </w:tc>
        <w:tc>
          <w:tcPr>
            <w:tcW w:w="407" w:type="pct"/>
            <w:noWrap/>
            <w:hideMark/>
          </w:tcPr>
          <w:p w14:paraId="13DC3B82" w14:textId="77777777" w:rsidR="001D523F" w:rsidRPr="00007450" w:rsidRDefault="001D523F" w:rsidP="00864C4B">
            <w:pPr>
              <w:pStyle w:val="TableText0"/>
              <w:jc w:val="right"/>
            </w:pPr>
            <w:r w:rsidRPr="00007450">
              <w:t>17,354</w:t>
            </w:r>
          </w:p>
        </w:tc>
        <w:tc>
          <w:tcPr>
            <w:tcW w:w="407" w:type="pct"/>
            <w:noWrap/>
            <w:hideMark/>
          </w:tcPr>
          <w:p w14:paraId="02E3A7F9" w14:textId="77777777" w:rsidR="001D523F" w:rsidRPr="00007450" w:rsidRDefault="001D523F" w:rsidP="00864C4B">
            <w:pPr>
              <w:pStyle w:val="TableText0"/>
              <w:jc w:val="right"/>
            </w:pPr>
            <w:r w:rsidRPr="00007450">
              <w:t>17,937</w:t>
            </w:r>
          </w:p>
        </w:tc>
        <w:tc>
          <w:tcPr>
            <w:tcW w:w="408" w:type="pct"/>
            <w:noWrap/>
            <w:hideMark/>
          </w:tcPr>
          <w:p w14:paraId="72AFA258" w14:textId="77777777" w:rsidR="001D523F" w:rsidRPr="00007450" w:rsidRDefault="001D523F" w:rsidP="00864C4B">
            <w:pPr>
              <w:pStyle w:val="TableText0"/>
              <w:jc w:val="right"/>
            </w:pPr>
            <w:r w:rsidRPr="00007450">
              <w:t>18,540</w:t>
            </w:r>
          </w:p>
        </w:tc>
        <w:tc>
          <w:tcPr>
            <w:tcW w:w="407" w:type="pct"/>
            <w:noWrap/>
            <w:hideMark/>
          </w:tcPr>
          <w:p w14:paraId="56F3EE39" w14:textId="77777777" w:rsidR="001D523F" w:rsidRPr="00007450" w:rsidRDefault="001D523F" w:rsidP="00864C4B">
            <w:pPr>
              <w:pStyle w:val="TableText0"/>
              <w:jc w:val="right"/>
            </w:pPr>
            <w:r w:rsidRPr="00007450">
              <w:t>19,163</w:t>
            </w:r>
          </w:p>
        </w:tc>
        <w:tc>
          <w:tcPr>
            <w:tcW w:w="408" w:type="pct"/>
            <w:noWrap/>
            <w:hideMark/>
          </w:tcPr>
          <w:p w14:paraId="6706F2F8" w14:textId="77777777" w:rsidR="001D523F" w:rsidRPr="00007450" w:rsidRDefault="001D523F" w:rsidP="00864C4B">
            <w:pPr>
              <w:pStyle w:val="TableText0"/>
              <w:jc w:val="right"/>
            </w:pPr>
            <w:r w:rsidRPr="00007450">
              <w:t>19,807</w:t>
            </w:r>
          </w:p>
        </w:tc>
        <w:tc>
          <w:tcPr>
            <w:tcW w:w="407" w:type="pct"/>
            <w:noWrap/>
            <w:hideMark/>
          </w:tcPr>
          <w:p w14:paraId="10A41460" w14:textId="77777777" w:rsidR="001D523F" w:rsidRPr="00007450" w:rsidRDefault="001D523F" w:rsidP="00864C4B">
            <w:pPr>
              <w:pStyle w:val="TableText0"/>
              <w:jc w:val="right"/>
            </w:pPr>
            <w:r w:rsidRPr="00007450">
              <w:t>20,472</w:t>
            </w:r>
          </w:p>
        </w:tc>
        <w:tc>
          <w:tcPr>
            <w:tcW w:w="408" w:type="pct"/>
            <w:noWrap/>
            <w:hideMark/>
          </w:tcPr>
          <w:p w14:paraId="01AE5928" w14:textId="77777777" w:rsidR="001D523F" w:rsidRPr="00007450" w:rsidRDefault="001D523F" w:rsidP="00864C4B">
            <w:pPr>
              <w:pStyle w:val="TableText0"/>
              <w:jc w:val="right"/>
            </w:pPr>
            <w:r w:rsidRPr="00007450">
              <w:t>21,160</w:t>
            </w:r>
          </w:p>
        </w:tc>
        <w:tc>
          <w:tcPr>
            <w:tcW w:w="407" w:type="pct"/>
            <w:noWrap/>
            <w:hideMark/>
          </w:tcPr>
          <w:p w14:paraId="189F0270" w14:textId="77777777" w:rsidR="001D523F" w:rsidRPr="00007450" w:rsidRDefault="001D523F" w:rsidP="00864C4B">
            <w:pPr>
              <w:pStyle w:val="TableText0"/>
              <w:jc w:val="right"/>
            </w:pPr>
            <w:r w:rsidRPr="00007450">
              <w:t>21,871</w:t>
            </w:r>
          </w:p>
        </w:tc>
        <w:tc>
          <w:tcPr>
            <w:tcW w:w="408" w:type="pct"/>
            <w:noWrap/>
            <w:hideMark/>
          </w:tcPr>
          <w:p w14:paraId="272D514B" w14:textId="77777777" w:rsidR="001D523F" w:rsidRPr="00007450" w:rsidRDefault="001D523F" w:rsidP="00864C4B">
            <w:pPr>
              <w:pStyle w:val="TableText0"/>
              <w:jc w:val="right"/>
            </w:pPr>
            <w:r w:rsidRPr="00007450">
              <w:t>22,606</w:t>
            </w:r>
          </w:p>
        </w:tc>
      </w:tr>
      <w:tr w:rsidR="001D523F" w:rsidRPr="00007450" w14:paraId="1C0D293D" w14:textId="77777777">
        <w:tc>
          <w:tcPr>
            <w:tcW w:w="1335" w:type="pct"/>
            <w:noWrap/>
            <w:hideMark/>
          </w:tcPr>
          <w:p w14:paraId="27AB4A92" w14:textId="77777777" w:rsidR="001D523F" w:rsidRPr="00007450" w:rsidRDefault="001D523F" w:rsidP="00864C4B">
            <w:pPr>
              <w:pStyle w:val="TableText0"/>
            </w:pPr>
            <w:r w:rsidRPr="00007450">
              <w:t>AIHW breast cancer incidence counts </w:t>
            </w:r>
            <w:r w:rsidRPr="00007450">
              <w:rPr>
                <w:vertAlign w:val="superscript"/>
              </w:rPr>
              <w:t>a</w:t>
            </w:r>
          </w:p>
        </w:tc>
        <w:tc>
          <w:tcPr>
            <w:tcW w:w="407" w:type="pct"/>
            <w:noWrap/>
            <w:hideMark/>
          </w:tcPr>
          <w:p w14:paraId="71588041" w14:textId="77777777" w:rsidR="001D523F" w:rsidRPr="00007450" w:rsidRDefault="001D523F" w:rsidP="00864C4B">
            <w:pPr>
              <w:pStyle w:val="TableText0"/>
              <w:jc w:val="right"/>
            </w:pPr>
            <w:r w:rsidRPr="00007450">
              <w:t>17,409</w:t>
            </w:r>
          </w:p>
        </w:tc>
        <w:tc>
          <w:tcPr>
            <w:tcW w:w="407" w:type="pct"/>
            <w:noWrap/>
            <w:hideMark/>
          </w:tcPr>
          <w:p w14:paraId="6B3D26CF" w14:textId="77777777" w:rsidR="001D523F" w:rsidRPr="00007450" w:rsidRDefault="001D523F" w:rsidP="00864C4B">
            <w:pPr>
              <w:pStyle w:val="TableText0"/>
              <w:jc w:val="right"/>
            </w:pPr>
            <w:r w:rsidRPr="00007450">
              <w:t>17,715</w:t>
            </w:r>
          </w:p>
        </w:tc>
        <w:tc>
          <w:tcPr>
            <w:tcW w:w="408" w:type="pct"/>
            <w:noWrap/>
            <w:hideMark/>
          </w:tcPr>
          <w:p w14:paraId="2406D44D" w14:textId="77777777" w:rsidR="001D523F" w:rsidRPr="00007450" w:rsidRDefault="001D523F" w:rsidP="00864C4B">
            <w:pPr>
              <w:pStyle w:val="TableText0"/>
              <w:jc w:val="right"/>
            </w:pPr>
            <w:r w:rsidRPr="00007450">
              <w:t>18,209</w:t>
            </w:r>
          </w:p>
        </w:tc>
        <w:tc>
          <w:tcPr>
            <w:tcW w:w="407" w:type="pct"/>
            <w:noWrap/>
            <w:hideMark/>
          </w:tcPr>
          <w:p w14:paraId="350B669D" w14:textId="77777777" w:rsidR="001D523F" w:rsidRPr="00007450" w:rsidRDefault="001D523F" w:rsidP="00864C4B">
            <w:pPr>
              <w:pStyle w:val="TableText0"/>
              <w:jc w:val="right"/>
            </w:pPr>
            <w:r w:rsidRPr="00007450">
              <w:t>18,497</w:t>
            </w:r>
          </w:p>
        </w:tc>
        <w:tc>
          <w:tcPr>
            <w:tcW w:w="408" w:type="pct"/>
            <w:noWrap/>
            <w:hideMark/>
          </w:tcPr>
          <w:p w14:paraId="116C6A4F" w14:textId="77777777" w:rsidR="001D523F" w:rsidRPr="00007450" w:rsidRDefault="001D523F" w:rsidP="00864C4B">
            <w:pPr>
              <w:pStyle w:val="TableText0"/>
              <w:jc w:val="right"/>
            </w:pPr>
            <w:r w:rsidRPr="00007450">
              <w:t>17,984</w:t>
            </w:r>
          </w:p>
        </w:tc>
        <w:tc>
          <w:tcPr>
            <w:tcW w:w="407" w:type="pct"/>
            <w:noWrap/>
            <w:hideMark/>
          </w:tcPr>
          <w:p w14:paraId="073700F1" w14:textId="77777777" w:rsidR="001D523F" w:rsidRPr="00007450" w:rsidRDefault="001D523F" w:rsidP="00864C4B">
            <w:pPr>
              <w:pStyle w:val="TableText0"/>
              <w:jc w:val="right"/>
            </w:pPr>
            <w:r w:rsidRPr="00007450">
              <w:t>19,637</w:t>
            </w:r>
          </w:p>
        </w:tc>
        <w:tc>
          <w:tcPr>
            <w:tcW w:w="408" w:type="pct"/>
            <w:noWrap/>
            <w:hideMark/>
          </w:tcPr>
          <w:p w14:paraId="642BBF6B" w14:textId="77777777" w:rsidR="001D523F" w:rsidRPr="00007450" w:rsidRDefault="001D523F" w:rsidP="00864C4B">
            <w:pPr>
              <w:pStyle w:val="TableText0"/>
              <w:jc w:val="right"/>
            </w:pPr>
            <w:r w:rsidRPr="00007450">
              <w:t>20,016</w:t>
            </w:r>
          </w:p>
        </w:tc>
        <w:tc>
          <w:tcPr>
            <w:tcW w:w="407" w:type="pct"/>
            <w:noWrap/>
            <w:hideMark/>
          </w:tcPr>
          <w:p w14:paraId="7D5B499A" w14:textId="77777777" w:rsidR="001D523F" w:rsidRPr="00007450" w:rsidRDefault="001D523F" w:rsidP="00864C4B">
            <w:pPr>
              <w:pStyle w:val="TableText0"/>
              <w:jc w:val="right"/>
            </w:pPr>
            <w:r w:rsidRPr="00007450">
              <w:t>20,461</w:t>
            </w:r>
          </w:p>
        </w:tc>
        <w:tc>
          <w:tcPr>
            <w:tcW w:w="408" w:type="pct"/>
            <w:noWrap/>
            <w:hideMark/>
          </w:tcPr>
          <w:p w14:paraId="3223A211" w14:textId="77777777" w:rsidR="001D523F" w:rsidRPr="00007450" w:rsidRDefault="001D523F" w:rsidP="00864C4B">
            <w:pPr>
              <w:pStyle w:val="TableText0"/>
              <w:jc w:val="right"/>
            </w:pPr>
            <w:r w:rsidRPr="00007450">
              <w:t>20,973</w:t>
            </w:r>
          </w:p>
        </w:tc>
      </w:tr>
    </w:tbl>
    <w:p w14:paraId="3FF3D271" w14:textId="77777777" w:rsidR="001D523F" w:rsidRPr="00007450" w:rsidRDefault="001D523F" w:rsidP="00864C4B">
      <w:pPr>
        <w:pStyle w:val="TableFigureFooter"/>
      </w:pPr>
      <w:r w:rsidRPr="00007450">
        <w:t>Source: Constructed during the evaluation.</w:t>
      </w:r>
    </w:p>
    <w:p w14:paraId="451F5E0A" w14:textId="2253C035" w:rsidR="001D523F" w:rsidRPr="00007450" w:rsidRDefault="001D523F" w:rsidP="00864C4B">
      <w:pPr>
        <w:pStyle w:val="TableFigureFooter"/>
      </w:pPr>
      <w:r w:rsidRPr="00007450">
        <w:rPr>
          <w:vertAlign w:val="superscript"/>
        </w:rPr>
        <w:t>a</w:t>
      </w:r>
      <w:r w:rsidRPr="00007450">
        <w:t xml:space="preserve"> The AIHW report actual cancer incidence counts until 2020, with projections reported for 2021–2024.</w:t>
      </w:r>
    </w:p>
    <w:p w14:paraId="5F676DCA" w14:textId="7E3B8DB0" w:rsidR="001D523F" w:rsidRDefault="001D523F" w:rsidP="00864C4B">
      <w:pPr>
        <w:pStyle w:val="3-BodyText"/>
      </w:pPr>
      <w:bookmarkStart w:id="91" w:name="_Ref201638757"/>
      <w:r w:rsidRPr="00007450">
        <w:lastRenderedPageBreak/>
        <w:t>Other key areas of uncertainty identified during the evaluation included the proportion of patients who meet the proposed eligibility criteria</w:t>
      </w:r>
      <w:r w:rsidRPr="00007450">
        <w:rPr>
          <w:rStyle w:val="FootnoteReference"/>
        </w:rPr>
        <w:footnoteReference w:id="24"/>
      </w:r>
      <w:r w:rsidRPr="00007450">
        <w:t>, rate of uptake of ribociclib</w:t>
      </w:r>
      <w:r w:rsidR="00CA5280" w:rsidRPr="00007450">
        <w:t>,</w:t>
      </w:r>
      <w:r w:rsidRPr="00007450">
        <w:t xml:space="preserve"> and ribociclib compliance. The submission assumed that 26.5% of patients would meet the proposed eligibility criteria, based on a retrospective analysis of German patients who meet the criteria for the NATALEE (ribociclib) trial, after excluding patients who would also have met the criteria for PBS-funded abemaciclib</w:t>
      </w:r>
      <w:r w:rsidR="00652689" w:rsidRPr="00007450">
        <w:t xml:space="preserve"> (Schaffler et al</w:t>
      </w:r>
      <w:r w:rsidR="00467C5C" w:rsidRPr="00007450">
        <w:t>.</w:t>
      </w:r>
      <w:r w:rsidR="00652689" w:rsidRPr="00007450">
        <w:t xml:space="preserve"> 2023)</w:t>
      </w:r>
      <w:r w:rsidR="007B1362" w:rsidRPr="00007450">
        <w:rPr>
          <w:rStyle w:val="FootnoteReference"/>
        </w:rPr>
        <w:fldChar w:fldCharType="begin"/>
      </w:r>
      <w:r w:rsidR="007B1362" w:rsidRPr="00007450">
        <w:rPr>
          <w:vertAlign w:val="superscript"/>
        </w:rPr>
        <w:instrText xml:space="preserve"> NOTEREF _Ref198280987 \h </w:instrText>
      </w:r>
      <w:r w:rsidR="007B1362" w:rsidRPr="00007450">
        <w:rPr>
          <w:rStyle w:val="FootnoteReference"/>
        </w:rPr>
        <w:instrText xml:space="preserve"> \* MERGEFORMAT </w:instrText>
      </w:r>
      <w:r w:rsidR="007B1362" w:rsidRPr="00007450">
        <w:rPr>
          <w:rStyle w:val="FootnoteReference"/>
        </w:rPr>
      </w:r>
      <w:r w:rsidR="007B1362" w:rsidRPr="00007450">
        <w:rPr>
          <w:rStyle w:val="FootnoteReference"/>
        </w:rPr>
        <w:fldChar w:fldCharType="separate"/>
      </w:r>
      <w:r w:rsidR="00B36442">
        <w:rPr>
          <w:vertAlign w:val="superscript"/>
        </w:rPr>
        <w:t>21</w:t>
      </w:r>
      <w:r w:rsidR="007B1362" w:rsidRPr="00007450">
        <w:rPr>
          <w:rStyle w:val="FootnoteReference"/>
        </w:rPr>
        <w:fldChar w:fldCharType="end"/>
      </w:r>
      <w:r w:rsidRPr="00007450">
        <w:t>. While this approach was reasonable, a larger study was identified using a retrospective analysis of Australian patients</w:t>
      </w:r>
      <w:r w:rsidR="00652689" w:rsidRPr="00007450">
        <w:t xml:space="preserve"> (Kanjanapan et al</w:t>
      </w:r>
      <w:r w:rsidR="00467C5C" w:rsidRPr="00007450">
        <w:t>.</w:t>
      </w:r>
      <w:r w:rsidR="00652689" w:rsidRPr="00007450">
        <w:t xml:space="preserve"> 2025)</w:t>
      </w:r>
      <w:r w:rsidR="007B1362" w:rsidRPr="00007450">
        <w:rPr>
          <w:vertAlign w:val="superscript"/>
        </w:rPr>
        <w:fldChar w:fldCharType="begin"/>
      </w:r>
      <w:r w:rsidR="007B1362" w:rsidRPr="00007450">
        <w:rPr>
          <w:vertAlign w:val="superscript"/>
        </w:rPr>
        <w:instrText xml:space="preserve"> NOTEREF _Ref196167951 \h  \* MERGEFORMAT </w:instrText>
      </w:r>
      <w:r w:rsidR="007B1362" w:rsidRPr="00007450">
        <w:rPr>
          <w:vertAlign w:val="superscript"/>
        </w:rPr>
      </w:r>
      <w:r w:rsidR="007B1362" w:rsidRPr="00007450">
        <w:rPr>
          <w:vertAlign w:val="superscript"/>
        </w:rPr>
        <w:fldChar w:fldCharType="separate"/>
      </w:r>
      <w:r w:rsidR="00B36442">
        <w:rPr>
          <w:vertAlign w:val="superscript"/>
        </w:rPr>
        <w:t>8</w:t>
      </w:r>
      <w:r w:rsidR="007B1362" w:rsidRPr="00007450">
        <w:rPr>
          <w:vertAlign w:val="superscript"/>
        </w:rPr>
        <w:fldChar w:fldCharType="end"/>
      </w:r>
      <w:r w:rsidRPr="00007450">
        <w:t xml:space="preserve">. </w:t>
      </w:r>
      <w:r w:rsidR="00BD7412" w:rsidRPr="00007450">
        <w:t xml:space="preserve">The submission stated that this reference </w:t>
      </w:r>
      <w:r w:rsidRPr="00007450">
        <w:t xml:space="preserve">was not used in the </w:t>
      </w:r>
      <w:r w:rsidR="00BD7412" w:rsidRPr="00007450">
        <w:t xml:space="preserve">analysis </w:t>
      </w:r>
      <w:r w:rsidRPr="00007450">
        <w:t xml:space="preserve">due to incomplete reporting of Ki67 or genomic assays. Given </w:t>
      </w:r>
      <w:r w:rsidR="00C22025" w:rsidRPr="00007450">
        <w:t xml:space="preserve">concerns raised regarding </w:t>
      </w:r>
      <w:r w:rsidR="001F3447" w:rsidRPr="00007450">
        <w:t xml:space="preserve">the use of </w:t>
      </w:r>
      <w:r w:rsidRPr="00007450">
        <w:t xml:space="preserve">Ki67 </w:t>
      </w:r>
      <w:r w:rsidR="001F3447" w:rsidRPr="00007450">
        <w:t xml:space="preserve">as </w:t>
      </w:r>
      <w:r w:rsidRPr="00007450">
        <w:t xml:space="preserve">part of </w:t>
      </w:r>
      <w:r w:rsidR="001F3447" w:rsidRPr="00007450">
        <w:t>PBS restriction criteria (para</w:t>
      </w:r>
      <w:r w:rsidR="006F23C0" w:rsidRPr="00007450">
        <w:t>.</w:t>
      </w:r>
      <w:r w:rsidR="001F3447" w:rsidRPr="00007450">
        <w:t xml:space="preserve"> 3.5, abemaciclib PSD, March 2022 PBAC meeting)</w:t>
      </w:r>
      <w:r w:rsidRPr="00007450">
        <w:t>, and as limited genomic assays are subsidised (and used) through the MBS (74 services of EndoPredict claimed in the 12-month period March 2024–February 2025), the proportions reported in Kanjanapan et al.</w:t>
      </w:r>
      <w:r w:rsidR="000465EC" w:rsidRPr="00007450">
        <w:t xml:space="preserve"> (2025)</w:t>
      </w:r>
      <w:r w:rsidR="007B1362" w:rsidRPr="00007450">
        <w:rPr>
          <w:vertAlign w:val="superscript"/>
        </w:rPr>
        <w:fldChar w:fldCharType="begin"/>
      </w:r>
      <w:r w:rsidR="007B1362" w:rsidRPr="00007450">
        <w:rPr>
          <w:vertAlign w:val="superscript"/>
        </w:rPr>
        <w:instrText xml:space="preserve"> NOTEREF _Ref196167951 \h  \* MERGEFORMAT </w:instrText>
      </w:r>
      <w:r w:rsidR="007B1362" w:rsidRPr="00007450">
        <w:rPr>
          <w:vertAlign w:val="superscript"/>
        </w:rPr>
      </w:r>
      <w:r w:rsidR="007B1362" w:rsidRPr="00007450">
        <w:rPr>
          <w:vertAlign w:val="superscript"/>
        </w:rPr>
        <w:fldChar w:fldCharType="separate"/>
      </w:r>
      <w:r w:rsidR="00B36442">
        <w:rPr>
          <w:vertAlign w:val="superscript"/>
        </w:rPr>
        <w:t>8</w:t>
      </w:r>
      <w:r w:rsidR="007B1362" w:rsidRPr="00007450">
        <w:rPr>
          <w:vertAlign w:val="superscript"/>
        </w:rPr>
        <w:fldChar w:fldCharType="end"/>
      </w:r>
      <w:r w:rsidRPr="00007450">
        <w:t xml:space="preserve"> may</w:t>
      </w:r>
      <w:r w:rsidR="009F384F" w:rsidRPr="00007450">
        <w:t xml:space="preserve"> be more</w:t>
      </w:r>
      <w:r w:rsidRPr="00007450">
        <w:t xml:space="preserve"> represent</w:t>
      </w:r>
      <w:r w:rsidR="009F384F" w:rsidRPr="00007450">
        <w:t>ative of the Australian setting</w:t>
      </w:r>
      <w:r w:rsidRPr="00007450">
        <w:t>. This study reported that 41.3% (1,587/3,840) of HR</w:t>
      </w:r>
      <w:r w:rsidR="00DF0126" w:rsidRPr="00007450">
        <w:t>+</w:t>
      </w:r>
      <w:r w:rsidRPr="00007450">
        <w:t>, HER2</w:t>
      </w:r>
      <w:r w:rsidR="00E9067B" w:rsidRPr="00007450">
        <w:t>-</w:t>
      </w:r>
      <w:r w:rsidRPr="00007450">
        <w:t xml:space="preserve"> patients would meet the eligibility criteria for NATALEE and 17.5% (671/3,840) would be eligible for monarchE, resulting in 23.9% ([1,587 – 671]/3,840) of HR</w:t>
      </w:r>
      <w:r w:rsidR="00611393" w:rsidRPr="00007450">
        <w:t>+</w:t>
      </w:r>
      <w:r w:rsidRPr="00007450">
        <w:t>, HER2</w:t>
      </w:r>
      <w:r w:rsidR="001F3447" w:rsidRPr="00007450">
        <w:t>–</w:t>
      </w:r>
      <w:r w:rsidRPr="00007450">
        <w:t xml:space="preserve"> patients who meet the proposed PBS criteria for ribociclib. </w:t>
      </w:r>
      <w:r w:rsidR="003523CE" w:rsidRPr="00007450">
        <w:t xml:space="preserve">The ESC considered 23.9% was likely to be a more reasonable estimate and noted that applying this estimate </w:t>
      </w:r>
      <w:r w:rsidRPr="00007450">
        <w:t xml:space="preserve">resulted in an annual </w:t>
      </w:r>
      <w:r w:rsidRPr="002976C3">
        <w:t>10</w:t>
      </w:r>
      <w:r w:rsidRPr="00007450">
        <w:t>% decrease in the estimated financial impact to the PBS/RPBS (</w:t>
      </w:r>
      <w:r w:rsidRPr="00007450">
        <w:rPr>
          <w:highlight w:val="yellow"/>
        </w:rPr>
        <w:fldChar w:fldCharType="begin"/>
      </w:r>
      <w:r w:rsidRPr="00007450">
        <w:instrText xml:space="preserve"> REF _Ref194671946 \h </w:instrText>
      </w:r>
      <w:r w:rsidRPr="00007450">
        <w:rPr>
          <w:highlight w:val="yellow"/>
        </w:rPr>
        <w:instrText xml:space="preserve"> \* MERGEFORMAT </w:instrText>
      </w:r>
      <w:r w:rsidRPr="00007450">
        <w:rPr>
          <w:highlight w:val="yellow"/>
        </w:rPr>
      </w:r>
      <w:r w:rsidRPr="00007450">
        <w:rPr>
          <w:highlight w:val="yellow"/>
        </w:rPr>
        <w:fldChar w:fldCharType="separate"/>
      </w:r>
      <w:r w:rsidR="00B36442" w:rsidRPr="00007450">
        <w:t xml:space="preserve">Table </w:t>
      </w:r>
      <w:r w:rsidR="00B36442">
        <w:rPr>
          <w:noProof/>
        </w:rPr>
        <w:t>20</w:t>
      </w:r>
      <w:r w:rsidRPr="00007450">
        <w:rPr>
          <w:highlight w:val="yellow"/>
        </w:rPr>
        <w:fldChar w:fldCharType="end"/>
      </w:r>
      <w:r w:rsidRPr="00007450">
        <w:t>).</w:t>
      </w:r>
      <w:bookmarkEnd w:id="91"/>
      <w:r w:rsidR="00730E51" w:rsidRPr="00730E51">
        <w:t xml:space="preserve"> </w:t>
      </w:r>
    </w:p>
    <w:p w14:paraId="006C423D" w14:textId="3D227423" w:rsidR="00B23C66" w:rsidRPr="00007450" w:rsidRDefault="00B23C66" w:rsidP="00864C4B">
      <w:pPr>
        <w:pStyle w:val="3-BodyText"/>
      </w:pPr>
      <w:bookmarkStart w:id="92" w:name="_Ref205352294"/>
      <w:r w:rsidRPr="00007450">
        <w:t>The Pre-PBAC Response argued that since the proposed PBS population correspond</w:t>
      </w:r>
      <w:r w:rsidR="00341867">
        <w:t>s</w:t>
      </w:r>
      <w:r w:rsidRPr="00007450">
        <w:t xml:space="preserve"> to the difference between the monarchE cohort 1 and NATALEE ITT populations, it remains appropriate to align the incidence projections</w:t>
      </w:r>
      <w:r w:rsidR="002D5444">
        <w:t xml:space="preserve"> and eligibility</w:t>
      </w:r>
      <w:r w:rsidRPr="00007450">
        <w:t xml:space="preserve"> using this same data source and methods.</w:t>
      </w:r>
      <w:bookmarkEnd w:id="92"/>
    </w:p>
    <w:p w14:paraId="1DEBB527" w14:textId="4C5348B0" w:rsidR="001D523F" w:rsidRPr="00007450" w:rsidRDefault="001D523F" w:rsidP="00864C4B">
      <w:pPr>
        <w:pStyle w:val="3-BodyText"/>
      </w:pPr>
      <w:bookmarkStart w:id="93" w:name="_Ref201638824"/>
      <w:r w:rsidRPr="00007450">
        <w:t xml:space="preserve">Uptake was assumed to increase from </w:t>
      </w:r>
      <w:r w:rsidR="00E44B9A" w:rsidRPr="004A2F0E">
        <w:rPr>
          <w:color w:val="000000"/>
          <w:spacing w:val="6"/>
          <w:w w:val="61"/>
          <w:shd w:val="solid" w:color="000000" w:fill="000000"/>
          <w:fitText w:val="475" w:id="-628909297"/>
          <w14:textFill>
            <w14:solidFill>
              <w14:srgbClr w14:val="000000">
                <w14:alpha w14:val="100000"/>
              </w14:srgbClr>
            </w14:solidFill>
          </w14:textFill>
        </w:rPr>
        <w:t>|||</w:t>
      </w:r>
      <w:r w:rsidR="004A2F0E" w:rsidRPr="004A2F0E">
        <w:rPr>
          <w:color w:val="000000"/>
          <w:spacing w:val="6"/>
          <w:w w:val="61"/>
          <w:shd w:val="solid" w:color="000000" w:fill="000000"/>
          <w:fitText w:val="475" w:id="-628909297"/>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297"/>
          <w14:textFill>
            <w14:solidFill>
              <w14:srgbClr w14:val="000000">
                <w14:alpha w14:val="100000"/>
              </w14:srgbClr>
            </w14:solidFill>
          </w14:textFill>
        </w:rPr>
        <w:t>||</w:t>
      </w:r>
      <w:r w:rsidR="00E44B9A" w:rsidRPr="004A2F0E">
        <w:rPr>
          <w:color w:val="000000"/>
          <w:spacing w:val="3"/>
          <w:w w:val="61"/>
          <w:shd w:val="solid" w:color="000000" w:fill="000000"/>
          <w:fitText w:val="475" w:id="-628909297"/>
          <w14:textFill>
            <w14:solidFill>
              <w14:srgbClr w14:val="000000">
                <w14:alpha w14:val="100000"/>
              </w14:srgbClr>
            </w14:solidFill>
          </w14:textFill>
        </w:rPr>
        <w:t>|</w:t>
      </w:r>
      <w:r w:rsidRPr="00007450">
        <w:t xml:space="preserve">% in Year 1 to </w:t>
      </w:r>
      <w:r w:rsidR="00E44B9A" w:rsidRPr="004A2F0E">
        <w:rPr>
          <w:color w:val="000000"/>
          <w:spacing w:val="6"/>
          <w:w w:val="61"/>
          <w:shd w:val="solid" w:color="000000" w:fill="000000"/>
          <w:fitText w:val="475" w:id="-628909296"/>
          <w14:textFill>
            <w14:solidFill>
              <w14:srgbClr w14:val="000000">
                <w14:alpha w14:val="100000"/>
              </w14:srgbClr>
            </w14:solidFill>
          </w14:textFill>
        </w:rPr>
        <w:t>|||</w:t>
      </w:r>
      <w:r w:rsidR="004A2F0E" w:rsidRPr="004A2F0E">
        <w:rPr>
          <w:color w:val="000000"/>
          <w:spacing w:val="6"/>
          <w:w w:val="61"/>
          <w:shd w:val="solid" w:color="000000" w:fill="000000"/>
          <w:fitText w:val="475" w:id="-628909296"/>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296"/>
          <w14:textFill>
            <w14:solidFill>
              <w14:srgbClr w14:val="000000">
                <w14:alpha w14:val="100000"/>
              </w14:srgbClr>
            </w14:solidFill>
          </w14:textFill>
        </w:rPr>
        <w:t>||</w:t>
      </w:r>
      <w:r w:rsidR="00E44B9A" w:rsidRPr="004A2F0E">
        <w:rPr>
          <w:color w:val="000000"/>
          <w:spacing w:val="3"/>
          <w:w w:val="61"/>
          <w:shd w:val="solid" w:color="000000" w:fill="000000"/>
          <w:fitText w:val="475" w:id="-628909296"/>
          <w14:textFill>
            <w14:solidFill>
              <w14:srgbClr w14:val="000000">
                <w14:alpha w14:val="100000"/>
              </w14:srgbClr>
            </w14:solidFill>
          </w14:textFill>
        </w:rPr>
        <w:t>|</w:t>
      </w:r>
      <w:r w:rsidRPr="00007450">
        <w:t xml:space="preserve">% in Year 5. </w:t>
      </w:r>
      <w:r w:rsidR="00B203B2" w:rsidRPr="00007450">
        <w:t xml:space="preserve">The evaluation considered that this </w:t>
      </w:r>
      <w:r w:rsidR="0085540B" w:rsidRPr="00007450">
        <w:t xml:space="preserve">was </w:t>
      </w:r>
      <w:r w:rsidR="00192AA5" w:rsidRPr="00007450">
        <w:t>likely an overestimate, given that th</w:t>
      </w:r>
      <w:r w:rsidRPr="00007450">
        <w:t xml:space="preserve">e PBAC previously considered that of patients eligible, 20% </w:t>
      </w:r>
      <w:r w:rsidR="00192AA5" w:rsidRPr="00007450">
        <w:t xml:space="preserve">would </w:t>
      </w:r>
      <w:r w:rsidRPr="00007450">
        <w:t>decline</w:t>
      </w:r>
      <w:r w:rsidR="00192AA5" w:rsidRPr="00007450">
        <w:t xml:space="preserve"> use of CDK4/6 inhibitors </w:t>
      </w:r>
      <w:r w:rsidR="00F72A99" w:rsidRPr="00007450">
        <w:t xml:space="preserve">in the high-risk eBC setting </w:t>
      </w:r>
      <w:r w:rsidR="00192AA5" w:rsidRPr="00007450">
        <w:t>due to risk of toxicities, age, frailty and the current restriction that permits one course of CDK4/6 inhibitors per lifetime</w:t>
      </w:r>
      <w:r w:rsidRPr="00007450">
        <w:t xml:space="preserve"> (para</w:t>
      </w:r>
      <w:r w:rsidR="006F23C0" w:rsidRPr="00007450">
        <w:t>.</w:t>
      </w:r>
      <w:r w:rsidRPr="00007450">
        <w:t xml:space="preserve"> 6.64, ribociclib PSD, November 2024 PBAC meeting). </w:t>
      </w:r>
      <w:r w:rsidR="000C7BD1" w:rsidRPr="00007450">
        <w:t xml:space="preserve">The PSCR maintained that uptake would be high and closer to </w:t>
      </w:r>
      <w:r w:rsidR="00E44B9A" w:rsidRPr="004A2F0E">
        <w:rPr>
          <w:color w:val="000000"/>
          <w:spacing w:val="6"/>
          <w:w w:val="59"/>
          <w:shd w:val="solid" w:color="000000" w:fill="000000"/>
          <w:fitText w:val="460" w:id="-628909312"/>
          <w14:textFill>
            <w14:solidFill>
              <w14:srgbClr w14:val="000000">
                <w14:alpha w14:val="100000"/>
              </w14:srgbClr>
            </w14:solidFill>
          </w14:textFill>
        </w:rPr>
        <w:t>|||</w:t>
      </w:r>
      <w:r w:rsidR="004A2F0E" w:rsidRPr="004A2F0E">
        <w:rPr>
          <w:color w:val="000000"/>
          <w:spacing w:val="6"/>
          <w:w w:val="59"/>
          <w:shd w:val="solid" w:color="000000" w:fill="000000"/>
          <w:fitText w:val="460" w:id="-628909312"/>
          <w14:textFill>
            <w14:solidFill>
              <w14:srgbClr w14:val="000000">
                <w14:alpha w14:val="100000"/>
              </w14:srgbClr>
            </w14:solidFill>
          </w14:textFill>
        </w:rPr>
        <w:t xml:space="preserve"> </w:t>
      </w:r>
      <w:r w:rsidR="00E44B9A" w:rsidRPr="004A2F0E">
        <w:rPr>
          <w:color w:val="000000"/>
          <w:spacing w:val="6"/>
          <w:w w:val="59"/>
          <w:shd w:val="solid" w:color="000000" w:fill="000000"/>
          <w:fitText w:val="460" w:id="-628909312"/>
          <w14:textFill>
            <w14:solidFill>
              <w14:srgbClr w14:val="000000">
                <w14:alpha w14:val="100000"/>
              </w14:srgbClr>
            </w14:solidFill>
          </w14:textFill>
        </w:rPr>
        <w:t>||</w:t>
      </w:r>
      <w:r w:rsidR="00E44B9A" w:rsidRPr="004A2F0E">
        <w:rPr>
          <w:color w:val="000000"/>
          <w:spacing w:val="2"/>
          <w:w w:val="59"/>
          <w:shd w:val="solid" w:color="000000" w:fill="000000"/>
          <w:fitText w:val="460" w:id="-628909312"/>
          <w14:textFill>
            <w14:solidFill>
              <w14:srgbClr w14:val="000000">
                <w14:alpha w14:val="100000"/>
              </w14:srgbClr>
            </w14:solidFill>
          </w14:textFill>
        </w:rPr>
        <w:t>|</w:t>
      </w:r>
      <w:r w:rsidR="000C7BD1" w:rsidRPr="000241A0">
        <w:t>%</w:t>
      </w:r>
      <w:r w:rsidR="000C7BD1" w:rsidRPr="00007450">
        <w:t>. The</w:t>
      </w:r>
      <w:r w:rsidR="00D8761E" w:rsidRPr="00007450">
        <w:t xml:space="preserve"> ESC </w:t>
      </w:r>
      <w:r w:rsidR="000C7BD1" w:rsidRPr="00007450">
        <w:t>agreed with the evaluation</w:t>
      </w:r>
      <w:r w:rsidR="006D3E13" w:rsidRPr="00007450">
        <w:t xml:space="preserve"> that uptake was</w:t>
      </w:r>
      <w:r w:rsidR="00E72D9A" w:rsidRPr="00007450">
        <w:t xml:space="preserve"> likely</w:t>
      </w:r>
      <w:r w:rsidR="006D3E13" w:rsidRPr="00007450">
        <w:t xml:space="preserve"> overestimated by the submission and </w:t>
      </w:r>
      <w:r w:rsidR="00D8761E" w:rsidRPr="00007450">
        <w:t xml:space="preserve">considered </w:t>
      </w:r>
      <w:r w:rsidRPr="00007450">
        <w:t xml:space="preserve">a maximum uptake rate of </w:t>
      </w:r>
      <w:r w:rsidR="00E44B9A" w:rsidRPr="004A2F0E">
        <w:rPr>
          <w:color w:val="000000"/>
          <w:spacing w:val="6"/>
          <w:w w:val="61"/>
          <w:shd w:val="solid" w:color="000000" w:fill="000000"/>
          <w:fitText w:val="475" w:id="-628909311"/>
          <w14:textFill>
            <w14:solidFill>
              <w14:srgbClr w14:val="000000">
                <w14:alpha w14:val="100000"/>
              </w14:srgbClr>
            </w14:solidFill>
          </w14:textFill>
        </w:rPr>
        <w:t>|||</w:t>
      </w:r>
      <w:r w:rsidR="004A2F0E" w:rsidRPr="004A2F0E">
        <w:rPr>
          <w:color w:val="000000"/>
          <w:spacing w:val="6"/>
          <w:w w:val="61"/>
          <w:shd w:val="solid" w:color="000000" w:fill="000000"/>
          <w:fitText w:val="475" w:id="-628909311"/>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311"/>
          <w14:textFill>
            <w14:solidFill>
              <w14:srgbClr w14:val="000000">
                <w14:alpha w14:val="100000"/>
              </w14:srgbClr>
            </w14:solidFill>
          </w14:textFill>
        </w:rPr>
        <w:t>||</w:t>
      </w:r>
      <w:r w:rsidR="00E44B9A" w:rsidRPr="004A2F0E">
        <w:rPr>
          <w:color w:val="000000"/>
          <w:spacing w:val="3"/>
          <w:w w:val="61"/>
          <w:shd w:val="solid" w:color="000000" w:fill="000000"/>
          <w:fitText w:val="475" w:id="-628909311"/>
          <w14:textFill>
            <w14:solidFill>
              <w14:srgbClr w14:val="000000">
                <w14:alpha w14:val="100000"/>
              </w14:srgbClr>
            </w14:solidFill>
          </w14:textFill>
        </w:rPr>
        <w:t>|</w:t>
      </w:r>
      <w:r w:rsidRPr="00007450">
        <w:t xml:space="preserve">% </w:t>
      </w:r>
      <w:r w:rsidR="00D8761E" w:rsidRPr="00007450">
        <w:t xml:space="preserve">would </w:t>
      </w:r>
      <w:r w:rsidRPr="00007450">
        <w:t>be more appropriate. The</w:t>
      </w:r>
      <w:r w:rsidR="006F10AD" w:rsidRPr="00007450">
        <w:t xml:space="preserve"> ESC noted that the</w:t>
      </w:r>
      <w:r w:rsidRPr="00007450">
        <w:t xml:space="preserve"> estimated financial impact to the PBS/RPBS decreased by </w:t>
      </w:r>
      <w:r w:rsidRPr="002976C3">
        <w:t>6–16</w:t>
      </w:r>
      <w:r w:rsidRPr="00007450">
        <w:t xml:space="preserve">% each year when </w:t>
      </w:r>
      <w:r w:rsidR="006F10AD" w:rsidRPr="00007450">
        <w:t>a</w:t>
      </w:r>
      <w:r w:rsidR="006C0E7F" w:rsidRPr="00007450">
        <w:t>n</w:t>
      </w:r>
      <w:r w:rsidR="006F10AD" w:rsidRPr="00007450">
        <w:t xml:space="preserve"> </w:t>
      </w:r>
      <w:r w:rsidR="00E44B9A" w:rsidRPr="004A2F0E">
        <w:rPr>
          <w:color w:val="000000"/>
          <w:spacing w:val="6"/>
          <w:w w:val="61"/>
          <w:shd w:val="solid" w:color="000000" w:fill="000000"/>
          <w:fitText w:val="475" w:id="-628909310"/>
          <w14:textFill>
            <w14:solidFill>
              <w14:srgbClr w14:val="000000">
                <w14:alpha w14:val="100000"/>
              </w14:srgbClr>
            </w14:solidFill>
          </w14:textFill>
        </w:rPr>
        <w:t>|||</w:t>
      </w:r>
      <w:r w:rsidR="004A2F0E" w:rsidRPr="004A2F0E">
        <w:rPr>
          <w:color w:val="000000"/>
          <w:spacing w:val="6"/>
          <w:w w:val="61"/>
          <w:shd w:val="solid" w:color="000000" w:fill="000000"/>
          <w:fitText w:val="475" w:id="-628909310"/>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310"/>
          <w14:textFill>
            <w14:solidFill>
              <w14:srgbClr w14:val="000000">
                <w14:alpha w14:val="100000"/>
              </w14:srgbClr>
            </w14:solidFill>
          </w14:textFill>
        </w:rPr>
        <w:t>||</w:t>
      </w:r>
      <w:r w:rsidR="00E44B9A" w:rsidRPr="004A2F0E">
        <w:rPr>
          <w:color w:val="000000"/>
          <w:spacing w:val="3"/>
          <w:w w:val="61"/>
          <w:shd w:val="solid" w:color="000000" w:fill="000000"/>
          <w:fitText w:val="475" w:id="-628909310"/>
          <w14:textFill>
            <w14:solidFill>
              <w14:srgbClr w14:val="000000">
                <w14:alpha w14:val="100000"/>
              </w14:srgbClr>
            </w14:solidFill>
          </w14:textFill>
        </w:rPr>
        <w:t>|</w:t>
      </w:r>
      <w:r w:rsidRPr="00007450">
        <w:t>%</w:t>
      </w:r>
      <w:r w:rsidR="006F10AD" w:rsidRPr="00007450">
        <w:t xml:space="preserve"> uptake</w:t>
      </w:r>
      <w:r w:rsidRPr="00007450">
        <w:t xml:space="preserve"> was applied (</w:t>
      </w:r>
      <w:r w:rsidRPr="00007450">
        <w:rPr>
          <w:highlight w:val="yellow"/>
        </w:rPr>
        <w:fldChar w:fldCharType="begin"/>
      </w:r>
      <w:r w:rsidRPr="00007450">
        <w:instrText xml:space="preserve"> REF _Ref194671946 \h </w:instrText>
      </w:r>
      <w:r w:rsidRPr="00007450">
        <w:rPr>
          <w:highlight w:val="yellow"/>
        </w:rPr>
        <w:instrText xml:space="preserve"> \* MERGEFORMAT </w:instrText>
      </w:r>
      <w:r w:rsidRPr="00007450">
        <w:rPr>
          <w:highlight w:val="yellow"/>
        </w:rPr>
      </w:r>
      <w:r w:rsidRPr="00007450">
        <w:rPr>
          <w:highlight w:val="yellow"/>
        </w:rPr>
        <w:fldChar w:fldCharType="separate"/>
      </w:r>
      <w:r w:rsidR="00B36442" w:rsidRPr="00007450">
        <w:t xml:space="preserve">Table </w:t>
      </w:r>
      <w:r w:rsidR="00B36442">
        <w:rPr>
          <w:noProof/>
        </w:rPr>
        <w:t>20</w:t>
      </w:r>
      <w:r w:rsidRPr="00007450">
        <w:rPr>
          <w:highlight w:val="yellow"/>
        </w:rPr>
        <w:fldChar w:fldCharType="end"/>
      </w:r>
      <w:r w:rsidRPr="00007450">
        <w:t>).</w:t>
      </w:r>
      <w:bookmarkEnd w:id="93"/>
      <w:r w:rsidR="006446A4" w:rsidRPr="00007450">
        <w:t xml:space="preserve"> </w:t>
      </w:r>
      <w:r w:rsidR="00F417A4" w:rsidRPr="00007450">
        <w:t>The Pre-PBAC Response argued that given the rapid uptake of abem</w:t>
      </w:r>
      <w:r w:rsidR="007D723D">
        <w:t>a</w:t>
      </w:r>
      <w:r w:rsidR="00F417A4" w:rsidRPr="00007450">
        <w:t xml:space="preserve">ciclib for eBC, a very high uptake </w:t>
      </w:r>
      <w:r w:rsidR="00D53182">
        <w:t>is</w:t>
      </w:r>
      <w:r w:rsidR="00F417A4" w:rsidRPr="00007450">
        <w:t xml:space="preserve"> anticipated.</w:t>
      </w:r>
    </w:p>
    <w:p w14:paraId="769159AE" w14:textId="24A66642" w:rsidR="001D523F" w:rsidRPr="00007450" w:rsidRDefault="001D523F" w:rsidP="00864C4B">
      <w:pPr>
        <w:pStyle w:val="3-BodyText"/>
      </w:pPr>
      <w:bookmarkStart w:id="94" w:name="_Ref194671998"/>
      <w:r w:rsidRPr="00007450">
        <w:lastRenderedPageBreak/>
        <w:t>Compliance to ribociclib was estimated to be 96.5%, based on the mean dose intensity observed in the trial (334 mg) as a proportion of planned dose intensity, adjusted in the submission for dose reductions (346 mg)</w:t>
      </w:r>
      <w:r w:rsidRPr="00007450">
        <w:rPr>
          <w:rStyle w:val="FootnoteReference"/>
        </w:rPr>
        <w:footnoteReference w:id="25"/>
      </w:r>
      <w:r w:rsidRPr="00007450">
        <w:t>.</w:t>
      </w:r>
      <w:r w:rsidR="00D4770E" w:rsidRPr="00007450">
        <w:t xml:space="preserve"> The PSCR</w:t>
      </w:r>
      <w:r w:rsidR="00BB3461" w:rsidRPr="00007450">
        <w:t xml:space="preserve"> maintained this calculation was an accurate reflection of compliance.</w:t>
      </w:r>
      <w:r w:rsidRPr="00007450">
        <w:t xml:space="preserve"> </w:t>
      </w:r>
      <w:r w:rsidR="00DA3761" w:rsidRPr="00007450">
        <w:t>However, the</w:t>
      </w:r>
      <w:r w:rsidR="003814E6" w:rsidRPr="00007450">
        <w:t xml:space="preserve"> ESC</w:t>
      </w:r>
      <w:r w:rsidR="00454B53" w:rsidRPr="00007450">
        <w:t xml:space="preserve"> </w:t>
      </w:r>
      <w:r w:rsidR="00A43161" w:rsidRPr="00007450">
        <w:t>considered</w:t>
      </w:r>
      <w:r w:rsidR="00454B53" w:rsidRPr="00007450">
        <w:t xml:space="preserve"> that</w:t>
      </w:r>
      <w:r w:rsidR="00DC191E" w:rsidRPr="00007450">
        <w:t xml:space="preserve"> </w:t>
      </w:r>
      <w:r w:rsidR="00E96729" w:rsidRPr="00007450">
        <w:t xml:space="preserve">while </w:t>
      </w:r>
      <w:r w:rsidR="00DC191E" w:rsidRPr="00007450">
        <w:t xml:space="preserve">the dose assumed in the financial estimates was consistent with </w:t>
      </w:r>
      <w:r w:rsidR="00E96729" w:rsidRPr="00007450">
        <w:t xml:space="preserve">the </w:t>
      </w:r>
      <w:r w:rsidR="007C78BA" w:rsidRPr="00007450">
        <w:t xml:space="preserve">trial, </w:t>
      </w:r>
      <w:r w:rsidR="003814E6" w:rsidRPr="00007450">
        <w:t>a</w:t>
      </w:r>
      <w:r w:rsidRPr="00007450">
        <w:t xml:space="preserve"> compliance rate less than for hormonal therapy (84%) </w:t>
      </w:r>
      <w:r w:rsidR="003814E6" w:rsidRPr="00007450">
        <w:t xml:space="preserve">would </w:t>
      </w:r>
      <w:r w:rsidRPr="00007450">
        <w:t>be more consistent with what would be expected in practice (paras</w:t>
      </w:r>
      <w:r w:rsidR="006F23C0" w:rsidRPr="00007450">
        <w:t>.</w:t>
      </w:r>
      <w:r w:rsidRPr="00007450">
        <w:t xml:space="preserve"> 6.65 and 7.10, ribociclib PSD, November 2024 PBAC meeting) (annual </w:t>
      </w:r>
      <w:r w:rsidRPr="00CA188E">
        <w:t>14%</w:t>
      </w:r>
      <w:r w:rsidRPr="00007450">
        <w:t xml:space="preserve"> decrease in the estimated financial impact to the PBS/RPBS, </w:t>
      </w:r>
      <w:r w:rsidRPr="00007450">
        <w:rPr>
          <w:highlight w:val="yellow"/>
        </w:rPr>
        <w:fldChar w:fldCharType="begin"/>
      </w:r>
      <w:r w:rsidRPr="00007450">
        <w:instrText xml:space="preserve"> REF _Ref194671946 \h </w:instrText>
      </w:r>
      <w:r w:rsidRPr="00007450">
        <w:rPr>
          <w:highlight w:val="yellow"/>
        </w:rPr>
        <w:instrText xml:space="preserve"> \* MERGEFORMAT </w:instrText>
      </w:r>
      <w:r w:rsidRPr="00007450">
        <w:rPr>
          <w:highlight w:val="yellow"/>
        </w:rPr>
      </w:r>
      <w:r w:rsidRPr="00007450">
        <w:rPr>
          <w:highlight w:val="yellow"/>
        </w:rPr>
        <w:fldChar w:fldCharType="separate"/>
      </w:r>
      <w:r w:rsidR="00B36442" w:rsidRPr="00007450">
        <w:t xml:space="preserve">Table </w:t>
      </w:r>
      <w:r w:rsidR="00B36442">
        <w:rPr>
          <w:noProof/>
        </w:rPr>
        <w:t>20</w:t>
      </w:r>
      <w:r w:rsidRPr="00007450">
        <w:rPr>
          <w:highlight w:val="yellow"/>
        </w:rPr>
        <w:fldChar w:fldCharType="end"/>
      </w:r>
      <w:r w:rsidRPr="00007450">
        <w:t>).</w:t>
      </w:r>
      <w:bookmarkEnd w:id="94"/>
      <w:r w:rsidR="00D36428" w:rsidRPr="00007450">
        <w:t xml:space="preserve"> </w:t>
      </w:r>
      <w:r w:rsidR="00C23EC0" w:rsidRPr="00007450">
        <w:t xml:space="preserve">The Pre-PBAC Response argued the compliance rate in the abemaciclib submission was based on an analysis of US patients and given the differences in health systems, argued compliance </w:t>
      </w:r>
      <w:r w:rsidR="000C6C4E">
        <w:t>would</w:t>
      </w:r>
      <w:r w:rsidR="00A7579E">
        <w:t xml:space="preserve"> likely</w:t>
      </w:r>
      <w:r w:rsidR="00C23EC0" w:rsidRPr="00007450">
        <w:t xml:space="preserve"> be higher in the Australian setting.</w:t>
      </w:r>
    </w:p>
    <w:p w14:paraId="412A511C" w14:textId="2FF9396C" w:rsidR="001D523F" w:rsidRPr="00007450" w:rsidRDefault="001D523F" w:rsidP="00864C4B">
      <w:pPr>
        <w:pStyle w:val="3-BodyText"/>
      </w:pPr>
      <w:r w:rsidRPr="00007450">
        <w:t>The submission expected that the proposed listing of ribociclib would lead to an increase in the use and cost of adjuvant ET (due to a longer duration of treatment and changes in the distribution and compliance to ET) and a net reduction in the use and cost of treatments for metastatic breast cancer (due to reduced incidence</w:t>
      </w:r>
      <w:r w:rsidR="002E33ED" w:rsidRPr="00007450">
        <w:t xml:space="preserve"> derived from extrapolations of iDFS from the PBS-subgroup of NATALEE, assuming 38.2% and 56.4% of events, respectively following ribociclib + ET and ET alone, were metastatic breast cancer events</w:t>
      </w:r>
      <w:r w:rsidRPr="00007450">
        <w:t>). Due to the benefit of ribociclib in extending iDFS observed in the</w:t>
      </w:r>
      <w:r w:rsidR="00E44C63" w:rsidRPr="00007450">
        <w:t xml:space="preserve"> NATALEE</w:t>
      </w:r>
      <w:r w:rsidRPr="00007450">
        <w:t xml:space="preserve"> trial, a longer duration of ET </w:t>
      </w:r>
      <w:r w:rsidR="00B15E12" w:rsidRPr="00007450">
        <w:t>may be</w:t>
      </w:r>
      <w:r w:rsidRPr="00007450">
        <w:t xml:space="preserve"> reasonable, however whether the differences observed in the trial with respect to distribution of agent or compliance were </w:t>
      </w:r>
      <w:r w:rsidR="00BF634C" w:rsidRPr="00007450">
        <w:t xml:space="preserve">significant was not reported </w:t>
      </w:r>
      <w:r w:rsidRPr="00007450">
        <w:t xml:space="preserve">(and so </w:t>
      </w:r>
      <w:r w:rsidR="0036104A" w:rsidRPr="00007450">
        <w:t xml:space="preserve">differences applied </w:t>
      </w:r>
      <w:r w:rsidRPr="00007450">
        <w:t xml:space="preserve">may not be realised). </w:t>
      </w:r>
      <w:r w:rsidR="005A31D3" w:rsidRPr="00007450">
        <w:t>The evaluation considered that g</w:t>
      </w:r>
      <w:r w:rsidRPr="00007450">
        <w:t xml:space="preserve">iven the low number of iDF events in the NATALEE trial, differences in incidence of </w:t>
      </w:r>
      <w:r w:rsidR="00F41F9F" w:rsidRPr="00007450">
        <w:t>metastatic breast cancer</w:t>
      </w:r>
      <w:r w:rsidRPr="00007450">
        <w:t xml:space="preserve"> across treatment arms are </w:t>
      </w:r>
      <w:r w:rsidR="00824A7A" w:rsidRPr="00007450">
        <w:t>uncertain,</w:t>
      </w:r>
      <w:r w:rsidRPr="00007450">
        <w:t xml:space="preserve"> and it was not clear if these represent an avoidance of recurrence or delay over the projected period.</w:t>
      </w:r>
    </w:p>
    <w:p w14:paraId="107F051F" w14:textId="50767326" w:rsidR="00CA6F4E" w:rsidRPr="00007450" w:rsidRDefault="00CA6F4E" w:rsidP="00864C4B">
      <w:pPr>
        <w:pStyle w:val="3-BodyText"/>
      </w:pPr>
      <w:r w:rsidRPr="00007450">
        <w:t xml:space="preserve">Use in grandfathered patients was not considered. </w:t>
      </w:r>
      <w:r w:rsidR="009B24F2" w:rsidRPr="00007450">
        <w:t xml:space="preserve">The evaluation considered that this </w:t>
      </w:r>
      <w:r w:rsidRPr="00007450">
        <w:t xml:space="preserve">was not reasonable given that the submission noted that there are patients who currently receive ribociclib through the sponsor’s funded access program and given that the submission has proposed a listing for grandfathered patients. The PSCR </w:t>
      </w:r>
      <w:r w:rsidR="00DE77D1" w:rsidRPr="00007450">
        <w:t>stated</w:t>
      </w:r>
      <w:r w:rsidRPr="00007450">
        <w:t xml:space="preserve"> that</w:t>
      </w:r>
      <w:r w:rsidR="00B4597F">
        <w:t xml:space="preserve"> </w:t>
      </w:r>
      <w:r w:rsidR="00DE77D1" w:rsidRPr="00007450">
        <w:t>g</w:t>
      </w:r>
      <w:r w:rsidRPr="00007450">
        <w:t xml:space="preserve">randfathered </w:t>
      </w:r>
      <w:r w:rsidR="00B4597F">
        <w:t xml:space="preserve">patients </w:t>
      </w:r>
      <w:r w:rsidR="00DE77D1" w:rsidRPr="00007450">
        <w:t xml:space="preserve">were </w:t>
      </w:r>
      <w:r w:rsidRPr="00007450">
        <w:t>included in the incident population. Thus, separately including this cohort would result in double counting</w:t>
      </w:r>
      <w:r w:rsidR="00DE77D1" w:rsidRPr="00007450">
        <w:t>.</w:t>
      </w:r>
      <w:r w:rsidRPr="00007450">
        <w:t xml:space="preserve"> The ESC </w:t>
      </w:r>
      <w:r w:rsidR="00294C91" w:rsidRPr="00007450">
        <w:t>considered</w:t>
      </w:r>
      <w:r w:rsidRPr="00007450">
        <w:t xml:space="preserve"> that grandfathered patients who accessed ribociclib prior to year 1 of the utilisation estimates </w:t>
      </w:r>
      <w:r w:rsidR="0083753C" w:rsidRPr="00007450">
        <w:t>would</w:t>
      </w:r>
      <w:r w:rsidRPr="00007450">
        <w:t xml:space="preserve"> not</w:t>
      </w:r>
      <w:r w:rsidR="0083753C" w:rsidRPr="00007450">
        <w:t xml:space="preserve"> be</w:t>
      </w:r>
      <w:r w:rsidRPr="00007450">
        <w:t xml:space="preserve"> included in the incident population</w:t>
      </w:r>
      <w:r w:rsidR="00294C91" w:rsidRPr="00007450">
        <w:t>. The ESC</w:t>
      </w:r>
      <w:r w:rsidRPr="00007450">
        <w:t xml:space="preserve"> considered </w:t>
      </w:r>
      <w:r w:rsidR="00294C91" w:rsidRPr="00007450">
        <w:t>grandfathered patients</w:t>
      </w:r>
      <w:r w:rsidRPr="00007450">
        <w:t xml:space="preserve"> should be included as a separate subgroup </w:t>
      </w:r>
      <w:r w:rsidR="008018F8" w:rsidRPr="00007450">
        <w:t>to account for</w:t>
      </w:r>
      <w:r w:rsidR="00F25966" w:rsidRPr="00007450">
        <w:t xml:space="preserve"> (i</w:t>
      </w:r>
      <w:r w:rsidR="00B8194F" w:rsidRPr="00007450">
        <w:t>.</w:t>
      </w:r>
      <w:r w:rsidR="00F25966" w:rsidRPr="00007450">
        <w:t>e</w:t>
      </w:r>
      <w:r w:rsidR="00B8194F" w:rsidRPr="00007450">
        <w:t>.</w:t>
      </w:r>
      <w:r w:rsidR="00F25966" w:rsidRPr="00007450">
        <w:t xml:space="preserve"> remove from the estimates)</w:t>
      </w:r>
      <w:r w:rsidR="008018F8" w:rsidRPr="00007450">
        <w:t xml:space="preserve"> the treatment re</w:t>
      </w:r>
      <w:r w:rsidR="00F25966" w:rsidRPr="00007450">
        <w:t>ceived prior to PBS listing</w:t>
      </w:r>
      <w:r w:rsidRPr="00007450">
        <w:t>.</w:t>
      </w:r>
      <w:r w:rsidR="00470DBA" w:rsidRPr="00007450">
        <w:t xml:space="preserve"> The Pre-PBAC Response acknowledged this issue and agreed to work to determine more accurate grandfather patient numbers in the event of a positive recommendation. </w:t>
      </w:r>
    </w:p>
    <w:p w14:paraId="2BEA4A89" w14:textId="24B06E14" w:rsidR="00CA6F4E" w:rsidRPr="00007450" w:rsidRDefault="00CA6F4E" w:rsidP="00864C4B">
      <w:pPr>
        <w:pStyle w:val="3-BodyText"/>
      </w:pPr>
      <w:r w:rsidRPr="00007450">
        <w:t xml:space="preserve">The submission assumed that listing of ribociclib would affect the use of electrocardiograms and blood tests (electrolytes, FBC, LFT and ALT/AST) due to increased monitoring requirements associated with adjuvant ribociclib treatment, with offsets due to reduced CDK4/6 inhibitor use in the metastatic setting. In general, </w:t>
      </w:r>
      <w:r w:rsidRPr="00007450">
        <w:lastRenderedPageBreak/>
        <w:t>the</w:t>
      </w:r>
      <w:r w:rsidR="00B025EE">
        <w:t xml:space="preserve"> evaluation considered that the</w:t>
      </w:r>
      <w:r w:rsidRPr="00007450">
        <w:t xml:space="preserve"> approach used to estimate the impact to the MBS was reasonable, however the item fee assumed for ECG use (MBS item 55129, fee: $258.70) was for transthoracic ECHO, rather than MBS item 11704 (fee: $35.60). As the cost of ECG was the main driver of the estimated costs to the MBS, the cost to the MBS estimated in the submission has been substantially overestimated. While the PBAC previously considered that some patients with prolonged QT may require additional ECGs, cardiology reviews and oncologist consultations for treatment cessation ± monitoring, the impact was noted to be small given the rarity of the event (Table 16, ribociclib PSD, November 2024 PBAC meeting).</w:t>
      </w:r>
    </w:p>
    <w:p w14:paraId="0F768467" w14:textId="1B044317" w:rsidR="001D523F" w:rsidRPr="00007450" w:rsidRDefault="001D523F" w:rsidP="00864C4B">
      <w:pPr>
        <w:pStyle w:val="3-BodyText"/>
      </w:pPr>
      <w:r w:rsidRPr="00007450">
        <w:t>Multivariate analyses conducted during the evaluation including changes described in paras</w:t>
      </w:r>
      <w:r w:rsidR="006F23C0" w:rsidRPr="00007450">
        <w:t>.</w:t>
      </w:r>
      <w:r w:rsidRPr="00007450">
        <w:t xml:space="preserve"> </w:t>
      </w:r>
      <w:r w:rsidRPr="00007450">
        <w:fldChar w:fldCharType="begin"/>
      </w:r>
      <w:r w:rsidRPr="00007450">
        <w:instrText xml:space="preserve"> REF _Ref194671993 \n \h  \* MERGEFORMAT </w:instrText>
      </w:r>
      <w:r w:rsidRPr="00007450">
        <w:fldChar w:fldCharType="separate"/>
      </w:r>
      <w:r w:rsidR="00B36442">
        <w:t>6.61</w:t>
      </w:r>
      <w:r w:rsidRPr="00007450">
        <w:fldChar w:fldCharType="end"/>
      </w:r>
      <w:r w:rsidRPr="00007450">
        <w:t>–</w:t>
      </w:r>
      <w:r w:rsidRPr="00007450">
        <w:fldChar w:fldCharType="begin"/>
      </w:r>
      <w:r w:rsidRPr="00007450">
        <w:instrText xml:space="preserve"> REF _Ref194671998 \n \h  \* MERGEFORMAT </w:instrText>
      </w:r>
      <w:r w:rsidRPr="00007450">
        <w:fldChar w:fldCharType="separate"/>
      </w:r>
      <w:r w:rsidR="00B36442">
        <w:t>6.66</w:t>
      </w:r>
      <w:r w:rsidRPr="00007450">
        <w:fldChar w:fldCharType="end"/>
      </w:r>
      <w:r w:rsidRPr="00007450">
        <w:t xml:space="preserve"> resulted in a decrease in the estimated financial impact to the PBS/RPBS by </w:t>
      </w:r>
      <w:r w:rsidRPr="00F803D3">
        <w:t>33–44</w:t>
      </w:r>
      <w:r w:rsidRPr="00007450">
        <w:t>% each year (</w:t>
      </w:r>
      <w:r w:rsidRPr="00007450">
        <w:rPr>
          <w:highlight w:val="yellow"/>
        </w:rPr>
        <w:fldChar w:fldCharType="begin"/>
      </w:r>
      <w:r w:rsidRPr="00007450">
        <w:instrText xml:space="preserve"> REF _Ref194671946 \h </w:instrText>
      </w:r>
      <w:r w:rsidRPr="00007450">
        <w:rPr>
          <w:highlight w:val="yellow"/>
        </w:rPr>
        <w:instrText xml:space="preserve"> \* MERGEFORMAT </w:instrText>
      </w:r>
      <w:r w:rsidRPr="00007450">
        <w:rPr>
          <w:highlight w:val="yellow"/>
        </w:rPr>
      </w:r>
      <w:r w:rsidRPr="00007450">
        <w:rPr>
          <w:highlight w:val="yellow"/>
        </w:rPr>
        <w:fldChar w:fldCharType="separate"/>
      </w:r>
      <w:r w:rsidR="00B36442" w:rsidRPr="00007450">
        <w:t xml:space="preserve">Table </w:t>
      </w:r>
      <w:r w:rsidR="00B36442">
        <w:rPr>
          <w:noProof/>
        </w:rPr>
        <w:t>20</w:t>
      </w:r>
      <w:r w:rsidRPr="00007450">
        <w:rPr>
          <w:highlight w:val="yellow"/>
        </w:rPr>
        <w:fldChar w:fldCharType="end"/>
      </w:r>
      <w:r w:rsidRPr="00007450">
        <w:t>).</w:t>
      </w:r>
      <w:r w:rsidR="0062727C" w:rsidRPr="00007450">
        <w:t xml:space="preserve"> The ESC </w:t>
      </w:r>
      <w:r w:rsidR="002C273D" w:rsidRPr="00007450">
        <w:t>considered that</w:t>
      </w:r>
      <w:r w:rsidR="008609A3" w:rsidRPr="00007450">
        <w:t xml:space="preserve"> overall</w:t>
      </w:r>
      <w:r w:rsidR="0062727C" w:rsidRPr="00007450">
        <w:t xml:space="preserve"> </w:t>
      </w:r>
      <w:r w:rsidR="00094D31" w:rsidRPr="00007450">
        <w:t xml:space="preserve">the </w:t>
      </w:r>
      <w:r w:rsidR="00EE25E9" w:rsidRPr="00007450">
        <w:t>submission</w:t>
      </w:r>
      <w:r w:rsidR="002C273D" w:rsidRPr="00007450">
        <w:t xml:space="preserve"> had likely</w:t>
      </w:r>
      <w:r w:rsidR="00EE25E9" w:rsidRPr="00007450">
        <w:t xml:space="preserve"> over</w:t>
      </w:r>
      <w:r w:rsidR="00094D31" w:rsidRPr="00007450">
        <w:t xml:space="preserve">estimated </w:t>
      </w:r>
      <w:r w:rsidR="009101AA" w:rsidRPr="00007450">
        <w:t xml:space="preserve">the </w:t>
      </w:r>
      <w:r w:rsidR="00094D31" w:rsidRPr="00007450">
        <w:t xml:space="preserve">utilisation </w:t>
      </w:r>
      <w:r w:rsidR="009101AA" w:rsidRPr="00007450">
        <w:t xml:space="preserve">of </w:t>
      </w:r>
      <w:r w:rsidR="00652595" w:rsidRPr="00007450">
        <w:t xml:space="preserve">ribociclib </w:t>
      </w:r>
      <w:r w:rsidR="00094D31" w:rsidRPr="00007450">
        <w:t xml:space="preserve">and considered </w:t>
      </w:r>
      <w:r w:rsidR="003737A3" w:rsidRPr="00007450">
        <w:t xml:space="preserve">it </w:t>
      </w:r>
      <w:r w:rsidR="00652595" w:rsidRPr="00007450">
        <w:t xml:space="preserve">was likely more </w:t>
      </w:r>
      <w:r w:rsidR="003737A3" w:rsidRPr="00007450">
        <w:t xml:space="preserve">appropriate to amend the </w:t>
      </w:r>
      <w:r w:rsidR="00413128" w:rsidRPr="00007450">
        <w:t>proportion eligible</w:t>
      </w:r>
      <w:r w:rsidR="003737A3" w:rsidRPr="00007450">
        <w:t xml:space="preserve"> to 23.9%</w:t>
      </w:r>
      <w:r w:rsidR="00773911" w:rsidRPr="00007450">
        <w:t xml:space="preserve"> (SA 2#)</w:t>
      </w:r>
      <w:r w:rsidR="003737A3" w:rsidRPr="00007450">
        <w:t xml:space="preserve">, </w:t>
      </w:r>
      <w:r w:rsidR="004637F9" w:rsidRPr="00007450">
        <w:t>apply</w:t>
      </w:r>
      <w:r w:rsidR="00E06EC0" w:rsidRPr="00007450">
        <w:t xml:space="preserve"> the </w:t>
      </w:r>
      <w:r w:rsidR="00DA3980" w:rsidRPr="00007450">
        <w:t xml:space="preserve">incidence </w:t>
      </w:r>
      <w:r w:rsidR="00E06EC0" w:rsidRPr="00007450">
        <w:t>estimates projected from AIHW data</w:t>
      </w:r>
      <w:r w:rsidR="00AE5460" w:rsidRPr="00007450">
        <w:t xml:space="preserve"> (SA 3#)</w:t>
      </w:r>
      <w:r w:rsidR="00565E6C" w:rsidRPr="00007450">
        <w:t xml:space="preserve">, apply an uptake rate of </w:t>
      </w:r>
      <w:r w:rsidR="00E44B9A" w:rsidRPr="004A2F0E">
        <w:rPr>
          <w:color w:val="000000"/>
          <w:spacing w:val="6"/>
          <w:w w:val="61"/>
          <w:shd w:val="solid" w:color="000000" w:fill="000000"/>
          <w:fitText w:val="475" w:id="-628909309"/>
          <w14:textFill>
            <w14:solidFill>
              <w14:srgbClr w14:val="000000">
                <w14:alpha w14:val="100000"/>
              </w14:srgbClr>
            </w14:solidFill>
          </w14:textFill>
        </w:rPr>
        <w:t>|||</w:t>
      </w:r>
      <w:r w:rsidR="004A2F0E" w:rsidRPr="004A2F0E">
        <w:rPr>
          <w:color w:val="000000"/>
          <w:spacing w:val="6"/>
          <w:w w:val="61"/>
          <w:shd w:val="solid" w:color="000000" w:fill="000000"/>
          <w:fitText w:val="475" w:id="-628909309"/>
          <w14:textFill>
            <w14:solidFill>
              <w14:srgbClr w14:val="000000">
                <w14:alpha w14:val="100000"/>
              </w14:srgbClr>
            </w14:solidFill>
          </w14:textFill>
        </w:rPr>
        <w:t xml:space="preserve"> </w:t>
      </w:r>
      <w:r w:rsidR="00E44B9A" w:rsidRPr="004A2F0E">
        <w:rPr>
          <w:color w:val="000000"/>
          <w:spacing w:val="6"/>
          <w:w w:val="61"/>
          <w:shd w:val="solid" w:color="000000" w:fill="000000"/>
          <w:fitText w:val="475" w:id="-628909309"/>
          <w14:textFill>
            <w14:solidFill>
              <w14:srgbClr w14:val="000000">
                <w14:alpha w14:val="100000"/>
              </w14:srgbClr>
            </w14:solidFill>
          </w14:textFill>
        </w:rPr>
        <w:t>||</w:t>
      </w:r>
      <w:r w:rsidR="00E44B9A" w:rsidRPr="004A2F0E">
        <w:rPr>
          <w:color w:val="000000"/>
          <w:spacing w:val="3"/>
          <w:w w:val="61"/>
          <w:shd w:val="solid" w:color="000000" w:fill="000000"/>
          <w:fitText w:val="475" w:id="-628909309"/>
          <w14:textFill>
            <w14:solidFill>
              <w14:srgbClr w14:val="000000">
                <w14:alpha w14:val="100000"/>
              </w14:srgbClr>
            </w14:solidFill>
          </w14:textFill>
        </w:rPr>
        <w:t>|</w:t>
      </w:r>
      <w:r w:rsidR="00565E6C" w:rsidRPr="00007450">
        <w:t>%</w:t>
      </w:r>
      <w:r w:rsidR="00AE5460" w:rsidRPr="00007450">
        <w:t xml:space="preserve"> (SA #4)</w:t>
      </w:r>
      <w:r w:rsidR="00DA3980" w:rsidRPr="00007450">
        <w:t>,</w:t>
      </w:r>
      <w:r w:rsidR="00565E6C" w:rsidRPr="00007450">
        <w:t xml:space="preserve"> and </w:t>
      </w:r>
      <w:r w:rsidR="00EE25E9" w:rsidRPr="00007450">
        <w:t xml:space="preserve">apply a </w:t>
      </w:r>
      <w:r w:rsidR="00565E6C" w:rsidRPr="00007450">
        <w:t>compliance of 83.</w:t>
      </w:r>
      <w:r w:rsidR="00935798" w:rsidRPr="00007450">
        <w:t>4</w:t>
      </w:r>
      <w:r w:rsidR="00565E6C" w:rsidRPr="00007450">
        <w:t>%</w:t>
      </w:r>
      <w:r w:rsidR="00AE5460" w:rsidRPr="00007450">
        <w:t xml:space="preserve"> (SA 5</w:t>
      </w:r>
      <w:r w:rsidR="00D16946" w:rsidRPr="00007450">
        <w:t>#)</w:t>
      </w:r>
      <w:r w:rsidR="00565E6C" w:rsidRPr="00007450">
        <w:t xml:space="preserve"> (see</w:t>
      </w:r>
      <w:r w:rsidR="002B5680" w:rsidRPr="00007450">
        <w:t xml:space="preserve"> </w:t>
      </w:r>
      <w:r w:rsidR="002B5680" w:rsidRPr="00007450">
        <w:fldChar w:fldCharType="begin"/>
      </w:r>
      <w:r w:rsidR="002B5680" w:rsidRPr="00007450">
        <w:instrText xml:space="preserve"> REF _Ref194671946 \h </w:instrText>
      </w:r>
      <w:r w:rsidR="005014B8" w:rsidRPr="00007450">
        <w:instrText xml:space="preserve"> \* MERGEFORMAT </w:instrText>
      </w:r>
      <w:r w:rsidR="002B5680" w:rsidRPr="00007450">
        <w:fldChar w:fldCharType="separate"/>
      </w:r>
      <w:r w:rsidR="00B36442" w:rsidRPr="00007450">
        <w:t xml:space="preserve">Table </w:t>
      </w:r>
      <w:r w:rsidR="00B36442">
        <w:rPr>
          <w:noProof/>
        </w:rPr>
        <w:t>20</w:t>
      </w:r>
      <w:r w:rsidR="002B5680" w:rsidRPr="00007450">
        <w:fldChar w:fldCharType="end"/>
      </w:r>
      <w:r w:rsidR="002B5680" w:rsidRPr="00007450">
        <w:t>).</w:t>
      </w:r>
    </w:p>
    <w:p w14:paraId="50C2261A" w14:textId="61DA9D88" w:rsidR="001D523F" w:rsidRPr="00007450" w:rsidRDefault="001D523F" w:rsidP="00864C4B">
      <w:pPr>
        <w:pStyle w:val="Caption"/>
      </w:pPr>
      <w:bookmarkStart w:id="95" w:name="_Ref194671946"/>
      <w:r w:rsidRPr="00007450">
        <w:t xml:space="preserve">Table </w:t>
      </w:r>
      <w:r w:rsidR="001C7776">
        <w:fldChar w:fldCharType="begin"/>
      </w:r>
      <w:r w:rsidR="001C7776">
        <w:instrText xml:space="preserve"> SEQ Table \* ARABIC </w:instrText>
      </w:r>
      <w:r w:rsidR="001C7776">
        <w:fldChar w:fldCharType="separate"/>
      </w:r>
      <w:r w:rsidR="00B36442">
        <w:rPr>
          <w:noProof/>
        </w:rPr>
        <w:t>20</w:t>
      </w:r>
      <w:r w:rsidR="001C7776">
        <w:rPr>
          <w:noProof/>
        </w:rPr>
        <w:fldChar w:fldCharType="end"/>
      </w:r>
      <w:bookmarkEnd w:id="95"/>
      <w:r w:rsidRPr="00007450">
        <w:t>:</w:t>
      </w:r>
      <w:r w:rsidRPr="00007450">
        <w:rPr>
          <w:rStyle w:val="CommentReference"/>
          <w:b/>
          <w:szCs w:val="24"/>
        </w:rPr>
        <w:t xml:space="preserve"> </w:t>
      </w:r>
      <w:r w:rsidRPr="00007450">
        <w:t>Sensitivity analyses</w:t>
      </w:r>
    </w:p>
    <w:tbl>
      <w:tblPr>
        <w:tblStyle w:val="TableGrid"/>
        <w:tblW w:w="5000" w:type="pct"/>
        <w:tblLayout w:type="fixed"/>
        <w:tblLook w:val="04A0" w:firstRow="1" w:lastRow="0" w:firstColumn="1" w:lastColumn="0" w:noHBand="0" w:noVBand="1"/>
        <w:tblCaption w:val="Table 20: Sensitivity analyses"/>
      </w:tblPr>
      <w:tblGrid>
        <w:gridCol w:w="1695"/>
        <w:gridCol w:w="1219"/>
        <w:gridCol w:w="1219"/>
        <w:gridCol w:w="1221"/>
        <w:gridCol w:w="1219"/>
        <w:gridCol w:w="1219"/>
        <w:gridCol w:w="1225"/>
      </w:tblGrid>
      <w:tr w:rsidR="001D523F" w:rsidRPr="00007450" w14:paraId="7DB39B66" w14:textId="77777777" w:rsidTr="004E2FE9">
        <w:tc>
          <w:tcPr>
            <w:tcW w:w="940" w:type="pct"/>
            <w:noWrap/>
            <w:hideMark/>
          </w:tcPr>
          <w:p w14:paraId="433CA69C" w14:textId="77777777" w:rsidR="001D523F" w:rsidRPr="00007450" w:rsidRDefault="001D523F" w:rsidP="00864C4B">
            <w:pPr>
              <w:pStyle w:val="In-tableHeading"/>
              <w:rPr>
                <w:lang w:val="en-AU"/>
              </w:rPr>
            </w:pPr>
          </w:p>
        </w:tc>
        <w:tc>
          <w:tcPr>
            <w:tcW w:w="676" w:type="pct"/>
            <w:noWrap/>
            <w:hideMark/>
          </w:tcPr>
          <w:p w14:paraId="08D08F7C" w14:textId="77777777" w:rsidR="001D523F" w:rsidRPr="00007450" w:rsidRDefault="001D523F" w:rsidP="00864C4B">
            <w:pPr>
              <w:pStyle w:val="In-tableHeading"/>
              <w:jc w:val="center"/>
              <w:rPr>
                <w:lang w:val="en-AU"/>
              </w:rPr>
            </w:pPr>
            <w:r w:rsidRPr="00007450">
              <w:rPr>
                <w:lang w:val="en-AU"/>
              </w:rPr>
              <w:t>Year 1</w:t>
            </w:r>
          </w:p>
        </w:tc>
        <w:tc>
          <w:tcPr>
            <w:tcW w:w="676" w:type="pct"/>
            <w:noWrap/>
            <w:hideMark/>
          </w:tcPr>
          <w:p w14:paraId="441D2F3C" w14:textId="77777777" w:rsidR="001D523F" w:rsidRPr="00007450" w:rsidRDefault="001D523F" w:rsidP="00864C4B">
            <w:pPr>
              <w:pStyle w:val="In-tableHeading"/>
              <w:jc w:val="center"/>
              <w:rPr>
                <w:lang w:val="en-AU"/>
              </w:rPr>
            </w:pPr>
            <w:r w:rsidRPr="00007450">
              <w:rPr>
                <w:lang w:val="en-AU"/>
              </w:rPr>
              <w:t>Year 2</w:t>
            </w:r>
          </w:p>
        </w:tc>
        <w:tc>
          <w:tcPr>
            <w:tcW w:w="677" w:type="pct"/>
            <w:noWrap/>
            <w:hideMark/>
          </w:tcPr>
          <w:p w14:paraId="2EA9EA90" w14:textId="77777777" w:rsidR="001D523F" w:rsidRPr="00007450" w:rsidRDefault="001D523F" w:rsidP="00864C4B">
            <w:pPr>
              <w:pStyle w:val="In-tableHeading"/>
              <w:jc w:val="center"/>
              <w:rPr>
                <w:lang w:val="en-AU"/>
              </w:rPr>
            </w:pPr>
            <w:r w:rsidRPr="00007450">
              <w:rPr>
                <w:lang w:val="en-AU"/>
              </w:rPr>
              <w:t>Year 3</w:t>
            </w:r>
          </w:p>
        </w:tc>
        <w:tc>
          <w:tcPr>
            <w:tcW w:w="676" w:type="pct"/>
            <w:noWrap/>
            <w:hideMark/>
          </w:tcPr>
          <w:p w14:paraId="47986104" w14:textId="77777777" w:rsidR="001D523F" w:rsidRPr="00007450" w:rsidRDefault="001D523F" w:rsidP="00864C4B">
            <w:pPr>
              <w:pStyle w:val="In-tableHeading"/>
              <w:jc w:val="center"/>
              <w:rPr>
                <w:lang w:val="en-AU"/>
              </w:rPr>
            </w:pPr>
            <w:r w:rsidRPr="00007450">
              <w:rPr>
                <w:lang w:val="en-AU"/>
              </w:rPr>
              <w:t>Year 4</w:t>
            </w:r>
          </w:p>
        </w:tc>
        <w:tc>
          <w:tcPr>
            <w:tcW w:w="676" w:type="pct"/>
            <w:noWrap/>
            <w:hideMark/>
          </w:tcPr>
          <w:p w14:paraId="3BCEB3F7" w14:textId="77777777" w:rsidR="001D523F" w:rsidRPr="00007450" w:rsidRDefault="001D523F" w:rsidP="00864C4B">
            <w:pPr>
              <w:pStyle w:val="In-tableHeading"/>
              <w:jc w:val="center"/>
              <w:rPr>
                <w:lang w:val="en-AU"/>
              </w:rPr>
            </w:pPr>
            <w:r w:rsidRPr="00007450">
              <w:rPr>
                <w:lang w:val="en-AU"/>
              </w:rPr>
              <w:t>Year 5</w:t>
            </w:r>
          </w:p>
        </w:tc>
        <w:tc>
          <w:tcPr>
            <w:tcW w:w="677" w:type="pct"/>
            <w:noWrap/>
            <w:hideMark/>
          </w:tcPr>
          <w:p w14:paraId="03DAD896" w14:textId="77777777" w:rsidR="001D523F" w:rsidRPr="00007450" w:rsidRDefault="001D523F" w:rsidP="00864C4B">
            <w:pPr>
              <w:pStyle w:val="In-tableHeading"/>
              <w:jc w:val="center"/>
              <w:rPr>
                <w:lang w:val="en-AU"/>
              </w:rPr>
            </w:pPr>
            <w:r w:rsidRPr="00007450">
              <w:rPr>
                <w:lang w:val="en-AU"/>
              </w:rPr>
              <w:t>Year 6</w:t>
            </w:r>
          </w:p>
        </w:tc>
      </w:tr>
      <w:tr w:rsidR="001D523F" w:rsidRPr="00007450" w14:paraId="2397EDF6" w14:textId="77777777" w:rsidTr="004E2FE9">
        <w:tc>
          <w:tcPr>
            <w:tcW w:w="940" w:type="pct"/>
            <w:noWrap/>
            <w:hideMark/>
          </w:tcPr>
          <w:p w14:paraId="6E5D9EFF" w14:textId="77777777" w:rsidR="001D523F" w:rsidRPr="00007450" w:rsidRDefault="001D523F" w:rsidP="00864C4B">
            <w:pPr>
              <w:pStyle w:val="TableText0"/>
              <w:rPr>
                <w:b/>
                <w:bCs w:val="0"/>
              </w:rPr>
            </w:pPr>
            <w:r w:rsidRPr="00007450">
              <w:rPr>
                <w:b/>
                <w:bCs w:val="0"/>
              </w:rPr>
              <w:t>Base case impact to the PBS/RPBS</w:t>
            </w:r>
          </w:p>
        </w:tc>
        <w:tc>
          <w:tcPr>
            <w:tcW w:w="676" w:type="pct"/>
            <w:noWrap/>
            <w:hideMark/>
          </w:tcPr>
          <w:p w14:paraId="18A9A216" w14:textId="37923EB8" w:rsidR="001D523F" w:rsidRPr="003F54C7"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8"/>
                <w14:textFill>
                  <w14:solidFill>
                    <w14:srgbClr w14:val="000000">
                      <w14:alpha w14:val="100000"/>
                    </w14:srgbClr>
                  </w14:solidFill>
                </w14:textFill>
              </w:rPr>
              <w:t>|||</w:t>
            </w:r>
            <w:r w:rsidR="00E44B9A" w:rsidRPr="00E44B9A">
              <w:rPr>
                <w:b/>
                <w:bCs w:val="0"/>
                <w:color w:val="000000"/>
                <w:spacing w:val="3"/>
                <w:shd w:val="solid" w:color="000000" w:fill="000000"/>
                <w:fitText w:val="360" w:id="-628909308"/>
                <w14:textFill>
                  <w14:solidFill>
                    <w14:srgbClr w14:val="000000">
                      <w14:alpha w14:val="100000"/>
                    </w14:srgbClr>
                  </w14:solidFill>
                </w14:textFill>
              </w:rPr>
              <w:t>|</w:t>
            </w:r>
            <w:r w:rsidR="003F54C7" w:rsidRPr="00AC051E">
              <w:rPr>
                <w:vertAlign w:val="superscript"/>
              </w:rPr>
              <w:t>1</w:t>
            </w:r>
          </w:p>
        </w:tc>
        <w:tc>
          <w:tcPr>
            <w:tcW w:w="676" w:type="pct"/>
            <w:noWrap/>
            <w:hideMark/>
          </w:tcPr>
          <w:p w14:paraId="3EBBECCD" w14:textId="46FFFA7F" w:rsidR="001D523F" w:rsidRPr="003F54C7"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7"/>
                <w14:textFill>
                  <w14:solidFill>
                    <w14:srgbClr w14:val="000000">
                      <w14:alpha w14:val="100000"/>
                    </w14:srgbClr>
                  </w14:solidFill>
                </w14:textFill>
              </w:rPr>
              <w:t>|||</w:t>
            </w:r>
            <w:r w:rsidR="00E44B9A" w:rsidRPr="00E44B9A">
              <w:rPr>
                <w:b/>
                <w:bCs w:val="0"/>
                <w:color w:val="000000"/>
                <w:spacing w:val="3"/>
                <w:shd w:val="solid" w:color="000000" w:fill="000000"/>
                <w:fitText w:val="360" w:id="-628909307"/>
                <w14:textFill>
                  <w14:solidFill>
                    <w14:srgbClr w14:val="000000">
                      <w14:alpha w14:val="100000"/>
                    </w14:srgbClr>
                  </w14:solidFill>
                </w14:textFill>
              </w:rPr>
              <w:t>|</w:t>
            </w:r>
            <w:r w:rsidR="003F54C7" w:rsidRPr="00AC051E">
              <w:rPr>
                <w:vertAlign w:val="superscript"/>
              </w:rPr>
              <w:t>2</w:t>
            </w:r>
          </w:p>
        </w:tc>
        <w:tc>
          <w:tcPr>
            <w:tcW w:w="677" w:type="pct"/>
            <w:noWrap/>
            <w:hideMark/>
          </w:tcPr>
          <w:p w14:paraId="4A7840E6" w14:textId="34A58E0E" w:rsidR="001D523F" w:rsidRPr="003F54C7"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6"/>
                <w14:textFill>
                  <w14:solidFill>
                    <w14:srgbClr w14:val="000000">
                      <w14:alpha w14:val="100000"/>
                    </w14:srgbClr>
                  </w14:solidFill>
                </w14:textFill>
              </w:rPr>
              <w:t>|||</w:t>
            </w:r>
            <w:r w:rsidR="00E44B9A" w:rsidRPr="00E44B9A">
              <w:rPr>
                <w:b/>
                <w:bCs w:val="0"/>
                <w:color w:val="000000"/>
                <w:spacing w:val="3"/>
                <w:shd w:val="solid" w:color="000000" w:fill="000000"/>
                <w:fitText w:val="360" w:id="-628909306"/>
                <w14:textFill>
                  <w14:solidFill>
                    <w14:srgbClr w14:val="000000">
                      <w14:alpha w14:val="100000"/>
                    </w14:srgbClr>
                  </w14:solidFill>
                </w14:textFill>
              </w:rPr>
              <w:t>|</w:t>
            </w:r>
            <w:r w:rsidR="003F54C7" w:rsidRPr="00AC051E">
              <w:rPr>
                <w:vertAlign w:val="superscript"/>
              </w:rPr>
              <w:t>3</w:t>
            </w:r>
          </w:p>
        </w:tc>
        <w:tc>
          <w:tcPr>
            <w:tcW w:w="676" w:type="pct"/>
            <w:noWrap/>
            <w:hideMark/>
          </w:tcPr>
          <w:p w14:paraId="025E9BE3" w14:textId="26CE79AA" w:rsidR="001D523F" w:rsidRPr="009719C2"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5"/>
                <w14:textFill>
                  <w14:solidFill>
                    <w14:srgbClr w14:val="000000">
                      <w14:alpha w14:val="100000"/>
                    </w14:srgbClr>
                  </w14:solidFill>
                </w14:textFill>
              </w:rPr>
              <w:t>|||</w:t>
            </w:r>
            <w:r w:rsidR="00E44B9A" w:rsidRPr="00E44B9A">
              <w:rPr>
                <w:b/>
                <w:bCs w:val="0"/>
                <w:color w:val="000000"/>
                <w:spacing w:val="3"/>
                <w:shd w:val="solid" w:color="000000" w:fill="000000"/>
                <w:fitText w:val="360" w:id="-628909305"/>
                <w14:textFill>
                  <w14:solidFill>
                    <w14:srgbClr w14:val="000000">
                      <w14:alpha w14:val="100000"/>
                    </w14:srgbClr>
                  </w14:solidFill>
                </w14:textFill>
              </w:rPr>
              <w:t>|</w:t>
            </w:r>
            <w:r w:rsidR="00AC051E" w:rsidRPr="00AC051E">
              <w:rPr>
                <w:vertAlign w:val="superscript"/>
              </w:rPr>
              <w:t>4</w:t>
            </w:r>
          </w:p>
        </w:tc>
        <w:tc>
          <w:tcPr>
            <w:tcW w:w="676" w:type="pct"/>
            <w:noWrap/>
            <w:hideMark/>
          </w:tcPr>
          <w:p w14:paraId="028F0F43" w14:textId="2022CCB7" w:rsidR="001D523F" w:rsidRPr="00AC051E"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4"/>
                <w14:textFill>
                  <w14:solidFill>
                    <w14:srgbClr w14:val="000000">
                      <w14:alpha w14:val="100000"/>
                    </w14:srgbClr>
                  </w14:solidFill>
                </w14:textFill>
              </w:rPr>
              <w:t>|||</w:t>
            </w:r>
            <w:r w:rsidR="00E44B9A" w:rsidRPr="00E44B9A">
              <w:rPr>
                <w:b/>
                <w:bCs w:val="0"/>
                <w:color w:val="000000"/>
                <w:spacing w:val="3"/>
                <w:shd w:val="solid" w:color="000000" w:fill="000000"/>
                <w:fitText w:val="360" w:id="-628909304"/>
                <w14:textFill>
                  <w14:solidFill>
                    <w14:srgbClr w14:val="000000">
                      <w14:alpha w14:val="100000"/>
                    </w14:srgbClr>
                  </w14:solidFill>
                </w14:textFill>
              </w:rPr>
              <w:t>|</w:t>
            </w:r>
            <w:r w:rsidR="00AC051E" w:rsidRPr="00AC051E">
              <w:rPr>
                <w:vertAlign w:val="superscript"/>
              </w:rPr>
              <w:t>4</w:t>
            </w:r>
          </w:p>
        </w:tc>
        <w:tc>
          <w:tcPr>
            <w:tcW w:w="677" w:type="pct"/>
            <w:noWrap/>
            <w:hideMark/>
          </w:tcPr>
          <w:p w14:paraId="45492EDF" w14:textId="63C66BA0" w:rsidR="001D523F" w:rsidRPr="00AC051E" w:rsidRDefault="001D523F" w:rsidP="00864C4B">
            <w:pPr>
              <w:pStyle w:val="TableText0"/>
              <w:jc w:val="right"/>
              <w:rPr>
                <w:vertAlign w:val="superscript"/>
              </w:rPr>
            </w:pPr>
            <w:r w:rsidRPr="00007450">
              <w:rPr>
                <w:b/>
                <w:bCs w:val="0"/>
              </w:rPr>
              <w:t>$</w:t>
            </w:r>
            <w:r w:rsidR="00E44B9A" w:rsidRPr="00E44B9A">
              <w:rPr>
                <w:b/>
                <w:bCs w:val="0"/>
                <w:color w:val="000000"/>
                <w:spacing w:val="53"/>
                <w:shd w:val="solid" w:color="000000" w:fill="000000"/>
                <w:fitText w:val="345" w:id="-628909303"/>
                <w14:textFill>
                  <w14:solidFill>
                    <w14:srgbClr w14:val="000000">
                      <w14:alpha w14:val="100000"/>
                    </w14:srgbClr>
                  </w14:solidFill>
                </w14:textFill>
              </w:rPr>
              <w:t>|||</w:t>
            </w:r>
            <w:r w:rsidR="00E44B9A" w:rsidRPr="00E44B9A">
              <w:rPr>
                <w:b/>
                <w:bCs w:val="0"/>
                <w:color w:val="000000"/>
                <w:spacing w:val="3"/>
                <w:shd w:val="solid" w:color="000000" w:fill="000000"/>
                <w:fitText w:val="345" w:id="-628909303"/>
                <w14:textFill>
                  <w14:solidFill>
                    <w14:srgbClr w14:val="000000">
                      <w14:alpha w14:val="100000"/>
                    </w14:srgbClr>
                  </w14:solidFill>
                </w14:textFill>
              </w:rPr>
              <w:t>|</w:t>
            </w:r>
            <w:r w:rsidR="00983934">
              <w:rPr>
                <w:vertAlign w:val="superscript"/>
              </w:rPr>
              <w:t>5</w:t>
            </w:r>
          </w:p>
        </w:tc>
      </w:tr>
      <w:tr w:rsidR="001D523F" w:rsidRPr="00007450" w14:paraId="48CD5E40" w14:textId="77777777">
        <w:tc>
          <w:tcPr>
            <w:tcW w:w="5000" w:type="pct"/>
            <w:gridSpan w:val="7"/>
            <w:tcBorders>
              <w:bottom w:val="single" w:sz="4" w:space="0" w:color="auto"/>
            </w:tcBorders>
            <w:noWrap/>
          </w:tcPr>
          <w:p w14:paraId="1690B71C" w14:textId="77777777" w:rsidR="001D523F" w:rsidRPr="00007450" w:rsidRDefault="001D523F" w:rsidP="00864C4B">
            <w:pPr>
              <w:pStyle w:val="TableText0"/>
            </w:pPr>
            <w:r w:rsidRPr="00007450">
              <w:t>Proportion eligible for ribociclib (base case: 26.5%)</w:t>
            </w:r>
          </w:p>
        </w:tc>
      </w:tr>
      <w:tr w:rsidR="001D523F" w:rsidRPr="00007450" w14:paraId="28D9E34B" w14:textId="77777777" w:rsidTr="004E2FE9">
        <w:tc>
          <w:tcPr>
            <w:tcW w:w="940" w:type="pct"/>
            <w:tcBorders>
              <w:bottom w:val="nil"/>
            </w:tcBorders>
            <w:noWrap/>
          </w:tcPr>
          <w:p w14:paraId="09A5961E" w14:textId="77777777" w:rsidR="001D523F" w:rsidRPr="00007450" w:rsidRDefault="001D523F" w:rsidP="00864C4B">
            <w:pPr>
              <w:pStyle w:val="TableText0"/>
              <w:numPr>
                <w:ilvl w:val="0"/>
                <w:numId w:val="12"/>
              </w:numPr>
              <w:ind w:left="306" w:hanging="284"/>
            </w:pPr>
            <w:r w:rsidRPr="00007450">
              <w:t>25.5%</w:t>
            </w:r>
          </w:p>
        </w:tc>
        <w:tc>
          <w:tcPr>
            <w:tcW w:w="676" w:type="pct"/>
            <w:tcBorders>
              <w:bottom w:val="nil"/>
            </w:tcBorders>
            <w:noWrap/>
          </w:tcPr>
          <w:p w14:paraId="307CC0B6" w14:textId="4A7F5921" w:rsidR="001D523F" w:rsidRPr="00983934"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983934">
              <w:rPr>
                <w:vertAlign w:val="superscript"/>
              </w:rPr>
              <w:t>6</w:t>
            </w:r>
          </w:p>
        </w:tc>
        <w:tc>
          <w:tcPr>
            <w:tcW w:w="676" w:type="pct"/>
            <w:tcBorders>
              <w:bottom w:val="nil"/>
            </w:tcBorders>
            <w:noWrap/>
          </w:tcPr>
          <w:p w14:paraId="3CF9C85B" w14:textId="19A33B17" w:rsidR="001D523F" w:rsidRPr="004E2FE9"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004E2FE9">
              <w:rPr>
                <w:vertAlign w:val="superscript"/>
              </w:rPr>
              <w:t>2</w:t>
            </w:r>
          </w:p>
        </w:tc>
        <w:tc>
          <w:tcPr>
            <w:tcW w:w="677" w:type="pct"/>
            <w:tcBorders>
              <w:bottom w:val="nil"/>
            </w:tcBorders>
            <w:noWrap/>
          </w:tcPr>
          <w:p w14:paraId="5588146A" w14:textId="698785A2" w:rsidR="001D523F" w:rsidRPr="004E2FE9"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00BF3175">
              <w:rPr>
                <w:vertAlign w:val="superscript"/>
              </w:rPr>
              <w:t>3</w:t>
            </w:r>
          </w:p>
        </w:tc>
        <w:tc>
          <w:tcPr>
            <w:tcW w:w="676" w:type="pct"/>
            <w:tcBorders>
              <w:bottom w:val="nil"/>
            </w:tcBorders>
            <w:noWrap/>
          </w:tcPr>
          <w:p w14:paraId="6083F9AD" w14:textId="03134207"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299"/>
                <w14:textFill>
                  <w14:solidFill>
                    <w14:srgbClr w14:val="000000">
                      <w14:alpha w14:val="100000"/>
                    </w14:srgbClr>
                  </w14:solidFill>
                </w14:textFill>
              </w:rPr>
              <w:t>|||</w:t>
            </w:r>
            <w:r w:rsidR="00E44B9A" w:rsidRPr="00E44B9A">
              <w:rPr>
                <w:color w:val="000000"/>
                <w:spacing w:val="1"/>
                <w:shd w:val="solid" w:color="000000" w:fill="000000"/>
                <w:fitText w:val="330" w:id="-628909299"/>
                <w14:textFill>
                  <w14:solidFill>
                    <w14:srgbClr w14:val="000000">
                      <w14:alpha w14:val="100000"/>
                    </w14:srgbClr>
                  </w14:solidFill>
                </w14:textFill>
              </w:rPr>
              <w:t>|</w:t>
            </w:r>
            <w:r w:rsidR="00BF3175">
              <w:rPr>
                <w:vertAlign w:val="superscript"/>
              </w:rPr>
              <w:t>3</w:t>
            </w:r>
          </w:p>
        </w:tc>
        <w:tc>
          <w:tcPr>
            <w:tcW w:w="676" w:type="pct"/>
            <w:tcBorders>
              <w:bottom w:val="nil"/>
            </w:tcBorders>
            <w:noWrap/>
          </w:tcPr>
          <w:p w14:paraId="420E5384" w14:textId="51E4A8A5" w:rsidR="001D523F" w:rsidRPr="00BF3175"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8"/>
                <w14:textFill>
                  <w14:solidFill>
                    <w14:srgbClr w14:val="000000">
                      <w14:alpha w14:val="100000"/>
                    </w14:srgbClr>
                  </w14:solidFill>
                </w14:textFill>
              </w:rPr>
              <w:t>|||</w:t>
            </w:r>
            <w:r w:rsidR="00E44B9A" w:rsidRPr="00E44B9A">
              <w:rPr>
                <w:color w:val="000000"/>
                <w:spacing w:val="1"/>
                <w:shd w:val="solid" w:color="000000" w:fill="000000"/>
                <w:fitText w:val="330" w:id="-628909298"/>
                <w14:textFill>
                  <w14:solidFill>
                    <w14:srgbClr w14:val="000000">
                      <w14:alpha w14:val="100000"/>
                    </w14:srgbClr>
                  </w14:solidFill>
                </w14:textFill>
              </w:rPr>
              <w:t>|</w:t>
            </w:r>
            <w:r w:rsidR="00BF3175">
              <w:rPr>
                <w:vertAlign w:val="superscript"/>
              </w:rPr>
              <w:t>4</w:t>
            </w:r>
          </w:p>
        </w:tc>
        <w:tc>
          <w:tcPr>
            <w:tcW w:w="677" w:type="pct"/>
            <w:tcBorders>
              <w:bottom w:val="nil"/>
            </w:tcBorders>
            <w:noWrap/>
          </w:tcPr>
          <w:p w14:paraId="3AA6B77C" w14:textId="10109893"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297"/>
                <w14:textFill>
                  <w14:solidFill>
                    <w14:srgbClr w14:val="000000">
                      <w14:alpha w14:val="100000"/>
                    </w14:srgbClr>
                  </w14:solidFill>
                </w14:textFill>
              </w:rPr>
              <w:t>|||</w:t>
            </w:r>
            <w:r w:rsidR="00E44B9A" w:rsidRPr="00E44B9A">
              <w:rPr>
                <w:color w:val="000000"/>
                <w:spacing w:val="1"/>
                <w:shd w:val="solid" w:color="000000" w:fill="000000"/>
                <w:fitText w:val="330" w:id="-628909297"/>
                <w14:textFill>
                  <w14:solidFill>
                    <w14:srgbClr w14:val="000000">
                      <w14:alpha w14:val="100000"/>
                    </w14:srgbClr>
                  </w14:solidFill>
                </w14:textFill>
              </w:rPr>
              <w:t>|</w:t>
            </w:r>
            <w:r w:rsidR="00BF3175" w:rsidRPr="00BF3175">
              <w:rPr>
                <w:vertAlign w:val="superscript"/>
              </w:rPr>
              <w:t>4</w:t>
            </w:r>
          </w:p>
        </w:tc>
      </w:tr>
      <w:tr w:rsidR="001D523F" w:rsidRPr="00007450" w14:paraId="696D45D8" w14:textId="77777777" w:rsidTr="004E2FE9">
        <w:tc>
          <w:tcPr>
            <w:tcW w:w="940" w:type="pct"/>
            <w:tcBorders>
              <w:top w:val="nil"/>
            </w:tcBorders>
            <w:noWrap/>
          </w:tcPr>
          <w:p w14:paraId="49F18684" w14:textId="77777777" w:rsidR="001D523F" w:rsidRPr="00007450" w:rsidRDefault="001D523F" w:rsidP="00864C4B">
            <w:pPr>
              <w:pStyle w:val="TableText0"/>
              <w:numPr>
                <w:ilvl w:val="0"/>
                <w:numId w:val="12"/>
              </w:numPr>
              <w:ind w:left="306" w:hanging="284"/>
            </w:pPr>
            <w:r w:rsidRPr="00007450">
              <w:t>23.9%</w:t>
            </w:r>
          </w:p>
        </w:tc>
        <w:tc>
          <w:tcPr>
            <w:tcW w:w="676" w:type="pct"/>
            <w:tcBorders>
              <w:top w:val="nil"/>
            </w:tcBorders>
            <w:noWrap/>
          </w:tcPr>
          <w:p w14:paraId="51C260BA" w14:textId="7640DBAB" w:rsidR="001D523F" w:rsidRPr="00007450" w:rsidRDefault="001D523F" w:rsidP="00864C4B">
            <w:pPr>
              <w:pStyle w:val="TableText0"/>
              <w:jc w:val="right"/>
            </w:pPr>
            <w:r w:rsidRPr="00007450">
              <w:t>$</w:t>
            </w:r>
            <w:r w:rsidR="00E44B9A" w:rsidRPr="00E44B9A">
              <w:rPr>
                <w:color w:val="000000"/>
                <w:spacing w:val="53"/>
                <w:shd w:val="solid" w:color="000000" w:fill="000000"/>
                <w:fitText w:val="330" w:id="-628909296"/>
                <w14:textFill>
                  <w14:solidFill>
                    <w14:srgbClr w14:val="000000">
                      <w14:alpha w14:val="100000"/>
                    </w14:srgbClr>
                  </w14:solidFill>
                </w14:textFill>
              </w:rPr>
              <w:t>|||</w:t>
            </w:r>
            <w:r w:rsidR="00E44B9A" w:rsidRPr="00E44B9A">
              <w:rPr>
                <w:color w:val="000000"/>
                <w:spacing w:val="1"/>
                <w:shd w:val="solid" w:color="000000" w:fill="000000"/>
                <w:fitText w:val="330" w:id="-628909296"/>
                <w14:textFill>
                  <w14:solidFill>
                    <w14:srgbClr w14:val="000000">
                      <w14:alpha w14:val="100000"/>
                    </w14:srgbClr>
                  </w14:solidFill>
                </w14:textFill>
              </w:rPr>
              <w:t>|</w:t>
            </w:r>
            <w:r w:rsidR="00BF3175">
              <w:rPr>
                <w:vertAlign w:val="superscript"/>
              </w:rPr>
              <w:t>6</w:t>
            </w:r>
          </w:p>
        </w:tc>
        <w:tc>
          <w:tcPr>
            <w:tcW w:w="676" w:type="pct"/>
            <w:tcBorders>
              <w:top w:val="nil"/>
            </w:tcBorders>
            <w:noWrap/>
          </w:tcPr>
          <w:p w14:paraId="29059331" w14:textId="3629FFB5"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2"/>
                <w14:textFill>
                  <w14:solidFill>
                    <w14:srgbClr w14:val="000000">
                      <w14:alpha w14:val="100000"/>
                    </w14:srgbClr>
                  </w14:solidFill>
                </w14:textFill>
              </w:rPr>
              <w:t>|||</w:t>
            </w:r>
            <w:r w:rsidR="00E44B9A" w:rsidRPr="00E44B9A">
              <w:rPr>
                <w:color w:val="000000"/>
                <w:spacing w:val="1"/>
                <w:shd w:val="solid" w:color="000000" w:fill="000000"/>
                <w:fitText w:val="330" w:id="-628909312"/>
                <w14:textFill>
                  <w14:solidFill>
                    <w14:srgbClr w14:val="000000">
                      <w14:alpha w14:val="100000"/>
                    </w14:srgbClr>
                  </w14:solidFill>
                </w14:textFill>
              </w:rPr>
              <w:t>|</w:t>
            </w:r>
            <w:r w:rsidR="004F52D0">
              <w:rPr>
                <w:vertAlign w:val="superscript"/>
              </w:rPr>
              <w:t>7</w:t>
            </w:r>
          </w:p>
        </w:tc>
        <w:tc>
          <w:tcPr>
            <w:tcW w:w="677" w:type="pct"/>
            <w:tcBorders>
              <w:top w:val="nil"/>
            </w:tcBorders>
            <w:noWrap/>
          </w:tcPr>
          <w:p w14:paraId="55EC8D8D" w14:textId="0837C4C6"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1"/>
                <w14:textFill>
                  <w14:solidFill>
                    <w14:srgbClr w14:val="000000">
                      <w14:alpha w14:val="100000"/>
                    </w14:srgbClr>
                  </w14:solidFill>
                </w14:textFill>
              </w:rPr>
              <w:t>|||</w:t>
            </w:r>
            <w:r w:rsidR="00E44B9A" w:rsidRPr="00E44B9A">
              <w:rPr>
                <w:color w:val="000000"/>
                <w:spacing w:val="1"/>
                <w:shd w:val="solid" w:color="000000" w:fill="000000"/>
                <w:fitText w:val="330" w:id="-628909311"/>
                <w14:textFill>
                  <w14:solidFill>
                    <w14:srgbClr w14:val="000000">
                      <w14:alpha w14:val="100000"/>
                    </w14:srgbClr>
                  </w14:solidFill>
                </w14:textFill>
              </w:rPr>
              <w:t>|</w:t>
            </w:r>
            <w:r w:rsidR="004F52D0">
              <w:rPr>
                <w:vertAlign w:val="superscript"/>
              </w:rPr>
              <w:t>2</w:t>
            </w:r>
          </w:p>
        </w:tc>
        <w:tc>
          <w:tcPr>
            <w:tcW w:w="676" w:type="pct"/>
            <w:tcBorders>
              <w:top w:val="nil"/>
            </w:tcBorders>
            <w:noWrap/>
          </w:tcPr>
          <w:p w14:paraId="6EFF3063" w14:textId="2F577D4A"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0"/>
                <w14:textFill>
                  <w14:solidFill>
                    <w14:srgbClr w14:val="000000">
                      <w14:alpha w14:val="100000"/>
                    </w14:srgbClr>
                  </w14:solidFill>
                </w14:textFill>
              </w:rPr>
              <w:t>|||</w:t>
            </w:r>
            <w:r w:rsidR="00E44B9A" w:rsidRPr="00E44B9A">
              <w:rPr>
                <w:color w:val="000000"/>
                <w:spacing w:val="1"/>
                <w:shd w:val="solid" w:color="000000" w:fill="000000"/>
                <w:fitText w:val="330" w:id="-628909310"/>
                <w14:textFill>
                  <w14:solidFill>
                    <w14:srgbClr w14:val="000000">
                      <w14:alpha w14:val="100000"/>
                    </w14:srgbClr>
                  </w14:solidFill>
                </w14:textFill>
              </w:rPr>
              <w:t>|</w:t>
            </w:r>
            <w:r w:rsidR="004F52D0">
              <w:rPr>
                <w:vertAlign w:val="superscript"/>
              </w:rPr>
              <w:t>3</w:t>
            </w:r>
          </w:p>
        </w:tc>
        <w:tc>
          <w:tcPr>
            <w:tcW w:w="676" w:type="pct"/>
            <w:tcBorders>
              <w:top w:val="nil"/>
            </w:tcBorders>
            <w:noWrap/>
          </w:tcPr>
          <w:p w14:paraId="4EF041D2" w14:textId="7514AD8A"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4F52D0">
              <w:rPr>
                <w:vertAlign w:val="superscript"/>
              </w:rPr>
              <w:t>3</w:t>
            </w:r>
          </w:p>
        </w:tc>
        <w:tc>
          <w:tcPr>
            <w:tcW w:w="677" w:type="pct"/>
            <w:tcBorders>
              <w:top w:val="nil"/>
            </w:tcBorders>
            <w:noWrap/>
          </w:tcPr>
          <w:p w14:paraId="7219F8DE" w14:textId="55C0B3F2"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8"/>
                <w14:textFill>
                  <w14:solidFill>
                    <w14:srgbClr w14:val="000000">
                      <w14:alpha w14:val="100000"/>
                    </w14:srgbClr>
                  </w14:solidFill>
                </w14:textFill>
              </w:rPr>
              <w:t>|||</w:t>
            </w:r>
            <w:r w:rsidR="00E44B9A" w:rsidRPr="00E44B9A">
              <w:rPr>
                <w:color w:val="000000"/>
                <w:spacing w:val="1"/>
                <w:shd w:val="solid" w:color="000000" w:fill="000000"/>
                <w:fitText w:val="330" w:id="-628909308"/>
                <w14:textFill>
                  <w14:solidFill>
                    <w14:srgbClr w14:val="000000">
                      <w14:alpha w14:val="100000"/>
                    </w14:srgbClr>
                  </w14:solidFill>
                </w14:textFill>
              </w:rPr>
              <w:t>|</w:t>
            </w:r>
            <w:r w:rsidR="004F52D0">
              <w:rPr>
                <w:vertAlign w:val="superscript"/>
              </w:rPr>
              <w:t>4</w:t>
            </w:r>
          </w:p>
        </w:tc>
      </w:tr>
      <w:tr w:rsidR="001D523F" w:rsidRPr="00007450" w14:paraId="2474699B" w14:textId="77777777">
        <w:tc>
          <w:tcPr>
            <w:tcW w:w="5000" w:type="pct"/>
            <w:gridSpan w:val="7"/>
            <w:noWrap/>
          </w:tcPr>
          <w:p w14:paraId="201D7093" w14:textId="77777777" w:rsidR="001D523F" w:rsidRPr="00007450" w:rsidRDefault="001D523F" w:rsidP="00864C4B">
            <w:pPr>
              <w:pStyle w:val="TableText0"/>
            </w:pPr>
            <w:r w:rsidRPr="00007450">
              <w:t>Breast cancer incidence (base case: 2016 incidence, assuming 3.36% annual growth)</w:t>
            </w:r>
          </w:p>
        </w:tc>
      </w:tr>
      <w:tr w:rsidR="001D523F" w:rsidRPr="00007450" w14:paraId="651631D8" w14:textId="77777777" w:rsidTr="004E2FE9">
        <w:tc>
          <w:tcPr>
            <w:tcW w:w="940" w:type="pct"/>
            <w:noWrap/>
          </w:tcPr>
          <w:p w14:paraId="21042D9C" w14:textId="77777777" w:rsidR="001D523F" w:rsidRPr="00007450" w:rsidRDefault="001D523F" w:rsidP="00864C4B">
            <w:pPr>
              <w:pStyle w:val="TableText0"/>
              <w:numPr>
                <w:ilvl w:val="0"/>
                <w:numId w:val="12"/>
              </w:numPr>
              <w:ind w:left="306" w:hanging="284"/>
            </w:pPr>
            <w:r w:rsidRPr="00007450">
              <w:t>Projected from AIHW data</w:t>
            </w:r>
          </w:p>
        </w:tc>
        <w:tc>
          <w:tcPr>
            <w:tcW w:w="676" w:type="pct"/>
            <w:noWrap/>
          </w:tcPr>
          <w:p w14:paraId="38568C65" w14:textId="6F1E96B7"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7"/>
                <w14:textFill>
                  <w14:solidFill>
                    <w14:srgbClr w14:val="000000">
                      <w14:alpha w14:val="100000"/>
                    </w14:srgbClr>
                  </w14:solidFill>
                </w14:textFill>
              </w:rPr>
              <w:t>|||</w:t>
            </w:r>
            <w:r w:rsidR="00E44B9A" w:rsidRPr="00E44B9A">
              <w:rPr>
                <w:color w:val="000000"/>
                <w:spacing w:val="1"/>
                <w:shd w:val="solid" w:color="000000" w:fill="000000"/>
                <w:fitText w:val="330" w:id="-628909307"/>
                <w14:textFill>
                  <w14:solidFill>
                    <w14:srgbClr w14:val="000000">
                      <w14:alpha w14:val="100000"/>
                    </w14:srgbClr>
                  </w14:solidFill>
                </w14:textFill>
              </w:rPr>
              <w:t>|</w:t>
            </w:r>
            <w:r w:rsidR="004F52D0">
              <w:rPr>
                <w:vertAlign w:val="superscript"/>
              </w:rPr>
              <w:t>6</w:t>
            </w:r>
          </w:p>
        </w:tc>
        <w:tc>
          <w:tcPr>
            <w:tcW w:w="676" w:type="pct"/>
            <w:noWrap/>
          </w:tcPr>
          <w:p w14:paraId="6B54C68C" w14:textId="56A45449"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6"/>
                <w14:textFill>
                  <w14:solidFill>
                    <w14:srgbClr w14:val="000000">
                      <w14:alpha w14:val="100000"/>
                    </w14:srgbClr>
                  </w14:solidFill>
                </w14:textFill>
              </w:rPr>
              <w:t>|||</w:t>
            </w:r>
            <w:r w:rsidR="00E44B9A" w:rsidRPr="00E44B9A">
              <w:rPr>
                <w:color w:val="000000"/>
                <w:spacing w:val="1"/>
                <w:shd w:val="solid" w:color="000000" w:fill="000000"/>
                <w:fitText w:val="330" w:id="-628909306"/>
                <w14:textFill>
                  <w14:solidFill>
                    <w14:srgbClr w14:val="000000">
                      <w14:alpha w14:val="100000"/>
                    </w14:srgbClr>
                  </w14:solidFill>
                </w14:textFill>
              </w:rPr>
              <w:t>|</w:t>
            </w:r>
            <w:r w:rsidR="004F52D0">
              <w:rPr>
                <w:vertAlign w:val="superscript"/>
              </w:rPr>
              <w:t>7</w:t>
            </w:r>
          </w:p>
        </w:tc>
        <w:tc>
          <w:tcPr>
            <w:tcW w:w="677" w:type="pct"/>
            <w:noWrap/>
          </w:tcPr>
          <w:p w14:paraId="2E51CA1E" w14:textId="37F3EC08"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5"/>
                <w14:textFill>
                  <w14:solidFill>
                    <w14:srgbClr w14:val="000000">
                      <w14:alpha w14:val="100000"/>
                    </w14:srgbClr>
                  </w14:solidFill>
                </w14:textFill>
              </w:rPr>
              <w:t>|||</w:t>
            </w:r>
            <w:r w:rsidR="00E44B9A" w:rsidRPr="00E44B9A">
              <w:rPr>
                <w:color w:val="000000"/>
                <w:spacing w:val="1"/>
                <w:shd w:val="solid" w:color="000000" w:fill="000000"/>
                <w:fitText w:val="330" w:id="-628909305"/>
                <w14:textFill>
                  <w14:solidFill>
                    <w14:srgbClr w14:val="000000">
                      <w14:alpha w14:val="100000"/>
                    </w14:srgbClr>
                  </w14:solidFill>
                </w14:textFill>
              </w:rPr>
              <w:t>|</w:t>
            </w:r>
            <w:r w:rsidR="004F52D0">
              <w:rPr>
                <w:vertAlign w:val="superscript"/>
              </w:rPr>
              <w:t>2</w:t>
            </w:r>
          </w:p>
        </w:tc>
        <w:tc>
          <w:tcPr>
            <w:tcW w:w="676" w:type="pct"/>
            <w:noWrap/>
          </w:tcPr>
          <w:p w14:paraId="12C3B20D" w14:textId="450F556F"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4"/>
                <w14:textFill>
                  <w14:solidFill>
                    <w14:srgbClr w14:val="000000">
                      <w14:alpha w14:val="100000"/>
                    </w14:srgbClr>
                  </w14:solidFill>
                </w14:textFill>
              </w:rPr>
              <w:t>|||</w:t>
            </w:r>
            <w:r w:rsidR="00E44B9A" w:rsidRPr="00E44B9A">
              <w:rPr>
                <w:color w:val="000000"/>
                <w:spacing w:val="1"/>
                <w:shd w:val="solid" w:color="000000" w:fill="000000"/>
                <w:fitText w:val="330" w:id="-628909304"/>
                <w14:textFill>
                  <w14:solidFill>
                    <w14:srgbClr w14:val="000000">
                      <w14:alpha w14:val="100000"/>
                    </w14:srgbClr>
                  </w14:solidFill>
                </w14:textFill>
              </w:rPr>
              <w:t>|</w:t>
            </w:r>
            <w:r w:rsidR="004F52D0">
              <w:rPr>
                <w:vertAlign w:val="superscript"/>
              </w:rPr>
              <w:t>3</w:t>
            </w:r>
          </w:p>
        </w:tc>
        <w:tc>
          <w:tcPr>
            <w:tcW w:w="676" w:type="pct"/>
            <w:noWrap/>
          </w:tcPr>
          <w:p w14:paraId="78924555" w14:textId="0B2619B9"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3"/>
                <w14:textFill>
                  <w14:solidFill>
                    <w14:srgbClr w14:val="000000">
                      <w14:alpha w14:val="100000"/>
                    </w14:srgbClr>
                  </w14:solidFill>
                </w14:textFill>
              </w:rPr>
              <w:t>|||</w:t>
            </w:r>
            <w:r w:rsidR="00E44B9A" w:rsidRPr="00E44B9A">
              <w:rPr>
                <w:color w:val="000000"/>
                <w:spacing w:val="1"/>
                <w:shd w:val="solid" w:color="000000" w:fill="000000"/>
                <w:fitText w:val="330" w:id="-628909303"/>
                <w14:textFill>
                  <w14:solidFill>
                    <w14:srgbClr w14:val="000000">
                      <w14:alpha w14:val="100000"/>
                    </w14:srgbClr>
                  </w14:solidFill>
                </w14:textFill>
              </w:rPr>
              <w:t>|</w:t>
            </w:r>
            <w:r w:rsidR="004F52D0">
              <w:rPr>
                <w:vertAlign w:val="superscript"/>
              </w:rPr>
              <w:t>3</w:t>
            </w:r>
          </w:p>
        </w:tc>
        <w:tc>
          <w:tcPr>
            <w:tcW w:w="677" w:type="pct"/>
            <w:noWrap/>
          </w:tcPr>
          <w:p w14:paraId="1E7AB8F4" w14:textId="5B90352E"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4F52D0">
              <w:rPr>
                <w:vertAlign w:val="superscript"/>
              </w:rPr>
              <w:t>3</w:t>
            </w:r>
          </w:p>
        </w:tc>
      </w:tr>
      <w:tr w:rsidR="001D523F" w:rsidRPr="00007450" w14:paraId="0318BABA" w14:textId="77777777">
        <w:tc>
          <w:tcPr>
            <w:tcW w:w="5000" w:type="pct"/>
            <w:gridSpan w:val="7"/>
            <w:noWrap/>
          </w:tcPr>
          <w:p w14:paraId="1F831711" w14:textId="472B439B" w:rsidR="001D523F" w:rsidRPr="00007450" w:rsidRDefault="001D523F" w:rsidP="00864C4B">
            <w:pPr>
              <w:pStyle w:val="TableText0"/>
            </w:pPr>
            <w:r w:rsidRPr="00007450">
              <w:t xml:space="preserve">Uptake (base case: Increasing from </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Pr="00007450">
              <w:t xml:space="preserve">% in Year 1 to </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Pr="00007450">
              <w:t xml:space="preserve">% in Year 5) </w:t>
            </w:r>
          </w:p>
        </w:tc>
      </w:tr>
      <w:tr w:rsidR="001D523F" w:rsidRPr="00007450" w14:paraId="2635EEAA" w14:textId="77777777" w:rsidTr="004E2FE9">
        <w:tc>
          <w:tcPr>
            <w:tcW w:w="940" w:type="pct"/>
            <w:noWrap/>
          </w:tcPr>
          <w:p w14:paraId="66C012FC" w14:textId="052A8FD9" w:rsidR="001D523F" w:rsidRPr="00007450" w:rsidRDefault="00E44B9A" w:rsidP="00864C4B">
            <w:pPr>
              <w:pStyle w:val="TableText0"/>
              <w:numPr>
                <w:ilvl w:val="0"/>
                <w:numId w:val="12"/>
              </w:numPr>
              <w:ind w:left="306" w:hanging="284"/>
            </w:pPr>
            <w:r w:rsidRPr="00E44B9A">
              <w:rPr>
                <w:color w:val="000000"/>
                <w:spacing w:val="53"/>
                <w:shd w:val="solid" w:color="000000" w:fill="000000"/>
                <w:fitText w:val="330" w:id="-628909299"/>
                <w14:textFill>
                  <w14:solidFill>
                    <w14:srgbClr w14:val="000000">
                      <w14:alpha w14:val="100000"/>
                    </w14:srgbClr>
                  </w14:solidFill>
                </w14:textFill>
              </w:rPr>
              <w:t>|||</w:t>
            </w:r>
            <w:r w:rsidRPr="00E44B9A">
              <w:rPr>
                <w:color w:val="000000"/>
                <w:spacing w:val="1"/>
                <w:shd w:val="solid" w:color="000000" w:fill="000000"/>
                <w:fitText w:val="330" w:id="-628909299"/>
                <w14:textFill>
                  <w14:solidFill>
                    <w14:srgbClr w14:val="000000">
                      <w14:alpha w14:val="100000"/>
                    </w14:srgbClr>
                  </w14:solidFill>
                </w14:textFill>
              </w:rPr>
              <w:t>|</w:t>
            </w:r>
            <w:r w:rsidR="001D523F" w:rsidRPr="00007450">
              <w:t>%</w:t>
            </w:r>
          </w:p>
        </w:tc>
        <w:tc>
          <w:tcPr>
            <w:tcW w:w="676" w:type="pct"/>
            <w:noWrap/>
          </w:tcPr>
          <w:p w14:paraId="71A54E33" w14:textId="23EAE31B"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8"/>
                <w14:textFill>
                  <w14:solidFill>
                    <w14:srgbClr w14:val="000000">
                      <w14:alpha w14:val="100000"/>
                    </w14:srgbClr>
                  </w14:solidFill>
                </w14:textFill>
              </w:rPr>
              <w:t>|||</w:t>
            </w:r>
            <w:r w:rsidR="00E44B9A" w:rsidRPr="00E44B9A">
              <w:rPr>
                <w:color w:val="000000"/>
                <w:spacing w:val="1"/>
                <w:shd w:val="solid" w:color="000000" w:fill="000000"/>
                <w:fitText w:val="330" w:id="-628909298"/>
                <w14:textFill>
                  <w14:solidFill>
                    <w14:srgbClr w14:val="000000">
                      <w14:alpha w14:val="100000"/>
                    </w14:srgbClr>
                  </w14:solidFill>
                </w14:textFill>
              </w:rPr>
              <w:t>|</w:t>
            </w:r>
            <w:r w:rsidR="004F52D0">
              <w:rPr>
                <w:vertAlign w:val="superscript"/>
              </w:rPr>
              <w:t>6</w:t>
            </w:r>
          </w:p>
        </w:tc>
        <w:tc>
          <w:tcPr>
            <w:tcW w:w="676" w:type="pct"/>
            <w:noWrap/>
          </w:tcPr>
          <w:p w14:paraId="6DB5E6A5" w14:textId="11FB6FBF"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7"/>
                <w14:textFill>
                  <w14:solidFill>
                    <w14:srgbClr w14:val="000000">
                      <w14:alpha w14:val="100000"/>
                    </w14:srgbClr>
                  </w14:solidFill>
                </w14:textFill>
              </w:rPr>
              <w:t>|||</w:t>
            </w:r>
            <w:r w:rsidR="00E44B9A" w:rsidRPr="00E44B9A">
              <w:rPr>
                <w:color w:val="000000"/>
                <w:spacing w:val="1"/>
                <w:shd w:val="solid" w:color="000000" w:fill="000000"/>
                <w:fitText w:val="330" w:id="-628909297"/>
                <w14:textFill>
                  <w14:solidFill>
                    <w14:srgbClr w14:val="000000">
                      <w14:alpha w14:val="100000"/>
                    </w14:srgbClr>
                  </w14:solidFill>
                </w14:textFill>
              </w:rPr>
              <w:t>|</w:t>
            </w:r>
            <w:r w:rsidR="004F52D0">
              <w:rPr>
                <w:vertAlign w:val="superscript"/>
              </w:rPr>
              <w:t>7</w:t>
            </w:r>
          </w:p>
        </w:tc>
        <w:tc>
          <w:tcPr>
            <w:tcW w:w="677" w:type="pct"/>
            <w:noWrap/>
          </w:tcPr>
          <w:p w14:paraId="765E4C56" w14:textId="2034BE41"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6"/>
                <w14:textFill>
                  <w14:solidFill>
                    <w14:srgbClr w14:val="000000">
                      <w14:alpha w14:val="100000"/>
                    </w14:srgbClr>
                  </w14:solidFill>
                </w14:textFill>
              </w:rPr>
              <w:t>|||</w:t>
            </w:r>
            <w:r w:rsidR="00E44B9A" w:rsidRPr="00E44B9A">
              <w:rPr>
                <w:color w:val="000000"/>
                <w:spacing w:val="1"/>
                <w:shd w:val="solid" w:color="000000" w:fill="000000"/>
                <w:fitText w:val="330" w:id="-628909296"/>
                <w14:textFill>
                  <w14:solidFill>
                    <w14:srgbClr w14:val="000000">
                      <w14:alpha w14:val="100000"/>
                    </w14:srgbClr>
                  </w14:solidFill>
                </w14:textFill>
              </w:rPr>
              <w:t>|</w:t>
            </w:r>
            <w:r w:rsidR="004F52D0">
              <w:rPr>
                <w:vertAlign w:val="superscript"/>
              </w:rPr>
              <w:t>2</w:t>
            </w:r>
          </w:p>
        </w:tc>
        <w:tc>
          <w:tcPr>
            <w:tcW w:w="676" w:type="pct"/>
            <w:noWrap/>
          </w:tcPr>
          <w:p w14:paraId="1AA37DF3" w14:textId="530FD313"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2"/>
                <w14:textFill>
                  <w14:solidFill>
                    <w14:srgbClr w14:val="000000">
                      <w14:alpha w14:val="100000"/>
                    </w14:srgbClr>
                  </w14:solidFill>
                </w14:textFill>
              </w:rPr>
              <w:t>|||</w:t>
            </w:r>
            <w:r w:rsidR="00E44B9A" w:rsidRPr="00E44B9A">
              <w:rPr>
                <w:color w:val="000000"/>
                <w:spacing w:val="1"/>
                <w:shd w:val="solid" w:color="000000" w:fill="000000"/>
                <w:fitText w:val="330" w:id="-628909312"/>
                <w14:textFill>
                  <w14:solidFill>
                    <w14:srgbClr w14:val="000000">
                      <w14:alpha w14:val="100000"/>
                    </w14:srgbClr>
                  </w14:solidFill>
                </w14:textFill>
              </w:rPr>
              <w:t>|</w:t>
            </w:r>
            <w:r w:rsidR="004F52D0">
              <w:rPr>
                <w:vertAlign w:val="superscript"/>
              </w:rPr>
              <w:t>3</w:t>
            </w:r>
          </w:p>
        </w:tc>
        <w:tc>
          <w:tcPr>
            <w:tcW w:w="676" w:type="pct"/>
            <w:noWrap/>
          </w:tcPr>
          <w:p w14:paraId="0D238CC0" w14:textId="701C96E6"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1"/>
                <w14:textFill>
                  <w14:solidFill>
                    <w14:srgbClr w14:val="000000">
                      <w14:alpha w14:val="100000"/>
                    </w14:srgbClr>
                  </w14:solidFill>
                </w14:textFill>
              </w:rPr>
              <w:t>|||</w:t>
            </w:r>
            <w:r w:rsidR="00E44B9A" w:rsidRPr="00E44B9A">
              <w:rPr>
                <w:color w:val="000000"/>
                <w:spacing w:val="1"/>
                <w:shd w:val="solid" w:color="000000" w:fill="000000"/>
                <w:fitText w:val="330" w:id="-628909311"/>
                <w14:textFill>
                  <w14:solidFill>
                    <w14:srgbClr w14:val="000000">
                      <w14:alpha w14:val="100000"/>
                    </w14:srgbClr>
                  </w14:solidFill>
                </w14:textFill>
              </w:rPr>
              <w:t>|</w:t>
            </w:r>
            <w:r w:rsidR="004F52D0">
              <w:rPr>
                <w:vertAlign w:val="superscript"/>
              </w:rPr>
              <w:t>3</w:t>
            </w:r>
          </w:p>
        </w:tc>
        <w:tc>
          <w:tcPr>
            <w:tcW w:w="677" w:type="pct"/>
            <w:noWrap/>
          </w:tcPr>
          <w:p w14:paraId="27DB6171" w14:textId="4264D589"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0"/>
                <w14:textFill>
                  <w14:solidFill>
                    <w14:srgbClr w14:val="000000">
                      <w14:alpha w14:val="100000"/>
                    </w14:srgbClr>
                  </w14:solidFill>
                </w14:textFill>
              </w:rPr>
              <w:t>|||</w:t>
            </w:r>
            <w:r w:rsidR="00E44B9A" w:rsidRPr="00E44B9A">
              <w:rPr>
                <w:color w:val="000000"/>
                <w:spacing w:val="1"/>
                <w:shd w:val="solid" w:color="000000" w:fill="000000"/>
                <w:fitText w:val="330" w:id="-628909310"/>
                <w14:textFill>
                  <w14:solidFill>
                    <w14:srgbClr w14:val="000000">
                      <w14:alpha w14:val="100000"/>
                    </w14:srgbClr>
                  </w14:solidFill>
                </w14:textFill>
              </w:rPr>
              <w:t>|</w:t>
            </w:r>
            <w:r w:rsidR="004F52D0">
              <w:rPr>
                <w:vertAlign w:val="superscript"/>
              </w:rPr>
              <w:t>3</w:t>
            </w:r>
          </w:p>
        </w:tc>
      </w:tr>
      <w:tr w:rsidR="001D523F" w:rsidRPr="00007450" w14:paraId="087046CA" w14:textId="77777777">
        <w:tc>
          <w:tcPr>
            <w:tcW w:w="5000" w:type="pct"/>
            <w:gridSpan w:val="7"/>
            <w:noWrap/>
          </w:tcPr>
          <w:p w14:paraId="7E11B596" w14:textId="77777777" w:rsidR="001D523F" w:rsidRPr="00007450" w:rsidRDefault="001D523F" w:rsidP="00864C4B">
            <w:pPr>
              <w:pStyle w:val="TableText0"/>
            </w:pPr>
            <w:r w:rsidRPr="00007450">
              <w:t>Ribociclib compliance, (base case: 96.5%)</w:t>
            </w:r>
          </w:p>
        </w:tc>
      </w:tr>
      <w:tr w:rsidR="001D523F" w:rsidRPr="00007450" w14:paraId="1EA50673" w14:textId="77777777" w:rsidTr="004E2FE9">
        <w:tc>
          <w:tcPr>
            <w:tcW w:w="940" w:type="pct"/>
            <w:noWrap/>
          </w:tcPr>
          <w:p w14:paraId="56585A45" w14:textId="77777777" w:rsidR="001D523F" w:rsidRPr="00007450" w:rsidRDefault="001D523F" w:rsidP="00864C4B">
            <w:pPr>
              <w:pStyle w:val="TableText0"/>
              <w:numPr>
                <w:ilvl w:val="0"/>
                <w:numId w:val="12"/>
              </w:numPr>
              <w:ind w:left="306" w:hanging="284"/>
            </w:pPr>
            <w:r w:rsidRPr="00007450">
              <w:t>83.4%</w:t>
            </w:r>
          </w:p>
        </w:tc>
        <w:tc>
          <w:tcPr>
            <w:tcW w:w="676" w:type="pct"/>
            <w:noWrap/>
          </w:tcPr>
          <w:p w14:paraId="168BED53" w14:textId="762E6CFC"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4F52D0">
              <w:rPr>
                <w:vertAlign w:val="superscript"/>
              </w:rPr>
              <w:t>6</w:t>
            </w:r>
          </w:p>
        </w:tc>
        <w:tc>
          <w:tcPr>
            <w:tcW w:w="676" w:type="pct"/>
            <w:noWrap/>
          </w:tcPr>
          <w:p w14:paraId="111C3DFB" w14:textId="0B519EF3" w:rsidR="001D523F" w:rsidRPr="004F52D0"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8"/>
                <w14:textFill>
                  <w14:solidFill>
                    <w14:srgbClr w14:val="000000">
                      <w14:alpha w14:val="100000"/>
                    </w14:srgbClr>
                  </w14:solidFill>
                </w14:textFill>
              </w:rPr>
              <w:t>|||</w:t>
            </w:r>
            <w:r w:rsidR="00E44B9A" w:rsidRPr="00E44B9A">
              <w:rPr>
                <w:color w:val="000000"/>
                <w:spacing w:val="1"/>
                <w:shd w:val="solid" w:color="000000" w:fill="000000"/>
                <w:fitText w:val="330" w:id="-628909308"/>
                <w14:textFill>
                  <w14:solidFill>
                    <w14:srgbClr w14:val="000000">
                      <w14:alpha w14:val="100000"/>
                    </w14:srgbClr>
                  </w14:solidFill>
                </w14:textFill>
              </w:rPr>
              <w:t>|</w:t>
            </w:r>
            <w:r w:rsidR="0055761D">
              <w:rPr>
                <w:vertAlign w:val="superscript"/>
              </w:rPr>
              <w:t>7</w:t>
            </w:r>
          </w:p>
        </w:tc>
        <w:tc>
          <w:tcPr>
            <w:tcW w:w="677" w:type="pct"/>
            <w:noWrap/>
          </w:tcPr>
          <w:p w14:paraId="03827BD6" w14:textId="2E076DB4"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7"/>
                <w14:textFill>
                  <w14:solidFill>
                    <w14:srgbClr w14:val="000000">
                      <w14:alpha w14:val="100000"/>
                    </w14:srgbClr>
                  </w14:solidFill>
                </w14:textFill>
              </w:rPr>
              <w:t>|||</w:t>
            </w:r>
            <w:r w:rsidR="00E44B9A" w:rsidRPr="00E44B9A">
              <w:rPr>
                <w:color w:val="000000"/>
                <w:spacing w:val="1"/>
                <w:shd w:val="solid" w:color="000000" w:fill="000000"/>
                <w:fitText w:val="330" w:id="-628909307"/>
                <w14:textFill>
                  <w14:solidFill>
                    <w14:srgbClr w14:val="000000">
                      <w14:alpha w14:val="100000"/>
                    </w14:srgbClr>
                  </w14:solidFill>
                </w14:textFill>
              </w:rPr>
              <w:t>|</w:t>
            </w:r>
            <w:r w:rsidR="0055761D">
              <w:rPr>
                <w:vertAlign w:val="superscript"/>
              </w:rPr>
              <w:t>2</w:t>
            </w:r>
          </w:p>
        </w:tc>
        <w:tc>
          <w:tcPr>
            <w:tcW w:w="676" w:type="pct"/>
            <w:noWrap/>
          </w:tcPr>
          <w:p w14:paraId="3FD57651" w14:textId="6DE99BEA"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6"/>
                <w14:textFill>
                  <w14:solidFill>
                    <w14:srgbClr w14:val="000000">
                      <w14:alpha w14:val="100000"/>
                    </w14:srgbClr>
                  </w14:solidFill>
                </w14:textFill>
              </w:rPr>
              <w:t>|||</w:t>
            </w:r>
            <w:r w:rsidR="00E44B9A" w:rsidRPr="00E44B9A">
              <w:rPr>
                <w:color w:val="000000"/>
                <w:spacing w:val="1"/>
                <w:shd w:val="solid" w:color="000000" w:fill="000000"/>
                <w:fitText w:val="330" w:id="-628909306"/>
                <w14:textFill>
                  <w14:solidFill>
                    <w14:srgbClr w14:val="000000">
                      <w14:alpha w14:val="100000"/>
                    </w14:srgbClr>
                  </w14:solidFill>
                </w14:textFill>
              </w:rPr>
              <w:t>|</w:t>
            </w:r>
            <w:r w:rsidR="0055761D">
              <w:rPr>
                <w:vertAlign w:val="superscript"/>
              </w:rPr>
              <w:t>2</w:t>
            </w:r>
          </w:p>
        </w:tc>
        <w:tc>
          <w:tcPr>
            <w:tcW w:w="676" w:type="pct"/>
            <w:noWrap/>
          </w:tcPr>
          <w:p w14:paraId="7B28D664" w14:textId="0ADD0B75"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5"/>
                <w14:textFill>
                  <w14:solidFill>
                    <w14:srgbClr w14:val="000000">
                      <w14:alpha w14:val="100000"/>
                    </w14:srgbClr>
                  </w14:solidFill>
                </w14:textFill>
              </w:rPr>
              <w:t>|||</w:t>
            </w:r>
            <w:r w:rsidR="00E44B9A" w:rsidRPr="00E44B9A">
              <w:rPr>
                <w:color w:val="000000"/>
                <w:spacing w:val="1"/>
                <w:shd w:val="solid" w:color="000000" w:fill="000000"/>
                <w:fitText w:val="330" w:id="-628909305"/>
                <w14:textFill>
                  <w14:solidFill>
                    <w14:srgbClr w14:val="000000">
                      <w14:alpha w14:val="100000"/>
                    </w14:srgbClr>
                  </w14:solidFill>
                </w14:textFill>
              </w:rPr>
              <w:t>|</w:t>
            </w:r>
            <w:r w:rsidR="0055761D">
              <w:rPr>
                <w:vertAlign w:val="superscript"/>
              </w:rPr>
              <w:t>3</w:t>
            </w:r>
          </w:p>
        </w:tc>
        <w:tc>
          <w:tcPr>
            <w:tcW w:w="677" w:type="pct"/>
            <w:noWrap/>
          </w:tcPr>
          <w:p w14:paraId="68B5B9C7" w14:textId="69049739"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4"/>
                <w14:textFill>
                  <w14:solidFill>
                    <w14:srgbClr w14:val="000000">
                      <w14:alpha w14:val="100000"/>
                    </w14:srgbClr>
                  </w14:solidFill>
                </w14:textFill>
              </w:rPr>
              <w:t>|||</w:t>
            </w:r>
            <w:r w:rsidR="00E44B9A" w:rsidRPr="00E44B9A">
              <w:rPr>
                <w:color w:val="000000"/>
                <w:spacing w:val="1"/>
                <w:shd w:val="solid" w:color="000000" w:fill="000000"/>
                <w:fitText w:val="330" w:id="-628909304"/>
                <w14:textFill>
                  <w14:solidFill>
                    <w14:srgbClr w14:val="000000">
                      <w14:alpha w14:val="100000"/>
                    </w14:srgbClr>
                  </w14:solidFill>
                </w14:textFill>
              </w:rPr>
              <w:t>|</w:t>
            </w:r>
            <w:r w:rsidR="0055761D">
              <w:rPr>
                <w:vertAlign w:val="superscript"/>
              </w:rPr>
              <w:t>3</w:t>
            </w:r>
          </w:p>
        </w:tc>
      </w:tr>
      <w:tr w:rsidR="001D523F" w:rsidRPr="00007450" w14:paraId="193A1221" w14:textId="77777777" w:rsidTr="004E2FE9">
        <w:tc>
          <w:tcPr>
            <w:tcW w:w="940" w:type="pct"/>
            <w:tcBorders>
              <w:bottom w:val="single" w:sz="4" w:space="0" w:color="auto"/>
              <w:right w:val="nil"/>
            </w:tcBorders>
            <w:noWrap/>
          </w:tcPr>
          <w:p w14:paraId="3BF5269F" w14:textId="77777777" w:rsidR="001D523F" w:rsidRPr="00007450" w:rsidRDefault="001D523F" w:rsidP="00864C4B">
            <w:pPr>
              <w:pStyle w:val="TableText0"/>
              <w:rPr>
                <w:b/>
                <w:bCs w:val="0"/>
              </w:rPr>
            </w:pPr>
            <w:r w:rsidRPr="00007450">
              <w:rPr>
                <w:b/>
                <w:bCs w:val="0"/>
              </w:rPr>
              <w:t>Multivariate analysis</w:t>
            </w:r>
          </w:p>
        </w:tc>
        <w:tc>
          <w:tcPr>
            <w:tcW w:w="676" w:type="pct"/>
            <w:tcBorders>
              <w:left w:val="nil"/>
              <w:bottom w:val="single" w:sz="4" w:space="0" w:color="auto"/>
              <w:right w:val="nil"/>
            </w:tcBorders>
            <w:noWrap/>
          </w:tcPr>
          <w:p w14:paraId="46D7681F" w14:textId="77777777" w:rsidR="001D523F" w:rsidRPr="00007450" w:rsidRDefault="001D523F" w:rsidP="00864C4B">
            <w:pPr>
              <w:pStyle w:val="TableText0"/>
              <w:jc w:val="right"/>
              <w:rPr>
                <w:b/>
                <w:bCs w:val="0"/>
              </w:rPr>
            </w:pPr>
          </w:p>
        </w:tc>
        <w:tc>
          <w:tcPr>
            <w:tcW w:w="676" w:type="pct"/>
            <w:tcBorders>
              <w:left w:val="nil"/>
              <w:bottom w:val="single" w:sz="4" w:space="0" w:color="auto"/>
              <w:right w:val="nil"/>
            </w:tcBorders>
            <w:noWrap/>
          </w:tcPr>
          <w:p w14:paraId="50C2363E" w14:textId="77777777" w:rsidR="001D523F" w:rsidRPr="00007450" w:rsidRDefault="001D523F" w:rsidP="00864C4B">
            <w:pPr>
              <w:pStyle w:val="TableText0"/>
              <w:jc w:val="right"/>
              <w:rPr>
                <w:b/>
                <w:bCs w:val="0"/>
              </w:rPr>
            </w:pPr>
          </w:p>
        </w:tc>
        <w:tc>
          <w:tcPr>
            <w:tcW w:w="677" w:type="pct"/>
            <w:tcBorders>
              <w:left w:val="nil"/>
              <w:bottom w:val="single" w:sz="4" w:space="0" w:color="auto"/>
              <w:right w:val="nil"/>
            </w:tcBorders>
            <w:noWrap/>
          </w:tcPr>
          <w:p w14:paraId="45A7BF37" w14:textId="77777777" w:rsidR="001D523F" w:rsidRPr="00007450" w:rsidRDefault="001D523F" w:rsidP="00864C4B">
            <w:pPr>
              <w:pStyle w:val="TableText0"/>
              <w:jc w:val="right"/>
              <w:rPr>
                <w:b/>
                <w:bCs w:val="0"/>
              </w:rPr>
            </w:pPr>
          </w:p>
        </w:tc>
        <w:tc>
          <w:tcPr>
            <w:tcW w:w="676" w:type="pct"/>
            <w:tcBorders>
              <w:left w:val="nil"/>
              <w:bottom w:val="single" w:sz="4" w:space="0" w:color="auto"/>
              <w:right w:val="nil"/>
            </w:tcBorders>
            <w:noWrap/>
          </w:tcPr>
          <w:p w14:paraId="4F5F80E3" w14:textId="77777777" w:rsidR="001D523F" w:rsidRPr="00007450" w:rsidRDefault="001D523F" w:rsidP="00864C4B">
            <w:pPr>
              <w:pStyle w:val="TableText0"/>
              <w:jc w:val="right"/>
              <w:rPr>
                <w:b/>
                <w:bCs w:val="0"/>
              </w:rPr>
            </w:pPr>
          </w:p>
        </w:tc>
        <w:tc>
          <w:tcPr>
            <w:tcW w:w="676" w:type="pct"/>
            <w:tcBorders>
              <w:left w:val="nil"/>
              <w:bottom w:val="single" w:sz="4" w:space="0" w:color="auto"/>
              <w:right w:val="nil"/>
            </w:tcBorders>
            <w:noWrap/>
          </w:tcPr>
          <w:p w14:paraId="1DE0717D" w14:textId="77777777" w:rsidR="001D523F" w:rsidRPr="00007450" w:rsidRDefault="001D523F" w:rsidP="00864C4B">
            <w:pPr>
              <w:pStyle w:val="TableText0"/>
              <w:jc w:val="right"/>
              <w:rPr>
                <w:b/>
                <w:bCs w:val="0"/>
              </w:rPr>
            </w:pPr>
          </w:p>
        </w:tc>
        <w:tc>
          <w:tcPr>
            <w:tcW w:w="677" w:type="pct"/>
            <w:tcBorders>
              <w:left w:val="nil"/>
              <w:bottom w:val="single" w:sz="4" w:space="0" w:color="auto"/>
            </w:tcBorders>
            <w:noWrap/>
          </w:tcPr>
          <w:p w14:paraId="466E86E6" w14:textId="77777777" w:rsidR="001D523F" w:rsidRPr="00007450" w:rsidRDefault="001D523F" w:rsidP="00864C4B">
            <w:pPr>
              <w:pStyle w:val="TableText0"/>
              <w:jc w:val="right"/>
              <w:rPr>
                <w:b/>
                <w:bCs w:val="0"/>
              </w:rPr>
            </w:pPr>
          </w:p>
        </w:tc>
      </w:tr>
      <w:tr w:rsidR="001D523F" w:rsidRPr="00007450" w14:paraId="0AD70468" w14:textId="77777777" w:rsidTr="004E2FE9">
        <w:tc>
          <w:tcPr>
            <w:tcW w:w="940" w:type="pct"/>
            <w:tcBorders>
              <w:top w:val="nil"/>
              <w:bottom w:val="nil"/>
            </w:tcBorders>
            <w:noWrap/>
          </w:tcPr>
          <w:p w14:paraId="63D63708" w14:textId="77777777" w:rsidR="001D523F" w:rsidRPr="00007450" w:rsidRDefault="001D523F" w:rsidP="00864C4B">
            <w:pPr>
              <w:pStyle w:val="TableText0"/>
            </w:pPr>
            <w:r w:rsidRPr="00007450">
              <w:t>#3 and #4</w:t>
            </w:r>
          </w:p>
        </w:tc>
        <w:tc>
          <w:tcPr>
            <w:tcW w:w="676" w:type="pct"/>
            <w:tcBorders>
              <w:top w:val="nil"/>
              <w:bottom w:val="nil"/>
            </w:tcBorders>
            <w:noWrap/>
          </w:tcPr>
          <w:p w14:paraId="2C0A0CD8" w14:textId="0521CA54"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3"/>
                <w14:textFill>
                  <w14:solidFill>
                    <w14:srgbClr w14:val="000000">
                      <w14:alpha w14:val="100000"/>
                    </w14:srgbClr>
                  </w14:solidFill>
                </w14:textFill>
              </w:rPr>
              <w:t>|||</w:t>
            </w:r>
            <w:r w:rsidR="00E44B9A" w:rsidRPr="00E44B9A">
              <w:rPr>
                <w:color w:val="000000"/>
                <w:spacing w:val="1"/>
                <w:shd w:val="solid" w:color="000000" w:fill="000000"/>
                <w:fitText w:val="330" w:id="-628909303"/>
                <w14:textFill>
                  <w14:solidFill>
                    <w14:srgbClr w14:val="000000">
                      <w14:alpha w14:val="100000"/>
                    </w14:srgbClr>
                  </w14:solidFill>
                </w14:textFill>
              </w:rPr>
              <w:t>|</w:t>
            </w:r>
            <w:r w:rsidR="0055761D">
              <w:rPr>
                <w:vertAlign w:val="superscript"/>
              </w:rPr>
              <w:t>6</w:t>
            </w:r>
          </w:p>
        </w:tc>
        <w:tc>
          <w:tcPr>
            <w:tcW w:w="676" w:type="pct"/>
            <w:tcBorders>
              <w:top w:val="nil"/>
              <w:bottom w:val="nil"/>
            </w:tcBorders>
            <w:noWrap/>
          </w:tcPr>
          <w:p w14:paraId="189B7344" w14:textId="6C5253FB"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2"/>
                <w14:textFill>
                  <w14:solidFill>
                    <w14:srgbClr w14:val="000000">
                      <w14:alpha w14:val="100000"/>
                    </w14:srgbClr>
                  </w14:solidFill>
                </w14:textFill>
              </w:rPr>
              <w:t>|||</w:t>
            </w:r>
            <w:r w:rsidR="00E44B9A" w:rsidRPr="00E44B9A">
              <w:rPr>
                <w:color w:val="000000"/>
                <w:spacing w:val="1"/>
                <w:shd w:val="solid" w:color="000000" w:fill="000000"/>
                <w:fitText w:val="330" w:id="-628909302"/>
                <w14:textFill>
                  <w14:solidFill>
                    <w14:srgbClr w14:val="000000">
                      <w14:alpha w14:val="100000"/>
                    </w14:srgbClr>
                  </w14:solidFill>
                </w14:textFill>
              </w:rPr>
              <w:t>|</w:t>
            </w:r>
            <w:r w:rsidR="0055761D">
              <w:rPr>
                <w:vertAlign w:val="superscript"/>
              </w:rPr>
              <w:t>7</w:t>
            </w:r>
          </w:p>
        </w:tc>
        <w:tc>
          <w:tcPr>
            <w:tcW w:w="677" w:type="pct"/>
            <w:tcBorders>
              <w:top w:val="nil"/>
              <w:bottom w:val="nil"/>
            </w:tcBorders>
            <w:noWrap/>
          </w:tcPr>
          <w:p w14:paraId="1EA1C568" w14:textId="69CD2185" w:rsidR="001D523F" w:rsidRPr="00A33D23"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1"/>
                <w14:textFill>
                  <w14:solidFill>
                    <w14:srgbClr w14:val="000000">
                      <w14:alpha w14:val="100000"/>
                    </w14:srgbClr>
                  </w14:solidFill>
                </w14:textFill>
              </w:rPr>
              <w:t>|||</w:t>
            </w:r>
            <w:r w:rsidR="00E44B9A" w:rsidRPr="00E44B9A">
              <w:rPr>
                <w:color w:val="000000"/>
                <w:spacing w:val="1"/>
                <w:shd w:val="solid" w:color="000000" w:fill="000000"/>
                <w:fitText w:val="330" w:id="-628909301"/>
                <w14:textFill>
                  <w14:solidFill>
                    <w14:srgbClr w14:val="000000">
                      <w14:alpha w14:val="100000"/>
                    </w14:srgbClr>
                  </w14:solidFill>
                </w14:textFill>
              </w:rPr>
              <w:t>|</w:t>
            </w:r>
            <w:r w:rsidR="00A33D23">
              <w:rPr>
                <w:vertAlign w:val="superscript"/>
              </w:rPr>
              <w:t>2</w:t>
            </w:r>
          </w:p>
        </w:tc>
        <w:tc>
          <w:tcPr>
            <w:tcW w:w="676" w:type="pct"/>
            <w:tcBorders>
              <w:top w:val="nil"/>
              <w:bottom w:val="nil"/>
            </w:tcBorders>
            <w:noWrap/>
          </w:tcPr>
          <w:p w14:paraId="3F1EE81E" w14:textId="20435CAF" w:rsidR="001D523F" w:rsidRPr="00DC138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0"/>
                <w14:textFill>
                  <w14:solidFill>
                    <w14:srgbClr w14:val="000000">
                      <w14:alpha w14:val="100000"/>
                    </w14:srgbClr>
                  </w14:solidFill>
                </w14:textFill>
              </w:rPr>
              <w:t>|||</w:t>
            </w:r>
            <w:r w:rsidR="00E44B9A" w:rsidRPr="00E44B9A">
              <w:rPr>
                <w:color w:val="000000"/>
                <w:spacing w:val="1"/>
                <w:shd w:val="solid" w:color="000000" w:fill="000000"/>
                <w:fitText w:val="330" w:id="-628909300"/>
                <w14:textFill>
                  <w14:solidFill>
                    <w14:srgbClr w14:val="000000">
                      <w14:alpha w14:val="100000"/>
                    </w14:srgbClr>
                  </w14:solidFill>
                </w14:textFill>
              </w:rPr>
              <w:t>|</w:t>
            </w:r>
            <w:r w:rsidR="00DC138D">
              <w:rPr>
                <w:vertAlign w:val="superscript"/>
              </w:rPr>
              <w:t>2</w:t>
            </w:r>
          </w:p>
        </w:tc>
        <w:tc>
          <w:tcPr>
            <w:tcW w:w="676" w:type="pct"/>
            <w:tcBorders>
              <w:top w:val="nil"/>
              <w:bottom w:val="nil"/>
            </w:tcBorders>
            <w:noWrap/>
          </w:tcPr>
          <w:p w14:paraId="1FBBAFBA" w14:textId="3D70F3F5" w:rsidR="001D523F" w:rsidRPr="00DC138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9"/>
                <w14:textFill>
                  <w14:solidFill>
                    <w14:srgbClr w14:val="000000">
                      <w14:alpha w14:val="100000"/>
                    </w14:srgbClr>
                  </w14:solidFill>
                </w14:textFill>
              </w:rPr>
              <w:t>|||</w:t>
            </w:r>
            <w:r w:rsidR="00E44B9A" w:rsidRPr="00E44B9A">
              <w:rPr>
                <w:color w:val="000000"/>
                <w:spacing w:val="1"/>
                <w:shd w:val="solid" w:color="000000" w:fill="000000"/>
                <w:fitText w:val="330" w:id="-628909299"/>
                <w14:textFill>
                  <w14:solidFill>
                    <w14:srgbClr w14:val="000000">
                      <w14:alpha w14:val="100000"/>
                    </w14:srgbClr>
                  </w14:solidFill>
                </w14:textFill>
              </w:rPr>
              <w:t>|</w:t>
            </w:r>
            <w:r w:rsidR="00DC138D">
              <w:rPr>
                <w:vertAlign w:val="superscript"/>
              </w:rPr>
              <w:t>2</w:t>
            </w:r>
          </w:p>
        </w:tc>
        <w:tc>
          <w:tcPr>
            <w:tcW w:w="677" w:type="pct"/>
            <w:tcBorders>
              <w:top w:val="nil"/>
              <w:bottom w:val="nil"/>
            </w:tcBorders>
            <w:noWrap/>
          </w:tcPr>
          <w:p w14:paraId="7E512A77" w14:textId="006FB736" w:rsidR="001D523F" w:rsidRPr="00DC138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8"/>
                <w14:textFill>
                  <w14:solidFill>
                    <w14:srgbClr w14:val="000000">
                      <w14:alpha w14:val="100000"/>
                    </w14:srgbClr>
                  </w14:solidFill>
                </w14:textFill>
              </w:rPr>
              <w:t>|||</w:t>
            </w:r>
            <w:r w:rsidR="00E44B9A" w:rsidRPr="00E44B9A">
              <w:rPr>
                <w:color w:val="000000"/>
                <w:spacing w:val="1"/>
                <w:shd w:val="solid" w:color="000000" w:fill="000000"/>
                <w:fitText w:val="330" w:id="-628909298"/>
                <w14:textFill>
                  <w14:solidFill>
                    <w14:srgbClr w14:val="000000">
                      <w14:alpha w14:val="100000"/>
                    </w14:srgbClr>
                  </w14:solidFill>
                </w14:textFill>
              </w:rPr>
              <w:t>|</w:t>
            </w:r>
            <w:r w:rsidR="000F21AC">
              <w:rPr>
                <w:vertAlign w:val="superscript"/>
              </w:rPr>
              <w:t>2</w:t>
            </w:r>
          </w:p>
        </w:tc>
      </w:tr>
      <w:tr w:rsidR="001D523F" w:rsidRPr="00007450" w14:paraId="724A11B1" w14:textId="77777777" w:rsidTr="004E2FE9">
        <w:tc>
          <w:tcPr>
            <w:tcW w:w="940" w:type="pct"/>
            <w:tcBorders>
              <w:top w:val="nil"/>
              <w:bottom w:val="nil"/>
            </w:tcBorders>
            <w:noWrap/>
          </w:tcPr>
          <w:p w14:paraId="75D0AFEB" w14:textId="77777777" w:rsidR="001D523F" w:rsidRPr="00007450" w:rsidRDefault="001D523F" w:rsidP="00864C4B">
            <w:pPr>
              <w:pStyle w:val="TableText0"/>
            </w:pPr>
            <w:r w:rsidRPr="00007450">
              <w:t>#3, #4 and #2</w:t>
            </w:r>
          </w:p>
        </w:tc>
        <w:tc>
          <w:tcPr>
            <w:tcW w:w="676" w:type="pct"/>
            <w:tcBorders>
              <w:top w:val="nil"/>
              <w:bottom w:val="nil"/>
            </w:tcBorders>
            <w:noWrap/>
          </w:tcPr>
          <w:p w14:paraId="61F9B5AB" w14:textId="2B9A776C" w:rsidR="001D523F" w:rsidRPr="0055761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7"/>
                <w14:textFill>
                  <w14:solidFill>
                    <w14:srgbClr w14:val="000000">
                      <w14:alpha w14:val="100000"/>
                    </w14:srgbClr>
                  </w14:solidFill>
                </w14:textFill>
              </w:rPr>
              <w:t>|||</w:t>
            </w:r>
            <w:r w:rsidR="00E44B9A" w:rsidRPr="00E44B9A">
              <w:rPr>
                <w:color w:val="000000"/>
                <w:spacing w:val="1"/>
                <w:shd w:val="solid" w:color="000000" w:fill="000000"/>
                <w:fitText w:val="330" w:id="-628909297"/>
                <w14:textFill>
                  <w14:solidFill>
                    <w14:srgbClr w14:val="000000">
                      <w14:alpha w14:val="100000"/>
                    </w14:srgbClr>
                  </w14:solidFill>
                </w14:textFill>
              </w:rPr>
              <w:t>|</w:t>
            </w:r>
            <w:r w:rsidR="0055761D">
              <w:rPr>
                <w:vertAlign w:val="superscript"/>
              </w:rPr>
              <w:t>6</w:t>
            </w:r>
          </w:p>
        </w:tc>
        <w:tc>
          <w:tcPr>
            <w:tcW w:w="676" w:type="pct"/>
            <w:tcBorders>
              <w:top w:val="nil"/>
              <w:bottom w:val="nil"/>
            </w:tcBorders>
            <w:noWrap/>
          </w:tcPr>
          <w:p w14:paraId="43BB3F28" w14:textId="14E8E95E" w:rsidR="001D523F" w:rsidRPr="00A33D23"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296"/>
                <w14:textFill>
                  <w14:solidFill>
                    <w14:srgbClr w14:val="000000">
                      <w14:alpha w14:val="100000"/>
                    </w14:srgbClr>
                  </w14:solidFill>
                </w14:textFill>
              </w:rPr>
              <w:t>|||</w:t>
            </w:r>
            <w:r w:rsidR="00E44B9A" w:rsidRPr="00E44B9A">
              <w:rPr>
                <w:color w:val="000000"/>
                <w:spacing w:val="1"/>
                <w:shd w:val="solid" w:color="000000" w:fill="000000"/>
                <w:fitText w:val="330" w:id="-628909296"/>
                <w14:textFill>
                  <w14:solidFill>
                    <w14:srgbClr w14:val="000000">
                      <w14:alpha w14:val="100000"/>
                    </w14:srgbClr>
                  </w14:solidFill>
                </w14:textFill>
              </w:rPr>
              <w:t>|</w:t>
            </w:r>
            <w:r w:rsidR="00A33D23">
              <w:rPr>
                <w:vertAlign w:val="superscript"/>
              </w:rPr>
              <w:t>8</w:t>
            </w:r>
          </w:p>
        </w:tc>
        <w:tc>
          <w:tcPr>
            <w:tcW w:w="677" w:type="pct"/>
            <w:tcBorders>
              <w:top w:val="nil"/>
              <w:bottom w:val="nil"/>
            </w:tcBorders>
            <w:noWrap/>
          </w:tcPr>
          <w:p w14:paraId="0172B9CD" w14:textId="6756DEA9" w:rsidR="001D523F" w:rsidRPr="00A33D23"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2"/>
                <w14:textFill>
                  <w14:solidFill>
                    <w14:srgbClr w14:val="000000">
                      <w14:alpha w14:val="100000"/>
                    </w14:srgbClr>
                  </w14:solidFill>
                </w14:textFill>
              </w:rPr>
              <w:t>|||</w:t>
            </w:r>
            <w:r w:rsidR="00E44B9A" w:rsidRPr="00E44B9A">
              <w:rPr>
                <w:color w:val="000000"/>
                <w:spacing w:val="1"/>
                <w:shd w:val="solid" w:color="000000" w:fill="000000"/>
                <w:fitText w:val="330" w:id="-628909312"/>
                <w14:textFill>
                  <w14:solidFill>
                    <w14:srgbClr w14:val="000000">
                      <w14:alpha w14:val="100000"/>
                    </w14:srgbClr>
                  </w14:solidFill>
                </w14:textFill>
              </w:rPr>
              <w:t>|</w:t>
            </w:r>
            <w:r w:rsidR="00DC138D">
              <w:rPr>
                <w:vertAlign w:val="superscript"/>
              </w:rPr>
              <w:t>7</w:t>
            </w:r>
          </w:p>
        </w:tc>
        <w:tc>
          <w:tcPr>
            <w:tcW w:w="676" w:type="pct"/>
            <w:tcBorders>
              <w:top w:val="nil"/>
              <w:bottom w:val="nil"/>
            </w:tcBorders>
            <w:noWrap/>
          </w:tcPr>
          <w:p w14:paraId="294E9FE7" w14:textId="148B9865" w:rsidR="001D523F" w:rsidRPr="00DC138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1"/>
                <w14:textFill>
                  <w14:solidFill>
                    <w14:srgbClr w14:val="000000">
                      <w14:alpha w14:val="100000"/>
                    </w14:srgbClr>
                  </w14:solidFill>
                </w14:textFill>
              </w:rPr>
              <w:t>|||</w:t>
            </w:r>
            <w:r w:rsidR="00E44B9A" w:rsidRPr="00E44B9A">
              <w:rPr>
                <w:color w:val="000000"/>
                <w:spacing w:val="1"/>
                <w:shd w:val="solid" w:color="000000" w:fill="000000"/>
                <w:fitText w:val="330" w:id="-628909311"/>
                <w14:textFill>
                  <w14:solidFill>
                    <w14:srgbClr w14:val="000000">
                      <w14:alpha w14:val="100000"/>
                    </w14:srgbClr>
                  </w14:solidFill>
                </w14:textFill>
              </w:rPr>
              <w:t>|</w:t>
            </w:r>
            <w:r w:rsidR="00DC138D">
              <w:rPr>
                <w:vertAlign w:val="superscript"/>
              </w:rPr>
              <w:t>7</w:t>
            </w:r>
          </w:p>
        </w:tc>
        <w:tc>
          <w:tcPr>
            <w:tcW w:w="676" w:type="pct"/>
            <w:tcBorders>
              <w:top w:val="nil"/>
              <w:bottom w:val="nil"/>
            </w:tcBorders>
            <w:noWrap/>
          </w:tcPr>
          <w:p w14:paraId="48591DC3" w14:textId="279FBB74" w:rsidR="001D523F" w:rsidRPr="00DC138D"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10"/>
                <w14:textFill>
                  <w14:solidFill>
                    <w14:srgbClr w14:val="000000">
                      <w14:alpha w14:val="100000"/>
                    </w14:srgbClr>
                  </w14:solidFill>
                </w14:textFill>
              </w:rPr>
              <w:t>|||</w:t>
            </w:r>
            <w:r w:rsidR="00E44B9A" w:rsidRPr="00E44B9A">
              <w:rPr>
                <w:color w:val="000000"/>
                <w:spacing w:val="1"/>
                <w:shd w:val="solid" w:color="000000" w:fill="000000"/>
                <w:fitText w:val="330" w:id="-628909310"/>
                <w14:textFill>
                  <w14:solidFill>
                    <w14:srgbClr w14:val="000000">
                      <w14:alpha w14:val="100000"/>
                    </w14:srgbClr>
                  </w14:solidFill>
                </w14:textFill>
              </w:rPr>
              <w:t>|</w:t>
            </w:r>
            <w:r w:rsidR="00DC138D">
              <w:rPr>
                <w:vertAlign w:val="superscript"/>
              </w:rPr>
              <w:t>7</w:t>
            </w:r>
          </w:p>
        </w:tc>
        <w:tc>
          <w:tcPr>
            <w:tcW w:w="677" w:type="pct"/>
            <w:tcBorders>
              <w:top w:val="nil"/>
              <w:bottom w:val="nil"/>
            </w:tcBorders>
            <w:noWrap/>
          </w:tcPr>
          <w:p w14:paraId="1DD793B4" w14:textId="0491E8E4" w:rsidR="001D523F" w:rsidRPr="000F21AC" w:rsidRDefault="001D523F" w:rsidP="00864C4B">
            <w:pPr>
              <w:pStyle w:val="TableText0"/>
              <w:jc w:val="right"/>
              <w:rPr>
                <w:vertAlign w:val="superscript"/>
              </w:rPr>
            </w:pPr>
            <w:r w:rsidRPr="00007450">
              <w:t>$</w:t>
            </w:r>
            <w:r w:rsidR="00E44B9A" w:rsidRPr="00E44B9A">
              <w:rPr>
                <w:color w:val="000000"/>
                <w:spacing w:val="53"/>
                <w:shd w:val="solid" w:color="000000" w:fill="000000"/>
                <w:fitText w:val="330" w:id="-628909309"/>
                <w14:textFill>
                  <w14:solidFill>
                    <w14:srgbClr w14:val="000000">
                      <w14:alpha w14:val="100000"/>
                    </w14:srgbClr>
                  </w14:solidFill>
                </w14:textFill>
              </w:rPr>
              <w:t>|||</w:t>
            </w:r>
            <w:r w:rsidR="00E44B9A" w:rsidRPr="00E44B9A">
              <w:rPr>
                <w:color w:val="000000"/>
                <w:spacing w:val="1"/>
                <w:shd w:val="solid" w:color="000000" w:fill="000000"/>
                <w:fitText w:val="330" w:id="-628909309"/>
                <w14:textFill>
                  <w14:solidFill>
                    <w14:srgbClr w14:val="000000">
                      <w14:alpha w14:val="100000"/>
                    </w14:srgbClr>
                  </w14:solidFill>
                </w14:textFill>
              </w:rPr>
              <w:t>|</w:t>
            </w:r>
            <w:r w:rsidR="000F21AC">
              <w:rPr>
                <w:vertAlign w:val="superscript"/>
              </w:rPr>
              <w:t>7</w:t>
            </w:r>
          </w:p>
        </w:tc>
      </w:tr>
      <w:tr w:rsidR="001D523F" w:rsidRPr="00007450" w14:paraId="52214B0F" w14:textId="77777777" w:rsidTr="004E2FE9">
        <w:tc>
          <w:tcPr>
            <w:tcW w:w="940" w:type="pct"/>
            <w:tcBorders>
              <w:top w:val="nil"/>
            </w:tcBorders>
            <w:noWrap/>
          </w:tcPr>
          <w:p w14:paraId="153BEC5A" w14:textId="5B8EA9E2" w:rsidR="009101AA" w:rsidRPr="00007450" w:rsidRDefault="00D16946" w:rsidP="00864C4B">
            <w:pPr>
              <w:pStyle w:val="TableText0"/>
              <w:rPr>
                <w:b/>
                <w:bCs w:val="0"/>
              </w:rPr>
            </w:pPr>
            <w:r w:rsidRPr="00007450">
              <w:rPr>
                <w:b/>
                <w:bCs w:val="0"/>
              </w:rPr>
              <w:t>ESC</w:t>
            </w:r>
            <w:r w:rsidR="009101AA" w:rsidRPr="00007450">
              <w:rPr>
                <w:b/>
                <w:bCs w:val="0"/>
              </w:rPr>
              <w:t xml:space="preserve"> </w:t>
            </w:r>
            <w:r w:rsidR="001576A5" w:rsidRPr="00007450">
              <w:rPr>
                <w:b/>
                <w:bCs w:val="0"/>
              </w:rPr>
              <w:t>advised sensitivity analysis</w:t>
            </w:r>
            <w:r w:rsidR="009101AA" w:rsidRPr="00007450">
              <w:rPr>
                <w:b/>
                <w:bCs w:val="0"/>
              </w:rPr>
              <w:t xml:space="preserve">: </w:t>
            </w:r>
          </w:p>
          <w:p w14:paraId="1E95A113" w14:textId="19A976B6" w:rsidR="001D523F" w:rsidRPr="00007450" w:rsidRDefault="001D523F" w:rsidP="00864C4B">
            <w:pPr>
              <w:pStyle w:val="TableText0"/>
              <w:rPr>
                <w:b/>
                <w:bCs w:val="0"/>
              </w:rPr>
            </w:pPr>
            <w:r w:rsidRPr="00007450">
              <w:rPr>
                <w:b/>
                <w:bCs w:val="0"/>
              </w:rPr>
              <w:t>#3, #4, #2 and #5</w:t>
            </w:r>
          </w:p>
        </w:tc>
        <w:tc>
          <w:tcPr>
            <w:tcW w:w="676" w:type="pct"/>
            <w:tcBorders>
              <w:top w:val="nil"/>
            </w:tcBorders>
            <w:noWrap/>
          </w:tcPr>
          <w:p w14:paraId="7AB84ADD" w14:textId="77777777" w:rsidR="009101AA" w:rsidRPr="00007450" w:rsidRDefault="009101AA" w:rsidP="00864C4B">
            <w:pPr>
              <w:pStyle w:val="TableText0"/>
              <w:jc w:val="right"/>
              <w:rPr>
                <w:b/>
                <w:bCs w:val="0"/>
              </w:rPr>
            </w:pPr>
          </w:p>
          <w:p w14:paraId="2A37DA1F" w14:textId="77777777" w:rsidR="001576A5" w:rsidRPr="00007450" w:rsidRDefault="001576A5" w:rsidP="00864C4B">
            <w:pPr>
              <w:pStyle w:val="TableText0"/>
              <w:jc w:val="right"/>
              <w:rPr>
                <w:b/>
                <w:bCs w:val="0"/>
              </w:rPr>
            </w:pPr>
          </w:p>
          <w:p w14:paraId="6D510D6C" w14:textId="54749775" w:rsidR="001D523F" w:rsidRPr="000F21AC"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8"/>
                <w14:textFill>
                  <w14:solidFill>
                    <w14:srgbClr w14:val="000000">
                      <w14:alpha w14:val="100000"/>
                    </w14:srgbClr>
                  </w14:solidFill>
                </w14:textFill>
              </w:rPr>
              <w:t>|||</w:t>
            </w:r>
            <w:r w:rsidR="00E44B9A" w:rsidRPr="00E44B9A">
              <w:rPr>
                <w:b/>
                <w:bCs w:val="0"/>
                <w:color w:val="000000"/>
                <w:spacing w:val="3"/>
                <w:shd w:val="solid" w:color="000000" w:fill="000000"/>
                <w:fitText w:val="360" w:id="-628909308"/>
                <w14:textFill>
                  <w14:solidFill>
                    <w14:srgbClr w14:val="000000">
                      <w14:alpha w14:val="100000"/>
                    </w14:srgbClr>
                  </w14:solidFill>
                </w14:textFill>
              </w:rPr>
              <w:t>|</w:t>
            </w:r>
            <w:r w:rsidR="000F21AC" w:rsidRPr="000F21AC">
              <w:rPr>
                <w:vertAlign w:val="superscript"/>
              </w:rPr>
              <w:t>6</w:t>
            </w:r>
          </w:p>
        </w:tc>
        <w:tc>
          <w:tcPr>
            <w:tcW w:w="676" w:type="pct"/>
            <w:tcBorders>
              <w:top w:val="nil"/>
            </w:tcBorders>
            <w:noWrap/>
          </w:tcPr>
          <w:p w14:paraId="09AECC96" w14:textId="77777777" w:rsidR="009101AA" w:rsidRPr="00007450" w:rsidRDefault="009101AA" w:rsidP="00864C4B">
            <w:pPr>
              <w:pStyle w:val="TableText0"/>
              <w:jc w:val="right"/>
              <w:rPr>
                <w:b/>
                <w:bCs w:val="0"/>
              </w:rPr>
            </w:pPr>
          </w:p>
          <w:p w14:paraId="73834C5F" w14:textId="77777777" w:rsidR="001576A5" w:rsidRPr="00007450" w:rsidRDefault="001576A5" w:rsidP="00864C4B">
            <w:pPr>
              <w:pStyle w:val="TableText0"/>
              <w:jc w:val="right"/>
              <w:rPr>
                <w:b/>
                <w:bCs w:val="0"/>
              </w:rPr>
            </w:pPr>
          </w:p>
          <w:p w14:paraId="597CD8ED" w14:textId="71160940" w:rsidR="001D523F" w:rsidRPr="000F21AC" w:rsidRDefault="001D523F" w:rsidP="00864C4B">
            <w:pPr>
              <w:pStyle w:val="TableText0"/>
              <w:jc w:val="right"/>
              <w:rPr>
                <w:b/>
                <w:bCs w:val="0"/>
                <w:vertAlign w:val="superscript"/>
              </w:rPr>
            </w:pPr>
            <w:r w:rsidRPr="00007450">
              <w:rPr>
                <w:b/>
                <w:bCs w:val="0"/>
              </w:rPr>
              <w:t>$</w:t>
            </w:r>
            <w:r w:rsidR="00E44B9A" w:rsidRPr="00E44B9A">
              <w:rPr>
                <w:b/>
                <w:bCs w:val="0"/>
                <w:color w:val="000000"/>
                <w:spacing w:val="58"/>
                <w:shd w:val="solid" w:color="000000" w:fill="000000"/>
                <w:fitText w:val="360" w:id="-628909307"/>
                <w14:textFill>
                  <w14:solidFill>
                    <w14:srgbClr w14:val="000000">
                      <w14:alpha w14:val="100000"/>
                    </w14:srgbClr>
                  </w14:solidFill>
                </w14:textFill>
              </w:rPr>
              <w:t>|||</w:t>
            </w:r>
            <w:r w:rsidR="00E44B9A" w:rsidRPr="00E44B9A">
              <w:rPr>
                <w:b/>
                <w:bCs w:val="0"/>
                <w:color w:val="000000"/>
                <w:spacing w:val="3"/>
                <w:shd w:val="solid" w:color="000000" w:fill="000000"/>
                <w:fitText w:val="360" w:id="-628909307"/>
                <w14:textFill>
                  <w14:solidFill>
                    <w14:srgbClr w14:val="000000">
                      <w14:alpha w14:val="100000"/>
                    </w14:srgbClr>
                  </w14:solidFill>
                </w14:textFill>
              </w:rPr>
              <w:t>|</w:t>
            </w:r>
            <w:r w:rsidR="000F21AC" w:rsidRPr="000F21AC">
              <w:rPr>
                <w:vertAlign w:val="superscript"/>
              </w:rPr>
              <w:t>8</w:t>
            </w:r>
          </w:p>
        </w:tc>
        <w:tc>
          <w:tcPr>
            <w:tcW w:w="677" w:type="pct"/>
            <w:tcBorders>
              <w:top w:val="nil"/>
            </w:tcBorders>
            <w:noWrap/>
          </w:tcPr>
          <w:p w14:paraId="656D2E44" w14:textId="77777777" w:rsidR="009101AA" w:rsidRPr="00007450" w:rsidRDefault="009101AA" w:rsidP="00864C4B">
            <w:pPr>
              <w:pStyle w:val="TableText0"/>
              <w:jc w:val="right"/>
              <w:rPr>
                <w:b/>
                <w:bCs w:val="0"/>
              </w:rPr>
            </w:pPr>
          </w:p>
          <w:p w14:paraId="522AB590" w14:textId="77777777" w:rsidR="001576A5" w:rsidRPr="00007450" w:rsidRDefault="001576A5" w:rsidP="00864C4B">
            <w:pPr>
              <w:pStyle w:val="TableText0"/>
              <w:jc w:val="right"/>
              <w:rPr>
                <w:b/>
                <w:bCs w:val="0"/>
              </w:rPr>
            </w:pPr>
          </w:p>
          <w:p w14:paraId="259ADD22" w14:textId="6915DDEB" w:rsidR="001D523F" w:rsidRPr="00676FD5" w:rsidRDefault="001D523F" w:rsidP="00864C4B">
            <w:pPr>
              <w:pStyle w:val="TableText0"/>
              <w:jc w:val="right"/>
              <w:rPr>
                <w:vertAlign w:val="superscript"/>
              </w:rPr>
            </w:pPr>
            <w:r w:rsidRPr="00007450">
              <w:rPr>
                <w:b/>
                <w:bCs w:val="0"/>
              </w:rPr>
              <w:t>$</w:t>
            </w:r>
            <w:r w:rsidR="00E44B9A" w:rsidRPr="00E44B9A">
              <w:rPr>
                <w:b/>
                <w:bCs w:val="0"/>
                <w:color w:val="000000"/>
                <w:spacing w:val="58"/>
                <w:shd w:val="solid" w:color="000000" w:fill="000000"/>
                <w:fitText w:val="360" w:id="-628909306"/>
                <w14:textFill>
                  <w14:solidFill>
                    <w14:srgbClr w14:val="000000">
                      <w14:alpha w14:val="100000"/>
                    </w14:srgbClr>
                  </w14:solidFill>
                </w14:textFill>
              </w:rPr>
              <w:t>|||</w:t>
            </w:r>
            <w:r w:rsidR="00E44B9A" w:rsidRPr="00E44B9A">
              <w:rPr>
                <w:b/>
                <w:bCs w:val="0"/>
                <w:color w:val="000000"/>
                <w:spacing w:val="3"/>
                <w:shd w:val="solid" w:color="000000" w:fill="000000"/>
                <w:fitText w:val="360" w:id="-628909306"/>
                <w14:textFill>
                  <w14:solidFill>
                    <w14:srgbClr w14:val="000000">
                      <w14:alpha w14:val="100000"/>
                    </w14:srgbClr>
                  </w14:solidFill>
                </w14:textFill>
              </w:rPr>
              <w:t>|</w:t>
            </w:r>
            <w:r w:rsidR="00676FD5">
              <w:rPr>
                <w:vertAlign w:val="superscript"/>
              </w:rPr>
              <w:t>8</w:t>
            </w:r>
          </w:p>
        </w:tc>
        <w:tc>
          <w:tcPr>
            <w:tcW w:w="676" w:type="pct"/>
            <w:tcBorders>
              <w:top w:val="nil"/>
            </w:tcBorders>
            <w:noWrap/>
          </w:tcPr>
          <w:p w14:paraId="26684FDA" w14:textId="77777777" w:rsidR="009101AA" w:rsidRPr="00007450" w:rsidRDefault="009101AA" w:rsidP="00864C4B">
            <w:pPr>
              <w:pStyle w:val="TableText0"/>
              <w:jc w:val="right"/>
              <w:rPr>
                <w:b/>
                <w:bCs w:val="0"/>
              </w:rPr>
            </w:pPr>
          </w:p>
          <w:p w14:paraId="7F1C1A6B" w14:textId="77777777" w:rsidR="001576A5" w:rsidRPr="00007450" w:rsidRDefault="001576A5" w:rsidP="00864C4B">
            <w:pPr>
              <w:pStyle w:val="TableText0"/>
              <w:jc w:val="right"/>
              <w:rPr>
                <w:b/>
                <w:bCs w:val="0"/>
              </w:rPr>
            </w:pPr>
          </w:p>
          <w:p w14:paraId="41221D72" w14:textId="401702E2" w:rsidR="001D523F" w:rsidRPr="00007450" w:rsidRDefault="001D523F" w:rsidP="00864C4B">
            <w:pPr>
              <w:pStyle w:val="TableText0"/>
              <w:jc w:val="right"/>
              <w:rPr>
                <w:b/>
                <w:bCs w:val="0"/>
              </w:rPr>
            </w:pPr>
            <w:r w:rsidRPr="00007450">
              <w:rPr>
                <w:b/>
                <w:bCs w:val="0"/>
              </w:rPr>
              <w:t>$</w:t>
            </w:r>
            <w:r w:rsidR="00E44B9A" w:rsidRPr="00E44B9A">
              <w:rPr>
                <w:b/>
                <w:bCs w:val="0"/>
                <w:color w:val="000000"/>
                <w:spacing w:val="58"/>
                <w:shd w:val="solid" w:color="000000" w:fill="000000"/>
                <w:fitText w:val="360" w:id="-628909056"/>
                <w14:textFill>
                  <w14:solidFill>
                    <w14:srgbClr w14:val="000000">
                      <w14:alpha w14:val="100000"/>
                    </w14:srgbClr>
                  </w14:solidFill>
                </w14:textFill>
              </w:rPr>
              <w:t>|||</w:t>
            </w:r>
            <w:r w:rsidR="00E44B9A" w:rsidRPr="00E44B9A">
              <w:rPr>
                <w:b/>
                <w:bCs w:val="0"/>
                <w:color w:val="000000"/>
                <w:spacing w:val="3"/>
                <w:shd w:val="solid" w:color="000000" w:fill="000000"/>
                <w:fitText w:val="360" w:id="-628909056"/>
                <w14:textFill>
                  <w14:solidFill>
                    <w14:srgbClr w14:val="000000">
                      <w14:alpha w14:val="100000"/>
                    </w14:srgbClr>
                  </w14:solidFill>
                </w14:textFill>
              </w:rPr>
              <w:t>|</w:t>
            </w:r>
            <w:r w:rsidR="00676FD5">
              <w:rPr>
                <w:vertAlign w:val="superscript"/>
              </w:rPr>
              <w:t>8</w:t>
            </w:r>
          </w:p>
        </w:tc>
        <w:tc>
          <w:tcPr>
            <w:tcW w:w="676" w:type="pct"/>
            <w:tcBorders>
              <w:top w:val="nil"/>
            </w:tcBorders>
            <w:noWrap/>
          </w:tcPr>
          <w:p w14:paraId="6524B3E5" w14:textId="77777777" w:rsidR="009101AA" w:rsidRPr="00007450" w:rsidRDefault="009101AA" w:rsidP="00864C4B">
            <w:pPr>
              <w:pStyle w:val="TableText0"/>
              <w:jc w:val="right"/>
              <w:rPr>
                <w:b/>
                <w:bCs w:val="0"/>
              </w:rPr>
            </w:pPr>
          </w:p>
          <w:p w14:paraId="1133467C" w14:textId="77777777" w:rsidR="001576A5" w:rsidRPr="00007450" w:rsidRDefault="001576A5" w:rsidP="00864C4B">
            <w:pPr>
              <w:pStyle w:val="TableText0"/>
              <w:jc w:val="right"/>
              <w:rPr>
                <w:b/>
                <w:bCs w:val="0"/>
              </w:rPr>
            </w:pPr>
          </w:p>
          <w:p w14:paraId="54D06BD0" w14:textId="11C29BA0" w:rsidR="001D523F" w:rsidRPr="00007450" w:rsidRDefault="001D523F" w:rsidP="00864C4B">
            <w:pPr>
              <w:pStyle w:val="TableText0"/>
              <w:jc w:val="right"/>
              <w:rPr>
                <w:b/>
                <w:bCs w:val="0"/>
              </w:rPr>
            </w:pPr>
            <w:r w:rsidRPr="00007450">
              <w:rPr>
                <w:b/>
                <w:bCs w:val="0"/>
              </w:rPr>
              <w:t>$</w:t>
            </w:r>
            <w:r w:rsidR="00E44B9A" w:rsidRPr="00E44B9A">
              <w:rPr>
                <w:b/>
                <w:bCs w:val="0"/>
                <w:color w:val="000000"/>
                <w:spacing w:val="58"/>
                <w:shd w:val="solid" w:color="000000" w:fill="000000"/>
                <w:fitText w:val="360" w:id="-628909055"/>
                <w14:textFill>
                  <w14:solidFill>
                    <w14:srgbClr w14:val="000000">
                      <w14:alpha w14:val="100000"/>
                    </w14:srgbClr>
                  </w14:solidFill>
                </w14:textFill>
              </w:rPr>
              <w:t>|||</w:t>
            </w:r>
            <w:r w:rsidR="00E44B9A" w:rsidRPr="00E44B9A">
              <w:rPr>
                <w:b/>
                <w:bCs w:val="0"/>
                <w:color w:val="000000"/>
                <w:spacing w:val="3"/>
                <w:shd w:val="solid" w:color="000000" w:fill="000000"/>
                <w:fitText w:val="360" w:id="-628909055"/>
                <w14:textFill>
                  <w14:solidFill>
                    <w14:srgbClr w14:val="000000">
                      <w14:alpha w14:val="100000"/>
                    </w14:srgbClr>
                  </w14:solidFill>
                </w14:textFill>
              </w:rPr>
              <w:t>|</w:t>
            </w:r>
            <w:r w:rsidR="00676FD5">
              <w:rPr>
                <w:vertAlign w:val="superscript"/>
              </w:rPr>
              <w:t>8</w:t>
            </w:r>
          </w:p>
        </w:tc>
        <w:tc>
          <w:tcPr>
            <w:tcW w:w="677" w:type="pct"/>
            <w:tcBorders>
              <w:top w:val="nil"/>
            </w:tcBorders>
            <w:noWrap/>
          </w:tcPr>
          <w:p w14:paraId="5691F8B8" w14:textId="77777777" w:rsidR="009101AA" w:rsidRPr="00007450" w:rsidRDefault="009101AA" w:rsidP="00864C4B">
            <w:pPr>
              <w:pStyle w:val="TableText0"/>
              <w:jc w:val="right"/>
              <w:rPr>
                <w:b/>
                <w:bCs w:val="0"/>
              </w:rPr>
            </w:pPr>
          </w:p>
          <w:p w14:paraId="21C66423" w14:textId="77777777" w:rsidR="001576A5" w:rsidRPr="00007450" w:rsidRDefault="001576A5" w:rsidP="00864C4B">
            <w:pPr>
              <w:pStyle w:val="TableText0"/>
              <w:jc w:val="right"/>
              <w:rPr>
                <w:b/>
                <w:bCs w:val="0"/>
              </w:rPr>
            </w:pPr>
          </w:p>
          <w:p w14:paraId="5AC4FCC0" w14:textId="503A3342" w:rsidR="001D523F" w:rsidRPr="00007450" w:rsidRDefault="001D523F" w:rsidP="00864C4B">
            <w:pPr>
              <w:pStyle w:val="TableText0"/>
              <w:jc w:val="right"/>
              <w:rPr>
                <w:b/>
                <w:bCs w:val="0"/>
              </w:rPr>
            </w:pPr>
            <w:r w:rsidRPr="00007450">
              <w:rPr>
                <w:b/>
                <w:bCs w:val="0"/>
              </w:rPr>
              <w:t>$</w:t>
            </w:r>
            <w:r w:rsidR="00E44B9A">
              <w:rPr>
                <w:b/>
                <w:bCs w:val="0"/>
                <w:color w:val="000000"/>
                <w:spacing w:val="53"/>
                <w:shd w:val="solid" w:color="000000" w:fill="000000"/>
                <w:fitText w:val="345" w:id="-628909054"/>
                <w14:textFill>
                  <w14:solidFill>
                    <w14:srgbClr w14:val="000000">
                      <w14:alpha w14:val="100000"/>
                    </w14:srgbClr>
                  </w14:solidFill>
                </w14:textFill>
              </w:rPr>
              <w:t>|||</w:t>
            </w:r>
            <w:r w:rsidR="00E44B9A">
              <w:rPr>
                <w:b/>
                <w:bCs w:val="0"/>
                <w:color w:val="000000"/>
                <w:spacing w:val="2"/>
                <w:shd w:val="solid" w:color="000000" w:fill="000000"/>
                <w:fitText w:val="345" w:id="-628909054"/>
                <w14:textFill>
                  <w14:solidFill>
                    <w14:srgbClr w14:val="000000">
                      <w14:alpha w14:val="100000"/>
                    </w14:srgbClr>
                  </w14:solidFill>
                </w14:textFill>
              </w:rPr>
              <w:t>|</w:t>
            </w:r>
            <w:r w:rsidR="00676FD5">
              <w:rPr>
                <w:vertAlign w:val="superscript"/>
              </w:rPr>
              <w:t>7</w:t>
            </w:r>
          </w:p>
        </w:tc>
      </w:tr>
    </w:tbl>
    <w:p w14:paraId="62495B35" w14:textId="77777777" w:rsidR="001D523F" w:rsidRPr="00007450" w:rsidRDefault="001D523F" w:rsidP="00864C4B">
      <w:pPr>
        <w:pStyle w:val="TableFigureFooter"/>
      </w:pPr>
      <w:r w:rsidRPr="00007450">
        <w:t>Source: Constructed during the evaluation from Table 4.27, p166 of the submission and the ‘Kisqali (ribociclib) - eBC N0N1 – UCM.xlsx’ workbook.</w:t>
      </w:r>
    </w:p>
    <w:p w14:paraId="333CFB83" w14:textId="77777777" w:rsidR="001D523F" w:rsidRPr="00007450" w:rsidRDefault="001D523F" w:rsidP="00864C4B">
      <w:pPr>
        <w:pStyle w:val="TableFigureFooter"/>
      </w:pPr>
      <w:r w:rsidRPr="00007450">
        <w:t>mBC = metastatic breast cancer.</w:t>
      </w:r>
    </w:p>
    <w:p w14:paraId="4C33FCF4" w14:textId="27D2F679" w:rsidR="001D523F" w:rsidRDefault="001D523F" w:rsidP="00864C4B">
      <w:pPr>
        <w:pStyle w:val="TableFigureFooter"/>
      </w:pPr>
      <w:r w:rsidRPr="00007450">
        <w:t xml:space="preserve">Note: The base case impact includes the correct multiplication of the number of patients who initiate ribociclib treatment in Year 6 by the incidence of mBC in the first year following treatment initiation. </w:t>
      </w:r>
    </w:p>
    <w:p w14:paraId="22A53238" w14:textId="63091137" w:rsidR="003F54C7" w:rsidRDefault="003F54C7" w:rsidP="00864C4B">
      <w:pPr>
        <w:pStyle w:val="TableFigureFooter"/>
        <w:rPr>
          <w:i/>
          <w:iCs/>
        </w:rPr>
      </w:pPr>
      <w:r>
        <w:rPr>
          <w:i/>
          <w:iCs/>
        </w:rPr>
        <w:t>The redacted values correspond to the following ranges:</w:t>
      </w:r>
    </w:p>
    <w:p w14:paraId="6F0D78D7" w14:textId="688A74CE" w:rsidR="003F54C7" w:rsidRDefault="003F54C7" w:rsidP="00864C4B">
      <w:pPr>
        <w:pStyle w:val="TableFigureFooter"/>
        <w:rPr>
          <w:i/>
          <w:iCs/>
        </w:rPr>
      </w:pPr>
      <w:r>
        <w:rPr>
          <w:i/>
          <w:iCs/>
          <w:vertAlign w:val="superscript"/>
        </w:rPr>
        <w:t>1</w:t>
      </w:r>
      <w:r>
        <w:rPr>
          <w:i/>
          <w:iCs/>
        </w:rPr>
        <w:t xml:space="preserve"> $30 million to &lt; $40 million</w:t>
      </w:r>
    </w:p>
    <w:p w14:paraId="6E3048F5" w14:textId="100836D6" w:rsidR="003F54C7" w:rsidRDefault="003F54C7" w:rsidP="00864C4B">
      <w:pPr>
        <w:pStyle w:val="TableFigureFooter"/>
        <w:rPr>
          <w:i/>
          <w:iCs/>
        </w:rPr>
      </w:pPr>
      <w:r w:rsidRPr="003F54C7">
        <w:rPr>
          <w:i/>
          <w:iCs/>
          <w:vertAlign w:val="superscript"/>
        </w:rPr>
        <w:t xml:space="preserve">2 </w:t>
      </w:r>
      <w:r w:rsidRPr="003F54C7">
        <w:rPr>
          <w:i/>
          <w:iCs/>
        </w:rPr>
        <w:t>$</w:t>
      </w:r>
      <w:r>
        <w:rPr>
          <w:i/>
          <w:iCs/>
        </w:rPr>
        <w:t>60 million to &lt; $70 million</w:t>
      </w:r>
    </w:p>
    <w:p w14:paraId="35A5FA97" w14:textId="7EB7D634" w:rsidR="003F54C7" w:rsidRDefault="003F54C7" w:rsidP="00864C4B">
      <w:pPr>
        <w:pStyle w:val="TableFigureFooter"/>
        <w:rPr>
          <w:i/>
          <w:iCs/>
        </w:rPr>
      </w:pPr>
      <w:r w:rsidRPr="009719C2">
        <w:rPr>
          <w:i/>
          <w:iCs/>
          <w:vertAlign w:val="superscript"/>
        </w:rPr>
        <w:t>3</w:t>
      </w:r>
      <w:r w:rsidR="009719C2">
        <w:rPr>
          <w:i/>
          <w:iCs/>
          <w:vertAlign w:val="superscript"/>
        </w:rPr>
        <w:t xml:space="preserve"> </w:t>
      </w:r>
      <w:r w:rsidR="009719C2">
        <w:rPr>
          <w:i/>
          <w:iCs/>
        </w:rPr>
        <w:t>$70 million to &lt; $80 million</w:t>
      </w:r>
    </w:p>
    <w:p w14:paraId="35459FCB" w14:textId="6F30C84C" w:rsidR="009719C2" w:rsidRPr="009719C2" w:rsidRDefault="009719C2" w:rsidP="00864C4B">
      <w:pPr>
        <w:pStyle w:val="TableFigureFooter"/>
        <w:rPr>
          <w:i/>
          <w:iCs/>
        </w:rPr>
      </w:pPr>
      <w:r>
        <w:rPr>
          <w:i/>
          <w:iCs/>
          <w:vertAlign w:val="superscript"/>
        </w:rPr>
        <w:t>4</w:t>
      </w:r>
      <w:r>
        <w:rPr>
          <w:i/>
          <w:iCs/>
        </w:rPr>
        <w:t xml:space="preserve"> $80 million to &lt; $90 million</w:t>
      </w:r>
    </w:p>
    <w:p w14:paraId="041072CC" w14:textId="7F05F7B8" w:rsidR="003F54C7" w:rsidRDefault="00983934" w:rsidP="00864C4B">
      <w:pPr>
        <w:pStyle w:val="TableFigureFooter"/>
        <w:rPr>
          <w:i/>
          <w:iCs/>
        </w:rPr>
      </w:pPr>
      <w:r>
        <w:rPr>
          <w:i/>
          <w:iCs/>
          <w:vertAlign w:val="superscript"/>
        </w:rPr>
        <w:t>5</w:t>
      </w:r>
      <w:r>
        <w:rPr>
          <w:i/>
          <w:iCs/>
        </w:rPr>
        <w:t xml:space="preserve"> $90 million to &lt; $100 million</w:t>
      </w:r>
    </w:p>
    <w:p w14:paraId="22DB34D2" w14:textId="62FB8F78" w:rsidR="00983934" w:rsidRDefault="00983934" w:rsidP="00864C4B">
      <w:pPr>
        <w:pStyle w:val="TableFigureFooter"/>
        <w:rPr>
          <w:i/>
          <w:iCs/>
        </w:rPr>
      </w:pPr>
      <w:r w:rsidRPr="00983934">
        <w:rPr>
          <w:i/>
          <w:iCs/>
          <w:vertAlign w:val="superscript"/>
        </w:rPr>
        <w:t>6</w:t>
      </w:r>
      <w:r>
        <w:rPr>
          <w:i/>
          <w:iCs/>
        </w:rPr>
        <w:t xml:space="preserve"> $</w:t>
      </w:r>
      <w:r w:rsidR="004E2FE9">
        <w:rPr>
          <w:i/>
          <w:iCs/>
        </w:rPr>
        <w:t>20 million to &lt; $30 million</w:t>
      </w:r>
    </w:p>
    <w:p w14:paraId="3298B338" w14:textId="788BE162" w:rsidR="004E2FE9" w:rsidRDefault="004E2FE9" w:rsidP="00864C4B">
      <w:pPr>
        <w:pStyle w:val="TableFigureFooter"/>
        <w:rPr>
          <w:i/>
          <w:iCs/>
        </w:rPr>
      </w:pPr>
      <w:r>
        <w:rPr>
          <w:i/>
          <w:iCs/>
          <w:vertAlign w:val="superscript"/>
        </w:rPr>
        <w:t>7</w:t>
      </w:r>
      <w:r>
        <w:rPr>
          <w:i/>
          <w:iCs/>
        </w:rPr>
        <w:t xml:space="preserve"> $</w:t>
      </w:r>
      <w:r w:rsidR="00BF3175">
        <w:rPr>
          <w:i/>
          <w:iCs/>
        </w:rPr>
        <w:t>50 million to &lt; $60 million</w:t>
      </w:r>
    </w:p>
    <w:p w14:paraId="72C96F50" w14:textId="1F18D561" w:rsidR="00A33D23" w:rsidRPr="00A33D23" w:rsidRDefault="00A33D23" w:rsidP="00864C4B">
      <w:pPr>
        <w:pStyle w:val="TableFigureFooter"/>
        <w:rPr>
          <w:i/>
          <w:iCs/>
        </w:rPr>
      </w:pPr>
      <w:r>
        <w:rPr>
          <w:i/>
          <w:iCs/>
          <w:vertAlign w:val="superscript"/>
        </w:rPr>
        <w:lastRenderedPageBreak/>
        <w:t xml:space="preserve">8 </w:t>
      </w:r>
      <w:r>
        <w:rPr>
          <w:i/>
          <w:iCs/>
        </w:rPr>
        <w:t>$40 million to &lt; $50 million</w:t>
      </w:r>
    </w:p>
    <w:p w14:paraId="5B6AF927" w14:textId="77777777" w:rsidR="00BF3175" w:rsidRPr="004E2FE9" w:rsidRDefault="00BF3175" w:rsidP="00864C4B">
      <w:pPr>
        <w:pStyle w:val="TableFigureFooter"/>
        <w:rPr>
          <w:i/>
          <w:iCs/>
        </w:rPr>
      </w:pPr>
    </w:p>
    <w:p w14:paraId="6015A395" w14:textId="2EDB6A4E" w:rsidR="00576972" w:rsidRPr="00007450" w:rsidRDefault="00576972" w:rsidP="00864C4B">
      <w:pPr>
        <w:pStyle w:val="4-SubsectionHeading"/>
      </w:pPr>
      <w:bookmarkStart w:id="96" w:name="_Toc22897649"/>
      <w:bookmarkStart w:id="97" w:name="_Toc198724449"/>
      <w:bookmarkEnd w:id="81"/>
      <w:r w:rsidRPr="00007450">
        <w:t>Financial Management – Risk Sharing Arrangements</w:t>
      </w:r>
      <w:bookmarkEnd w:id="96"/>
      <w:bookmarkEnd w:id="97"/>
    </w:p>
    <w:p w14:paraId="68F04266" w14:textId="1E38ECD5" w:rsidR="00894CD6" w:rsidRPr="00007450" w:rsidRDefault="001D523F" w:rsidP="00864C4B">
      <w:pPr>
        <w:pStyle w:val="3-BodyText"/>
      </w:pPr>
      <w:r w:rsidRPr="00007450">
        <w:t xml:space="preserve">The sponsor proposed that should a listing of ribociclib be recommended for the proposed population, a concomitant increase in the risk-sharing caps should also be established. </w:t>
      </w:r>
    </w:p>
    <w:p w14:paraId="5BAB6837" w14:textId="5FDFC9D7" w:rsidR="00321068" w:rsidRPr="00860028" w:rsidRDefault="00321068" w:rsidP="00864C4B">
      <w:pPr>
        <w:ind w:firstLine="709"/>
        <w:rPr>
          <w:rFonts w:asciiTheme="minorHAnsi" w:hAnsiTheme="minorHAnsi"/>
          <w:i/>
        </w:rPr>
      </w:pPr>
      <w:r w:rsidRPr="00007450">
        <w:rPr>
          <w:rFonts w:asciiTheme="minorHAnsi" w:hAnsiTheme="minorHAnsi"/>
          <w:i/>
        </w:rPr>
        <w:t>For more detail on PBAC’s view, see section 7 PBAC outcome.</w:t>
      </w:r>
    </w:p>
    <w:p w14:paraId="53EAC547" w14:textId="77777777" w:rsidR="00BF7AB4" w:rsidRPr="00007450" w:rsidRDefault="00BF7AB4" w:rsidP="00864C4B">
      <w:pPr>
        <w:pStyle w:val="2-SectionHeading"/>
        <w:numPr>
          <w:ilvl w:val="0"/>
          <w:numId w:val="1"/>
        </w:numPr>
      </w:pPr>
      <w:bookmarkStart w:id="98" w:name="_Hlk76381249"/>
      <w:r w:rsidRPr="00007450">
        <w:t>PBAC Outcome</w:t>
      </w:r>
    </w:p>
    <w:p w14:paraId="7D37A4EB" w14:textId="2E6DC9AD" w:rsidR="00C5353F" w:rsidRPr="005D1877" w:rsidRDefault="008E04E1" w:rsidP="00864C4B">
      <w:pPr>
        <w:pStyle w:val="3-BodyText"/>
        <w:rPr>
          <w:snapToGrid w:val="0"/>
        </w:rPr>
      </w:pPr>
      <w:bookmarkStart w:id="99" w:name="_Hlk111543188"/>
      <w:r w:rsidRPr="00007450">
        <w:rPr>
          <w:rFonts w:eastAsia="Times New Roman" w:cs="Arial"/>
          <w:snapToGrid w:val="0"/>
          <w:szCs w:val="24"/>
        </w:rPr>
        <w:t>The PBAC did not recommend the listing of ribociclib, as combination therapy with adjuv</w:t>
      </w:r>
      <w:r w:rsidR="0066008F">
        <w:rPr>
          <w:rFonts w:eastAsia="Times New Roman" w:cs="Arial"/>
          <w:snapToGrid w:val="0"/>
          <w:szCs w:val="24"/>
        </w:rPr>
        <w:t>a</w:t>
      </w:r>
      <w:r w:rsidRPr="00007450">
        <w:rPr>
          <w:rFonts w:eastAsia="Times New Roman" w:cs="Arial"/>
          <w:snapToGrid w:val="0"/>
          <w:szCs w:val="24"/>
        </w:rPr>
        <w:t>nt endocrine therapy</w:t>
      </w:r>
      <w:r w:rsidR="00874DE1">
        <w:rPr>
          <w:rFonts w:eastAsia="Times New Roman" w:cs="Arial"/>
          <w:snapToGrid w:val="0"/>
          <w:szCs w:val="24"/>
        </w:rPr>
        <w:t xml:space="preserve"> (ET)</w:t>
      </w:r>
      <w:r w:rsidRPr="00007450">
        <w:rPr>
          <w:rFonts w:eastAsia="Times New Roman" w:cs="Arial"/>
          <w:snapToGrid w:val="0"/>
          <w:szCs w:val="24"/>
        </w:rPr>
        <w:t xml:space="preserve">, for the treatment of hormone receptor positive (HR+), human epidermal growth factor receptor 2 negative (HER2-), resected early breast cancer (eBC) </w:t>
      </w:r>
      <w:r w:rsidR="00296DEB">
        <w:t>with</w:t>
      </w:r>
      <w:r w:rsidR="007560A9">
        <w:t xml:space="preserve"> stage I</w:t>
      </w:r>
      <w:r w:rsidR="00497B68">
        <w:t>I or II</w:t>
      </w:r>
      <w:r w:rsidR="00E20FDB">
        <w:t>I</w:t>
      </w:r>
      <w:r w:rsidR="00497B68">
        <w:t xml:space="preserve"> disease with 1</w:t>
      </w:r>
      <w:r w:rsidR="00497B68">
        <w:rPr>
          <w:rFonts w:cstheme="minorHAnsi"/>
        </w:rPr>
        <w:t>−</w:t>
      </w:r>
      <w:r w:rsidR="00497B68">
        <w:t xml:space="preserve">3 positive axillary lymph nodes (ALNs) </w:t>
      </w:r>
      <w:r w:rsidR="00B83C32">
        <w:t>meeting</w:t>
      </w:r>
      <w:r w:rsidR="00537F1F">
        <w:t xml:space="preserve"> </w:t>
      </w:r>
      <w:r w:rsidR="00B83C32">
        <w:t>specific</w:t>
      </w:r>
      <w:r w:rsidR="00537F1F">
        <w:t xml:space="preserve"> histological and tumour size criteria</w:t>
      </w:r>
      <w:r w:rsidR="00497B68">
        <w:t>,</w:t>
      </w:r>
      <w:r w:rsidR="00296DEB">
        <w:t xml:space="preserve"> </w:t>
      </w:r>
      <w:r w:rsidR="00296DEB" w:rsidRPr="00007450">
        <w:rPr>
          <w:iCs/>
        </w:rPr>
        <w:t>stage II</w:t>
      </w:r>
      <w:r w:rsidR="00296DEB">
        <w:rPr>
          <w:iCs/>
        </w:rPr>
        <w:t>B</w:t>
      </w:r>
      <w:r w:rsidR="00296DEB" w:rsidRPr="00007450">
        <w:rPr>
          <w:iCs/>
        </w:rPr>
        <w:t xml:space="preserve"> or III disease </w:t>
      </w:r>
      <w:r w:rsidR="00D433F1">
        <w:rPr>
          <w:iCs/>
        </w:rPr>
        <w:t xml:space="preserve">with </w:t>
      </w:r>
      <w:r w:rsidR="00E93CCC">
        <w:rPr>
          <w:iCs/>
        </w:rPr>
        <w:t>no positive lymph nodes</w:t>
      </w:r>
      <w:r w:rsidR="00296DEB">
        <w:rPr>
          <w:iCs/>
        </w:rPr>
        <w:t xml:space="preserve"> </w:t>
      </w:r>
      <w:r w:rsidR="007B22F4">
        <w:rPr>
          <w:iCs/>
        </w:rPr>
        <w:t>or Stage</w:t>
      </w:r>
      <w:r w:rsidR="00296DEB" w:rsidRPr="00007450">
        <w:rPr>
          <w:iCs/>
        </w:rPr>
        <w:t xml:space="preserve"> IIA </w:t>
      </w:r>
      <w:r w:rsidR="007B22F4">
        <w:rPr>
          <w:iCs/>
        </w:rPr>
        <w:t xml:space="preserve">disease </w:t>
      </w:r>
      <w:r w:rsidR="00CC3881">
        <w:rPr>
          <w:iCs/>
        </w:rPr>
        <w:t xml:space="preserve">with no positive lymph nodes </w:t>
      </w:r>
      <w:r w:rsidR="008F7BA0">
        <w:rPr>
          <w:iCs/>
        </w:rPr>
        <w:t>meeting</w:t>
      </w:r>
      <w:r w:rsidR="00E443CE">
        <w:rPr>
          <w:iCs/>
        </w:rPr>
        <w:t xml:space="preserve"> specific histolog</w:t>
      </w:r>
      <w:r w:rsidR="00C7577F">
        <w:rPr>
          <w:iCs/>
        </w:rPr>
        <w:t>ical</w:t>
      </w:r>
      <w:r w:rsidR="00E443CE">
        <w:rPr>
          <w:iCs/>
        </w:rPr>
        <w:t xml:space="preserve"> c</w:t>
      </w:r>
      <w:r w:rsidR="006B6AEF">
        <w:rPr>
          <w:iCs/>
        </w:rPr>
        <w:t>r</w:t>
      </w:r>
      <w:r w:rsidR="00E443CE">
        <w:rPr>
          <w:iCs/>
        </w:rPr>
        <w:t>iteria</w:t>
      </w:r>
      <w:r w:rsidR="0062669E">
        <w:rPr>
          <w:rStyle w:val="FootnoteReference"/>
          <w:iCs/>
        </w:rPr>
        <w:footnoteReference w:id="26"/>
      </w:r>
      <w:r w:rsidR="00164631">
        <w:rPr>
          <w:iCs/>
        </w:rPr>
        <w:t xml:space="preserve"> (</w:t>
      </w:r>
      <w:r w:rsidR="00865962">
        <w:rPr>
          <w:iCs/>
        </w:rPr>
        <w:t xml:space="preserve">for brevity </w:t>
      </w:r>
      <w:r w:rsidR="00164631">
        <w:rPr>
          <w:iCs/>
        </w:rPr>
        <w:t>referred to below as ‘</w:t>
      </w:r>
      <w:r w:rsidR="007B2E33">
        <w:rPr>
          <w:iCs/>
        </w:rPr>
        <w:t>node negative/low</w:t>
      </w:r>
      <w:r w:rsidR="00164631">
        <w:rPr>
          <w:iCs/>
        </w:rPr>
        <w:t>’ patients)</w:t>
      </w:r>
      <w:r w:rsidR="008D142D">
        <w:rPr>
          <w:iCs/>
        </w:rPr>
        <w:t>. The PBAC noted</w:t>
      </w:r>
      <w:r w:rsidR="004B50B0">
        <w:rPr>
          <w:iCs/>
        </w:rPr>
        <w:t xml:space="preserve"> the risk of recurrence is </w:t>
      </w:r>
      <w:r w:rsidR="001F56EF">
        <w:rPr>
          <w:iCs/>
        </w:rPr>
        <w:t>lower in the proposed population compared with</w:t>
      </w:r>
      <w:r w:rsidR="00421631">
        <w:rPr>
          <w:iCs/>
        </w:rPr>
        <w:t xml:space="preserve"> </w:t>
      </w:r>
      <w:r w:rsidR="009529EF">
        <w:rPr>
          <w:iCs/>
        </w:rPr>
        <w:t xml:space="preserve">the </w:t>
      </w:r>
      <w:r w:rsidR="00DC3072">
        <w:rPr>
          <w:iCs/>
        </w:rPr>
        <w:t xml:space="preserve">HR+, HER2- adjuvant </w:t>
      </w:r>
      <w:r w:rsidR="00C544DE">
        <w:rPr>
          <w:iCs/>
        </w:rPr>
        <w:t xml:space="preserve">population already </w:t>
      </w:r>
      <w:r w:rsidR="00CE3665">
        <w:rPr>
          <w:iCs/>
        </w:rPr>
        <w:t xml:space="preserve">funded through the </w:t>
      </w:r>
      <w:r w:rsidR="00EC2762">
        <w:rPr>
          <w:iCs/>
        </w:rPr>
        <w:t xml:space="preserve">PBS </w:t>
      </w:r>
      <w:r w:rsidR="00951ED8">
        <w:rPr>
          <w:rFonts w:eastAsia="Times New Roman" w:cs="Arial"/>
          <w:snapToGrid w:val="0"/>
          <w:szCs w:val="24"/>
        </w:rPr>
        <w:t>(</w:t>
      </w:r>
      <w:r w:rsidR="00C816FB">
        <w:t xml:space="preserve">patients with </w:t>
      </w:r>
      <w:r w:rsidR="00C816FB">
        <w:rPr>
          <w:rFonts w:cstheme="minorHAnsi"/>
        </w:rPr>
        <w:t>≥</w:t>
      </w:r>
      <w:r w:rsidR="00C816FB" w:rsidRPr="00007450">
        <w:t>4 positive ALNs, or 1–3 positive ALNs and either grade 3 disease or tumour size ≥ 5 cm</w:t>
      </w:r>
      <w:r w:rsidR="003C6452">
        <w:t xml:space="preserve">; referred to below as </w:t>
      </w:r>
      <w:r w:rsidR="00B34ABD">
        <w:t>‘</w:t>
      </w:r>
      <w:r w:rsidR="003C6452">
        <w:t>node positive</w:t>
      </w:r>
      <w:r w:rsidR="00B34ABD">
        <w:t>’</w:t>
      </w:r>
      <w:r w:rsidR="003C6452">
        <w:t xml:space="preserve"> patients)</w:t>
      </w:r>
      <w:r w:rsidR="00C816FB">
        <w:t xml:space="preserve">. </w:t>
      </w:r>
      <w:r w:rsidR="00C5353F" w:rsidRPr="005D1877">
        <w:rPr>
          <w:snapToGrid w:val="0"/>
        </w:rPr>
        <w:t xml:space="preserve">The PBAC noted that whilst the </w:t>
      </w:r>
      <w:r w:rsidR="00E21639">
        <w:rPr>
          <w:snapToGrid w:val="0"/>
        </w:rPr>
        <w:t>redu</w:t>
      </w:r>
      <w:r w:rsidR="00D5769D">
        <w:rPr>
          <w:snapToGrid w:val="0"/>
        </w:rPr>
        <w:t>ctions</w:t>
      </w:r>
      <w:r w:rsidR="00C5353F" w:rsidRPr="005D1877">
        <w:rPr>
          <w:snapToGrid w:val="0"/>
        </w:rPr>
        <w:t xml:space="preserve"> in </w:t>
      </w:r>
      <w:r w:rsidR="00A62EE3" w:rsidRPr="00007450">
        <w:t>invasive disease-free survival</w:t>
      </w:r>
      <w:r w:rsidR="00A62EE3">
        <w:rPr>
          <w:snapToGrid w:val="0"/>
        </w:rPr>
        <w:t xml:space="preserve"> (</w:t>
      </w:r>
      <w:r w:rsidR="006000C9">
        <w:rPr>
          <w:snapToGrid w:val="0"/>
        </w:rPr>
        <w:t>i</w:t>
      </w:r>
      <w:r w:rsidR="00C5353F" w:rsidRPr="005D1877">
        <w:rPr>
          <w:snapToGrid w:val="0"/>
        </w:rPr>
        <w:t>DFS</w:t>
      </w:r>
      <w:r w:rsidR="00A62EE3">
        <w:rPr>
          <w:snapToGrid w:val="0"/>
        </w:rPr>
        <w:t>)</w:t>
      </w:r>
      <w:r w:rsidR="00C5353F" w:rsidRPr="005D1877">
        <w:rPr>
          <w:snapToGrid w:val="0"/>
        </w:rPr>
        <w:t xml:space="preserve"> and </w:t>
      </w:r>
      <w:r w:rsidR="00B971DC" w:rsidRPr="00007450">
        <w:t>distant recurrence-free survival</w:t>
      </w:r>
      <w:r w:rsidR="00B971DC" w:rsidRPr="005D1877">
        <w:rPr>
          <w:snapToGrid w:val="0"/>
        </w:rPr>
        <w:t xml:space="preserve"> </w:t>
      </w:r>
      <w:r w:rsidR="00B971DC">
        <w:rPr>
          <w:snapToGrid w:val="0"/>
        </w:rPr>
        <w:t>(</w:t>
      </w:r>
      <w:r w:rsidR="00C5353F" w:rsidRPr="005D1877">
        <w:rPr>
          <w:snapToGrid w:val="0"/>
        </w:rPr>
        <w:t>DRFS</w:t>
      </w:r>
      <w:r w:rsidR="00B971DC">
        <w:rPr>
          <w:snapToGrid w:val="0"/>
        </w:rPr>
        <w:t>)</w:t>
      </w:r>
      <w:r w:rsidR="00C5353F" w:rsidRPr="005D1877">
        <w:rPr>
          <w:snapToGrid w:val="0"/>
        </w:rPr>
        <w:t xml:space="preserve"> were statistically significant, </w:t>
      </w:r>
      <w:r w:rsidR="0001071D">
        <w:rPr>
          <w:snapToGrid w:val="0"/>
        </w:rPr>
        <w:t xml:space="preserve">reflecting the </w:t>
      </w:r>
      <w:r w:rsidR="00663F3C">
        <w:rPr>
          <w:snapToGrid w:val="0"/>
        </w:rPr>
        <w:t xml:space="preserve">overall low rate of recurrence for </w:t>
      </w:r>
      <w:r w:rsidR="007B2E33">
        <w:rPr>
          <w:snapToGrid w:val="0"/>
        </w:rPr>
        <w:t>node negative/low</w:t>
      </w:r>
      <w:r w:rsidR="00663F3C">
        <w:t xml:space="preserve"> patients</w:t>
      </w:r>
      <w:r w:rsidR="0075182F">
        <w:t>,</w:t>
      </w:r>
      <w:r w:rsidR="006837B2">
        <w:rPr>
          <w:snapToGrid w:val="0"/>
        </w:rPr>
        <w:t xml:space="preserve"> </w:t>
      </w:r>
      <w:r w:rsidR="00C5353F" w:rsidRPr="005D1877">
        <w:rPr>
          <w:snapToGrid w:val="0"/>
        </w:rPr>
        <w:t>the</w:t>
      </w:r>
      <w:r w:rsidR="006837B2">
        <w:rPr>
          <w:snapToGrid w:val="0"/>
        </w:rPr>
        <w:t xml:space="preserve"> reductions</w:t>
      </w:r>
      <w:r w:rsidR="00C5353F" w:rsidRPr="005D1877">
        <w:rPr>
          <w:snapToGrid w:val="0"/>
        </w:rPr>
        <w:t xml:space="preserve"> were </w:t>
      </w:r>
      <w:r w:rsidR="00736596">
        <w:rPr>
          <w:snapToGrid w:val="0"/>
        </w:rPr>
        <w:t xml:space="preserve">small and </w:t>
      </w:r>
      <w:r w:rsidR="00C5353F" w:rsidRPr="005D1877">
        <w:rPr>
          <w:snapToGrid w:val="0"/>
        </w:rPr>
        <w:t>smaller than observed for the currently listed node positive patients. In the context of the increase in the number</w:t>
      </w:r>
      <w:r w:rsidR="009B51CA">
        <w:rPr>
          <w:snapToGrid w:val="0"/>
        </w:rPr>
        <w:t xml:space="preserve"> of</w:t>
      </w:r>
      <w:r w:rsidR="00C5353F" w:rsidRPr="005D1877">
        <w:rPr>
          <w:snapToGrid w:val="0"/>
        </w:rPr>
        <w:t xml:space="preserve"> adverse events reported</w:t>
      </w:r>
      <w:r w:rsidR="00D56F8F">
        <w:rPr>
          <w:snapToGrid w:val="0"/>
        </w:rPr>
        <w:t xml:space="preserve"> with the addition of ribociclib to ET</w:t>
      </w:r>
      <w:r w:rsidR="00C5353F" w:rsidRPr="005D1877">
        <w:rPr>
          <w:snapToGrid w:val="0"/>
        </w:rPr>
        <w:t xml:space="preserve">, and that patients treated in the adjuvant setting forego treatment with a CDK4/6 in the metastatic setting, the PBAC considered the overall benefit associated with adding ribociclib to ET in </w:t>
      </w:r>
      <w:r w:rsidR="007B2E33">
        <w:rPr>
          <w:snapToGrid w:val="0"/>
        </w:rPr>
        <w:t>node negative/low</w:t>
      </w:r>
      <w:r w:rsidR="00C5353F" w:rsidRPr="005D1877">
        <w:rPr>
          <w:snapToGrid w:val="0"/>
        </w:rPr>
        <w:t xml:space="preserve"> patients had not been demonstrated to be clinically meaningful.</w:t>
      </w:r>
      <w:r w:rsidR="007A51C6">
        <w:rPr>
          <w:snapToGrid w:val="0"/>
        </w:rPr>
        <w:t xml:space="preserve"> The PBAC noted the economic model presented in the submission estimated that the </w:t>
      </w:r>
      <w:r w:rsidR="00383546">
        <w:rPr>
          <w:snapToGrid w:val="0"/>
        </w:rPr>
        <w:t>benefit (incremental quality adjusted life years [QALYs]</w:t>
      </w:r>
      <w:r w:rsidR="00924DA8">
        <w:rPr>
          <w:snapToGrid w:val="0"/>
        </w:rPr>
        <w:t xml:space="preserve">) in </w:t>
      </w:r>
      <w:r w:rsidR="007B2E33">
        <w:rPr>
          <w:snapToGrid w:val="0"/>
        </w:rPr>
        <w:t>node negative/low</w:t>
      </w:r>
      <w:r w:rsidR="00924DA8">
        <w:rPr>
          <w:snapToGrid w:val="0"/>
        </w:rPr>
        <w:t xml:space="preserve"> patients would be greater than that previously accepted for node positive patients</w:t>
      </w:r>
      <w:r w:rsidR="00412F7C">
        <w:rPr>
          <w:snapToGrid w:val="0"/>
        </w:rPr>
        <w:t xml:space="preserve"> and</w:t>
      </w:r>
      <w:r w:rsidR="00323C6A">
        <w:rPr>
          <w:snapToGrid w:val="0"/>
        </w:rPr>
        <w:t xml:space="preserve"> considered this result to be implausible.</w:t>
      </w:r>
    </w:p>
    <w:p w14:paraId="29123AD2" w14:textId="238C6082" w:rsidR="00B659EA" w:rsidRPr="004524BC" w:rsidRDefault="00FE0BFB" w:rsidP="00864C4B">
      <w:pPr>
        <w:pStyle w:val="3-BodyText"/>
        <w:rPr>
          <w:snapToGrid w:val="0"/>
        </w:rPr>
      </w:pPr>
      <w:r w:rsidRPr="00007450">
        <w:rPr>
          <w:rFonts w:eastAsia="Times New Roman" w:cs="Arial"/>
          <w:snapToGrid w:val="0"/>
          <w:szCs w:val="24"/>
        </w:rPr>
        <w:t xml:space="preserve">The PBAC considered the primary reason for this outcome was due to the </w:t>
      </w:r>
      <w:r w:rsidR="004524BC">
        <w:rPr>
          <w:rFonts w:eastAsia="Times New Roman" w:cs="Arial"/>
          <w:snapToGrid w:val="0"/>
          <w:szCs w:val="24"/>
        </w:rPr>
        <w:t xml:space="preserve">proposed </w:t>
      </w:r>
      <w:r w:rsidR="004F6737" w:rsidRPr="004F6737">
        <w:rPr>
          <w:snapToGrid w:val="0"/>
        </w:rPr>
        <w:t>place in therapy</w:t>
      </w:r>
      <w:r w:rsidRPr="004524BC">
        <w:rPr>
          <w:rFonts w:eastAsia="Times New Roman" w:cs="Arial"/>
          <w:snapToGrid w:val="0"/>
          <w:szCs w:val="24"/>
        </w:rPr>
        <w:t>.</w:t>
      </w:r>
    </w:p>
    <w:p w14:paraId="03A348F0" w14:textId="44DB5C2F" w:rsidR="00B659EA" w:rsidRPr="00007450" w:rsidRDefault="008E04E1" w:rsidP="00864C4B">
      <w:pPr>
        <w:pStyle w:val="3-BodyText"/>
        <w:rPr>
          <w:snapToGrid w:val="0"/>
        </w:rPr>
      </w:pPr>
      <w:r w:rsidRPr="00007450">
        <w:rPr>
          <w:rFonts w:eastAsia="Times New Roman" w:cs="Arial"/>
          <w:snapToGrid w:val="0"/>
          <w:szCs w:val="24"/>
        </w:rPr>
        <w:t xml:space="preserve">The Committee acknowledged the input from </w:t>
      </w:r>
      <w:r w:rsidR="009170A6" w:rsidRPr="00007450">
        <w:rPr>
          <w:bCs/>
          <w:snapToGrid w:val="0"/>
        </w:rPr>
        <w:t xml:space="preserve">health professionals, </w:t>
      </w:r>
      <w:r w:rsidR="009170A6">
        <w:rPr>
          <w:bCs/>
          <w:snapToGrid w:val="0"/>
        </w:rPr>
        <w:t>individuals</w:t>
      </w:r>
      <w:r w:rsidR="005068B8">
        <w:rPr>
          <w:bCs/>
          <w:snapToGrid w:val="0"/>
        </w:rPr>
        <w:t xml:space="preserve"> </w:t>
      </w:r>
      <w:r w:rsidR="009170A6" w:rsidRPr="00007450">
        <w:rPr>
          <w:bCs/>
          <w:snapToGrid w:val="0"/>
        </w:rPr>
        <w:t xml:space="preserve">and consumer organisations, including Rare Cancers Australia, Breast Cancer Network </w:t>
      </w:r>
      <w:r w:rsidR="009170A6" w:rsidRPr="00007450">
        <w:rPr>
          <w:bCs/>
          <w:snapToGrid w:val="0"/>
        </w:rPr>
        <w:lastRenderedPageBreak/>
        <w:t>Australia (BCNA), So Brave and Inherited Cancers Australia</w:t>
      </w:r>
      <w:r w:rsidR="00987983">
        <w:rPr>
          <w:bCs/>
          <w:snapToGrid w:val="0"/>
        </w:rPr>
        <w:t xml:space="preserve">, </w:t>
      </w:r>
      <w:r w:rsidR="00A625B3">
        <w:rPr>
          <w:bCs/>
          <w:snapToGrid w:val="0"/>
        </w:rPr>
        <w:t>expressing their</w:t>
      </w:r>
      <w:r w:rsidR="007C1523">
        <w:rPr>
          <w:bCs/>
          <w:snapToGrid w:val="0"/>
        </w:rPr>
        <w:t xml:space="preserve"> support</w:t>
      </w:r>
      <w:r w:rsidR="00197A2D">
        <w:rPr>
          <w:bCs/>
          <w:snapToGrid w:val="0"/>
        </w:rPr>
        <w:t xml:space="preserve"> </w:t>
      </w:r>
      <w:r w:rsidR="00A25207">
        <w:rPr>
          <w:bCs/>
          <w:snapToGrid w:val="0"/>
        </w:rPr>
        <w:t xml:space="preserve">for </w:t>
      </w:r>
      <w:r w:rsidR="00197A2D">
        <w:rPr>
          <w:bCs/>
          <w:snapToGrid w:val="0"/>
        </w:rPr>
        <w:t>the proposed listing for ribociclib</w:t>
      </w:r>
      <w:r w:rsidR="000A5D73">
        <w:rPr>
          <w:bCs/>
          <w:snapToGrid w:val="0"/>
        </w:rPr>
        <w:t>. The PBAC noted the input</w:t>
      </w:r>
      <w:r w:rsidR="00794687">
        <w:rPr>
          <w:bCs/>
          <w:snapToGrid w:val="0"/>
        </w:rPr>
        <w:t xml:space="preserve"> </w:t>
      </w:r>
      <w:r w:rsidR="00313249">
        <w:rPr>
          <w:bCs/>
          <w:snapToGrid w:val="0"/>
        </w:rPr>
        <w:t>emphasis</w:t>
      </w:r>
      <w:r w:rsidR="00DE4979">
        <w:rPr>
          <w:bCs/>
          <w:snapToGrid w:val="0"/>
        </w:rPr>
        <w:t>ing</w:t>
      </w:r>
      <w:r w:rsidR="00313249">
        <w:rPr>
          <w:bCs/>
          <w:snapToGrid w:val="0"/>
        </w:rPr>
        <w:t xml:space="preserve"> </w:t>
      </w:r>
      <w:r w:rsidR="00197A2D">
        <w:rPr>
          <w:bCs/>
          <w:snapToGrid w:val="0"/>
        </w:rPr>
        <w:t xml:space="preserve">the </w:t>
      </w:r>
      <w:r w:rsidR="00313249">
        <w:rPr>
          <w:bCs/>
          <w:snapToGrid w:val="0"/>
        </w:rPr>
        <w:t xml:space="preserve">risk and fear of disease recurrence </w:t>
      </w:r>
      <w:r w:rsidR="00EC5613">
        <w:rPr>
          <w:bCs/>
          <w:snapToGrid w:val="0"/>
        </w:rPr>
        <w:t>for this population</w:t>
      </w:r>
      <w:r w:rsidR="00972FD0" w:rsidRPr="00972FD0">
        <w:rPr>
          <w:bCs/>
          <w:snapToGrid w:val="0"/>
        </w:rPr>
        <w:t xml:space="preserve"> </w:t>
      </w:r>
      <w:r w:rsidR="00972FD0">
        <w:rPr>
          <w:bCs/>
          <w:snapToGrid w:val="0"/>
        </w:rPr>
        <w:t>and the need for additional therapies</w:t>
      </w:r>
      <w:r w:rsidR="00EC5613">
        <w:rPr>
          <w:bCs/>
          <w:snapToGrid w:val="0"/>
        </w:rPr>
        <w:t xml:space="preserve">. </w:t>
      </w:r>
      <w:r w:rsidR="00847C9A">
        <w:rPr>
          <w:bCs/>
          <w:snapToGrid w:val="0"/>
        </w:rPr>
        <w:t>The input outlined</w:t>
      </w:r>
      <w:r w:rsidR="00DE4979">
        <w:rPr>
          <w:bCs/>
          <w:snapToGrid w:val="0"/>
        </w:rPr>
        <w:t xml:space="preserve"> the clinical benefit associated with ribociclib, based on the results of the NATALEE trial</w:t>
      </w:r>
      <w:r w:rsidR="00001D5E">
        <w:rPr>
          <w:bCs/>
          <w:snapToGrid w:val="0"/>
        </w:rPr>
        <w:t>. T</w:t>
      </w:r>
      <w:r w:rsidR="00272DF2">
        <w:rPr>
          <w:bCs/>
          <w:snapToGrid w:val="0"/>
        </w:rPr>
        <w:t>he</w:t>
      </w:r>
      <w:r w:rsidR="003615BA">
        <w:rPr>
          <w:bCs/>
          <w:snapToGrid w:val="0"/>
        </w:rPr>
        <w:t xml:space="preserve"> PBAC also noted the input describ</w:t>
      </w:r>
      <w:r w:rsidR="00D12A42">
        <w:rPr>
          <w:bCs/>
          <w:snapToGrid w:val="0"/>
        </w:rPr>
        <w:t>ing</w:t>
      </w:r>
      <w:r w:rsidR="003615BA">
        <w:rPr>
          <w:bCs/>
          <w:snapToGrid w:val="0"/>
        </w:rPr>
        <w:t xml:space="preserve"> the</w:t>
      </w:r>
      <w:r w:rsidR="00C402D8">
        <w:rPr>
          <w:bCs/>
          <w:snapToGrid w:val="0"/>
        </w:rPr>
        <w:t xml:space="preserve"> serious</w:t>
      </w:r>
      <w:r w:rsidR="00272DF2">
        <w:rPr>
          <w:bCs/>
          <w:snapToGrid w:val="0"/>
        </w:rPr>
        <w:t xml:space="preserve"> </w:t>
      </w:r>
      <w:r w:rsidR="00001D5E">
        <w:rPr>
          <w:bCs/>
          <w:snapToGrid w:val="0"/>
        </w:rPr>
        <w:t xml:space="preserve">side effects </w:t>
      </w:r>
      <w:r w:rsidR="003615BA">
        <w:rPr>
          <w:bCs/>
          <w:snapToGrid w:val="0"/>
        </w:rPr>
        <w:t>associated with current care</w:t>
      </w:r>
      <w:r w:rsidR="00E047C9" w:rsidRPr="008E04E1">
        <w:rPr>
          <w:rFonts w:eastAsia="Times New Roman" w:cs="Arial"/>
          <w:snapToGrid w:val="0"/>
          <w:szCs w:val="24"/>
          <w:lang w:val="en-GB"/>
        </w:rPr>
        <w:t xml:space="preserve">; however, the PBAC noted treatment with ribociclib was additive to </w:t>
      </w:r>
      <w:r w:rsidR="00E047C9">
        <w:rPr>
          <w:rFonts w:eastAsia="Times New Roman" w:cs="Arial"/>
          <w:snapToGrid w:val="0"/>
          <w:szCs w:val="24"/>
          <w:lang w:val="en-GB"/>
        </w:rPr>
        <w:t>ET</w:t>
      </w:r>
      <w:r w:rsidR="00E047C9" w:rsidRPr="008E04E1">
        <w:rPr>
          <w:rFonts w:eastAsia="Times New Roman" w:cs="Arial"/>
          <w:snapToGrid w:val="0"/>
          <w:szCs w:val="24"/>
          <w:lang w:val="en-GB"/>
        </w:rPr>
        <w:t>, which would further increase the risk of adverse events</w:t>
      </w:r>
      <w:r w:rsidR="00847C9A">
        <w:rPr>
          <w:bCs/>
          <w:snapToGrid w:val="0"/>
        </w:rPr>
        <w:t>.</w:t>
      </w:r>
      <w:r w:rsidR="00DE4979">
        <w:rPr>
          <w:bCs/>
          <w:snapToGrid w:val="0"/>
        </w:rPr>
        <w:t xml:space="preserve"> </w:t>
      </w:r>
      <w:r w:rsidR="00A223F4" w:rsidRPr="005432B1">
        <w:rPr>
          <w:snapToGrid w:val="0"/>
          <w:lang w:val="en-GB" w:eastAsia="en-US"/>
        </w:rPr>
        <w:t xml:space="preserve">In addition, the PBAC noted the </w:t>
      </w:r>
      <w:r w:rsidR="00CA6483" w:rsidRPr="00007450">
        <w:rPr>
          <w:bCs/>
          <w:snapToGrid w:val="0"/>
        </w:rPr>
        <w:t>Medical Oncology Group Australia</w:t>
      </w:r>
      <w:r w:rsidR="00CA6483">
        <w:rPr>
          <w:bCs/>
          <w:snapToGrid w:val="0"/>
        </w:rPr>
        <w:t>’s</w:t>
      </w:r>
      <w:r w:rsidR="00CA6483" w:rsidRPr="00007450">
        <w:rPr>
          <w:bCs/>
          <w:snapToGrid w:val="0"/>
        </w:rPr>
        <w:t xml:space="preserve"> </w:t>
      </w:r>
      <w:r w:rsidR="00A223F4" w:rsidRPr="005432B1">
        <w:rPr>
          <w:snapToGrid w:val="0"/>
          <w:lang w:val="en-GB" w:eastAsia="en-US"/>
        </w:rPr>
        <w:t>support for the submission</w:t>
      </w:r>
      <w:r w:rsidR="00A223F4" w:rsidRPr="001C04F5">
        <w:rPr>
          <w:snapToGrid w:val="0"/>
          <w:lang w:val="en-GB" w:eastAsia="en-US"/>
        </w:rPr>
        <w:t>.</w:t>
      </w:r>
    </w:p>
    <w:p w14:paraId="64F38B86" w14:textId="72DB910F" w:rsidR="008F3CA4" w:rsidRDefault="000015D2" w:rsidP="00864C4B">
      <w:pPr>
        <w:pStyle w:val="3-BodyText"/>
        <w:rPr>
          <w:snapToGrid w:val="0"/>
        </w:rPr>
      </w:pPr>
      <w:r>
        <w:rPr>
          <w:snapToGrid w:val="0"/>
        </w:rPr>
        <w:t>With regards to the requested restriction, the PBAC advised that</w:t>
      </w:r>
      <w:r w:rsidR="00D93E28">
        <w:rPr>
          <w:snapToGrid w:val="0"/>
        </w:rPr>
        <w:t>:</w:t>
      </w:r>
    </w:p>
    <w:p w14:paraId="49BFCA32" w14:textId="6A7804F3" w:rsidR="000B4F1C" w:rsidRPr="008834FA" w:rsidRDefault="00F520E5" w:rsidP="00864C4B">
      <w:pPr>
        <w:pStyle w:val="3-BodyText"/>
        <w:numPr>
          <w:ilvl w:val="0"/>
          <w:numId w:val="11"/>
        </w:numPr>
        <w:ind w:left="1134"/>
        <w:rPr>
          <w:snapToGrid w:val="0"/>
        </w:rPr>
      </w:pPr>
      <w:r>
        <w:rPr>
          <w:snapToGrid w:val="0"/>
        </w:rPr>
        <w:t>T</w:t>
      </w:r>
      <w:r w:rsidR="00F63286">
        <w:rPr>
          <w:snapToGrid w:val="0"/>
        </w:rPr>
        <w:t>he timeframe</w:t>
      </w:r>
      <w:r>
        <w:rPr>
          <w:snapToGrid w:val="0"/>
        </w:rPr>
        <w:t xml:space="preserve"> between the initiation of adjuvant ET and ribociclib</w:t>
      </w:r>
      <w:r w:rsidR="00F63286">
        <w:rPr>
          <w:snapToGrid w:val="0"/>
        </w:rPr>
        <w:t xml:space="preserve"> should match the current 6-month requirement for abemaciclib in eBC</w:t>
      </w:r>
      <w:r w:rsidR="006C2D26">
        <w:t xml:space="preserve"> (para </w:t>
      </w:r>
      <w:r w:rsidR="006C2D26">
        <w:fldChar w:fldCharType="begin"/>
      </w:r>
      <w:r w:rsidR="006C2D26">
        <w:instrText xml:space="preserve"> REF _Ref205370135 \r \h </w:instrText>
      </w:r>
      <w:r w:rsidR="006C2D26">
        <w:fldChar w:fldCharType="separate"/>
      </w:r>
      <w:r w:rsidR="00B36442">
        <w:t>3.3</w:t>
      </w:r>
      <w:r w:rsidR="006C2D26">
        <w:fldChar w:fldCharType="end"/>
      </w:r>
      <w:r w:rsidR="006C2D26">
        <w:t>)</w:t>
      </w:r>
      <w:r w:rsidR="008834FA">
        <w:t>;</w:t>
      </w:r>
    </w:p>
    <w:p w14:paraId="2166D323" w14:textId="00D5A82C" w:rsidR="008834FA" w:rsidRPr="00137079" w:rsidRDefault="008E3C88" w:rsidP="00864C4B">
      <w:pPr>
        <w:pStyle w:val="3-BodyText"/>
        <w:numPr>
          <w:ilvl w:val="0"/>
          <w:numId w:val="11"/>
        </w:numPr>
        <w:ind w:left="1134"/>
        <w:rPr>
          <w:snapToGrid w:val="0"/>
        </w:rPr>
      </w:pPr>
      <w:r>
        <w:t>Given</w:t>
      </w:r>
      <w:r w:rsidR="00A9566D">
        <w:t xml:space="preserve"> that</w:t>
      </w:r>
      <w:r>
        <w:t xml:space="preserve"> there is </w:t>
      </w:r>
      <w:r w:rsidR="00A9566D">
        <w:t xml:space="preserve">currently </w:t>
      </w:r>
      <w:r>
        <w:t>no evidence of a</w:t>
      </w:r>
      <w:r w:rsidR="00DD6DD3">
        <w:t xml:space="preserve"> clinical benefit from</w:t>
      </w:r>
      <w:r w:rsidR="00C308D6">
        <w:t xml:space="preserve"> </w:t>
      </w:r>
      <w:r w:rsidR="007221FC">
        <w:t>CD</w:t>
      </w:r>
      <w:r w:rsidR="001F622C">
        <w:t>K</w:t>
      </w:r>
      <w:r w:rsidR="007221FC">
        <w:t>4/6</w:t>
      </w:r>
      <w:r w:rsidR="00C308D6">
        <w:t xml:space="preserve"> retreatment</w:t>
      </w:r>
      <w:r w:rsidR="00F42AA0">
        <w:t xml:space="preserve"> </w:t>
      </w:r>
      <w:r w:rsidR="00C308D6">
        <w:t xml:space="preserve">in the </w:t>
      </w:r>
      <w:r w:rsidR="001F622C">
        <w:t>metastatic setting</w:t>
      </w:r>
      <w:r w:rsidR="00C308D6">
        <w:t xml:space="preserve"> after use in the adjuvant setting</w:t>
      </w:r>
      <w:r w:rsidR="00AF28B5">
        <w:t xml:space="preserve">, </w:t>
      </w:r>
      <w:r w:rsidR="00AF28B5" w:rsidRPr="00007450">
        <w:t xml:space="preserve">the lifetime restriction of a single line of CDK4/6 therapy </w:t>
      </w:r>
      <w:r w:rsidR="00301B98">
        <w:t>should remain included</w:t>
      </w:r>
      <w:r w:rsidR="00BD6315">
        <w:t xml:space="preserve"> in the restriction</w:t>
      </w:r>
      <w:r w:rsidR="00137079">
        <w:t xml:space="preserve"> (para </w:t>
      </w:r>
      <w:r w:rsidR="00137079">
        <w:fldChar w:fldCharType="begin"/>
      </w:r>
      <w:r w:rsidR="00137079">
        <w:instrText xml:space="preserve"> REF _Ref205370413 \r \h </w:instrText>
      </w:r>
      <w:r w:rsidR="00137079">
        <w:fldChar w:fldCharType="separate"/>
      </w:r>
      <w:r w:rsidR="00B36442">
        <w:t>3.4</w:t>
      </w:r>
      <w:r w:rsidR="00137079">
        <w:fldChar w:fldCharType="end"/>
      </w:r>
      <w:r w:rsidR="00137079">
        <w:t xml:space="preserve">); and </w:t>
      </w:r>
    </w:p>
    <w:p w14:paraId="73DE4E6C" w14:textId="0820492B" w:rsidR="00137079" w:rsidRPr="008F3CA4" w:rsidRDefault="002B1DE8" w:rsidP="00864C4B">
      <w:pPr>
        <w:pStyle w:val="3-BodyText"/>
        <w:numPr>
          <w:ilvl w:val="0"/>
          <w:numId w:val="11"/>
        </w:numPr>
        <w:ind w:left="1134"/>
        <w:rPr>
          <w:snapToGrid w:val="0"/>
        </w:rPr>
      </w:pPr>
      <w:r>
        <w:rPr>
          <w:snapToGrid w:val="0"/>
        </w:rPr>
        <w:t>A</w:t>
      </w:r>
      <w:r w:rsidR="001E6EF1">
        <w:rPr>
          <w:snapToGrid w:val="0"/>
        </w:rPr>
        <w:t xml:space="preserve"> definition for</w:t>
      </w:r>
      <w:r w:rsidR="000407D0">
        <w:rPr>
          <w:snapToGrid w:val="0"/>
        </w:rPr>
        <w:t xml:space="preserve"> a</w:t>
      </w:r>
      <w:r w:rsidR="001E6EF1">
        <w:rPr>
          <w:snapToGrid w:val="0"/>
        </w:rPr>
        <w:t xml:space="preserve"> </w:t>
      </w:r>
      <w:r w:rsidR="00625296">
        <w:t>‘positive molecular diagnostic outcome’</w:t>
      </w:r>
      <w:r w:rsidR="001E6EF1">
        <w:t xml:space="preserve"> </w:t>
      </w:r>
      <w:r w:rsidR="00D344CA" w:rsidRPr="00007450">
        <w:t>for the subgroup of patients with grade 2 histology</w:t>
      </w:r>
      <w:r w:rsidR="00D344CA">
        <w:t xml:space="preserve"> </w:t>
      </w:r>
      <w:r w:rsidR="001E6EF1">
        <w:t>and</w:t>
      </w:r>
      <w:r w:rsidR="00D8269E">
        <w:t>/or</w:t>
      </w:r>
      <w:r w:rsidR="001E6EF1">
        <w:t xml:space="preserve"> </w:t>
      </w:r>
      <w:r w:rsidR="00D8269E">
        <w:t>r</w:t>
      </w:r>
      <w:r w:rsidR="001E6EF1">
        <w:t xml:space="preserve">equirement for </w:t>
      </w:r>
      <w:r w:rsidR="001E6EF1">
        <w:rPr>
          <w:snapToGrid w:val="0"/>
        </w:rPr>
        <w:t xml:space="preserve">a </w:t>
      </w:r>
      <w:r w:rsidR="001E6EF1" w:rsidRPr="00007450">
        <w:t>molecular diagnostic test</w:t>
      </w:r>
      <w:r w:rsidR="001E6EF1">
        <w:t xml:space="preserve"> </w:t>
      </w:r>
      <w:r w:rsidR="00786EC3">
        <w:t>would not be required</w:t>
      </w:r>
      <w:r w:rsidR="00C96B7A">
        <w:t xml:space="preserve"> (para </w:t>
      </w:r>
      <w:r w:rsidR="00C96B7A">
        <w:fldChar w:fldCharType="begin"/>
      </w:r>
      <w:r w:rsidR="00C96B7A">
        <w:instrText xml:space="preserve"> REF _Ref206130533 \r \h </w:instrText>
      </w:r>
      <w:r w:rsidR="00C96B7A">
        <w:fldChar w:fldCharType="separate"/>
      </w:r>
      <w:r w:rsidR="00B36442">
        <w:t>3.5</w:t>
      </w:r>
      <w:r w:rsidR="00C96B7A">
        <w:fldChar w:fldCharType="end"/>
      </w:r>
      <w:r w:rsidR="00C96B7A">
        <w:t>)</w:t>
      </w:r>
      <w:r>
        <w:t>.</w:t>
      </w:r>
      <w:r w:rsidR="00625296">
        <w:t xml:space="preserve"> </w:t>
      </w:r>
    </w:p>
    <w:p w14:paraId="4CCDCD35" w14:textId="23D2B196" w:rsidR="00DD66C8" w:rsidRPr="00007450" w:rsidRDefault="00DD66C8" w:rsidP="00864C4B">
      <w:pPr>
        <w:pStyle w:val="3-BodyText"/>
        <w:rPr>
          <w:snapToGrid w:val="0"/>
        </w:rPr>
      </w:pPr>
      <w:r w:rsidRPr="00007450">
        <w:rPr>
          <w:rFonts w:eastAsia="Times New Roman" w:cs="Arial"/>
          <w:snapToGrid w:val="0"/>
          <w:szCs w:val="24"/>
        </w:rPr>
        <w:t xml:space="preserve">The PBAC considered the nominated comparator of standard of care comprising of adjuvant </w:t>
      </w:r>
      <w:r w:rsidR="004A368D" w:rsidRPr="00007450">
        <w:rPr>
          <w:rFonts w:eastAsia="Times New Roman" w:cs="Arial"/>
          <w:snapToGrid w:val="0"/>
          <w:szCs w:val="24"/>
        </w:rPr>
        <w:t>ET</w:t>
      </w:r>
      <w:r w:rsidRPr="00007450">
        <w:rPr>
          <w:rFonts w:eastAsia="Times New Roman" w:cs="Arial"/>
          <w:snapToGrid w:val="0"/>
          <w:szCs w:val="24"/>
        </w:rPr>
        <w:t xml:space="preserve"> was reasonable. </w:t>
      </w:r>
    </w:p>
    <w:p w14:paraId="1CBA6B2C" w14:textId="7BECD4E1" w:rsidR="002A1077" w:rsidRDefault="005E64D3" w:rsidP="00864C4B">
      <w:pPr>
        <w:pStyle w:val="3-BodyText"/>
        <w:rPr>
          <w:snapToGrid w:val="0"/>
        </w:rPr>
      </w:pPr>
      <w:r w:rsidRPr="00007450">
        <w:rPr>
          <w:snapToGrid w:val="0"/>
        </w:rPr>
        <w:t>The PBAC noted the submission was supported by the</w:t>
      </w:r>
      <w:r w:rsidR="00971150">
        <w:rPr>
          <w:snapToGrid w:val="0"/>
        </w:rPr>
        <w:t xml:space="preserve"> randomised open-label</w:t>
      </w:r>
      <w:r w:rsidRPr="00007450">
        <w:rPr>
          <w:snapToGrid w:val="0"/>
        </w:rPr>
        <w:t xml:space="preserve"> NATALEE trial, which it had considered in November 2024</w:t>
      </w:r>
      <w:r w:rsidR="00D56A16">
        <w:rPr>
          <w:snapToGrid w:val="0"/>
        </w:rPr>
        <w:t xml:space="preserve"> </w:t>
      </w:r>
      <w:r w:rsidR="00334AAD">
        <w:rPr>
          <w:snapToGrid w:val="0"/>
        </w:rPr>
        <w:t>for the listing for node positive patients</w:t>
      </w:r>
      <w:r w:rsidR="009D2D26">
        <w:rPr>
          <w:snapToGrid w:val="0"/>
        </w:rPr>
        <w:t xml:space="preserve">. </w:t>
      </w:r>
      <w:r w:rsidR="00971150">
        <w:rPr>
          <w:snapToGrid w:val="0"/>
        </w:rPr>
        <w:t>T</w:t>
      </w:r>
      <w:r w:rsidRPr="00007450">
        <w:rPr>
          <w:snapToGrid w:val="0"/>
        </w:rPr>
        <w:t xml:space="preserve">he </w:t>
      </w:r>
      <w:r w:rsidR="002A1077">
        <w:rPr>
          <w:snapToGrid w:val="0"/>
        </w:rPr>
        <w:t>evidence for the current submission</w:t>
      </w:r>
      <w:r w:rsidR="00CE46A3">
        <w:rPr>
          <w:snapToGrid w:val="0"/>
        </w:rPr>
        <w:t xml:space="preserve"> for </w:t>
      </w:r>
      <w:r w:rsidR="007B2E33">
        <w:rPr>
          <w:snapToGrid w:val="0"/>
        </w:rPr>
        <w:t>node negative/low</w:t>
      </w:r>
      <w:r w:rsidR="00CE46A3">
        <w:rPr>
          <w:snapToGrid w:val="0"/>
        </w:rPr>
        <w:t xml:space="preserve"> patients was from a post-hoc subgroup analysis </w:t>
      </w:r>
      <w:r w:rsidR="00DD6D6C">
        <w:rPr>
          <w:snapToGrid w:val="0"/>
        </w:rPr>
        <w:t xml:space="preserve">in </w:t>
      </w:r>
      <w:r w:rsidR="00B80843">
        <w:rPr>
          <w:snapToGrid w:val="0"/>
        </w:rPr>
        <w:t>1</w:t>
      </w:r>
      <w:r w:rsidR="008C6EF4">
        <w:rPr>
          <w:snapToGrid w:val="0"/>
        </w:rPr>
        <w:t>,</w:t>
      </w:r>
      <w:r w:rsidR="00B80843">
        <w:rPr>
          <w:snapToGrid w:val="0"/>
        </w:rPr>
        <w:t>794</w:t>
      </w:r>
      <w:r w:rsidR="00DD6D6C">
        <w:rPr>
          <w:snapToGrid w:val="0"/>
        </w:rPr>
        <w:t xml:space="preserve"> patients</w:t>
      </w:r>
      <w:r w:rsidR="00330EF4">
        <w:rPr>
          <w:snapToGrid w:val="0"/>
        </w:rPr>
        <w:t xml:space="preserve"> (approximately </w:t>
      </w:r>
      <w:r w:rsidR="00B80843">
        <w:rPr>
          <w:snapToGrid w:val="0"/>
        </w:rPr>
        <w:t>35</w:t>
      </w:r>
      <w:r w:rsidR="00330EF4">
        <w:rPr>
          <w:snapToGrid w:val="0"/>
        </w:rPr>
        <w:t xml:space="preserve">% of the </w:t>
      </w:r>
      <w:r w:rsidR="002B2C52" w:rsidRPr="00007450">
        <w:t>intention-to-treat</w:t>
      </w:r>
      <w:r w:rsidR="002B2C52">
        <w:rPr>
          <w:snapToGrid w:val="0"/>
        </w:rPr>
        <w:t xml:space="preserve"> [</w:t>
      </w:r>
      <w:r w:rsidR="00330EF4">
        <w:rPr>
          <w:snapToGrid w:val="0"/>
        </w:rPr>
        <w:t>ITT</w:t>
      </w:r>
      <w:r w:rsidR="002B2C52">
        <w:rPr>
          <w:snapToGrid w:val="0"/>
        </w:rPr>
        <w:t>]</w:t>
      </w:r>
      <w:r w:rsidR="00330EF4">
        <w:rPr>
          <w:snapToGrid w:val="0"/>
        </w:rPr>
        <w:t xml:space="preserve"> population)</w:t>
      </w:r>
      <w:r w:rsidR="00DD6D6C">
        <w:rPr>
          <w:snapToGrid w:val="0"/>
        </w:rPr>
        <w:t>.</w:t>
      </w:r>
      <w:r w:rsidR="00AB53BC">
        <w:rPr>
          <w:snapToGrid w:val="0"/>
        </w:rPr>
        <w:t xml:space="preserve"> The PBAC noted the </w:t>
      </w:r>
      <w:r w:rsidR="00025A9B">
        <w:rPr>
          <w:snapToGrid w:val="0"/>
        </w:rPr>
        <w:t xml:space="preserve">reductions in </w:t>
      </w:r>
      <w:r w:rsidR="00316190">
        <w:rPr>
          <w:snapToGrid w:val="0"/>
        </w:rPr>
        <w:t>iDFS</w:t>
      </w:r>
      <w:r w:rsidR="00025A9B" w:rsidRPr="00007450">
        <w:rPr>
          <w:snapToGrid w:val="0"/>
        </w:rPr>
        <w:t xml:space="preserve"> (</w:t>
      </w:r>
      <w:r w:rsidR="00025A9B">
        <w:rPr>
          <w:snapToGrid w:val="0"/>
        </w:rPr>
        <w:t>hazard ratio [</w:t>
      </w:r>
      <w:r w:rsidR="00025A9B" w:rsidRPr="00007450">
        <w:rPr>
          <w:snapToGrid w:val="0"/>
        </w:rPr>
        <w:t>HR</w:t>
      </w:r>
      <w:r w:rsidR="00025A9B">
        <w:rPr>
          <w:snapToGrid w:val="0"/>
        </w:rPr>
        <w:t>]</w:t>
      </w:r>
      <w:r w:rsidR="00025A9B" w:rsidRPr="00007450">
        <w:rPr>
          <w:snapToGrid w:val="0"/>
        </w:rPr>
        <w:t xml:space="preserve"> 0.665, 95% </w:t>
      </w:r>
      <w:r w:rsidR="006952B8">
        <w:rPr>
          <w:snapToGrid w:val="0"/>
        </w:rPr>
        <w:t>confidence interval [</w:t>
      </w:r>
      <w:r w:rsidR="00025A9B" w:rsidRPr="00007450">
        <w:rPr>
          <w:snapToGrid w:val="0"/>
        </w:rPr>
        <w:t>CI</w:t>
      </w:r>
      <w:r w:rsidR="006952B8">
        <w:rPr>
          <w:snapToGrid w:val="0"/>
        </w:rPr>
        <w:t>]</w:t>
      </w:r>
      <w:r w:rsidR="00025A9B" w:rsidRPr="00007450">
        <w:rPr>
          <w:snapToGrid w:val="0"/>
        </w:rPr>
        <w:t xml:space="preserve"> 0.469, 0.944)</w:t>
      </w:r>
      <w:r w:rsidR="00025A9B">
        <w:rPr>
          <w:snapToGrid w:val="0"/>
        </w:rPr>
        <w:t xml:space="preserve"> and </w:t>
      </w:r>
      <w:r w:rsidR="00B14694">
        <w:rPr>
          <w:snapToGrid w:val="0"/>
        </w:rPr>
        <w:t xml:space="preserve">DRFS </w:t>
      </w:r>
      <w:r w:rsidR="00945F09">
        <w:rPr>
          <w:snapToGrid w:val="0"/>
        </w:rPr>
        <w:t>(</w:t>
      </w:r>
      <w:r w:rsidR="000706A5">
        <w:rPr>
          <w:snapToGrid w:val="0"/>
        </w:rPr>
        <w:t>HR</w:t>
      </w:r>
      <w:r w:rsidR="00200C8D">
        <w:rPr>
          <w:snapToGrid w:val="0"/>
        </w:rPr>
        <w:t xml:space="preserve"> </w:t>
      </w:r>
      <w:r w:rsidR="00BB0E64" w:rsidRPr="00BB0E64">
        <w:rPr>
          <w:snapToGrid w:val="0"/>
        </w:rPr>
        <w:t>0.637</w:t>
      </w:r>
      <w:r w:rsidR="001F0820">
        <w:rPr>
          <w:snapToGrid w:val="0"/>
        </w:rPr>
        <w:t>, 95% CI</w:t>
      </w:r>
      <w:r w:rsidR="00BB0E64" w:rsidRPr="00BB0E64">
        <w:rPr>
          <w:snapToGrid w:val="0"/>
        </w:rPr>
        <w:t xml:space="preserve"> 0.421, 0.965)</w:t>
      </w:r>
      <w:r w:rsidR="00200C8D">
        <w:rPr>
          <w:snapToGrid w:val="0"/>
        </w:rPr>
        <w:t xml:space="preserve"> were statistically significant</w:t>
      </w:r>
      <w:r w:rsidR="00025A9B" w:rsidRPr="00007450">
        <w:rPr>
          <w:snapToGrid w:val="0"/>
        </w:rPr>
        <w:t>,</w:t>
      </w:r>
      <w:r w:rsidR="006C0E9A">
        <w:rPr>
          <w:snapToGrid w:val="0"/>
        </w:rPr>
        <w:t xml:space="preserve"> however the </w:t>
      </w:r>
      <w:r w:rsidR="008176AE">
        <w:rPr>
          <w:snapToGrid w:val="0"/>
        </w:rPr>
        <w:t xml:space="preserve">absolute reductions in the </w:t>
      </w:r>
      <w:r w:rsidR="00EC4F07">
        <w:rPr>
          <w:snapToGrid w:val="0"/>
        </w:rPr>
        <w:t>number of recurrence events were small</w:t>
      </w:r>
      <w:r w:rsidR="0051620F">
        <w:rPr>
          <w:snapToGrid w:val="0"/>
        </w:rPr>
        <w:t xml:space="preserve"> and smaller than for the node positive</w:t>
      </w:r>
      <w:r w:rsidR="003968F2">
        <w:rPr>
          <w:snapToGrid w:val="0"/>
        </w:rPr>
        <w:t xml:space="preserve"> patients</w:t>
      </w:r>
      <w:r w:rsidR="00025A9B" w:rsidRPr="00007450">
        <w:rPr>
          <w:snapToGrid w:val="0"/>
        </w:rPr>
        <w:t>.</w:t>
      </w:r>
      <w:r w:rsidR="00E81A60">
        <w:rPr>
          <w:snapToGrid w:val="0"/>
        </w:rPr>
        <w:t xml:space="preserve"> </w:t>
      </w:r>
      <w:r w:rsidR="00F06B21">
        <w:rPr>
          <w:snapToGrid w:val="0"/>
        </w:rPr>
        <w:t xml:space="preserve">The </w:t>
      </w:r>
      <w:r w:rsidR="0064665A">
        <w:rPr>
          <w:snapToGrid w:val="0"/>
        </w:rPr>
        <w:t xml:space="preserve">PBAC noted the </w:t>
      </w:r>
      <w:r w:rsidR="00EF347B">
        <w:rPr>
          <w:snapToGrid w:val="0"/>
        </w:rPr>
        <w:t>Kaplan-Meier</w:t>
      </w:r>
      <w:r w:rsidR="0017740A">
        <w:rPr>
          <w:snapToGrid w:val="0"/>
        </w:rPr>
        <w:t xml:space="preserve"> (KM)</w:t>
      </w:r>
      <w:r w:rsidR="00EF347B">
        <w:rPr>
          <w:snapToGrid w:val="0"/>
        </w:rPr>
        <w:t xml:space="preserve"> plot</w:t>
      </w:r>
      <w:r w:rsidR="00B24EF1">
        <w:rPr>
          <w:snapToGrid w:val="0"/>
        </w:rPr>
        <w:t xml:space="preserve"> for iDFS</w:t>
      </w:r>
      <w:r w:rsidR="00EF347B">
        <w:rPr>
          <w:snapToGrid w:val="0"/>
        </w:rPr>
        <w:t xml:space="preserve"> illustrate</w:t>
      </w:r>
      <w:r w:rsidR="00F57FD4">
        <w:rPr>
          <w:snapToGrid w:val="0"/>
        </w:rPr>
        <w:t>s</w:t>
      </w:r>
      <w:r w:rsidR="00EF347B">
        <w:rPr>
          <w:snapToGrid w:val="0"/>
        </w:rPr>
        <w:t xml:space="preserve"> the small difference in </w:t>
      </w:r>
      <w:r w:rsidR="00F57FD4">
        <w:rPr>
          <w:snapToGrid w:val="0"/>
        </w:rPr>
        <w:t>this</w:t>
      </w:r>
      <w:r w:rsidR="00EF347B">
        <w:rPr>
          <w:snapToGrid w:val="0"/>
        </w:rPr>
        <w:t xml:space="preserve"> </w:t>
      </w:r>
      <w:r w:rsidR="004D47BB">
        <w:rPr>
          <w:snapToGrid w:val="0"/>
        </w:rPr>
        <w:t xml:space="preserve">outcome for the </w:t>
      </w:r>
      <w:r w:rsidR="007B2E33">
        <w:rPr>
          <w:snapToGrid w:val="0"/>
        </w:rPr>
        <w:t>node negative/low</w:t>
      </w:r>
      <w:r w:rsidR="003B2120">
        <w:rPr>
          <w:snapToGrid w:val="0"/>
        </w:rPr>
        <w:t xml:space="preserve"> patients</w:t>
      </w:r>
      <w:r w:rsidR="00164D72">
        <w:rPr>
          <w:snapToGrid w:val="0"/>
        </w:rPr>
        <w:t xml:space="preserve"> </w:t>
      </w:r>
      <w:r w:rsidR="005162EA">
        <w:rPr>
          <w:snapToGrid w:val="0"/>
        </w:rPr>
        <w:t xml:space="preserve">(see </w:t>
      </w:r>
      <w:r w:rsidR="0017740A">
        <w:rPr>
          <w:snapToGrid w:val="0"/>
        </w:rPr>
        <w:fldChar w:fldCharType="begin"/>
      </w:r>
      <w:r w:rsidR="0017740A">
        <w:rPr>
          <w:snapToGrid w:val="0"/>
        </w:rPr>
        <w:instrText xml:space="preserve"> REF _Ref196228663 \h </w:instrText>
      </w:r>
      <w:r w:rsidR="0017740A">
        <w:rPr>
          <w:snapToGrid w:val="0"/>
        </w:rPr>
      </w:r>
      <w:r w:rsidR="0017740A">
        <w:rPr>
          <w:snapToGrid w:val="0"/>
        </w:rPr>
        <w:fldChar w:fldCharType="separate"/>
      </w:r>
      <w:r w:rsidR="00B36442" w:rsidRPr="00007450">
        <w:t xml:space="preserve">Figure </w:t>
      </w:r>
      <w:r w:rsidR="00B36442">
        <w:rPr>
          <w:noProof/>
        </w:rPr>
        <w:t>1</w:t>
      </w:r>
      <w:r w:rsidR="0017740A">
        <w:rPr>
          <w:snapToGrid w:val="0"/>
        </w:rPr>
        <w:fldChar w:fldCharType="end"/>
      </w:r>
      <w:r w:rsidR="005162EA">
        <w:rPr>
          <w:snapToGrid w:val="0"/>
        </w:rPr>
        <w:t>).</w:t>
      </w:r>
      <w:r w:rsidR="004A2F0E">
        <w:rPr>
          <w:snapToGrid w:val="0"/>
        </w:rPr>
        <w:t xml:space="preserve"> </w:t>
      </w:r>
      <w:r w:rsidR="00D63128">
        <w:rPr>
          <w:snapToGrid w:val="0"/>
        </w:rPr>
        <w:t xml:space="preserve">Over a median follow-up of </w:t>
      </w:r>
      <w:r w:rsidR="006B7DF1">
        <w:rPr>
          <w:snapToGrid w:val="0"/>
        </w:rPr>
        <w:t>49.6</w:t>
      </w:r>
      <w:r w:rsidR="00D63128">
        <w:rPr>
          <w:snapToGrid w:val="0"/>
        </w:rPr>
        <w:t xml:space="preserve"> months, a</w:t>
      </w:r>
      <w:r w:rsidR="00DE4B6A">
        <w:rPr>
          <w:snapToGrid w:val="0"/>
        </w:rPr>
        <w:t xml:space="preserve">n iDFS event was reported in </w:t>
      </w:r>
      <w:r w:rsidR="009851A9">
        <w:rPr>
          <w:snapToGrid w:val="0"/>
        </w:rPr>
        <w:t xml:space="preserve">8.6% of </w:t>
      </w:r>
      <w:r w:rsidR="007B2E33">
        <w:rPr>
          <w:snapToGrid w:val="0"/>
        </w:rPr>
        <w:t>node negative/low</w:t>
      </w:r>
      <w:r w:rsidR="009851A9">
        <w:rPr>
          <w:snapToGrid w:val="0"/>
        </w:rPr>
        <w:t xml:space="preserve"> patients in the ET alone arm</w:t>
      </w:r>
      <w:r w:rsidR="00F835EF">
        <w:rPr>
          <w:snapToGrid w:val="0"/>
        </w:rPr>
        <w:t xml:space="preserve"> compared with </w:t>
      </w:r>
      <w:r w:rsidR="00D20DB9">
        <w:rPr>
          <w:snapToGrid w:val="0"/>
        </w:rPr>
        <w:t>6.2% of patients in the ribociclib + ET arm</w:t>
      </w:r>
      <w:r w:rsidR="007E516E">
        <w:rPr>
          <w:snapToGrid w:val="0"/>
        </w:rPr>
        <w:t xml:space="preserve"> (difference of </w:t>
      </w:r>
      <w:r w:rsidR="00264A3C">
        <w:rPr>
          <w:snapToGrid w:val="0"/>
        </w:rPr>
        <w:t>2.4%)</w:t>
      </w:r>
      <w:r w:rsidR="003B4A37">
        <w:rPr>
          <w:snapToGrid w:val="0"/>
        </w:rPr>
        <w:t xml:space="preserve">. Although not reported in the submission, based on the </w:t>
      </w:r>
      <w:r w:rsidR="0042264D">
        <w:rPr>
          <w:snapToGrid w:val="0"/>
        </w:rPr>
        <w:t xml:space="preserve">number of </w:t>
      </w:r>
      <w:r w:rsidR="003B4A37">
        <w:rPr>
          <w:snapToGrid w:val="0"/>
        </w:rPr>
        <w:t xml:space="preserve">events in the </w:t>
      </w:r>
      <w:r w:rsidR="007B2E33">
        <w:rPr>
          <w:snapToGrid w:val="0"/>
        </w:rPr>
        <w:t>node negative/low</w:t>
      </w:r>
      <w:r w:rsidR="003B4A37">
        <w:rPr>
          <w:snapToGrid w:val="0"/>
        </w:rPr>
        <w:t xml:space="preserve"> and the </w:t>
      </w:r>
      <w:r w:rsidR="00C378D1">
        <w:rPr>
          <w:snapToGrid w:val="0"/>
        </w:rPr>
        <w:t>ITT population</w:t>
      </w:r>
      <w:r w:rsidR="0042264D">
        <w:rPr>
          <w:snapToGrid w:val="0"/>
        </w:rPr>
        <w:t>s</w:t>
      </w:r>
      <w:r w:rsidR="00C378D1">
        <w:rPr>
          <w:snapToGrid w:val="0"/>
        </w:rPr>
        <w:t xml:space="preserve">, the corresponding </w:t>
      </w:r>
      <w:r w:rsidR="0008213E">
        <w:rPr>
          <w:snapToGrid w:val="0"/>
        </w:rPr>
        <w:t xml:space="preserve">percentages for node positive patients were </w:t>
      </w:r>
      <w:r w:rsidR="007E516E">
        <w:rPr>
          <w:snapToGrid w:val="0"/>
        </w:rPr>
        <w:t>12.5% and 15.9%</w:t>
      </w:r>
      <w:r w:rsidR="00264A3C">
        <w:rPr>
          <w:snapToGrid w:val="0"/>
        </w:rPr>
        <w:t xml:space="preserve"> (difference of 3.4%).</w:t>
      </w:r>
      <w:r w:rsidR="00FA180D">
        <w:rPr>
          <w:snapToGrid w:val="0"/>
        </w:rPr>
        <w:t xml:space="preserve"> Similarly</w:t>
      </w:r>
      <w:r w:rsidR="00DB41E8">
        <w:rPr>
          <w:snapToGrid w:val="0"/>
        </w:rPr>
        <w:t>,</w:t>
      </w:r>
      <w:r w:rsidR="00FA180D">
        <w:rPr>
          <w:snapToGrid w:val="0"/>
        </w:rPr>
        <w:t xml:space="preserve"> for DRFS</w:t>
      </w:r>
      <w:r w:rsidR="00B810A4">
        <w:rPr>
          <w:snapToGrid w:val="0"/>
        </w:rPr>
        <w:t xml:space="preserve">, the proportion of </w:t>
      </w:r>
      <w:r w:rsidR="007B2E33">
        <w:rPr>
          <w:snapToGrid w:val="0"/>
        </w:rPr>
        <w:t>node negative/low</w:t>
      </w:r>
      <w:r w:rsidR="00A24475">
        <w:rPr>
          <w:snapToGrid w:val="0"/>
        </w:rPr>
        <w:t xml:space="preserve"> </w:t>
      </w:r>
      <w:r w:rsidR="00B810A4">
        <w:rPr>
          <w:snapToGrid w:val="0"/>
        </w:rPr>
        <w:t>patients with events</w:t>
      </w:r>
      <w:r w:rsidR="00E87B22">
        <w:rPr>
          <w:snapToGrid w:val="0"/>
        </w:rPr>
        <w:t xml:space="preserve"> was lower and the absolute difference was smaller than for node </w:t>
      </w:r>
      <w:r w:rsidR="008244C5">
        <w:rPr>
          <w:snapToGrid w:val="0"/>
        </w:rPr>
        <w:t>positive patients (</w:t>
      </w:r>
      <w:r w:rsidR="00942D86">
        <w:rPr>
          <w:snapToGrid w:val="0"/>
        </w:rPr>
        <w:t xml:space="preserve">6.3% vs 4.4%, difference </w:t>
      </w:r>
      <w:r w:rsidR="008B6DD3">
        <w:rPr>
          <w:snapToGrid w:val="0"/>
        </w:rPr>
        <w:t>1.9%</w:t>
      </w:r>
      <w:r w:rsidR="00A97EE2">
        <w:rPr>
          <w:snapToGrid w:val="0"/>
        </w:rPr>
        <w:t xml:space="preserve">; 13.3% vs 10.3%, difference </w:t>
      </w:r>
      <w:r w:rsidR="00090C1B">
        <w:rPr>
          <w:snapToGrid w:val="0"/>
        </w:rPr>
        <w:t xml:space="preserve">3.0%). </w:t>
      </w:r>
    </w:p>
    <w:p w14:paraId="111B1729" w14:textId="74B7037F" w:rsidR="008F6CAC" w:rsidRDefault="00DB3949" w:rsidP="00864C4B">
      <w:pPr>
        <w:pStyle w:val="3-BodyText"/>
        <w:rPr>
          <w:rFonts w:eastAsia="Calibri"/>
        </w:rPr>
      </w:pPr>
      <w:r>
        <w:rPr>
          <w:rFonts w:eastAsia="Calibri"/>
        </w:rPr>
        <w:t xml:space="preserve">The PBAC acknowledged </w:t>
      </w:r>
      <w:r w:rsidR="00917230">
        <w:t>it had</w:t>
      </w:r>
      <w:r w:rsidR="00917230" w:rsidRPr="00007450">
        <w:t xml:space="preserve"> previously considered that a 3.5% absolute difference in iDFS may be clinically meaningful in the adjuvant eBC setting where the goal is cure (para</w:t>
      </w:r>
      <w:r w:rsidR="00917230" w:rsidRPr="00007450">
        <w:rPr>
          <w:bCs/>
        </w:rPr>
        <w:t>.</w:t>
      </w:r>
      <w:r w:rsidR="00917230" w:rsidRPr="00007450">
        <w:t xml:space="preserve"> 7.8, abemaciclib PSD, March 2022 PBAC meeting)</w:t>
      </w:r>
      <w:r w:rsidR="002E3D70">
        <w:t>. The PBAC noted</w:t>
      </w:r>
      <w:r w:rsidR="00917230">
        <w:t xml:space="preserve"> that </w:t>
      </w:r>
      <w:r>
        <w:rPr>
          <w:rFonts w:eastAsia="Calibri"/>
        </w:rPr>
        <w:t xml:space="preserve">the </w:t>
      </w:r>
      <w:r>
        <w:rPr>
          <w:rFonts w:eastAsia="Calibri"/>
        </w:rPr>
        <w:lastRenderedPageBreak/>
        <w:t xml:space="preserve">estimated </w:t>
      </w:r>
      <w:r w:rsidR="007A22D5">
        <w:rPr>
          <w:rFonts w:eastAsia="Calibri"/>
        </w:rPr>
        <w:t>reduction</w:t>
      </w:r>
      <w:r>
        <w:rPr>
          <w:rFonts w:eastAsia="Calibri"/>
        </w:rPr>
        <w:t xml:space="preserve"> in iDFS at 4 years </w:t>
      </w:r>
      <w:r w:rsidR="006A48DC">
        <w:rPr>
          <w:rFonts w:eastAsia="Calibri"/>
        </w:rPr>
        <w:t>with the addition of rib</w:t>
      </w:r>
      <w:r w:rsidR="006D6547">
        <w:rPr>
          <w:rFonts w:eastAsia="Calibri"/>
        </w:rPr>
        <w:t xml:space="preserve">ociclib to ET </w:t>
      </w:r>
      <w:r w:rsidR="00F732C8">
        <w:rPr>
          <w:rFonts w:eastAsia="Calibri"/>
        </w:rPr>
        <w:t xml:space="preserve">in </w:t>
      </w:r>
      <w:r w:rsidR="007B2E33">
        <w:rPr>
          <w:rFonts w:eastAsia="Calibri"/>
        </w:rPr>
        <w:t>node negative/low</w:t>
      </w:r>
      <w:r w:rsidR="00F732C8">
        <w:rPr>
          <w:rFonts w:eastAsia="Calibri"/>
        </w:rPr>
        <w:t xml:space="preserve"> patients </w:t>
      </w:r>
      <w:r>
        <w:rPr>
          <w:rFonts w:eastAsia="Calibri"/>
        </w:rPr>
        <w:t xml:space="preserve">was </w:t>
      </w:r>
      <w:r w:rsidR="00CD247A">
        <w:rPr>
          <w:rFonts w:eastAsia="Calibri"/>
        </w:rPr>
        <w:t>3.7%</w:t>
      </w:r>
      <w:r w:rsidR="000239F6">
        <w:rPr>
          <w:rFonts w:eastAsia="Calibri"/>
        </w:rPr>
        <w:t>. However, the PBAC</w:t>
      </w:r>
      <w:r w:rsidR="00145CC3">
        <w:rPr>
          <w:rFonts w:eastAsia="Calibri"/>
        </w:rPr>
        <w:t xml:space="preserve"> noted </w:t>
      </w:r>
      <w:r w:rsidR="00145CC3" w:rsidRPr="00007450">
        <w:t xml:space="preserve">that the clinical data at the 4-year follow-up point </w:t>
      </w:r>
      <w:r w:rsidR="008451AC">
        <w:t>was</w:t>
      </w:r>
      <w:r w:rsidR="00145CC3" w:rsidRPr="00007450">
        <w:t xml:space="preserve"> subject to reduced reliability due to a lower number of patients remaining at risk (approximately 50% of the </w:t>
      </w:r>
      <w:r w:rsidR="007B2E33">
        <w:t>node negative/low</w:t>
      </w:r>
      <w:r w:rsidR="00841809">
        <w:t xml:space="preserve"> </w:t>
      </w:r>
      <w:r w:rsidR="00D91EFD">
        <w:t>subgroup</w:t>
      </w:r>
      <w:r w:rsidR="00DA4C64">
        <w:t xml:space="preserve">, equivalent to approximately </w:t>
      </w:r>
      <w:r w:rsidR="00D90D26">
        <w:t>18%</w:t>
      </w:r>
      <w:r w:rsidR="00531762">
        <w:t xml:space="preserve"> of the total population</w:t>
      </w:r>
      <w:r w:rsidR="00145CC3" w:rsidRPr="00007450">
        <w:t>)</w:t>
      </w:r>
      <w:r w:rsidR="000239F6">
        <w:t xml:space="preserve">, the </w:t>
      </w:r>
      <w:r w:rsidR="00217EDD">
        <w:t>reduct</w:t>
      </w:r>
      <w:r w:rsidR="00C248A0">
        <w:t>i</w:t>
      </w:r>
      <w:r w:rsidR="00217EDD">
        <w:t>on</w:t>
      </w:r>
      <w:r w:rsidR="000239F6">
        <w:t xml:space="preserve"> in iDFS at 3 years was </w:t>
      </w:r>
      <w:r w:rsidR="00910237">
        <w:t>lower (</w:t>
      </w:r>
      <w:r w:rsidR="000239F6">
        <w:t>1.3%</w:t>
      </w:r>
      <w:r w:rsidR="00910237">
        <w:t>)</w:t>
      </w:r>
      <w:r w:rsidR="00BC6AEA">
        <w:t>,</w:t>
      </w:r>
      <w:r w:rsidR="00EB2236">
        <w:t xml:space="preserve"> and the </w:t>
      </w:r>
      <w:r w:rsidR="00C248A0">
        <w:t>reduction</w:t>
      </w:r>
      <w:r w:rsidR="00EB2236">
        <w:t xml:space="preserve"> in DRFS at</w:t>
      </w:r>
      <w:r w:rsidR="00BC6AEA">
        <w:t xml:space="preserve"> 3 and 4 years </w:t>
      </w:r>
      <w:r w:rsidR="0002317C">
        <w:t>was less than 3.5% (</w:t>
      </w:r>
      <w:r w:rsidR="00BC6AEA" w:rsidRPr="00007450">
        <w:t>1.3% and 2.8%</w:t>
      </w:r>
      <w:r w:rsidR="0002317C">
        <w:t>, respectively)</w:t>
      </w:r>
      <w:r w:rsidR="00145CC3" w:rsidRPr="00007450">
        <w:t>.</w:t>
      </w:r>
    </w:p>
    <w:p w14:paraId="05859C98" w14:textId="3608B097" w:rsidR="008F6CAC" w:rsidRDefault="00FB7162" w:rsidP="00864C4B">
      <w:pPr>
        <w:pStyle w:val="3-BodyText"/>
        <w:rPr>
          <w:snapToGrid w:val="0"/>
        </w:rPr>
      </w:pPr>
      <w:r>
        <w:t xml:space="preserve">The PBAC noted the </w:t>
      </w:r>
      <w:r w:rsidR="009C6A29">
        <w:t>overall survival (</w:t>
      </w:r>
      <w:r w:rsidR="008F6CAC" w:rsidRPr="00007450">
        <w:t>OS</w:t>
      </w:r>
      <w:r w:rsidR="009C6A29">
        <w:t>)</w:t>
      </w:r>
      <w:r w:rsidR="008F6CAC" w:rsidRPr="00007450">
        <w:t xml:space="preserve"> data were immature</w:t>
      </w:r>
      <w:r w:rsidR="009D15F6">
        <w:t xml:space="preserve"> and there was </w:t>
      </w:r>
      <w:r w:rsidR="008F6CAC" w:rsidRPr="00007450">
        <w:t xml:space="preserve">no significant difference between the two arms in the ITT population or </w:t>
      </w:r>
      <w:r w:rsidR="00417773">
        <w:t>the</w:t>
      </w:r>
      <w:r w:rsidR="008F6CAC" w:rsidRPr="00007450">
        <w:t xml:space="preserve"> </w:t>
      </w:r>
      <w:r w:rsidR="007B2E33">
        <w:t>node negative/low</w:t>
      </w:r>
      <w:r w:rsidR="008F6CAC" w:rsidRPr="00007450">
        <w:t xml:space="preserve"> population. </w:t>
      </w:r>
      <w:r w:rsidR="009D15F6">
        <w:t xml:space="preserve">The PBAC noted the economic model relied on </w:t>
      </w:r>
      <w:r w:rsidR="008F6CAC" w:rsidRPr="00007450">
        <w:t xml:space="preserve">iDFS </w:t>
      </w:r>
      <w:r w:rsidR="00687CC0">
        <w:t>being</w:t>
      </w:r>
      <w:r w:rsidR="008F6CAC" w:rsidRPr="00007450">
        <w:t xml:space="preserve"> a surrogate for OS. </w:t>
      </w:r>
      <w:r w:rsidR="00687CC0">
        <w:t xml:space="preserve">The PBAC recalled </w:t>
      </w:r>
      <w:r w:rsidR="00967500">
        <w:t xml:space="preserve">it had </w:t>
      </w:r>
      <w:r w:rsidR="008F6CAC" w:rsidRPr="00007450">
        <w:t xml:space="preserve">previously considered that iDFS </w:t>
      </w:r>
      <w:r w:rsidR="00967500">
        <w:t>was</w:t>
      </w:r>
      <w:r w:rsidR="008F6CAC" w:rsidRPr="00007450">
        <w:t xml:space="preserve"> generally </w:t>
      </w:r>
      <w:r w:rsidR="00611555">
        <w:t xml:space="preserve">a </w:t>
      </w:r>
      <w:r w:rsidR="008F6CAC" w:rsidRPr="00007450">
        <w:t>plausible surrogate for OS in the eBC setting</w:t>
      </w:r>
      <w:r w:rsidR="00331B4E">
        <w:t xml:space="preserve"> (</w:t>
      </w:r>
      <w:r w:rsidR="00331B4E" w:rsidRPr="00007450">
        <w:t>para. 7.8, abemaciclib PSD, March 2022 PBAC meeting)</w:t>
      </w:r>
      <w:r w:rsidR="00611555">
        <w:t>,</w:t>
      </w:r>
      <w:r w:rsidR="008F6CAC" w:rsidRPr="00007450">
        <w:t xml:space="preserve"> </w:t>
      </w:r>
      <w:r w:rsidR="00611555">
        <w:t>h</w:t>
      </w:r>
      <w:r w:rsidR="008F6CAC" w:rsidRPr="00007450">
        <w:t>owever</w:t>
      </w:r>
      <w:r w:rsidR="00611555">
        <w:t xml:space="preserve"> </w:t>
      </w:r>
      <w:r w:rsidR="00414271">
        <w:t>considered</w:t>
      </w:r>
      <w:r w:rsidR="008F6CAC" w:rsidRPr="00007450">
        <w:t xml:space="preserve"> that the relationship between iDFS and OS </w:t>
      </w:r>
      <w:r w:rsidR="00414271">
        <w:t>was</w:t>
      </w:r>
      <w:r w:rsidR="008F6CAC" w:rsidRPr="00007450">
        <w:t xml:space="preserve"> uncertain given the OS data were immature and </w:t>
      </w:r>
      <w:r w:rsidR="00E23E5A">
        <w:t>a</w:t>
      </w:r>
      <w:r w:rsidR="008F6CAC" w:rsidRPr="00007450">
        <w:t xml:space="preserve"> </w:t>
      </w:r>
      <w:r w:rsidR="006636A6">
        <w:t xml:space="preserve">statistically significant </w:t>
      </w:r>
      <w:r w:rsidR="008F6CAC" w:rsidRPr="00007450">
        <w:t xml:space="preserve">difference in OS was </w:t>
      </w:r>
      <w:r w:rsidR="00E23E5A">
        <w:t xml:space="preserve">not </w:t>
      </w:r>
      <w:r w:rsidR="008F6CAC" w:rsidRPr="00007450">
        <w:t xml:space="preserve">observed </w:t>
      </w:r>
      <w:r w:rsidR="006636A6">
        <w:t>in the trial</w:t>
      </w:r>
      <w:r w:rsidR="008F6CAC" w:rsidRPr="00007450">
        <w:t xml:space="preserve">. </w:t>
      </w:r>
    </w:p>
    <w:p w14:paraId="50AC8BA8" w14:textId="70EDB54A" w:rsidR="006C7A64" w:rsidRPr="00007450" w:rsidRDefault="006C7A64" w:rsidP="00864C4B">
      <w:pPr>
        <w:pStyle w:val="3-BodyText"/>
        <w:rPr>
          <w:rFonts w:eastAsia="Times New Roman" w:cs="Arial"/>
          <w:snapToGrid w:val="0"/>
          <w:szCs w:val="24"/>
        </w:rPr>
      </w:pPr>
      <w:r w:rsidRPr="00007450">
        <w:rPr>
          <w:rFonts w:eastAsia="Times New Roman" w:cs="Arial"/>
          <w:snapToGrid w:val="0"/>
          <w:szCs w:val="24"/>
        </w:rPr>
        <w:t>The PBAC agreed with the submission</w:t>
      </w:r>
      <w:r w:rsidR="00A4431E">
        <w:rPr>
          <w:rFonts w:eastAsia="Times New Roman" w:cs="Arial"/>
          <w:snapToGrid w:val="0"/>
          <w:szCs w:val="24"/>
        </w:rPr>
        <w:t>’s</w:t>
      </w:r>
      <w:r w:rsidRPr="00007450">
        <w:rPr>
          <w:rFonts w:eastAsia="Times New Roman" w:cs="Arial"/>
          <w:snapToGrid w:val="0"/>
          <w:szCs w:val="24"/>
        </w:rPr>
        <w:t xml:space="preserve"> claim that ribociclib added to ET is of inferior comparative safety to ET alone. The PBAC noted treatment with ribociclib was associated with a substantially higher risk of grade 3 or higher treatment-emergent adverse events (TEAEs, </w:t>
      </w:r>
      <w:r w:rsidR="002435FC">
        <w:rPr>
          <w:rFonts w:eastAsia="Times New Roman" w:cs="Arial"/>
          <w:snapToGrid w:val="0"/>
          <w:szCs w:val="24"/>
        </w:rPr>
        <w:t>relative risk</w:t>
      </w:r>
      <w:r w:rsidRPr="00007450">
        <w:rPr>
          <w:rFonts w:eastAsia="Times New Roman" w:cs="Arial"/>
          <w:snapToGrid w:val="0"/>
          <w:szCs w:val="24"/>
        </w:rPr>
        <w:t xml:space="preserve"> </w:t>
      </w:r>
      <w:r w:rsidR="002435FC">
        <w:rPr>
          <w:rFonts w:eastAsia="Times New Roman" w:cs="Arial"/>
          <w:snapToGrid w:val="0"/>
          <w:szCs w:val="24"/>
        </w:rPr>
        <w:t>[</w:t>
      </w:r>
      <w:r w:rsidRPr="00007450">
        <w:rPr>
          <w:rFonts w:eastAsia="Times New Roman" w:cs="Arial"/>
          <w:snapToGrid w:val="0"/>
          <w:szCs w:val="24"/>
        </w:rPr>
        <w:t>RR</w:t>
      </w:r>
      <w:r w:rsidR="002435FC">
        <w:rPr>
          <w:rFonts w:eastAsia="Times New Roman" w:cs="Arial"/>
          <w:snapToGrid w:val="0"/>
          <w:szCs w:val="24"/>
        </w:rPr>
        <w:t>]</w:t>
      </w:r>
      <w:r w:rsidRPr="00007450">
        <w:rPr>
          <w:rFonts w:eastAsia="Times New Roman" w:cs="Arial"/>
          <w:snapToGrid w:val="0"/>
          <w:szCs w:val="24"/>
        </w:rPr>
        <w:t xml:space="preserve"> 3.22, 95% CI 2.78, 3.72), treatment-</w:t>
      </w:r>
      <w:r w:rsidR="00792D6E" w:rsidRPr="00007450">
        <w:rPr>
          <w:rFonts w:eastAsia="Times New Roman" w:cs="Arial"/>
          <w:snapToGrid w:val="0"/>
          <w:szCs w:val="24"/>
        </w:rPr>
        <w:t>related</w:t>
      </w:r>
      <w:r w:rsidRPr="00007450">
        <w:rPr>
          <w:rFonts w:eastAsia="Times New Roman" w:cs="Arial"/>
          <w:snapToGrid w:val="0"/>
          <w:szCs w:val="24"/>
        </w:rPr>
        <w:t xml:space="preserve"> serious adverse events (SAEs, RR 8.65, 95% CI 2.63, 28.46) and higher rates of neutropenia. In addition, the Committee noted treatment discontinuation </w:t>
      </w:r>
      <w:r w:rsidR="00027544">
        <w:rPr>
          <w:rFonts w:eastAsia="Times New Roman" w:cs="Arial"/>
          <w:snapToGrid w:val="0"/>
          <w:szCs w:val="24"/>
        </w:rPr>
        <w:t xml:space="preserve">due to </w:t>
      </w:r>
      <w:r w:rsidR="004816C5">
        <w:rPr>
          <w:rFonts w:eastAsia="Times New Roman" w:cs="Arial"/>
          <w:snapToGrid w:val="0"/>
          <w:szCs w:val="24"/>
        </w:rPr>
        <w:t>adverse events (</w:t>
      </w:r>
      <w:r w:rsidR="00027544">
        <w:rPr>
          <w:rFonts w:eastAsia="Times New Roman" w:cs="Arial"/>
          <w:snapToGrid w:val="0"/>
          <w:szCs w:val="24"/>
        </w:rPr>
        <w:t>AEs</w:t>
      </w:r>
      <w:r w:rsidR="004816C5">
        <w:rPr>
          <w:rFonts w:eastAsia="Times New Roman" w:cs="Arial"/>
          <w:snapToGrid w:val="0"/>
          <w:szCs w:val="24"/>
        </w:rPr>
        <w:t>)</w:t>
      </w:r>
      <w:r w:rsidR="00027544">
        <w:rPr>
          <w:rFonts w:eastAsia="Times New Roman" w:cs="Arial"/>
          <w:snapToGrid w:val="0"/>
          <w:szCs w:val="24"/>
        </w:rPr>
        <w:t xml:space="preserve"> </w:t>
      </w:r>
      <w:r w:rsidRPr="00007450">
        <w:rPr>
          <w:rFonts w:eastAsia="Times New Roman" w:cs="Arial"/>
          <w:snapToGrid w:val="0"/>
          <w:szCs w:val="24"/>
        </w:rPr>
        <w:t>was significantly higher in the ribociclib arm of the trial (RR 3.26, 95% CI 2.45, 4.33).</w:t>
      </w:r>
    </w:p>
    <w:p w14:paraId="3A6D2906" w14:textId="611729C6" w:rsidR="00E97902" w:rsidRPr="00E97902" w:rsidRDefault="000F1EAE" w:rsidP="00864C4B">
      <w:pPr>
        <w:pStyle w:val="3-BodyText"/>
        <w:rPr>
          <w:snapToGrid w:val="0"/>
        </w:rPr>
      </w:pPr>
      <w:r>
        <w:rPr>
          <w:snapToGrid w:val="0"/>
        </w:rPr>
        <w:t xml:space="preserve">The PBAC noted the submission claimed superior comparative effectiveness for </w:t>
      </w:r>
      <w:r w:rsidR="00202ECA">
        <w:rPr>
          <w:snapToGrid w:val="0"/>
        </w:rPr>
        <w:t xml:space="preserve">ribociclib </w:t>
      </w:r>
      <w:r w:rsidR="006321A6">
        <w:rPr>
          <w:snapToGrid w:val="0"/>
        </w:rPr>
        <w:t>plus</w:t>
      </w:r>
      <w:r w:rsidR="006E14A7">
        <w:rPr>
          <w:snapToGrid w:val="0"/>
        </w:rPr>
        <w:t xml:space="preserve"> ET</w:t>
      </w:r>
      <w:r w:rsidR="00B533A6">
        <w:rPr>
          <w:snapToGrid w:val="0"/>
        </w:rPr>
        <w:t xml:space="preserve"> compared with ET alone</w:t>
      </w:r>
      <w:r w:rsidR="00B85C5B">
        <w:rPr>
          <w:snapToGrid w:val="0"/>
        </w:rPr>
        <w:t>. The PBAC noted that</w:t>
      </w:r>
      <w:r w:rsidR="00C75A10">
        <w:rPr>
          <w:snapToGrid w:val="0"/>
        </w:rPr>
        <w:t xml:space="preserve"> whilst the </w:t>
      </w:r>
      <w:r w:rsidR="00714DC1">
        <w:rPr>
          <w:snapToGrid w:val="0"/>
        </w:rPr>
        <w:t>reductions</w:t>
      </w:r>
      <w:r w:rsidR="00C75A10">
        <w:rPr>
          <w:snapToGrid w:val="0"/>
        </w:rPr>
        <w:t xml:space="preserve"> in </w:t>
      </w:r>
      <w:r w:rsidR="007350A1">
        <w:rPr>
          <w:snapToGrid w:val="0"/>
        </w:rPr>
        <w:t>i</w:t>
      </w:r>
      <w:r w:rsidR="00C75A10" w:rsidRPr="005D1877">
        <w:rPr>
          <w:snapToGrid w:val="0"/>
        </w:rPr>
        <w:t>DFS</w:t>
      </w:r>
      <w:r w:rsidR="00C75A10">
        <w:rPr>
          <w:snapToGrid w:val="0"/>
        </w:rPr>
        <w:t xml:space="preserve"> and DRFS</w:t>
      </w:r>
      <w:r w:rsidR="00A50380">
        <w:rPr>
          <w:snapToGrid w:val="0"/>
        </w:rPr>
        <w:t xml:space="preserve"> were statistically significant</w:t>
      </w:r>
      <w:r w:rsidR="00F90ABD">
        <w:rPr>
          <w:snapToGrid w:val="0"/>
        </w:rPr>
        <w:t xml:space="preserve">, they were smaller than observed for the </w:t>
      </w:r>
      <w:r w:rsidR="009A1EE3">
        <w:rPr>
          <w:snapToGrid w:val="0"/>
        </w:rPr>
        <w:t xml:space="preserve">currently listed </w:t>
      </w:r>
      <w:r w:rsidR="005A1217">
        <w:rPr>
          <w:snapToGrid w:val="0"/>
        </w:rPr>
        <w:t>node positive patients</w:t>
      </w:r>
      <w:r w:rsidR="00025ACF">
        <w:rPr>
          <w:snapToGrid w:val="0"/>
        </w:rPr>
        <w:t>.</w:t>
      </w:r>
      <w:r w:rsidR="00BE21B1">
        <w:rPr>
          <w:snapToGrid w:val="0"/>
        </w:rPr>
        <w:t xml:space="preserve"> </w:t>
      </w:r>
      <w:r w:rsidR="00025ACF">
        <w:rPr>
          <w:snapToGrid w:val="0"/>
        </w:rPr>
        <w:t>I</w:t>
      </w:r>
      <w:r w:rsidR="00BE21B1">
        <w:rPr>
          <w:snapToGrid w:val="0"/>
        </w:rPr>
        <w:t>n the context of the</w:t>
      </w:r>
      <w:r w:rsidR="007831C0">
        <w:rPr>
          <w:snapToGrid w:val="0"/>
        </w:rPr>
        <w:t xml:space="preserve"> increase in the number</w:t>
      </w:r>
      <w:r w:rsidR="00BE21B1">
        <w:rPr>
          <w:snapToGrid w:val="0"/>
        </w:rPr>
        <w:t xml:space="preserve"> adverse events reported</w:t>
      </w:r>
      <w:r w:rsidR="00FE4742">
        <w:rPr>
          <w:snapToGrid w:val="0"/>
        </w:rPr>
        <w:t>,</w:t>
      </w:r>
      <w:r w:rsidR="008A588D">
        <w:rPr>
          <w:snapToGrid w:val="0"/>
        </w:rPr>
        <w:t xml:space="preserve"> and </w:t>
      </w:r>
      <w:r w:rsidR="00BA06CA">
        <w:rPr>
          <w:snapToGrid w:val="0"/>
        </w:rPr>
        <w:t>that</w:t>
      </w:r>
      <w:r w:rsidR="002B3605">
        <w:rPr>
          <w:snapToGrid w:val="0"/>
        </w:rPr>
        <w:t xml:space="preserve"> </w:t>
      </w:r>
      <w:r w:rsidR="008A588D">
        <w:rPr>
          <w:snapToGrid w:val="0"/>
        </w:rPr>
        <w:t xml:space="preserve">patients </w:t>
      </w:r>
      <w:r w:rsidR="00FE4742">
        <w:rPr>
          <w:snapToGrid w:val="0"/>
        </w:rPr>
        <w:t xml:space="preserve">treated in the adjuvant setting </w:t>
      </w:r>
      <w:r w:rsidR="008A588D">
        <w:rPr>
          <w:snapToGrid w:val="0"/>
        </w:rPr>
        <w:t>forego treatment with a CDK4/6</w:t>
      </w:r>
      <w:r w:rsidR="00E15E28">
        <w:rPr>
          <w:snapToGrid w:val="0"/>
        </w:rPr>
        <w:t xml:space="preserve"> in the metastatic setting</w:t>
      </w:r>
      <w:r w:rsidR="00787F5D">
        <w:rPr>
          <w:snapToGrid w:val="0"/>
        </w:rPr>
        <w:t xml:space="preserve">, </w:t>
      </w:r>
      <w:r w:rsidR="00E50FA4">
        <w:rPr>
          <w:snapToGrid w:val="0"/>
        </w:rPr>
        <w:t xml:space="preserve">the PBAC </w:t>
      </w:r>
      <w:r w:rsidR="00787F5D">
        <w:rPr>
          <w:snapToGrid w:val="0"/>
        </w:rPr>
        <w:t xml:space="preserve">considered the </w:t>
      </w:r>
      <w:r w:rsidR="003F730B">
        <w:rPr>
          <w:snapToGrid w:val="0"/>
        </w:rPr>
        <w:t xml:space="preserve">overall </w:t>
      </w:r>
      <w:r w:rsidR="00E53B87">
        <w:rPr>
          <w:snapToGrid w:val="0"/>
        </w:rPr>
        <w:t>benefit</w:t>
      </w:r>
      <w:r w:rsidR="006E2AEB">
        <w:rPr>
          <w:snapToGrid w:val="0"/>
        </w:rPr>
        <w:t xml:space="preserve"> associated with adding ribociclib to ET in </w:t>
      </w:r>
      <w:r w:rsidR="007B2E33">
        <w:rPr>
          <w:snapToGrid w:val="0"/>
        </w:rPr>
        <w:t>node negative/low</w:t>
      </w:r>
      <w:r w:rsidR="006E2AEB">
        <w:rPr>
          <w:snapToGrid w:val="0"/>
        </w:rPr>
        <w:t xml:space="preserve"> patients</w:t>
      </w:r>
      <w:r w:rsidR="00787F5D">
        <w:rPr>
          <w:snapToGrid w:val="0"/>
        </w:rPr>
        <w:t xml:space="preserve"> had not been demonstrated to </w:t>
      </w:r>
      <w:r w:rsidR="008C5BCC">
        <w:rPr>
          <w:snapToGrid w:val="0"/>
        </w:rPr>
        <w:t>be clinically meanin</w:t>
      </w:r>
      <w:r w:rsidR="003F4CDD">
        <w:rPr>
          <w:snapToGrid w:val="0"/>
        </w:rPr>
        <w:t>gful.</w:t>
      </w:r>
    </w:p>
    <w:p w14:paraId="3844A73C" w14:textId="7A348C9E" w:rsidR="00F9513E" w:rsidRPr="00F9513E" w:rsidRDefault="009312E1" w:rsidP="00864C4B">
      <w:pPr>
        <w:pStyle w:val="3-BodyText"/>
        <w:rPr>
          <w:snapToGrid w:val="0"/>
        </w:rPr>
      </w:pPr>
      <w:r>
        <w:rPr>
          <w:snapToGrid w:val="0"/>
        </w:rPr>
        <w:t xml:space="preserve">The PBAC </w:t>
      </w:r>
      <w:r w:rsidR="002659A3">
        <w:rPr>
          <w:snapToGrid w:val="0"/>
        </w:rPr>
        <w:t>noted</w:t>
      </w:r>
      <w:r w:rsidR="00D345D7">
        <w:rPr>
          <w:snapToGrid w:val="0"/>
        </w:rPr>
        <w:t>,</w:t>
      </w:r>
      <w:r>
        <w:rPr>
          <w:snapToGrid w:val="0"/>
        </w:rPr>
        <w:t xml:space="preserve"> </w:t>
      </w:r>
      <w:r w:rsidR="00B12DBB">
        <w:rPr>
          <w:snapToGrid w:val="0"/>
        </w:rPr>
        <w:t xml:space="preserve">given the </w:t>
      </w:r>
      <w:r w:rsidR="00DB0A57">
        <w:rPr>
          <w:snapToGrid w:val="0"/>
        </w:rPr>
        <w:t xml:space="preserve">lower risk of recurrence in </w:t>
      </w:r>
      <w:r w:rsidR="007B2E33">
        <w:rPr>
          <w:snapToGrid w:val="0"/>
        </w:rPr>
        <w:t>node negative/low</w:t>
      </w:r>
      <w:r w:rsidR="00DB0A57">
        <w:rPr>
          <w:snapToGrid w:val="0"/>
        </w:rPr>
        <w:t xml:space="preserve"> patients</w:t>
      </w:r>
      <w:r w:rsidR="004D2CC0">
        <w:rPr>
          <w:snapToGrid w:val="0"/>
        </w:rPr>
        <w:t>, that the</w:t>
      </w:r>
      <w:r w:rsidR="00D345D7">
        <w:rPr>
          <w:snapToGrid w:val="0"/>
        </w:rPr>
        <w:t xml:space="preserve"> </w:t>
      </w:r>
      <w:r w:rsidR="00B2282F">
        <w:rPr>
          <w:snapToGrid w:val="0"/>
        </w:rPr>
        <w:t xml:space="preserve">magnitude of the incremental QALYs </w:t>
      </w:r>
      <w:r w:rsidR="00E97A4C">
        <w:rPr>
          <w:snapToGrid w:val="0"/>
        </w:rPr>
        <w:t xml:space="preserve">in </w:t>
      </w:r>
      <w:r w:rsidR="007B2E33">
        <w:rPr>
          <w:snapToGrid w:val="0"/>
        </w:rPr>
        <w:t>node negative/low</w:t>
      </w:r>
      <w:r w:rsidR="00EB3E4A">
        <w:rPr>
          <w:snapToGrid w:val="0"/>
        </w:rPr>
        <w:t xml:space="preserve"> patients </w:t>
      </w:r>
      <w:r w:rsidR="00C16D59">
        <w:rPr>
          <w:snapToGrid w:val="0"/>
        </w:rPr>
        <w:t>would</w:t>
      </w:r>
      <w:r w:rsidR="00EB3E4A">
        <w:rPr>
          <w:snapToGrid w:val="0"/>
        </w:rPr>
        <w:t xml:space="preserve"> be</w:t>
      </w:r>
      <w:r w:rsidR="00527B74">
        <w:rPr>
          <w:snapToGrid w:val="0"/>
        </w:rPr>
        <w:t xml:space="preserve"> expected to be </w:t>
      </w:r>
      <w:r w:rsidR="003B5F65">
        <w:rPr>
          <w:snapToGrid w:val="0"/>
        </w:rPr>
        <w:t>less than for node positive patients</w:t>
      </w:r>
      <w:r w:rsidR="004C2BE1">
        <w:rPr>
          <w:snapToGrid w:val="0"/>
        </w:rPr>
        <w:t>.</w:t>
      </w:r>
      <w:r>
        <w:rPr>
          <w:snapToGrid w:val="0"/>
        </w:rPr>
        <w:t xml:space="preserve"> </w:t>
      </w:r>
      <w:r w:rsidR="004C2BE1">
        <w:rPr>
          <w:snapToGrid w:val="0"/>
        </w:rPr>
        <w:t xml:space="preserve">However, the economic model presented in the submission estimated 0.52 incremental QALYs gained which was </w:t>
      </w:r>
      <w:r w:rsidR="001F67E1" w:rsidRPr="00007450">
        <w:t xml:space="preserve">higher than accepted by the PBAC for the </w:t>
      </w:r>
      <w:r w:rsidR="00F41A55">
        <w:t>node positive patients</w:t>
      </w:r>
      <w:r w:rsidR="001F67E1" w:rsidRPr="00007450">
        <w:t xml:space="preserve"> (between 0.266 and 0.407, exact estimate not provided in PSD) (Table 13, abemaciclib PSD, November 2023). </w:t>
      </w:r>
      <w:r w:rsidR="00FA341A">
        <w:t>Given this</w:t>
      </w:r>
      <w:r w:rsidR="00AA394B">
        <w:t>,</w:t>
      </w:r>
      <w:r w:rsidR="00FA341A">
        <w:t xml:space="preserve"> the PBAC did not consider the result</w:t>
      </w:r>
      <w:r w:rsidR="00824596">
        <w:t>s</w:t>
      </w:r>
      <w:r w:rsidR="00FA341A">
        <w:t xml:space="preserve"> of the economic model, as presented in the submission, to be </w:t>
      </w:r>
      <w:r w:rsidR="00B158B5">
        <w:t xml:space="preserve">a reliable estimate of the cost-effectiveness of </w:t>
      </w:r>
      <w:r w:rsidR="00E15072">
        <w:t xml:space="preserve">ribociclib when added to ET for patients with </w:t>
      </w:r>
      <w:r w:rsidR="007B2E33">
        <w:t>node negative/low</w:t>
      </w:r>
      <w:r w:rsidR="00E15072">
        <w:t xml:space="preserve"> disease.</w:t>
      </w:r>
    </w:p>
    <w:p w14:paraId="731A5F61" w14:textId="54F066EC" w:rsidR="00BF7AB4" w:rsidRPr="00007450" w:rsidRDefault="00A736E7" w:rsidP="00864C4B">
      <w:pPr>
        <w:pStyle w:val="3-BodyText"/>
        <w:rPr>
          <w:snapToGrid w:val="0"/>
        </w:rPr>
      </w:pPr>
      <w:r w:rsidRPr="00007450">
        <w:rPr>
          <w:snapToGrid w:val="0"/>
        </w:rPr>
        <w:t xml:space="preserve">The </w:t>
      </w:r>
      <w:r w:rsidR="00423EF7">
        <w:rPr>
          <w:snapToGrid w:val="0"/>
        </w:rPr>
        <w:t xml:space="preserve">PBAC noted </w:t>
      </w:r>
      <w:r w:rsidR="009F1C4B">
        <w:rPr>
          <w:snapToGrid w:val="0"/>
        </w:rPr>
        <w:t xml:space="preserve">the submission estimated </w:t>
      </w:r>
      <w:r w:rsidR="000304DB">
        <w:rPr>
          <w:snapToGrid w:val="0"/>
        </w:rPr>
        <w:t xml:space="preserve">that </w:t>
      </w:r>
      <w:r w:rsidR="00EC2B59">
        <w:rPr>
          <w:snapToGrid w:val="0"/>
        </w:rPr>
        <w:t xml:space="preserve">the number of </w:t>
      </w:r>
      <w:r w:rsidR="007B2E33">
        <w:rPr>
          <w:snapToGrid w:val="0"/>
        </w:rPr>
        <w:t>node negative/low</w:t>
      </w:r>
      <w:r w:rsidR="000304DB">
        <w:rPr>
          <w:snapToGrid w:val="0"/>
        </w:rPr>
        <w:t xml:space="preserve"> </w:t>
      </w:r>
      <w:r w:rsidR="009F10C3">
        <w:rPr>
          <w:snapToGrid w:val="0"/>
        </w:rPr>
        <w:t>patients</w:t>
      </w:r>
      <w:r w:rsidR="000304DB">
        <w:rPr>
          <w:snapToGrid w:val="0"/>
        </w:rPr>
        <w:t xml:space="preserve"> </w:t>
      </w:r>
      <w:r w:rsidR="00A82295">
        <w:rPr>
          <w:snapToGrid w:val="0"/>
        </w:rPr>
        <w:t>that would be treated with ribociclib</w:t>
      </w:r>
      <w:r w:rsidR="000304DB">
        <w:rPr>
          <w:snapToGrid w:val="0"/>
        </w:rPr>
        <w:t xml:space="preserve"> was </w:t>
      </w:r>
      <w:r w:rsidR="00BA5879">
        <w:rPr>
          <w:snapToGrid w:val="0"/>
        </w:rPr>
        <w:t>considerably</w:t>
      </w:r>
      <w:r w:rsidR="000304DB">
        <w:rPr>
          <w:snapToGrid w:val="0"/>
        </w:rPr>
        <w:t xml:space="preserve"> larger than the node </w:t>
      </w:r>
      <w:r w:rsidR="000304DB">
        <w:rPr>
          <w:snapToGrid w:val="0"/>
        </w:rPr>
        <w:lastRenderedPageBreak/>
        <w:t>positive population</w:t>
      </w:r>
      <w:r w:rsidR="00182B98">
        <w:rPr>
          <w:snapToGrid w:val="0"/>
        </w:rPr>
        <w:t xml:space="preserve"> treated with CDK4/6</w:t>
      </w:r>
      <w:r w:rsidR="000304DB">
        <w:rPr>
          <w:snapToGrid w:val="0"/>
        </w:rPr>
        <w:t>. However,</w:t>
      </w:r>
      <w:r w:rsidR="00C54FEC">
        <w:rPr>
          <w:snapToGrid w:val="0"/>
        </w:rPr>
        <w:t xml:space="preserve"> </w:t>
      </w:r>
      <w:r w:rsidR="000304DB">
        <w:rPr>
          <w:snapToGrid w:val="0"/>
        </w:rPr>
        <w:t>t</w:t>
      </w:r>
      <w:r w:rsidRPr="00007450">
        <w:rPr>
          <w:snapToGrid w:val="0"/>
        </w:rPr>
        <w:t xml:space="preserve">he PBAC noted the advice from the ESC and agreed the utilisation of ribociclib </w:t>
      </w:r>
      <w:r w:rsidR="00231A16">
        <w:rPr>
          <w:snapToGrid w:val="0"/>
        </w:rPr>
        <w:t xml:space="preserve">for the </w:t>
      </w:r>
      <w:r w:rsidR="007B2E33">
        <w:rPr>
          <w:snapToGrid w:val="0"/>
        </w:rPr>
        <w:t>node negative/low</w:t>
      </w:r>
      <w:r w:rsidR="00231A16">
        <w:rPr>
          <w:snapToGrid w:val="0"/>
        </w:rPr>
        <w:t xml:space="preserve"> population </w:t>
      </w:r>
      <w:r w:rsidRPr="00007450">
        <w:rPr>
          <w:snapToGrid w:val="0"/>
        </w:rPr>
        <w:t>was likely overestimated due to overestimates in breast cancer incidence (para</w:t>
      </w:r>
      <w:r w:rsidR="00DC171C">
        <w:rPr>
          <w:snapToGrid w:val="0"/>
        </w:rPr>
        <w:t xml:space="preserve">. </w:t>
      </w:r>
      <w:r w:rsidR="00DC171C">
        <w:rPr>
          <w:snapToGrid w:val="0"/>
        </w:rPr>
        <w:fldChar w:fldCharType="begin"/>
      </w:r>
      <w:r w:rsidR="00DC171C">
        <w:rPr>
          <w:snapToGrid w:val="0"/>
        </w:rPr>
        <w:instrText xml:space="preserve"> REF _Ref205352196 \r \h </w:instrText>
      </w:r>
      <w:r w:rsidR="00DC171C">
        <w:rPr>
          <w:snapToGrid w:val="0"/>
        </w:rPr>
      </w:r>
      <w:r w:rsidR="00DC171C">
        <w:rPr>
          <w:snapToGrid w:val="0"/>
        </w:rPr>
        <w:fldChar w:fldCharType="separate"/>
      </w:r>
      <w:r w:rsidR="00B36442">
        <w:rPr>
          <w:snapToGrid w:val="0"/>
        </w:rPr>
        <w:t>6.62</w:t>
      </w:r>
      <w:r w:rsidR="00DC171C">
        <w:rPr>
          <w:snapToGrid w:val="0"/>
        </w:rPr>
        <w:fldChar w:fldCharType="end"/>
      </w:r>
      <w:r w:rsidRPr="00007450">
        <w:rPr>
          <w:snapToGrid w:val="0"/>
        </w:rPr>
        <w:t xml:space="preserve">), </w:t>
      </w:r>
      <w:r w:rsidR="003D454D">
        <w:rPr>
          <w:snapToGrid w:val="0"/>
        </w:rPr>
        <w:t>proportion eligible (para</w:t>
      </w:r>
      <w:r w:rsidR="007E1335">
        <w:rPr>
          <w:snapToGrid w:val="0"/>
        </w:rPr>
        <w:t xml:space="preserve">s. </w:t>
      </w:r>
      <w:r w:rsidR="00050F9E">
        <w:rPr>
          <w:snapToGrid w:val="0"/>
        </w:rPr>
        <w:fldChar w:fldCharType="begin"/>
      </w:r>
      <w:r w:rsidR="00050F9E">
        <w:rPr>
          <w:snapToGrid w:val="0"/>
        </w:rPr>
        <w:instrText xml:space="preserve"> REF _Ref201638757 \r \h </w:instrText>
      </w:r>
      <w:r w:rsidR="00050F9E">
        <w:rPr>
          <w:snapToGrid w:val="0"/>
        </w:rPr>
      </w:r>
      <w:r w:rsidR="00050F9E">
        <w:rPr>
          <w:snapToGrid w:val="0"/>
        </w:rPr>
        <w:fldChar w:fldCharType="separate"/>
      </w:r>
      <w:r w:rsidR="00B36442">
        <w:rPr>
          <w:snapToGrid w:val="0"/>
        </w:rPr>
        <w:t>6.63</w:t>
      </w:r>
      <w:r w:rsidR="00050F9E">
        <w:rPr>
          <w:snapToGrid w:val="0"/>
        </w:rPr>
        <w:fldChar w:fldCharType="end"/>
      </w:r>
      <w:r w:rsidR="009C0EDF">
        <w:rPr>
          <w:rFonts w:cstheme="minorHAnsi"/>
          <w:snapToGrid w:val="0"/>
        </w:rPr>
        <w:t>−</w:t>
      </w:r>
      <w:r w:rsidR="009C0EDF">
        <w:rPr>
          <w:snapToGrid w:val="0"/>
        </w:rPr>
        <w:fldChar w:fldCharType="begin"/>
      </w:r>
      <w:r w:rsidR="009C0EDF">
        <w:rPr>
          <w:snapToGrid w:val="0"/>
        </w:rPr>
        <w:instrText xml:space="preserve"> REF _Ref205352294 \r \h </w:instrText>
      </w:r>
      <w:r w:rsidR="009C0EDF">
        <w:rPr>
          <w:snapToGrid w:val="0"/>
        </w:rPr>
      </w:r>
      <w:r w:rsidR="009C0EDF">
        <w:rPr>
          <w:snapToGrid w:val="0"/>
        </w:rPr>
        <w:fldChar w:fldCharType="separate"/>
      </w:r>
      <w:r w:rsidR="00B36442">
        <w:rPr>
          <w:snapToGrid w:val="0"/>
        </w:rPr>
        <w:t>6.64</w:t>
      </w:r>
      <w:r w:rsidR="009C0EDF">
        <w:rPr>
          <w:snapToGrid w:val="0"/>
        </w:rPr>
        <w:fldChar w:fldCharType="end"/>
      </w:r>
      <w:r w:rsidR="009C0EDF">
        <w:rPr>
          <w:snapToGrid w:val="0"/>
        </w:rPr>
        <w:t>)</w:t>
      </w:r>
      <w:r w:rsidR="003D454D">
        <w:rPr>
          <w:snapToGrid w:val="0"/>
        </w:rPr>
        <w:t xml:space="preserve">, and the </w:t>
      </w:r>
      <w:r w:rsidRPr="00007450">
        <w:rPr>
          <w:snapToGrid w:val="0"/>
        </w:rPr>
        <w:t>expected uptake and compliance (paras</w:t>
      </w:r>
      <w:r w:rsidR="009C0EDF">
        <w:rPr>
          <w:snapToGrid w:val="0"/>
        </w:rPr>
        <w:t>.</w:t>
      </w:r>
      <w:r w:rsidRPr="00007450">
        <w:rPr>
          <w:snapToGrid w:val="0"/>
        </w:rPr>
        <w:t xml:space="preserve"> </w:t>
      </w:r>
      <w:r w:rsidR="000C177A">
        <w:rPr>
          <w:snapToGrid w:val="0"/>
        </w:rPr>
        <w:fldChar w:fldCharType="begin"/>
      </w:r>
      <w:r w:rsidR="000C177A">
        <w:rPr>
          <w:snapToGrid w:val="0"/>
        </w:rPr>
        <w:instrText xml:space="preserve"> REF _Ref201638824 \r \h </w:instrText>
      </w:r>
      <w:r w:rsidR="000C177A">
        <w:rPr>
          <w:snapToGrid w:val="0"/>
        </w:rPr>
      </w:r>
      <w:r w:rsidR="000C177A">
        <w:rPr>
          <w:snapToGrid w:val="0"/>
        </w:rPr>
        <w:fldChar w:fldCharType="separate"/>
      </w:r>
      <w:r w:rsidR="00B36442">
        <w:rPr>
          <w:snapToGrid w:val="0"/>
        </w:rPr>
        <w:t>6.65</w:t>
      </w:r>
      <w:r w:rsidR="000C177A">
        <w:rPr>
          <w:snapToGrid w:val="0"/>
        </w:rPr>
        <w:fldChar w:fldCharType="end"/>
      </w:r>
      <w:r w:rsidR="009C0EDF">
        <w:rPr>
          <w:rFonts w:cstheme="minorHAnsi"/>
          <w:snapToGrid w:val="0"/>
        </w:rPr>
        <w:t>−</w:t>
      </w:r>
      <w:r w:rsidR="000C177A">
        <w:rPr>
          <w:snapToGrid w:val="0"/>
        </w:rPr>
        <w:fldChar w:fldCharType="begin"/>
      </w:r>
      <w:r w:rsidR="000C177A">
        <w:rPr>
          <w:snapToGrid w:val="0"/>
        </w:rPr>
        <w:instrText xml:space="preserve"> REF _Ref194671998 \r \h </w:instrText>
      </w:r>
      <w:r w:rsidR="000C177A">
        <w:rPr>
          <w:snapToGrid w:val="0"/>
        </w:rPr>
      </w:r>
      <w:r w:rsidR="000C177A">
        <w:rPr>
          <w:snapToGrid w:val="0"/>
        </w:rPr>
        <w:fldChar w:fldCharType="separate"/>
      </w:r>
      <w:r w:rsidR="00B36442">
        <w:rPr>
          <w:snapToGrid w:val="0"/>
        </w:rPr>
        <w:t>6.66</w:t>
      </w:r>
      <w:r w:rsidR="000C177A">
        <w:rPr>
          <w:snapToGrid w:val="0"/>
        </w:rPr>
        <w:fldChar w:fldCharType="end"/>
      </w:r>
      <w:r w:rsidRPr="00007450">
        <w:rPr>
          <w:snapToGrid w:val="0"/>
        </w:rPr>
        <w:t xml:space="preserve">). </w:t>
      </w:r>
      <w:bookmarkEnd w:id="99"/>
    </w:p>
    <w:p w14:paraId="477320EA" w14:textId="2528E21C" w:rsidR="006D6F92" w:rsidRPr="00353C41" w:rsidRDefault="00BF7AB4" w:rsidP="00864C4B">
      <w:pPr>
        <w:numPr>
          <w:ilvl w:val="1"/>
          <w:numId w:val="1"/>
        </w:numPr>
        <w:spacing w:after="120"/>
        <w:rPr>
          <w:rFonts w:asciiTheme="minorHAnsi" w:hAnsiTheme="minorHAnsi"/>
          <w:b/>
          <w:bCs/>
          <w:snapToGrid w:val="0"/>
        </w:rPr>
      </w:pPr>
      <w:r w:rsidRPr="00007450">
        <w:rPr>
          <w:rFonts w:asciiTheme="minorHAnsi" w:hAnsiTheme="minorHAnsi"/>
          <w:bCs/>
          <w:snapToGrid w:val="0"/>
        </w:rPr>
        <w:t>The PBAC noted that this submission is</w:t>
      </w:r>
      <w:r w:rsidR="006D6F92" w:rsidRPr="00007450">
        <w:rPr>
          <w:rFonts w:asciiTheme="minorHAnsi" w:hAnsiTheme="minorHAnsi"/>
          <w:bCs/>
          <w:snapToGrid w:val="0"/>
        </w:rPr>
        <w:t xml:space="preserve"> </w:t>
      </w:r>
      <w:r w:rsidRPr="00007450">
        <w:rPr>
          <w:rFonts w:asciiTheme="minorHAnsi" w:hAnsiTheme="minorHAnsi"/>
          <w:bCs/>
          <w:snapToGrid w:val="0"/>
        </w:rPr>
        <w:t xml:space="preserve">eligible for an Independent Review. </w:t>
      </w:r>
    </w:p>
    <w:p w14:paraId="5DB0D578" w14:textId="77777777" w:rsidR="00353C41" w:rsidRPr="00AA7966" w:rsidRDefault="00353C41" w:rsidP="00864C4B">
      <w:pPr>
        <w:spacing w:after="120"/>
        <w:rPr>
          <w:rFonts w:asciiTheme="minorHAnsi" w:hAnsiTheme="minorHAnsi"/>
          <w:b/>
          <w:bCs/>
          <w:snapToGrid w:val="0"/>
        </w:rPr>
      </w:pPr>
    </w:p>
    <w:p w14:paraId="5EA19CB1" w14:textId="11716D19" w:rsidR="00BF7AB4" w:rsidRPr="00007450" w:rsidRDefault="00BF7AB4" w:rsidP="00864C4B">
      <w:pPr>
        <w:rPr>
          <w:rFonts w:asciiTheme="minorHAnsi" w:hAnsiTheme="minorHAnsi"/>
          <w:b/>
          <w:bCs/>
          <w:snapToGrid w:val="0"/>
        </w:rPr>
      </w:pPr>
      <w:r w:rsidRPr="00007450">
        <w:rPr>
          <w:rFonts w:asciiTheme="minorHAnsi" w:hAnsiTheme="minorHAnsi"/>
          <w:b/>
          <w:bCs/>
          <w:snapToGrid w:val="0"/>
        </w:rPr>
        <w:t>Outcome:</w:t>
      </w:r>
    </w:p>
    <w:p w14:paraId="79051ECB" w14:textId="5FDA5D36" w:rsidR="00BF7AB4" w:rsidRPr="00007450" w:rsidRDefault="00BF7AB4" w:rsidP="00864C4B">
      <w:pPr>
        <w:rPr>
          <w:rFonts w:asciiTheme="minorHAnsi" w:hAnsiTheme="minorHAnsi"/>
          <w:bCs/>
          <w:snapToGrid w:val="0"/>
        </w:rPr>
      </w:pPr>
      <w:r w:rsidRPr="00007450">
        <w:rPr>
          <w:rFonts w:asciiTheme="minorHAnsi" w:hAnsiTheme="minorHAnsi"/>
          <w:bCs/>
          <w:snapToGrid w:val="0"/>
        </w:rPr>
        <w:t>Not recommended</w:t>
      </w:r>
      <w:r w:rsidR="00896F9E">
        <w:rPr>
          <w:rFonts w:asciiTheme="minorHAnsi" w:hAnsiTheme="minorHAnsi"/>
          <w:bCs/>
          <w:snapToGrid w:val="0"/>
        </w:rPr>
        <w:t xml:space="preserve"> </w:t>
      </w:r>
    </w:p>
    <w:bookmarkEnd w:id="98"/>
    <w:p w14:paraId="413EB6CC" w14:textId="77777777" w:rsidR="00C1376D" w:rsidRPr="00C1376D" w:rsidRDefault="00C1376D" w:rsidP="00864C4B">
      <w:pPr>
        <w:rPr>
          <w:rFonts w:asciiTheme="minorHAnsi" w:hAnsiTheme="minorHAnsi"/>
          <w:snapToGrid w:val="0"/>
        </w:rPr>
      </w:pPr>
    </w:p>
    <w:p w14:paraId="7A3EFEC8" w14:textId="77777777" w:rsidR="00166B05" w:rsidRDefault="00166B05" w:rsidP="00864C4B">
      <w:pPr>
        <w:pStyle w:val="2-SectionHeading"/>
        <w:rPr>
          <w:bCs/>
        </w:rPr>
      </w:pPr>
      <w:r w:rsidRPr="00166B05">
        <w:rPr>
          <w:bCs/>
        </w:rPr>
        <w:t>Context for Decision</w:t>
      </w:r>
    </w:p>
    <w:p w14:paraId="7D1F5928" w14:textId="5BE4F95B" w:rsidR="00166B05" w:rsidRPr="00166B05" w:rsidRDefault="00166B05" w:rsidP="00864C4B">
      <w:pPr>
        <w:ind w:left="709"/>
      </w:pPr>
      <w:r w:rsidRPr="00166B05">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1D0762" w14:textId="71A28817" w:rsidR="00F10635" w:rsidRDefault="00166B05" w:rsidP="00864C4B">
      <w:pPr>
        <w:pStyle w:val="2-SectionHeading"/>
        <w:rPr>
          <w:bCs/>
        </w:rPr>
      </w:pPr>
      <w:r w:rsidRPr="00166B05">
        <w:rPr>
          <w:bCs/>
        </w:rPr>
        <w:t>Sponsor’s Comment</w:t>
      </w:r>
    </w:p>
    <w:p w14:paraId="0E98FCDC" w14:textId="77777777" w:rsidR="005853C0" w:rsidRPr="005853C0" w:rsidRDefault="005853C0" w:rsidP="00864C4B">
      <w:pPr>
        <w:pStyle w:val="3-BodyText"/>
        <w:numPr>
          <w:ilvl w:val="0"/>
          <w:numId w:val="0"/>
        </w:numPr>
        <w:ind w:left="720"/>
      </w:pPr>
      <w:r w:rsidRPr="005853C0">
        <w:t>Novartis believes all Australians with early breast cancer at high risk of recurrence should have equitable access to effective treatment options. The PBAC's decision not to recommend Kisqali leaves some women with HR+/HER2- high-risk early breast cancer without access to a treatment that can reduce their risk of disease recurrence. Novartis will continue to partner with the breast cancer community to advance care through collaboration and innovation.</w:t>
      </w:r>
    </w:p>
    <w:p w14:paraId="0F8FB84E" w14:textId="77777777" w:rsidR="008B792C" w:rsidRPr="00166B05" w:rsidRDefault="008B792C" w:rsidP="00864C4B">
      <w:pPr>
        <w:pStyle w:val="3-BodyText"/>
        <w:numPr>
          <w:ilvl w:val="0"/>
          <w:numId w:val="0"/>
        </w:numPr>
        <w:ind w:left="720"/>
      </w:pPr>
    </w:p>
    <w:sectPr w:rsidR="008B792C" w:rsidRPr="00166B05" w:rsidSect="00F2785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5EE8" w14:textId="77777777" w:rsidR="00CC1C72" w:rsidRDefault="00CC1C72" w:rsidP="00124A51">
      <w:r>
        <w:separator/>
      </w:r>
    </w:p>
    <w:p w14:paraId="57CBBB0E" w14:textId="77777777" w:rsidR="00CC1C72" w:rsidRDefault="00CC1C72"/>
  </w:endnote>
  <w:endnote w:type="continuationSeparator" w:id="0">
    <w:p w14:paraId="03755F73" w14:textId="77777777" w:rsidR="00CC1C72" w:rsidRDefault="00CC1C72" w:rsidP="00124A51">
      <w:r>
        <w:continuationSeparator/>
      </w:r>
    </w:p>
    <w:p w14:paraId="48DB5FAC" w14:textId="77777777" w:rsidR="00CC1C72" w:rsidRDefault="00CC1C72"/>
  </w:endnote>
  <w:endnote w:type="continuationNotice" w:id="1">
    <w:p w14:paraId="3CC3AA06" w14:textId="77777777" w:rsidR="00CC1C72" w:rsidRDefault="00CC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3357" w14:textId="7D348B7A" w:rsidR="00C92EEB" w:rsidRDefault="00C92EEB">
    <w:pPr>
      <w:pStyle w:val="Footer"/>
    </w:pPr>
    <w:r>
      <w:rPr>
        <w:noProof/>
      </w:rPr>
      <mc:AlternateContent>
        <mc:Choice Requires="wps">
          <w:drawing>
            <wp:anchor distT="0" distB="0" distL="0" distR="0" simplePos="0" relativeHeight="251658244" behindDoc="0" locked="0" layoutInCell="1" allowOverlap="1" wp14:anchorId="63D7C8CB" wp14:editId="7E813BF9">
              <wp:simplePos x="635" y="635"/>
              <wp:positionH relativeFrom="page">
                <wp:align>center</wp:align>
              </wp:positionH>
              <wp:positionV relativeFrom="page">
                <wp:align>bottom</wp:align>
              </wp:positionV>
              <wp:extent cx="551815" cy="376555"/>
              <wp:effectExtent l="0" t="0" r="635" b="0"/>
              <wp:wrapNone/>
              <wp:docPr id="1920010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C824AA" w14:textId="29336A5F"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7C8C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0C824AA" w14:textId="29336A5F"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5AF8401" w:rsidR="00D843F2" w:rsidRDefault="00C92EEB" w:rsidP="00753B29">
    <w:pPr>
      <w:pStyle w:val="Footer"/>
      <w:jc w:val="center"/>
    </w:pPr>
    <w:r>
      <w:rPr>
        <w:noProof/>
      </w:rPr>
      <mc:AlternateContent>
        <mc:Choice Requires="wps">
          <w:drawing>
            <wp:anchor distT="0" distB="0" distL="0" distR="0" simplePos="0" relativeHeight="251658245" behindDoc="0" locked="0" layoutInCell="1" allowOverlap="1" wp14:anchorId="2967E9F0" wp14:editId="35792E53">
              <wp:simplePos x="635" y="635"/>
              <wp:positionH relativeFrom="page">
                <wp:align>center</wp:align>
              </wp:positionH>
              <wp:positionV relativeFrom="page">
                <wp:align>bottom</wp:align>
              </wp:positionV>
              <wp:extent cx="551815" cy="376555"/>
              <wp:effectExtent l="0" t="0" r="635" b="0"/>
              <wp:wrapNone/>
              <wp:docPr id="2007321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02B4D6" w14:textId="35E05799"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67E9F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F02B4D6" w14:textId="35E05799"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p>
  <w:bookmarkStart w:id="101" w:name="_Hlk76375156"/>
  <w:p w14:paraId="76CF11B6" w14:textId="77777777" w:rsidR="00F62051" w:rsidRPr="00F90A91" w:rsidRDefault="00F62051" w:rsidP="00F6205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0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CFA" w14:textId="5C636D2B" w:rsidR="00C92EEB" w:rsidRDefault="00C92EEB">
    <w:pPr>
      <w:pStyle w:val="Footer"/>
    </w:pPr>
    <w:r>
      <w:rPr>
        <w:noProof/>
      </w:rPr>
      <mc:AlternateContent>
        <mc:Choice Requires="wps">
          <w:drawing>
            <wp:anchor distT="0" distB="0" distL="0" distR="0" simplePos="0" relativeHeight="251658243" behindDoc="0" locked="0" layoutInCell="1" allowOverlap="1" wp14:anchorId="6D5FE2E2" wp14:editId="56B746B3">
              <wp:simplePos x="635" y="635"/>
              <wp:positionH relativeFrom="page">
                <wp:align>center</wp:align>
              </wp:positionH>
              <wp:positionV relativeFrom="page">
                <wp:align>bottom</wp:align>
              </wp:positionV>
              <wp:extent cx="551815" cy="376555"/>
              <wp:effectExtent l="0" t="0" r="635" b="0"/>
              <wp:wrapNone/>
              <wp:docPr id="8807658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8B2D84" w14:textId="3D5E0C2D"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FE2E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38B2D84" w14:textId="3D5E0C2D"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4BBD" w14:textId="77777777" w:rsidR="00CC1C72" w:rsidRDefault="00CC1C72">
      <w:r>
        <w:separator/>
      </w:r>
    </w:p>
  </w:footnote>
  <w:footnote w:type="continuationSeparator" w:id="0">
    <w:p w14:paraId="523209C2" w14:textId="77777777" w:rsidR="00CC1C72" w:rsidRDefault="00CC1C72" w:rsidP="00124A51">
      <w:r>
        <w:continuationSeparator/>
      </w:r>
    </w:p>
    <w:p w14:paraId="64AD494A" w14:textId="77777777" w:rsidR="00CC1C72" w:rsidRDefault="00CC1C72"/>
  </w:footnote>
  <w:footnote w:type="continuationNotice" w:id="1">
    <w:p w14:paraId="77AC6F7B" w14:textId="77777777" w:rsidR="00CC1C72" w:rsidRDefault="00CC1C72"/>
  </w:footnote>
  <w:footnote w:id="2">
    <w:p w14:paraId="3E6C5F0A" w14:textId="0DE37FE5" w:rsidR="00F312FE" w:rsidRDefault="00F312FE">
      <w:pPr>
        <w:pStyle w:val="FootnoteText"/>
      </w:pPr>
      <w:r>
        <w:rPr>
          <w:rStyle w:val="FootnoteReference"/>
        </w:rPr>
        <w:footnoteRef/>
      </w:r>
      <w:r>
        <w:t xml:space="preserve"> </w:t>
      </w:r>
      <w:r w:rsidRPr="00F537A7">
        <w:rPr>
          <w:noProof/>
        </w:rPr>
        <w:t>A</w:t>
      </w:r>
      <w:r>
        <w:rPr>
          <w:noProof/>
        </w:rPr>
        <w:t>ustralian Institute of Health and Welfare, 2024</w:t>
      </w:r>
      <w:r w:rsidRPr="00F537A7">
        <w:rPr>
          <w:noProof/>
        </w:rPr>
        <w:t>. Cancer data in Australia. Canberra.</w:t>
      </w:r>
    </w:p>
  </w:footnote>
  <w:footnote w:id="3">
    <w:p w14:paraId="4CB8B8DC" w14:textId="6EE298BF" w:rsidR="00F312FE" w:rsidRDefault="00F312FE">
      <w:pPr>
        <w:pStyle w:val="FootnoteText"/>
      </w:pPr>
      <w:r>
        <w:rPr>
          <w:rStyle w:val="FootnoteReference"/>
        </w:rPr>
        <w:footnoteRef/>
      </w:r>
      <w:r>
        <w:t xml:space="preserve"> </w:t>
      </w:r>
      <w:r w:rsidRPr="00F537A7">
        <w:rPr>
          <w:noProof/>
        </w:rPr>
        <w:t>A</w:t>
      </w:r>
      <w:r>
        <w:rPr>
          <w:noProof/>
        </w:rPr>
        <w:t>ustralian Institute of Health and Welfare, 2024</w:t>
      </w:r>
      <w:r w:rsidRPr="00F537A7">
        <w:rPr>
          <w:noProof/>
        </w:rPr>
        <w:t>. BreastScreen Australia monitoring report 2024. Canberra.</w:t>
      </w:r>
    </w:p>
  </w:footnote>
  <w:footnote w:id="4">
    <w:p w14:paraId="62B56064" w14:textId="426F861C" w:rsidR="00F312FE" w:rsidRDefault="00F312FE">
      <w:pPr>
        <w:pStyle w:val="FootnoteText"/>
      </w:pPr>
      <w:r>
        <w:rPr>
          <w:rStyle w:val="FootnoteReference"/>
        </w:rPr>
        <w:footnoteRef/>
      </w:r>
      <w:r>
        <w:t xml:space="preserve"> </w:t>
      </w:r>
      <w:r w:rsidRPr="00F537A7">
        <w:rPr>
          <w:noProof/>
        </w:rPr>
        <w:t>Orrantia-Borunda E A-NP, Acuña-Aguilar LE, et al</w:t>
      </w:r>
      <w:r>
        <w:rPr>
          <w:noProof/>
        </w:rPr>
        <w:t>, 2022</w:t>
      </w:r>
      <w:r w:rsidRPr="00F537A7">
        <w:rPr>
          <w:noProof/>
        </w:rPr>
        <w:t>. Subtypes of Breast Cancer. In: HN M, editor. Breast Cancer: Exon Publications</w:t>
      </w:r>
      <w:r>
        <w:rPr>
          <w:noProof/>
        </w:rPr>
        <w:t>.</w:t>
      </w:r>
    </w:p>
  </w:footnote>
  <w:footnote w:id="5">
    <w:p w14:paraId="1D81EBC3" w14:textId="27EC297E" w:rsidR="00F312FE" w:rsidRDefault="00F312FE">
      <w:pPr>
        <w:pStyle w:val="FootnoteText"/>
      </w:pPr>
      <w:r>
        <w:rPr>
          <w:rStyle w:val="FootnoteReference"/>
        </w:rPr>
        <w:footnoteRef/>
      </w:r>
      <w:r>
        <w:t xml:space="preserve"> </w:t>
      </w:r>
      <w:r w:rsidRPr="00F537A7">
        <w:rPr>
          <w:noProof/>
        </w:rPr>
        <w:t>Braal CL, Jongbloed EM, Wilting SM, Mathijssen RHJ, Koolen SLW, Jager A</w:t>
      </w:r>
      <w:r>
        <w:rPr>
          <w:noProof/>
        </w:rPr>
        <w:t>, 2021</w:t>
      </w:r>
      <w:r w:rsidRPr="00F537A7">
        <w:rPr>
          <w:noProof/>
        </w:rPr>
        <w:t xml:space="preserve">. Inhibiting CDK4/6 in Breast Cancer with Palbociclib, Ribociclib, and Abemaciclib: Similarities and Differences. </w:t>
      </w:r>
      <w:r w:rsidRPr="00F537A7">
        <w:rPr>
          <w:i/>
          <w:noProof/>
        </w:rPr>
        <w:t>Drugs</w:t>
      </w:r>
      <w:r w:rsidRPr="00F537A7">
        <w:rPr>
          <w:noProof/>
        </w:rPr>
        <w:t>. 81(3):317-31</w:t>
      </w:r>
    </w:p>
  </w:footnote>
  <w:footnote w:id="6">
    <w:p w14:paraId="5EBBEF21" w14:textId="0BEA0D08" w:rsidR="000A5B50" w:rsidRDefault="000A5B50">
      <w:pPr>
        <w:pStyle w:val="FootnoteText"/>
      </w:pPr>
      <w:r>
        <w:rPr>
          <w:rStyle w:val="FootnoteReference"/>
        </w:rPr>
        <w:footnoteRef/>
      </w:r>
      <w:r>
        <w:t xml:space="preserve"> </w:t>
      </w:r>
      <w:r w:rsidRPr="000A5B50">
        <w:t>Cherny NI, Dafni U, Bogaerts J, et al: ESMO-Magnitude of Clinical Benefit Scale version 1.1. Annals of Oncology 28:2340-2366, 2017</w:t>
      </w:r>
    </w:p>
  </w:footnote>
  <w:footnote w:id="7">
    <w:p w14:paraId="189FC116" w14:textId="26E24057" w:rsidR="004C610D" w:rsidRDefault="004C610D">
      <w:pPr>
        <w:pStyle w:val="FootnoteText"/>
      </w:pPr>
      <w:r>
        <w:rPr>
          <w:rStyle w:val="FootnoteReference"/>
        </w:rPr>
        <w:footnoteRef/>
      </w:r>
      <w:r>
        <w:t xml:space="preserve"> The safety set was defined as patients who received at least one dose of any study treatment</w:t>
      </w:r>
    </w:p>
  </w:footnote>
  <w:footnote w:id="8">
    <w:p w14:paraId="5B8050CB" w14:textId="77777777" w:rsidR="001C79E4" w:rsidRDefault="001C79E4" w:rsidP="001C79E4">
      <w:pPr>
        <w:pStyle w:val="FootnoteText"/>
      </w:pPr>
      <w:r>
        <w:rPr>
          <w:rStyle w:val="FootnoteReference"/>
        </w:rPr>
        <w:footnoteRef/>
      </w:r>
      <w:r>
        <w:t xml:space="preserve"> </w:t>
      </w:r>
      <w:r w:rsidRPr="007C4103">
        <w:t xml:space="preserve">Chan A, O'Neil N, </w:t>
      </w:r>
      <w:r>
        <w:rPr>
          <w:i/>
          <w:iCs/>
        </w:rPr>
        <w:t>et al</w:t>
      </w:r>
      <w:r w:rsidRPr="007C4103">
        <w:t xml:space="preserve">. BreastSurgANZ members recommendations for adjuvant systemic treatment and patient compliance in Australian breast cancer patients. </w:t>
      </w:r>
      <w:r w:rsidRPr="007C4103">
        <w:rPr>
          <w:i/>
          <w:iCs/>
        </w:rPr>
        <w:t xml:space="preserve">ANZ </w:t>
      </w:r>
      <w:r>
        <w:rPr>
          <w:i/>
          <w:iCs/>
        </w:rPr>
        <w:t>J</w:t>
      </w:r>
      <w:r w:rsidRPr="007C4103">
        <w:rPr>
          <w:i/>
          <w:iCs/>
        </w:rPr>
        <w:t xml:space="preserve">ournal of </w:t>
      </w:r>
      <w:r>
        <w:rPr>
          <w:i/>
          <w:iCs/>
        </w:rPr>
        <w:t>S</w:t>
      </w:r>
      <w:r w:rsidRPr="007C4103">
        <w:rPr>
          <w:i/>
          <w:iCs/>
        </w:rPr>
        <w:t>urgery</w:t>
      </w:r>
      <w:r w:rsidRPr="007C4103">
        <w:t>. 2021;91(11):2418-24.</w:t>
      </w:r>
    </w:p>
  </w:footnote>
  <w:footnote w:id="9">
    <w:p w14:paraId="64A860D3" w14:textId="77777777" w:rsidR="001C79E4" w:rsidRDefault="001C79E4" w:rsidP="001C79E4">
      <w:pPr>
        <w:pStyle w:val="FootnoteText"/>
      </w:pPr>
      <w:r>
        <w:rPr>
          <w:rStyle w:val="FootnoteReference"/>
        </w:rPr>
        <w:footnoteRef/>
      </w:r>
      <w:r>
        <w:t xml:space="preserve"> </w:t>
      </w:r>
      <w:r w:rsidRPr="00A41DA2">
        <w:t xml:space="preserve">Kanjanapan Y, Anderson W, </w:t>
      </w:r>
      <w:r>
        <w:rPr>
          <w:i/>
          <w:iCs/>
        </w:rPr>
        <w:t>et al</w:t>
      </w:r>
      <w:r w:rsidRPr="00A41DA2">
        <w:t xml:space="preserve">. Real-World Analysis of Breast Cancer Patients Qualifying for Adjuvant CDK4/6 Inhibitors. </w:t>
      </w:r>
      <w:r w:rsidRPr="00A41DA2">
        <w:rPr>
          <w:i/>
          <w:iCs/>
        </w:rPr>
        <w:t>Clin Breast Cancer</w:t>
      </w:r>
      <w:r w:rsidRPr="00A41DA2">
        <w:t>. 2025;25(2):e159-e69.e2.</w:t>
      </w:r>
    </w:p>
  </w:footnote>
  <w:footnote w:id="10">
    <w:p w14:paraId="4A51775A" w14:textId="77777777" w:rsidR="00E850FA" w:rsidRPr="00634E0C" w:rsidRDefault="00E850FA" w:rsidP="00E850FA">
      <w:pPr>
        <w:pStyle w:val="TableFooter"/>
        <w:rPr>
          <w:lang w:val="en-GB"/>
        </w:rPr>
      </w:pPr>
      <w:r>
        <w:rPr>
          <w:rStyle w:val="FootnoteReference"/>
        </w:rPr>
        <w:footnoteRef/>
      </w:r>
      <w:r>
        <w:t xml:space="preserve"> </w:t>
      </w:r>
      <w:r w:rsidRPr="00634E0C">
        <w:t>Dogan I, Aydin E, et al. Long</w:t>
      </w:r>
      <w:r w:rsidRPr="00634E0C">
        <w:rPr>
          <w:rFonts w:ascii="Cambria Math" w:hAnsi="Cambria Math" w:cs="Cambria Math"/>
        </w:rPr>
        <w:t>‑</w:t>
      </w:r>
      <w:r w:rsidRPr="00634E0C">
        <w:t>term outcomes and predictors of recurrence in node</w:t>
      </w:r>
      <w:r w:rsidRPr="00634E0C">
        <w:rPr>
          <w:rFonts w:ascii="Cambria Math" w:hAnsi="Cambria Math" w:cs="Cambria Math"/>
        </w:rPr>
        <w:t>‑</w:t>
      </w:r>
      <w:r w:rsidRPr="00634E0C">
        <w:t>negative early stage breast cancer patients. JCRCO. 2023;</w:t>
      </w:r>
      <w:r>
        <w:t xml:space="preserve"> </w:t>
      </w:r>
      <w:r w:rsidRPr="00634E0C">
        <w:t>149:14833-14841.</w:t>
      </w:r>
    </w:p>
  </w:footnote>
  <w:footnote w:id="11">
    <w:p w14:paraId="325C81F3" w14:textId="77777777" w:rsidR="00E850FA" w:rsidRPr="00710EAF" w:rsidRDefault="00E850FA" w:rsidP="00E850FA">
      <w:pPr>
        <w:pStyle w:val="TableFooter"/>
        <w:rPr>
          <w:lang w:val="en-GB"/>
        </w:rPr>
      </w:pPr>
      <w:r>
        <w:rPr>
          <w:rStyle w:val="FootnoteReference"/>
        </w:rPr>
        <w:footnoteRef/>
      </w:r>
      <w:r>
        <w:t xml:space="preserve"> EBCTCG. Reductions in recurrence in women with early breast cancer entering clinical trials between 1990 and 2009: a pooled analysis of 155 746 women in 151 trials. Lancet. 2024; 404:1407-18.</w:t>
      </w:r>
    </w:p>
  </w:footnote>
  <w:footnote w:id="12">
    <w:p w14:paraId="77E7CC4A" w14:textId="3DE7D091" w:rsidR="00D81D66" w:rsidRDefault="00D81D66">
      <w:pPr>
        <w:pStyle w:val="FootnoteText"/>
      </w:pPr>
      <w:r>
        <w:rPr>
          <w:rStyle w:val="FootnoteReference"/>
        </w:rPr>
        <w:footnoteRef/>
      </w:r>
      <w:r>
        <w:t xml:space="preserve"> </w:t>
      </w:r>
      <w:r w:rsidR="00E77F45">
        <w:t>Jhaveri</w:t>
      </w:r>
      <w:r w:rsidR="00E77F45" w:rsidRPr="00E77F45">
        <w:t>, K.,</w:t>
      </w:r>
      <w:r w:rsidR="00FF2127">
        <w:t xml:space="preserve"> </w:t>
      </w:r>
      <w:r w:rsidR="000E26AA">
        <w:t>Pegram M</w:t>
      </w:r>
      <w:r w:rsidR="00E77F45" w:rsidRPr="00E77F45">
        <w:t>. 292P Real-world evidence on risk of recurrence (ROR) in patients (pts) with node-negative (N0) and node-positive HR+/HER2</w:t>
      </w:r>
      <w:r w:rsidR="00F24248">
        <w:t>-</w:t>
      </w:r>
      <w:r w:rsidR="00E77F45" w:rsidRPr="00E77F45">
        <w:t xml:space="preserve"> early breast cancer (EBC) from US electronic health records (EHR). </w:t>
      </w:r>
      <w:r w:rsidR="00E77F45" w:rsidRPr="00AD13B7">
        <w:rPr>
          <w:i/>
          <w:iCs/>
        </w:rPr>
        <w:t>Annals of Oncology</w:t>
      </w:r>
      <w:r w:rsidR="00E77F45" w:rsidRPr="00E77F45">
        <w:t xml:space="preserve">, 35, </w:t>
      </w:r>
      <w:r w:rsidR="00F969B3">
        <w:t>2024;</w:t>
      </w:r>
      <w:r w:rsidR="00E77F45" w:rsidRPr="00E77F45">
        <w:t>S337-S338</w:t>
      </w:r>
    </w:p>
  </w:footnote>
  <w:footnote w:id="13">
    <w:p w14:paraId="0B5B8940" w14:textId="0B04D67A" w:rsidR="001C79E4" w:rsidRDefault="001C79E4" w:rsidP="001C79E4">
      <w:pPr>
        <w:pStyle w:val="FootnoteText"/>
      </w:pPr>
      <w:r>
        <w:rPr>
          <w:rStyle w:val="FootnoteReference"/>
        </w:rPr>
        <w:footnoteRef/>
      </w:r>
      <w:r>
        <w:t xml:space="preserve"> </w:t>
      </w:r>
      <w:r w:rsidRPr="00AD7EFE">
        <w:t xml:space="preserve">Early Breast Cancer Trialists' Collaborative Group (EBCTCG). Effects of chemotherapy and hormonal therapy for early breast cancer on recurrence and 15-year survival: an overview of the randomised trials. </w:t>
      </w:r>
      <w:r w:rsidRPr="00AD7EFE">
        <w:rPr>
          <w:i/>
          <w:iCs/>
        </w:rPr>
        <w:t>Lancet</w:t>
      </w:r>
      <w:r w:rsidRPr="00AD7EFE">
        <w:t>. 2005;365(9472):1687-717.</w:t>
      </w:r>
    </w:p>
  </w:footnote>
  <w:footnote w:id="14">
    <w:p w14:paraId="4C49A3EE" w14:textId="67DDB508" w:rsidR="00F27CA2" w:rsidRDefault="00F27CA2">
      <w:pPr>
        <w:pStyle w:val="FootnoteText"/>
      </w:pPr>
      <w:r>
        <w:rPr>
          <w:rStyle w:val="FootnoteReference"/>
        </w:rPr>
        <w:footnoteRef/>
      </w:r>
      <w:r>
        <w:t xml:space="preserve"> </w:t>
      </w:r>
      <w:r w:rsidRPr="00AD7EFE">
        <w:t xml:space="preserve">Howell A, Cuzick J, </w:t>
      </w:r>
      <w:r w:rsidRPr="00AD7EFE">
        <w:rPr>
          <w:i/>
          <w:iCs/>
        </w:rPr>
        <w:t>et al</w:t>
      </w:r>
      <w:r w:rsidRPr="00AD7EFE">
        <w:t xml:space="preserve">. Results of the ATAC (Arimidex, Tamoxifen, Alone or in Combination) trial after completion of 5 years' adjuvant treatment for breast cancer. </w:t>
      </w:r>
      <w:r w:rsidRPr="00AD7EFE">
        <w:rPr>
          <w:i/>
          <w:iCs/>
        </w:rPr>
        <w:t>Lancet.</w:t>
      </w:r>
      <w:r w:rsidRPr="00AD7EFE">
        <w:t xml:space="preserve"> 2005;365(9453):60-2.</w:t>
      </w:r>
    </w:p>
  </w:footnote>
  <w:footnote w:id="15">
    <w:p w14:paraId="51AD15F2" w14:textId="77777777" w:rsidR="001C79E4" w:rsidRDefault="001C79E4" w:rsidP="001C79E4">
      <w:pPr>
        <w:pStyle w:val="FootnoteText"/>
      </w:pPr>
      <w:r>
        <w:rPr>
          <w:rStyle w:val="FootnoteReference"/>
        </w:rPr>
        <w:footnoteRef/>
      </w:r>
      <w:r>
        <w:t xml:space="preserve"> </w:t>
      </w:r>
      <w:r w:rsidRPr="007C4A2D">
        <w:t xml:space="preserve">Norman R, Mulhern B, </w:t>
      </w:r>
      <w:r>
        <w:rPr>
          <w:i/>
          <w:iCs/>
        </w:rPr>
        <w:t>et al</w:t>
      </w:r>
      <w:r w:rsidRPr="007C4A2D">
        <w:t xml:space="preserve">. The Use of a Discrete Choice Experiment Including Both Duration and Dead for the Development of an EQ-5D-5L Value Set for Australia. </w:t>
      </w:r>
      <w:r w:rsidRPr="007C4A2D">
        <w:rPr>
          <w:i/>
          <w:iCs/>
        </w:rPr>
        <w:t>Pharmacoeconomics</w:t>
      </w:r>
      <w:r w:rsidRPr="007C4A2D">
        <w:t>. 2023;41(4):427-38.</w:t>
      </w:r>
    </w:p>
  </w:footnote>
  <w:footnote w:id="16">
    <w:p w14:paraId="782FB981" w14:textId="77777777" w:rsidR="001C79E4" w:rsidRDefault="001C79E4" w:rsidP="001C79E4">
      <w:pPr>
        <w:pStyle w:val="FootnoteText"/>
      </w:pPr>
      <w:r>
        <w:rPr>
          <w:rStyle w:val="FootnoteReference"/>
        </w:rPr>
        <w:footnoteRef/>
      </w:r>
      <w:r>
        <w:t xml:space="preserve"> </w:t>
      </w:r>
      <w:r w:rsidRPr="004577A1">
        <w:t xml:space="preserve">McCaffrey N, Kaambwa B, </w:t>
      </w:r>
      <w:r>
        <w:rPr>
          <w:i/>
          <w:iCs/>
        </w:rPr>
        <w:t>et al</w:t>
      </w:r>
      <w:r w:rsidRPr="004577A1">
        <w:t xml:space="preserve">. Health-related quality of life measured using the EQ-5D-5L: South Australian population norms. </w:t>
      </w:r>
      <w:r w:rsidRPr="004577A1">
        <w:rPr>
          <w:i/>
          <w:iCs/>
        </w:rPr>
        <w:t>Health Qual Life Outcomes</w:t>
      </w:r>
      <w:r w:rsidRPr="004577A1">
        <w:t>. 2016;14(1):133.</w:t>
      </w:r>
    </w:p>
  </w:footnote>
  <w:footnote w:id="17">
    <w:p w14:paraId="237E500D" w14:textId="574B2159" w:rsidR="00412811" w:rsidRDefault="00412811" w:rsidP="00412811">
      <w:pPr>
        <w:pStyle w:val="FootnoteText"/>
      </w:pPr>
      <w:r>
        <w:rPr>
          <w:rStyle w:val="FootnoteReference"/>
        </w:rPr>
        <w:footnoteRef/>
      </w:r>
      <w:r>
        <w:t xml:space="preserve"> 83.4% = 333.58 mg / 400 mg, where 400 mg was the planned dose intensity, and 333.58 mg was the mean dose intensity (defined as actual cumulative dose / duration of exposure).</w:t>
      </w:r>
      <w:r w:rsidR="004A2F0E">
        <w:t xml:space="preserve"> </w:t>
      </w:r>
    </w:p>
  </w:footnote>
  <w:footnote w:id="18">
    <w:p w14:paraId="3FD1C3D6" w14:textId="77777777" w:rsidR="00412811" w:rsidRPr="002C52F3" w:rsidRDefault="00412811" w:rsidP="00412811">
      <w:pPr>
        <w:pStyle w:val="FootnoteText"/>
        <w:rPr>
          <w:lang w:val="en-US"/>
        </w:rPr>
      </w:pPr>
      <w:r>
        <w:rPr>
          <w:rStyle w:val="FootnoteReference"/>
        </w:rPr>
        <w:footnoteRef/>
      </w:r>
      <w:r>
        <w:t xml:space="preserve"> 72.8% × 400 mg + 27.2% × 200 mg</w:t>
      </w:r>
    </w:p>
  </w:footnote>
  <w:footnote w:id="19">
    <w:p w14:paraId="4BD0DD6E" w14:textId="44126D49" w:rsidR="00BD664B" w:rsidRPr="00F42E09" w:rsidRDefault="00BD664B">
      <w:pPr>
        <w:pStyle w:val="FootnoteText"/>
        <w:rPr>
          <w:sz w:val="18"/>
          <w:szCs w:val="18"/>
          <w:lang w:val="en-US"/>
        </w:rPr>
      </w:pPr>
      <w:r w:rsidRPr="00F42E09">
        <w:rPr>
          <w:rStyle w:val="FootnoteReference"/>
          <w:sz w:val="18"/>
          <w:szCs w:val="18"/>
        </w:rPr>
        <w:footnoteRef/>
      </w:r>
      <w:r w:rsidRPr="00F42E09">
        <w:rPr>
          <w:sz w:val="18"/>
          <w:szCs w:val="18"/>
        </w:rPr>
        <w:t xml:space="preserve"> Australian Institute of Health and Welfare. BreastScreen Australia monitoring report 2020 Canberra: AIHW; 2020; Available from: </w:t>
      </w:r>
      <w:hyperlink r:id="rId1" w:history="1">
        <w:r w:rsidRPr="00F42E09">
          <w:rPr>
            <w:rStyle w:val="Hyperlink"/>
            <w:sz w:val="18"/>
            <w:szCs w:val="18"/>
          </w:rPr>
          <w:t>https://www.aihw.gov.au/reports/cancer-screening/breastscreen-australia-monitoring-report-2020/summary</w:t>
        </w:r>
      </w:hyperlink>
      <w:r w:rsidRPr="00F42E09">
        <w:rPr>
          <w:sz w:val="18"/>
          <w:szCs w:val="18"/>
        </w:rPr>
        <w:t>.</w:t>
      </w:r>
    </w:p>
  </w:footnote>
  <w:footnote w:id="20">
    <w:p w14:paraId="131E1BB3" w14:textId="6A057E4B" w:rsidR="00BD664B" w:rsidRPr="00F42E09" w:rsidRDefault="00BD664B">
      <w:pPr>
        <w:pStyle w:val="FootnoteText"/>
        <w:rPr>
          <w:sz w:val="18"/>
          <w:szCs w:val="18"/>
          <w:lang w:val="en-US"/>
        </w:rPr>
      </w:pPr>
      <w:r w:rsidRPr="00F42E09">
        <w:rPr>
          <w:rStyle w:val="FootnoteReference"/>
          <w:sz w:val="18"/>
          <w:szCs w:val="18"/>
        </w:rPr>
        <w:footnoteRef/>
      </w:r>
      <w:r w:rsidRPr="00F42E09">
        <w:rPr>
          <w:sz w:val="18"/>
          <w:szCs w:val="18"/>
        </w:rPr>
        <w:t xml:space="preserve"> Australian Institute of Health and Welfare. Cancer Data in Australia. Book 1a – Cancer incidence (age-standardised rates and 5-year age groups). Canberra: AIHW; 2024 [cited 2025 March]; Available from: </w:t>
      </w:r>
      <w:hyperlink r:id="rId2" w:history="1">
        <w:r w:rsidRPr="00F42E09">
          <w:rPr>
            <w:rStyle w:val="Hyperlink"/>
            <w:sz w:val="18"/>
            <w:szCs w:val="18"/>
          </w:rPr>
          <w:t>https://www.aihw.gov.au/reports/cancer/cancer-data-in-australia/</w:t>
        </w:r>
      </w:hyperlink>
      <w:r w:rsidRPr="00F42E09">
        <w:rPr>
          <w:sz w:val="18"/>
          <w:szCs w:val="18"/>
        </w:rPr>
        <w:t>.</w:t>
      </w:r>
    </w:p>
  </w:footnote>
  <w:footnote w:id="21">
    <w:p w14:paraId="2424CE96" w14:textId="483AF67C" w:rsidR="00BD664B" w:rsidRPr="00F42E09" w:rsidRDefault="00BD664B">
      <w:pPr>
        <w:pStyle w:val="FootnoteText"/>
        <w:rPr>
          <w:sz w:val="18"/>
          <w:szCs w:val="18"/>
          <w:lang w:val="en-US"/>
        </w:rPr>
      </w:pPr>
      <w:r w:rsidRPr="00F42E09">
        <w:rPr>
          <w:rStyle w:val="FootnoteReference"/>
          <w:sz w:val="18"/>
          <w:szCs w:val="18"/>
        </w:rPr>
        <w:footnoteRef/>
      </w:r>
      <w:r w:rsidRPr="00F42E09">
        <w:rPr>
          <w:sz w:val="18"/>
          <w:szCs w:val="18"/>
        </w:rPr>
        <w:t xml:space="preserve"> National Cancer Control Indicators. Distribution of cancer stage. Cancer Australia; 2018 [cited 2025 Apr]; Available from: </w:t>
      </w:r>
      <w:hyperlink r:id="rId3" w:history="1">
        <w:r w:rsidRPr="00F42E09">
          <w:rPr>
            <w:rStyle w:val="Hyperlink"/>
            <w:sz w:val="18"/>
            <w:szCs w:val="18"/>
          </w:rPr>
          <w:t>https://ncci.canceraustralia.gov.au/diagnosis/distribution-cancer-stage/distribution-cancer-stage</w:t>
        </w:r>
      </w:hyperlink>
      <w:r w:rsidRPr="00F42E09">
        <w:rPr>
          <w:sz w:val="18"/>
          <w:szCs w:val="18"/>
        </w:rPr>
        <w:t>.</w:t>
      </w:r>
    </w:p>
  </w:footnote>
  <w:footnote w:id="22">
    <w:p w14:paraId="579835C3" w14:textId="3EDD79B0" w:rsidR="00BD664B" w:rsidRPr="00F42E09" w:rsidRDefault="00BD664B">
      <w:pPr>
        <w:pStyle w:val="FootnoteText"/>
        <w:rPr>
          <w:sz w:val="18"/>
          <w:szCs w:val="18"/>
          <w:lang w:val="en-US"/>
        </w:rPr>
      </w:pPr>
      <w:r w:rsidRPr="00F42E09">
        <w:rPr>
          <w:rStyle w:val="FootnoteReference"/>
          <w:sz w:val="18"/>
          <w:szCs w:val="18"/>
        </w:rPr>
        <w:footnoteRef/>
      </w:r>
      <w:r w:rsidRPr="00F42E09">
        <w:rPr>
          <w:sz w:val="18"/>
          <w:szCs w:val="18"/>
        </w:rPr>
        <w:t xml:space="preserve"> Schaffler H, Mergel F, Pfister K, Lukac S, Fink A, Veselinovic K, et al. The Clinical Relevance of the NATALEE Study: Application of the NATALEE Criteria to a Real-World Cohort from Two Large German Breast Cancer Centers. </w:t>
      </w:r>
      <w:r w:rsidRPr="00F42E09">
        <w:rPr>
          <w:i/>
          <w:iCs/>
          <w:sz w:val="18"/>
          <w:szCs w:val="18"/>
        </w:rPr>
        <w:t>Int J Mol Sci</w:t>
      </w:r>
      <w:r w:rsidRPr="00F42E09">
        <w:rPr>
          <w:sz w:val="18"/>
          <w:szCs w:val="18"/>
        </w:rPr>
        <w:t>. 2023 Nov 15;24(22).</w:t>
      </w:r>
    </w:p>
  </w:footnote>
  <w:footnote w:id="23">
    <w:p w14:paraId="5BA022BD" w14:textId="725F24FE" w:rsidR="00BD664B" w:rsidRPr="00BD664B" w:rsidRDefault="00BD664B">
      <w:pPr>
        <w:pStyle w:val="FootnoteText"/>
        <w:rPr>
          <w:lang w:val="en-US"/>
        </w:rPr>
      </w:pPr>
      <w:r w:rsidRPr="00F42E09">
        <w:rPr>
          <w:rStyle w:val="FootnoteReference"/>
          <w:sz w:val="18"/>
          <w:szCs w:val="18"/>
        </w:rPr>
        <w:footnoteRef/>
      </w:r>
      <w:r w:rsidRPr="00F42E09">
        <w:rPr>
          <w:sz w:val="18"/>
          <w:szCs w:val="18"/>
        </w:rPr>
        <w:t xml:space="preserve"> Toi M, Boyle F, Im YH, Reinisch M, Molthrop D, Jiang Z, et al. Adjuvant Abemaciclib Combined with Endocrine Therapy: Efficacy Results in monarchE Cohort 1. </w:t>
      </w:r>
      <w:r w:rsidRPr="00F42E09">
        <w:rPr>
          <w:i/>
          <w:iCs/>
          <w:sz w:val="18"/>
          <w:szCs w:val="18"/>
        </w:rPr>
        <w:t>Oncologist</w:t>
      </w:r>
      <w:r w:rsidRPr="00F42E09">
        <w:rPr>
          <w:sz w:val="18"/>
          <w:szCs w:val="18"/>
        </w:rPr>
        <w:t>. 2023 Jan 18;28(1):e77-e81.</w:t>
      </w:r>
    </w:p>
  </w:footnote>
  <w:footnote w:id="24">
    <w:p w14:paraId="4AC15572" w14:textId="625DBEF0" w:rsidR="001D523F" w:rsidRPr="0046416D" w:rsidRDefault="001D523F" w:rsidP="001D523F">
      <w:pPr>
        <w:pStyle w:val="FootnoteText"/>
        <w:rPr>
          <w:lang w:val="en-US"/>
        </w:rPr>
      </w:pPr>
      <w:r>
        <w:rPr>
          <w:rStyle w:val="FootnoteReference"/>
        </w:rPr>
        <w:footnoteRef/>
      </w:r>
      <w:r>
        <w:t xml:space="preserve"> HR positive, HER2 negative Stage II–III disease with 1–3 positive lymph nodes and histological grade </w:t>
      </w:r>
      <w:r w:rsidRPr="008245AE">
        <w:rPr>
          <w:rFonts w:cstheme="minorHAnsi"/>
        </w:rPr>
        <w:t>≤</w:t>
      </w:r>
      <w:r>
        <w:t>2 and tumour size &lt;</w:t>
      </w:r>
      <w:r w:rsidR="00550371">
        <w:t xml:space="preserve"> </w:t>
      </w:r>
      <w:r>
        <w:t xml:space="preserve">5 cm; HR positive, HER2 negative Stage IIB or III disease with no positive lymph nodes; or HR positive, HER2 negative Stage IIA disease with no positive lymph nodes, with either (a) grade 3 histology, or (b) grade 2 histology with </w:t>
      </w:r>
      <w:r w:rsidRPr="008245AE">
        <w:t>a positive molecular diagnostic outcome</w:t>
      </w:r>
      <w:r>
        <w:t>.</w:t>
      </w:r>
    </w:p>
  </w:footnote>
  <w:footnote w:id="25">
    <w:p w14:paraId="153E64F7" w14:textId="77777777" w:rsidR="001D523F" w:rsidRDefault="001D523F" w:rsidP="001D523F">
      <w:pPr>
        <w:pStyle w:val="FootnoteText"/>
      </w:pPr>
      <w:r>
        <w:rPr>
          <w:rStyle w:val="FootnoteReference"/>
        </w:rPr>
        <w:footnoteRef/>
      </w:r>
      <w:r>
        <w:t xml:space="preserve"> 72.8% × 400 mg + 27.2% × 200 mg</w:t>
      </w:r>
    </w:p>
  </w:footnote>
  <w:footnote w:id="26">
    <w:p w14:paraId="0EA65785" w14:textId="517291AD" w:rsidR="0062669E" w:rsidRDefault="0062669E">
      <w:pPr>
        <w:pStyle w:val="FootnoteText"/>
      </w:pPr>
      <w:r>
        <w:rPr>
          <w:rStyle w:val="FootnoteReference"/>
        </w:rPr>
        <w:footnoteRef/>
      </w:r>
      <w:r>
        <w:t xml:space="preserve"> </w:t>
      </w:r>
      <w:r w:rsidR="00DF56C0" w:rsidRPr="00007450">
        <w:rPr>
          <w:iCs/>
        </w:rPr>
        <w:t>(a) stage II or III disease with 1–3 positive ALNs with grade ≤ 2 histology and tumour size &lt; 5 cm, or (b) stage IIB or III node-negative disease, or (c) stage IIA node-negative disease with (i) histological grade 3 or (ii) histological grade 2 with a positive molecular diagnostic outcome.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B17" w14:textId="4EE41652" w:rsidR="00C92EEB" w:rsidRDefault="00C92EEB">
    <w:pPr>
      <w:pStyle w:val="Header"/>
    </w:pPr>
    <w:r>
      <w:rPr>
        <w:noProof/>
      </w:rPr>
      <mc:AlternateContent>
        <mc:Choice Requires="wps">
          <w:drawing>
            <wp:anchor distT="0" distB="0" distL="0" distR="0" simplePos="0" relativeHeight="251658241" behindDoc="0" locked="0" layoutInCell="1" allowOverlap="1" wp14:anchorId="1F39229B" wp14:editId="25D3F692">
              <wp:simplePos x="635" y="635"/>
              <wp:positionH relativeFrom="page">
                <wp:align>center</wp:align>
              </wp:positionH>
              <wp:positionV relativeFrom="page">
                <wp:align>top</wp:align>
              </wp:positionV>
              <wp:extent cx="551815" cy="376555"/>
              <wp:effectExtent l="0" t="0" r="635" b="4445"/>
              <wp:wrapNone/>
              <wp:docPr id="534665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23BE89" w14:textId="0D5139AE"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9229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323BE89" w14:textId="0D5139AE"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0" w:name="_Hlk76375146"/>
  <w:p w14:paraId="4B1FE779" w14:textId="40D45D4E" w:rsidR="00511486" w:rsidRPr="00056684" w:rsidRDefault="00C92EEB" w:rsidP="00511486">
    <w:pPr>
      <w:pStyle w:val="Header"/>
      <w:ind w:left="360"/>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2CAEA373" wp14:editId="78FE299D">
              <wp:simplePos x="635" y="635"/>
              <wp:positionH relativeFrom="page">
                <wp:align>center</wp:align>
              </wp:positionH>
              <wp:positionV relativeFrom="page">
                <wp:align>top</wp:align>
              </wp:positionV>
              <wp:extent cx="551815" cy="376555"/>
              <wp:effectExtent l="0" t="0" r="635" b="4445"/>
              <wp:wrapNone/>
              <wp:docPr id="3984326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26027D" w14:textId="433A6B7F"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EA37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E26027D" w14:textId="433A6B7F"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r w:rsidR="009E18CF">
      <w:rPr>
        <w:rFonts w:asciiTheme="minorHAnsi" w:hAnsiTheme="minorHAnsi"/>
        <w:color w:val="808080"/>
      </w:rPr>
      <w:t xml:space="preserve">Public Summary Document </w:t>
    </w:r>
    <w:r w:rsidR="00511486" w:rsidRPr="00056684">
      <w:rPr>
        <w:rFonts w:asciiTheme="minorHAnsi" w:hAnsiTheme="minorHAnsi"/>
        <w:color w:val="808080"/>
      </w:rPr>
      <w:t xml:space="preserve">– </w:t>
    </w:r>
    <w:r w:rsidR="00511486">
      <w:rPr>
        <w:rFonts w:asciiTheme="minorHAnsi" w:hAnsiTheme="minorHAnsi"/>
        <w:color w:val="808080"/>
      </w:rPr>
      <w:t>July 2025</w:t>
    </w:r>
    <w:r w:rsidR="00511486" w:rsidRPr="00056684">
      <w:rPr>
        <w:rFonts w:asciiTheme="minorHAnsi" w:hAnsiTheme="minorHAnsi"/>
        <w:color w:val="808080"/>
      </w:rPr>
      <w:t xml:space="preserve"> PBAC Meeting</w:t>
    </w:r>
  </w:p>
  <w:bookmarkEnd w:id="100"/>
  <w:p w14:paraId="11033ABD" w14:textId="77777777" w:rsidR="0054078E" w:rsidRDefault="0054078E" w:rsidP="00AF7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9354" w14:textId="10EE96A0" w:rsidR="00C92EEB" w:rsidRDefault="00C92EEB">
    <w:pPr>
      <w:pStyle w:val="Header"/>
    </w:pPr>
    <w:r>
      <w:rPr>
        <w:noProof/>
      </w:rPr>
      <mc:AlternateContent>
        <mc:Choice Requires="wps">
          <w:drawing>
            <wp:anchor distT="0" distB="0" distL="0" distR="0" simplePos="0" relativeHeight="251658240" behindDoc="0" locked="0" layoutInCell="1" allowOverlap="1" wp14:anchorId="2C153232" wp14:editId="7CCBF38A">
              <wp:simplePos x="635" y="635"/>
              <wp:positionH relativeFrom="page">
                <wp:align>center</wp:align>
              </wp:positionH>
              <wp:positionV relativeFrom="page">
                <wp:align>top</wp:align>
              </wp:positionV>
              <wp:extent cx="551815" cy="376555"/>
              <wp:effectExtent l="0" t="0" r="635" b="4445"/>
              <wp:wrapNone/>
              <wp:docPr id="17764392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D0F775" w14:textId="19B1E5E6" w:rsidR="00C92EEB" w:rsidRPr="00C92EEB" w:rsidRDefault="00C92EEB" w:rsidP="00C92EEB">
                          <w:pPr>
                            <w:rPr>
                              <w:rFonts w:eastAsia="Calibri" w:cs="Calibri"/>
                              <w:noProof/>
                              <w:color w:val="FF0000"/>
                            </w:rPr>
                          </w:pPr>
                          <w:r w:rsidRPr="00C92EE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53232"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6D0F775" w14:textId="19B1E5E6" w:rsidR="00C92EEB" w:rsidRPr="00C92EEB" w:rsidRDefault="00C92EEB" w:rsidP="00C92EEB">
                    <w:pPr>
                      <w:rPr>
                        <w:rFonts w:eastAsia="Calibri" w:cs="Calibri"/>
                        <w:noProof/>
                        <w:color w:val="FF0000"/>
                      </w:rPr>
                    </w:pPr>
                    <w:r w:rsidRPr="00C92EEB">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D65FFB"/>
    <w:multiLevelType w:val="hybridMultilevel"/>
    <w:tmpl w:val="C444F850"/>
    <w:lvl w:ilvl="0" w:tplc="0C09001B">
      <w:start w:val="1"/>
      <w:numFmt w:val="lowerRoman"/>
      <w:lvlText w:val="%1."/>
      <w:lvlJc w:val="right"/>
      <w:pPr>
        <w:ind w:left="1778"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F113A9"/>
    <w:multiLevelType w:val="multilevel"/>
    <w:tmpl w:val="BAAAA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00982"/>
    <w:multiLevelType w:val="hybridMultilevel"/>
    <w:tmpl w:val="FB627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840B9E"/>
    <w:multiLevelType w:val="hybridMultilevel"/>
    <w:tmpl w:val="72B4EBF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FF1C2A"/>
    <w:multiLevelType w:val="hybridMultilevel"/>
    <w:tmpl w:val="E86645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634181"/>
    <w:multiLevelType w:val="multilevel"/>
    <w:tmpl w:val="75C0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47D30"/>
    <w:multiLevelType w:val="hybridMultilevel"/>
    <w:tmpl w:val="80C4638A"/>
    <w:lvl w:ilvl="0" w:tplc="2626085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4D033C"/>
    <w:multiLevelType w:val="multilevel"/>
    <w:tmpl w:val="18388B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ED04FCC"/>
    <w:multiLevelType w:val="hybridMultilevel"/>
    <w:tmpl w:val="5698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15"/>
  </w:num>
  <w:num w:numId="2" w16cid:durableId="917793048">
    <w:abstractNumId w:val="11"/>
  </w:num>
  <w:num w:numId="3" w16cid:durableId="263461728">
    <w:abstractNumId w:val="0"/>
  </w:num>
  <w:num w:numId="4" w16cid:durableId="1863592879">
    <w:abstractNumId w:val="2"/>
  </w:num>
  <w:num w:numId="5" w16cid:durableId="139346788">
    <w:abstractNumId w:val="16"/>
  </w:num>
  <w:num w:numId="6" w16cid:durableId="1533883230">
    <w:abstractNumId w:val="10"/>
  </w:num>
  <w:num w:numId="7" w16cid:durableId="220360847">
    <w:abstractNumId w:val="13"/>
  </w:num>
  <w:num w:numId="8" w16cid:durableId="268196418">
    <w:abstractNumId w:val="6"/>
  </w:num>
  <w:num w:numId="9" w16cid:durableId="1048839230">
    <w:abstractNumId w:val="15"/>
  </w:num>
  <w:num w:numId="10" w16cid:durableId="601184207">
    <w:abstractNumId w:val="7"/>
  </w:num>
  <w:num w:numId="11" w16cid:durableId="1557158083">
    <w:abstractNumId w:val="17"/>
  </w:num>
  <w:num w:numId="12" w16cid:durableId="2083334116">
    <w:abstractNumId w:val="4"/>
  </w:num>
  <w:num w:numId="13" w16cid:durableId="1856529582">
    <w:abstractNumId w:val="5"/>
  </w:num>
  <w:num w:numId="14" w16cid:durableId="630869987">
    <w:abstractNumId w:val="8"/>
  </w:num>
  <w:num w:numId="15" w16cid:durableId="350912127">
    <w:abstractNumId w:val="12"/>
  </w:num>
  <w:num w:numId="16" w16cid:durableId="745616395">
    <w:abstractNumId w:val="1"/>
  </w:num>
  <w:num w:numId="17" w16cid:durableId="126240624">
    <w:abstractNumId w:val="14"/>
  </w:num>
  <w:num w:numId="18" w16cid:durableId="1254046724">
    <w:abstractNumId w:val="15"/>
  </w:num>
  <w:num w:numId="19" w16cid:durableId="588806765">
    <w:abstractNumId w:val="3"/>
  </w:num>
  <w:num w:numId="20" w16cid:durableId="1193617359">
    <w:abstractNumId w:val="9"/>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exxaf5bx0prpes9pfp2daed2fda2txaw5z&quot;&gt;Ribociclib commentary library.enl&lt;record-ids&gt;&lt;item&gt;7&lt;/item&gt;&lt;item&gt;15&lt;/item&gt;&lt;item&gt;24&lt;/item&gt;&lt;item&gt;33&lt;/item&gt;&lt;item&gt;34&lt;/item&gt;&lt;item&gt;45&lt;/item&gt;&lt;item&gt;46&lt;/item&gt;&lt;item&gt;47&lt;/item&gt;&lt;item&gt;48&lt;/item&gt;&lt;item&gt;49&lt;/item&gt;&lt;item&gt;50&lt;/item&gt;&lt;item&gt;51&lt;/item&gt;&lt;item&gt;52&lt;/item&gt;&lt;item&gt;54&lt;/item&gt;&lt;item&gt;55&lt;/item&gt;&lt;item&gt;57&lt;/item&gt;&lt;item&gt;58&lt;/item&gt;&lt;item&gt;59&lt;/item&gt;&lt;item&gt;60&lt;/item&gt;&lt;/record-ids&gt;&lt;/item&gt;&lt;item db-id=&quot;ttdfse0f79pp5neaxf6v0tzx5f220xfs529e&quot;&gt;ribo clin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 w:name="EN.UseJSCitationFormat" w:val="False"/>
  </w:docVars>
  <w:rsids>
    <w:rsidRoot w:val="00E65E79"/>
    <w:rsid w:val="000001AE"/>
    <w:rsid w:val="00000790"/>
    <w:rsid w:val="00000A15"/>
    <w:rsid w:val="00000D36"/>
    <w:rsid w:val="0000110B"/>
    <w:rsid w:val="000015CF"/>
    <w:rsid w:val="000015D2"/>
    <w:rsid w:val="000016EA"/>
    <w:rsid w:val="0000186E"/>
    <w:rsid w:val="000019FD"/>
    <w:rsid w:val="00001D5E"/>
    <w:rsid w:val="00002507"/>
    <w:rsid w:val="000032E2"/>
    <w:rsid w:val="00003499"/>
    <w:rsid w:val="000039B7"/>
    <w:rsid w:val="00003CFE"/>
    <w:rsid w:val="0000440C"/>
    <w:rsid w:val="000056B9"/>
    <w:rsid w:val="00005919"/>
    <w:rsid w:val="00005CEE"/>
    <w:rsid w:val="00006068"/>
    <w:rsid w:val="0000639A"/>
    <w:rsid w:val="000064C9"/>
    <w:rsid w:val="00006FCD"/>
    <w:rsid w:val="00007450"/>
    <w:rsid w:val="00007C1A"/>
    <w:rsid w:val="0001061C"/>
    <w:rsid w:val="0001071D"/>
    <w:rsid w:val="000108A6"/>
    <w:rsid w:val="00010AA6"/>
    <w:rsid w:val="00010F13"/>
    <w:rsid w:val="00011DB1"/>
    <w:rsid w:val="00011FF7"/>
    <w:rsid w:val="00012265"/>
    <w:rsid w:val="00012964"/>
    <w:rsid w:val="00013183"/>
    <w:rsid w:val="00013247"/>
    <w:rsid w:val="00014729"/>
    <w:rsid w:val="000147A4"/>
    <w:rsid w:val="00015717"/>
    <w:rsid w:val="00015886"/>
    <w:rsid w:val="00015B29"/>
    <w:rsid w:val="00015F29"/>
    <w:rsid w:val="000162EF"/>
    <w:rsid w:val="00016A68"/>
    <w:rsid w:val="00016C4C"/>
    <w:rsid w:val="00017047"/>
    <w:rsid w:val="0001709C"/>
    <w:rsid w:val="00017D7F"/>
    <w:rsid w:val="00020232"/>
    <w:rsid w:val="00020736"/>
    <w:rsid w:val="000207C9"/>
    <w:rsid w:val="00020E30"/>
    <w:rsid w:val="000219C1"/>
    <w:rsid w:val="00021A3A"/>
    <w:rsid w:val="00021AB6"/>
    <w:rsid w:val="00021ED1"/>
    <w:rsid w:val="0002225F"/>
    <w:rsid w:val="000223D3"/>
    <w:rsid w:val="00022522"/>
    <w:rsid w:val="000226AD"/>
    <w:rsid w:val="000228AC"/>
    <w:rsid w:val="0002317C"/>
    <w:rsid w:val="00023763"/>
    <w:rsid w:val="000239F6"/>
    <w:rsid w:val="00023EDD"/>
    <w:rsid w:val="00024060"/>
    <w:rsid w:val="000241A0"/>
    <w:rsid w:val="00024554"/>
    <w:rsid w:val="00024C82"/>
    <w:rsid w:val="00024EB5"/>
    <w:rsid w:val="000255A5"/>
    <w:rsid w:val="00025A9B"/>
    <w:rsid w:val="00025ACF"/>
    <w:rsid w:val="00025BC3"/>
    <w:rsid w:val="0002650B"/>
    <w:rsid w:val="000269E0"/>
    <w:rsid w:val="00026FA7"/>
    <w:rsid w:val="00027173"/>
    <w:rsid w:val="000274B8"/>
    <w:rsid w:val="00027544"/>
    <w:rsid w:val="00027A02"/>
    <w:rsid w:val="000304DB"/>
    <w:rsid w:val="000314D3"/>
    <w:rsid w:val="00031A9B"/>
    <w:rsid w:val="00031C93"/>
    <w:rsid w:val="00032456"/>
    <w:rsid w:val="00032D73"/>
    <w:rsid w:val="0003348E"/>
    <w:rsid w:val="0003367B"/>
    <w:rsid w:val="00033863"/>
    <w:rsid w:val="000339F6"/>
    <w:rsid w:val="000344DC"/>
    <w:rsid w:val="00034A79"/>
    <w:rsid w:val="00034BEE"/>
    <w:rsid w:val="00034BF7"/>
    <w:rsid w:val="00034EBA"/>
    <w:rsid w:val="00035CDF"/>
    <w:rsid w:val="00035DC0"/>
    <w:rsid w:val="00035DF4"/>
    <w:rsid w:val="00036199"/>
    <w:rsid w:val="00036829"/>
    <w:rsid w:val="00037674"/>
    <w:rsid w:val="00037C91"/>
    <w:rsid w:val="00037FD4"/>
    <w:rsid w:val="000400C9"/>
    <w:rsid w:val="00040342"/>
    <w:rsid w:val="000403D8"/>
    <w:rsid w:val="000407D0"/>
    <w:rsid w:val="00040895"/>
    <w:rsid w:val="00040D3E"/>
    <w:rsid w:val="00040D4B"/>
    <w:rsid w:val="000410A0"/>
    <w:rsid w:val="000426D7"/>
    <w:rsid w:val="000435EE"/>
    <w:rsid w:val="000437F2"/>
    <w:rsid w:val="00043802"/>
    <w:rsid w:val="00043C37"/>
    <w:rsid w:val="00044601"/>
    <w:rsid w:val="00045017"/>
    <w:rsid w:val="00045185"/>
    <w:rsid w:val="00045A2B"/>
    <w:rsid w:val="000465EC"/>
    <w:rsid w:val="0004698F"/>
    <w:rsid w:val="00046D64"/>
    <w:rsid w:val="00047360"/>
    <w:rsid w:val="0004738D"/>
    <w:rsid w:val="0005077D"/>
    <w:rsid w:val="000508C2"/>
    <w:rsid w:val="00050F9E"/>
    <w:rsid w:val="00051D15"/>
    <w:rsid w:val="00051E6E"/>
    <w:rsid w:val="000522ED"/>
    <w:rsid w:val="000528B0"/>
    <w:rsid w:val="00052981"/>
    <w:rsid w:val="00052CBD"/>
    <w:rsid w:val="00053007"/>
    <w:rsid w:val="00053929"/>
    <w:rsid w:val="000539D0"/>
    <w:rsid w:val="0005411F"/>
    <w:rsid w:val="00054621"/>
    <w:rsid w:val="000546D7"/>
    <w:rsid w:val="00054A8D"/>
    <w:rsid w:val="00054AFF"/>
    <w:rsid w:val="00055FF8"/>
    <w:rsid w:val="000563EF"/>
    <w:rsid w:val="0005698E"/>
    <w:rsid w:val="00056A19"/>
    <w:rsid w:val="00056E3C"/>
    <w:rsid w:val="00056ECF"/>
    <w:rsid w:val="00057385"/>
    <w:rsid w:val="00057BE8"/>
    <w:rsid w:val="000602E5"/>
    <w:rsid w:val="000604DF"/>
    <w:rsid w:val="0006073C"/>
    <w:rsid w:val="00060B2E"/>
    <w:rsid w:val="00060F09"/>
    <w:rsid w:val="00060FF1"/>
    <w:rsid w:val="00061332"/>
    <w:rsid w:val="0006133F"/>
    <w:rsid w:val="000613D4"/>
    <w:rsid w:val="00061828"/>
    <w:rsid w:val="000619A6"/>
    <w:rsid w:val="00061F95"/>
    <w:rsid w:val="00062324"/>
    <w:rsid w:val="00062AB1"/>
    <w:rsid w:val="0006358B"/>
    <w:rsid w:val="00063E0F"/>
    <w:rsid w:val="000640A2"/>
    <w:rsid w:val="00064148"/>
    <w:rsid w:val="0006431C"/>
    <w:rsid w:val="000653B5"/>
    <w:rsid w:val="00066360"/>
    <w:rsid w:val="0006659C"/>
    <w:rsid w:val="000667D2"/>
    <w:rsid w:val="00066AF8"/>
    <w:rsid w:val="00066BF5"/>
    <w:rsid w:val="0006700F"/>
    <w:rsid w:val="00067F7B"/>
    <w:rsid w:val="000706A5"/>
    <w:rsid w:val="00070D01"/>
    <w:rsid w:val="00070D4D"/>
    <w:rsid w:val="00071248"/>
    <w:rsid w:val="000720B9"/>
    <w:rsid w:val="000726CD"/>
    <w:rsid w:val="00072940"/>
    <w:rsid w:val="00072DB8"/>
    <w:rsid w:val="00072FCA"/>
    <w:rsid w:val="000731B9"/>
    <w:rsid w:val="000737F7"/>
    <w:rsid w:val="00073B7A"/>
    <w:rsid w:val="00074317"/>
    <w:rsid w:val="00074DC8"/>
    <w:rsid w:val="00075623"/>
    <w:rsid w:val="00075D12"/>
    <w:rsid w:val="00076134"/>
    <w:rsid w:val="0007672F"/>
    <w:rsid w:val="00076A8F"/>
    <w:rsid w:val="00076B54"/>
    <w:rsid w:val="000774F0"/>
    <w:rsid w:val="00077939"/>
    <w:rsid w:val="0008041F"/>
    <w:rsid w:val="00080909"/>
    <w:rsid w:val="00080F79"/>
    <w:rsid w:val="000812CA"/>
    <w:rsid w:val="00081DB4"/>
    <w:rsid w:val="00081E63"/>
    <w:rsid w:val="0008213E"/>
    <w:rsid w:val="0008258D"/>
    <w:rsid w:val="00082BFE"/>
    <w:rsid w:val="00082DF5"/>
    <w:rsid w:val="00082E0D"/>
    <w:rsid w:val="00082F8B"/>
    <w:rsid w:val="00083874"/>
    <w:rsid w:val="00083E99"/>
    <w:rsid w:val="000844A5"/>
    <w:rsid w:val="00084FA8"/>
    <w:rsid w:val="000851D8"/>
    <w:rsid w:val="000856C5"/>
    <w:rsid w:val="00085952"/>
    <w:rsid w:val="00085C31"/>
    <w:rsid w:val="000864B4"/>
    <w:rsid w:val="00086792"/>
    <w:rsid w:val="00086F1D"/>
    <w:rsid w:val="0008706C"/>
    <w:rsid w:val="000873BC"/>
    <w:rsid w:val="00087813"/>
    <w:rsid w:val="000902D9"/>
    <w:rsid w:val="0009047B"/>
    <w:rsid w:val="00090672"/>
    <w:rsid w:val="00090C1B"/>
    <w:rsid w:val="00090C7E"/>
    <w:rsid w:val="00090E54"/>
    <w:rsid w:val="00091120"/>
    <w:rsid w:val="000911AC"/>
    <w:rsid w:val="00091470"/>
    <w:rsid w:val="00091717"/>
    <w:rsid w:val="00091E10"/>
    <w:rsid w:val="00092600"/>
    <w:rsid w:val="0009262B"/>
    <w:rsid w:val="00092AAE"/>
    <w:rsid w:val="00093310"/>
    <w:rsid w:val="00093A58"/>
    <w:rsid w:val="000940F0"/>
    <w:rsid w:val="0009427D"/>
    <w:rsid w:val="0009445C"/>
    <w:rsid w:val="00094B13"/>
    <w:rsid w:val="00094BAC"/>
    <w:rsid w:val="00094C95"/>
    <w:rsid w:val="00094D31"/>
    <w:rsid w:val="00095200"/>
    <w:rsid w:val="000952EF"/>
    <w:rsid w:val="000953CE"/>
    <w:rsid w:val="00095E44"/>
    <w:rsid w:val="00095ED7"/>
    <w:rsid w:val="00095F3D"/>
    <w:rsid w:val="00095FE5"/>
    <w:rsid w:val="00095FF2"/>
    <w:rsid w:val="00096284"/>
    <w:rsid w:val="000969EF"/>
    <w:rsid w:val="000A0370"/>
    <w:rsid w:val="000A04BF"/>
    <w:rsid w:val="000A0704"/>
    <w:rsid w:val="000A0FF0"/>
    <w:rsid w:val="000A13BC"/>
    <w:rsid w:val="000A1637"/>
    <w:rsid w:val="000A1BC0"/>
    <w:rsid w:val="000A1DEE"/>
    <w:rsid w:val="000A266E"/>
    <w:rsid w:val="000A2C68"/>
    <w:rsid w:val="000A2F9E"/>
    <w:rsid w:val="000A314C"/>
    <w:rsid w:val="000A33BB"/>
    <w:rsid w:val="000A3829"/>
    <w:rsid w:val="000A387C"/>
    <w:rsid w:val="000A3A29"/>
    <w:rsid w:val="000A3E47"/>
    <w:rsid w:val="000A48EB"/>
    <w:rsid w:val="000A4A72"/>
    <w:rsid w:val="000A4D59"/>
    <w:rsid w:val="000A4F9A"/>
    <w:rsid w:val="000A516E"/>
    <w:rsid w:val="000A5218"/>
    <w:rsid w:val="000A522B"/>
    <w:rsid w:val="000A54CA"/>
    <w:rsid w:val="000A58C6"/>
    <w:rsid w:val="000A5A62"/>
    <w:rsid w:val="000A5B50"/>
    <w:rsid w:val="000A5D73"/>
    <w:rsid w:val="000A6039"/>
    <w:rsid w:val="000A6EEF"/>
    <w:rsid w:val="000A7453"/>
    <w:rsid w:val="000A7D08"/>
    <w:rsid w:val="000A7FE0"/>
    <w:rsid w:val="000B0121"/>
    <w:rsid w:val="000B052B"/>
    <w:rsid w:val="000B0670"/>
    <w:rsid w:val="000B0E75"/>
    <w:rsid w:val="000B2502"/>
    <w:rsid w:val="000B2DCB"/>
    <w:rsid w:val="000B3888"/>
    <w:rsid w:val="000B4B2E"/>
    <w:rsid w:val="000B4F1C"/>
    <w:rsid w:val="000B593A"/>
    <w:rsid w:val="000B5A13"/>
    <w:rsid w:val="000B5A77"/>
    <w:rsid w:val="000B5CE0"/>
    <w:rsid w:val="000B65AA"/>
    <w:rsid w:val="000B6CAC"/>
    <w:rsid w:val="000B71F5"/>
    <w:rsid w:val="000B7612"/>
    <w:rsid w:val="000B78AE"/>
    <w:rsid w:val="000C01E6"/>
    <w:rsid w:val="000C07C6"/>
    <w:rsid w:val="000C14AC"/>
    <w:rsid w:val="000C177A"/>
    <w:rsid w:val="000C23B6"/>
    <w:rsid w:val="000C2B62"/>
    <w:rsid w:val="000C3CA9"/>
    <w:rsid w:val="000C3DF9"/>
    <w:rsid w:val="000C43C9"/>
    <w:rsid w:val="000C48EB"/>
    <w:rsid w:val="000C4CF2"/>
    <w:rsid w:val="000C501D"/>
    <w:rsid w:val="000C551D"/>
    <w:rsid w:val="000C5634"/>
    <w:rsid w:val="000C5AC5"/>
    <w:rsid w:val="000C5CDD"/>
    <w:rsid w:val="000C65DC"/>
    <w:rsid w:val="000C6713"/>
    <w:rsid w:val="000C6C4E"/>
    <w:rsid w:val="000C722A"/>
    <w:rsid w:val="000C73E6"/>
    <w:rsid w:val="000C7853"/>
    <w:rsid w:val="000C7BD1"/>
    <w:rsid w:val="000C7D66"/>
    <w:rsid w:val="000D00CD"/>
    <w:rsid w:val="000D0AEA"/>
    <w:rsid w:val="000D0FFA"/>
    <w:rsid w:val="000D12F1"/>
    <w:rsid w:val="000D146F"/>
    <w:rsid w:val="000D1BFC"/>
    <w:rsid w:val="000D1D5D"/>
    <w:rsid w:val="000D2109"/>
    <w:rsid w:val="000D2271"/>
    <w:rsid w:val="000D24DA"/>
    <w:rsid w:val="000D273A"/>
    <w:rsid w:val="000D281A"/>
    <w:rsid w:val="000D2829"/>
    <w:rsid w:val="000D2848"/>
    <w:rsid w:val="000D326A"/>
    <w:rsid w:val="000D4201"/>
    <w:rsid w:val="000D481A"/>
    <w:rsid w:val="000D506E"/>
    <w:rsid w:val="000D51FB"/>
    <w:rsid w:val="000D5818"/>
    <w:rsid w:val="000D665B"/>
    <w:rsid w:val="000D6829"/>
    <w:rsid w:val="000D71A0"/>
    <w:rsid w:val="000E0640"/>
    <w:rsid w:val="000E135D"/>
    <w:rsid w:val="000E1ACE"/>
    <w:rsid w:val="000E26AA"/>
    <w:rsid w:val="000E28C5"/>
    <w:rsid w:val="000E4119"/>
    <w:rsid w:val="000E4216"/>
    <w:rsid w:val="000E47CB"/>
    <w:rsid w:val="000E506A"/>
    <w:rsid w:val="000E63E2"/>
    <w:rsid w:val="000E6653"/>
    <w:rsid w:val="000E6810"/>
    <w:rsid w:val="000E6889"/>
    <w:rsid w:val="000E6A05"/>
    <w:rsid w:val="000E7418"/>
    <w:rsid w:val="000E7A47"/>
    <w:rsid w:val="000F00BA"/>
    <w:rsid w:val="000F0341"/>
    <w:rsid w:val="000F0BB5"/>
    <w:rsid w:val="000F0D9F"/>
    <w:rsid w:val="000F0E1A"/>
    <w:rsid w:val="000F1965"/>
    <w:rsid w:val="000F1ADF"/>
    <w:rsid w:val="000F1EAE"/>
    <w:rsid w:val="000F1FC9"/>
    <w:rsid w:val="000F21AC"/>
    <w:rsid w:val="000F248B"/>
    <w:rsid w:val="000F27DB"/>
    <w:rsid w:val="000F2F42"/>
    <w:rsid w:val="000F3012"/>
    <w:rsid w:val="000F316A"/>
    <w:rsid w:val="000F3983"/>
    <w:rsid w:val="000F3C74"/>
    <w:rsid w:val="000F4391"/>
    <w:rsid w:val="000F4790"/>
    <w:rsid w:val="000F4891"/>
    <w:rsid w:val="000F4B68"/>
    <w:rsid w:val="000F4BB8"/>
    <w:rsid w:val="000F4D14"/>
    <w:rsid w:val="000F4FA9"/>
    <w:rsid w:val="000F50B3"/>
    <w:rsid w:val="000F53FB"/>
    <w:rsid w:val="000F54DD"/>
    <w:rsid w:val="000F5FCC"/>
    <w:rsid w:val="000F6079"/>
    <w:rsid w:val="000F6ABD"/>
    <w:rsid w:val="000F705A"/>
    <w:rsid w:val="000F7127"/>
    <w:rsid w:val="000F7491"/>
    <w:rsid w:val="000F7732"/>
    <w:rsid w:val="000F7777"/>
    <w:rsid w:val="000F7B54"/>
    <w:rsid w:val="00100063"/>
    <w:rsid w:val="001000B3"/>
    <w:rsid w:val="00100938"/>
    <w:rsid w:val="00100F8A"/>
    <w:rsid w:val="0010144E"/>
    <w:rsid w:val="00102987"/>
    <w:rsid w:val="001033BB"/>
    <w:rsid w:val="00103B01"/>
    <w:rsid w:val="0010452E"/>
    <w:rsid w:val="001045B5"/>
    <w:rsid w:val="0010472F"/>
    <w:rsid w:val="00104E4D"/>
    <w:rsid w:val="00105AE2"/>
    <w:rsid w:val="001060C6"/>
    <w:rsid w:val="001067A4"/>
    <w:rsid w:val="00106B74"/>
    <w:rsid w:val="00106B80"/>
    <w:rsid w:val="00106E02"/>
    <w:rsid w:val="0010700E"/>
    <w:rsid w:val="0011032E"/>
    <w:rsid w:val="00110BE1"/>
    <w:rsid w:val="00111457"/>
    <w:rsid w:val="001114AF"/>
    <w:rsid w:val="0011168B"/>
    <w:rsid w:val="00112DB1"/>
    <w:rsid w:val="0011348B"/>
    <w:rsid w:val="001151DD"/>
    <w:rsid w:val="001154BC"/>
    <w:rsid w:val="00115982"/>
    <w:rsid w:val="00115AEF"/>
    <w:rsid w:val="0011661D"/>
    <w:rsid w:val="0011682D"/>
    <w:rsid w:val="00116C53"/>
    <w:rsid w:val="00116CB8"/>
    <w:rsid w:val="00116E14"/>
    <w:rsid w:val="00116F1A"/>
    <w:rsid w:val="00117F11"/>
    <w:rsid w:val="00120351"/>
    <w:rsid w:val="001207D5"/>
    <w:rsid w:val="0012089D"/>
    <w:rsid w:val="00120D1D"/>
    <w:rsid w:val="00121799"/>
    <w:rsid w:val="0012198E"/>
    <w:rsid w:val="001219AE"/>
    <w:rsid w:val="001222FC"/>
    <w:rsid w:val="00123902"/>
    <w:rsid w:val="00124457"/>
    <w:rsid w:val="001248EC"/>
    <w:rsid w:val="00124A51"/>
    <w:rsid w:val="00124DAE"/>
    <w:rsid w:val="00125086"/>
    <w:rsid w:val="00125100"/>
    <w:rsid w:val="00125D83"/>
    <w:rsid w:val="00126520"/>
    <w:rsid w:val="00126621"/>
    <w:rsid w:val="00126737"/>
    <w:rsid w:val="00126B1D"/>
    <w:rsid w:val="00126D49"/>
    <w:rsid w:val="00127203"/>
    <w:rsid w:val="00127B1A"/>
    <w:rsid w:val="00127F2B"/>
    <w:rsid w:val="001301E9"/>
    <w:rsid w:val="001303AF"/>
    <w:rsid w:val="00131212"/>
    <w:rsid w:val="001315A1"/>
    <w:rsid w:val="0013182A"/>
    <w:rsid w:val="00131D82"/>
    <w:rsid w:val="001327E2"/>
    <w:rsid w:val="001328C4"/>
    <w:rsid w:val="00132B22"/>
    <w:rsid w:val="00132B5A"/>
    <w:rsid w:val="001331DA"/>
    <w:rsid w:val="00133D36"/>
    <w:rsid w:val="00133EE1"/>
    <w:rsid w:val="00134518"/>
    <w:rsid w:val="001348F1"/>
    <w:rsid w:val="00135128"/>
    <w:rsid w:val="001353F1"/>
    <w:rsid w:val="00135918"/>
    <w:rsid w:val="00135A6F"/>
    <w:rsid w:val="00135AFD"/>
    <w:rsid w:val="00136017"/>
    <w:rsid w:val="001364BD"/>
    <w:rsid w:val="00136CD4"/>
    <w:rsid w:val="00137079"/>
    <w:rsid w:val="00137645"/>
    <w:rsid w:val="0014015A"/>
    <w:rsid w:val="00140E99"/>
    <w:rsid w:val="0014165A"/>
    <w:rsid w:val="001417A7"/>
    <w:rsid w:val="001419F0"/>
    <w:rsid w:val="00142184"/>
    <w:rsid w:val="0014226E"/>
    <w:rsid w:val="00142277"/>
    <w:rsid w:val="00142532"/>
    <w:rsid w:val="00142616"/>
    <w:rsid w:val="00142D7F"/>
    <w:rsid w:val="00143F67"/>
    <w:rsid w:val="00144E73"/>
    <w:rsid w:val="00145234"/>
    <w:rsid w:val="00145540"/>
    <w:rsid w:val="00145644"/>
    <w:rsid w:val="001456B0"/>
    <w:rsid w:val="00145B90"/>
    <w:rsid w:val="00145CC3"/>
    <w:rsid w:val="00146574"/>
    <w:rsid w:val="00146C9C"/>
    <w:rsid w:val="00147630"/>
    <w:rsid w:val="00150410"/>
    <w:rsid w:val="00150430"/>
    <w:rsid w:val="00150724"/>
    <w:rsid w:val="001512D5"/>
    <w:rsid w:val="00151590"/>
    <w:rsid w:val="001516B9"/>
    <w:rsid w:val="00151C99"/>
    <w:rsid w:val="001520E7"/>
    <w:rsid w:val="00152699"/>
    <w:rsid w:val="001529CB"/>
    <w:rsid w:val="00153149"/>
    <w:rsid w:val="00153D54"/>
    <w:rsid w:val="00153DE3"/>
    <w:rsid w:val="001547AB"/>
    <w:rsid w:val="001547E6"/>
    <w:rsid w:val="0015486F"/>
    <w:rsid w:val="00154A36"/>
    <w:rsid w:val="00154BE1"/>
    <w:rsid w:val="00154F61"/>
    <w:rsid w:val="001557D6"/>
    <w:rsid w:val="00155ADD"/>
    <w:rsid w:val="00155D46"/>
    <w:rsid w:val="0015605B"/>
    <w:rsid w:val="00156485"/>
    <w:rsid w:val="00156679"/>
    <w:rsid w:val="001569E8"/>
    <w:rsid w:val="00156F8F"/>
    <w:rsid w:val="00157130"/>
    <w:rsid w:val="00157585"/>
    <w:rsid w:val="001576A5"/>
    <w:rsid w:val="001576B1"/>
    <w:rsid w:val="00157A54"/>
    <w:rsid w:val="00157E67"/>
    <w:rsid w:val="0016038A"/>
    <w:rsid w:val="0016047B"/>
    <w:rsid w:val="00160A4C"/>
    <w:rsid w:val="0016105E"/>
    <w:rsid w:val="001618B7"/>
    <w:rsid w:val="0016224D"/>
    <w:rsid w:val="00162913"/>
    <w:rsid w:val="00162E92"/>
    <w:rsid w:val="00163019"/>
    <w:rsid w:val="00163AC6"/>
    <w:rsid w:val="00163B91"/>
    <w:rsid w:val="00163EFF"/>
    <w:rsid w:val="00163F66"/>
    <w:rsid w:val="00164047"/>
    <w:rsid w:val="0016441E"/>
    <w:rsid w:val="00164631"/>
    <w:rsid w:val="0016478E"/>
    <w:rsid w:val="00164D72"/>
    <w:rsid w:val="00164E78"/>
    <w:rsid w:val="001654E2"/>
    <w:rsid w:val="0016553C"/>
    <w:rsid w:val="001657CF"/>
    <w:rsid w:val="00165EC4"/>
    <w:rsid w:val="00165F88"/>
    <w:rsid w:val="001660CB"/>
    <w:rsid w:val="001661FB"/>
    <w:rsid w:val="00166B05"/>
    <w:rsid w:val="001671A0"/>
    <w:rsid w:val="0016767F"/>
    <w:rsid w:val="00167857"/>
    <w:rsid w:val="00167F43"/>
    <w:rsid w:val="00170797"/>
    <w:rsid w:val="0017084F"/>
    <w:rsid w:val="0017217A"/>
    <w:rsid w:val="00172405"/>
    <w:rsid w:val="001728CB"/>
    <w:rsid w:val="0017339E"/>
    <w:rsid w:val="00173565"/>
    <w:rsid w:val="00173595"/>
    <w:rsid w:val="00173B07"/>
    <w:rsid w:val="00173C6B"/>
    <w:rsid w:val="00174273"/>
    <w:rsid w:val="0017468E"/>
    <w:rsid w:val="001749E4"/>
    <w:rsid w:val="00174A4D"/>
    <w:rsid w:val="00174B9F"/>
    <w:rsid w:val="00174BA3"/>
    <w:rsid w:val="001751FA"/>
    <w:rsid w:val="0017600F"/>
    <w:rsid w:val="00176F30"/>
    <w:rsid w:val="0017740A"/>
    <w:rsid w:val="00177A8D"/>
    <w:rsid w:val="00177DAF"/>
    <w:rsid w:val="00177F34"/>
    <w:rsid w:val="0018007B"/>
    <w:rsid w:val="00180376"/>
    <w:rsid w:val="0018052E"/>
    <w:rsid w:val="00180A97"/>
    <w:rsid w:val="00181264"/>
    <w:rsid w:val="00181778"/>
    <w:rsid w:val="00181C10"/>
    <w:rsid w:val="00181D4C"/>
    <w:rsid w:val="00181D9C"/>
    <w:rsid w:val="00181DFF"/>
    <w:rsid w:val="001820F8"/>
    <w:rsid w:val="00182B98"/>
    <w:rsid w:val="00182BAC"/>
    <w:rsid w:val="00182E95"/>
    <w:rsid w:val="001837FF"/>
    <w:rsid w:val="00184536"/>
    <w:rsid w:val="00184B0E"/>
    <w:rsid w:val="00184BC8"/>
    <w:rsid w:val="001853B8"/>
    <w:rsid w:val="001858DD"/>
    <w:rsid w:val="00185F42"/>
    <w:rsid w:val="00186B41"/>
    <w:rsid w:val="00186DFE"/>
    <w:rsid w:val="0018708D"/>
    <w:rsid w:val="0018752F"/>
    <w:rsid w:val="001877A0"/>
    <w:rsid w:val="00187C8E"/>
    <w:rsid w:val="00187F4F"/>
    <w:rsid w:val="00190170"/>
    <w:rsid w:val="0019085D"/>
    <w:rsid w:val="00190C01"/>
    <w:rsid w:val="00191149"/>
    <w:rsid w:val="00191C46"/>
    <w:rsid w:val="001921C3"/>
    <w:rsid w:val="001926C1"/>
    <w:rsid w:val="00192AA5"/>
    <w:rsid w:val="00192BC3"/>
    <w:rsid w:val="00192D5F"/>
    <w:rsid w:val="00192F0E"/>
    <w:rsid w:val="001932D6"/>
    <w:rsid w:val="00193318"/>
    <w:rsid w:val="001933BD"/>
    <w:rsid w:val="00193610"/>
    <w:rsid w:val="00193838"/>
    <w:rsid w:val="00193B16"/>
    <w:rsid w:val="00193E66"/>
    <w:rsid w:val="001944B7"/>
    <w:rsid w:val="00194AD8"/>
    <w:rsid w:val="00194B2B"/>
    <w:rsid w:val="00194E8C"/>
    <w:rsid w:val="00195222"/>
    <w:rsid w:val="00195452"/>
    <w:rsid w:val="0019570A"/>
    <w:rsid w:val="00195B7E"/>
    <w:rsid w:val="001963FB"/>
    <w:rsid w:val="001966B8"/>
    <w:rsid w:val="00196B52"/>
    <w:rsid w:val="00197470"/>
    <w:rsid w:val="001975D8"/>
    <w:rsid w:val="0019776B"/>
    <w:rsid w:val="00197A2D"/>
    <w:rsid w:val="00197DB7"/>
    <w:rsid w:val="001A12A5"/>
    <w:rsid w:val="001A13E2"/>
    <w:rsid w:val="001A15CE"/>
    <w:rsid w:val="001A178E"/>
    <w:rsid w:val="001A2C6C"/>
    <w:rsid w:val="001A336E"/>
    <w:rsid w:val="001A33BF"/>
    <w:rsid w:val="001A3553"/>
    <w:rsid w:val="001A3DD5"/>
    <w:rsid w:val="001A4193"/>
    <w:rsid w:val="001A43FA"/>
    <w:rsid w:val="001A47C5"/>
    <w:rsid w:val="001A499C"/>
    <w:rsid w:val="001A5093"/>
    <w:rsid w:val="001A51D5"/>
    <w:rsid w:val="001A59FB"/>
    <w:rsid w:val="001A5E9E"/>
    <w:rsid w:val="001A6354"/>
    <w:rsid w:val="001A6366"/>
    <w:rsid w:val="001A688A"/>
    <w:rsid w:val="001A6BBB"/>
    <w:rsid w:val="001A6D32"/>
    <w:rsid w:val="001A7AE8"/>
    <w:rsid w:val="001B03E3"/>
    <w:rsid w:val="001B065A"/>
    <w:rsid w:val="001B0D30"/>
    <w:rsid w:val="001B1082"/>
    <w:rsid w:val="001B1FF4"/>
    <w:rsid w:val="001B204E"/>
    <w:rsid w:val="001B2372"/>
    <w:rsid w:val="001B2BCD"/>
    <w:rsid w:val="001B3443"/>
    <w:rsid w:val="001B34F2"/>
    <w:rsid w:val="001B35A2"/>
    <w:rsid w:val="001B3658"/>
    <w:rsid w:val="001B36D6"/>
    <w:rsid w:val="001B3B7E"/>
    <w:rsid w:val="001B42E6"/>
    <w:rsid w:val="001B4D20"/>
    <w:rsid w:val="001B4EE0"/>
    <w:rsid w:val="001B5124"/>
    <w:rsid w:val="001B5A5D"/>
    <w:rsid w:val="001B5B2B"/>
    <w:rsid w:val="001B5EA1"/>
    <w:rsid w:val="001B6172"/>
    <w:rsid w:val="001B6585"/>
    <w:rsid w:val="001B6755"/>
    <w:rsid w:val="001B67D6"/>
    <w:rsid w:val="001B6E4F"/>
    <w:rsid w:val="001B726F"/>
    <w:rsid w:val="001B7300"/>
    <w:rsid w:val="001B7C38"/>
    <w:rsid w:val="001B7F84"/>
    <w:rsid w:val="001C01DD"/>
    <w:rsid w:val="001C04B3"/>
    <w:rsid w:val="001C0640"/>
    <w:rsid w:val="001C06F5"/>
    <w:rsid w:val="001C0C30"/>
    <w:rsid w:val="001C0D1E"/>
    <w:rsid w:val="001C15A8"/>
    <w:rsid w:val="001C15CD"/>
    <w:rsid w:val="001C1614"/>
    <w:rsid w:val="001C1754"/>
    <w:rsid w:val="001C229A"/>
    <w:rsid w:val="001C2347"/>
    <w:rsid w:val="001C27AD"/>
    <w:rsid w:val="001C2A9B"/>
    <w:rsid w:val="001C33F7"/>
    <w:rsid w:val="001C345E"/>
    <w:rsid w:val="001C38DB"/>
    <w:rsid w:val="001C3DD6"/>
    <w:rsid w:val="001C4299"/>
    <w:rsid w:val="001C4874"/>
    <w:rsid w:val="001C495C"/>
    <w:rsid w:val="001C4E04"/>
    <w:rsid w:val="001C4E98"/>
    <w:rsid w:val="001C5441"/>
    <w:rsid w:val="001C574D"/>
    <w:rsid w:val="001C5F94"/>
    <w:rsid w:val="001C61C7"/>
    <w:rsid w:val="001C6AAC"/>
    <w:rsid w:val="001C6E66"/>
    <w:rsid w:val="001C6F66"/>
    <w:rsid w:val="001C6FB9"/>
    <w:rsid w:val="001C713F"/>
    <w:rsid w:val="001C75D3"/>
    <w:rsid w:val="001C7763"/>
    <w:rsid w:val="001C7776"/>
    <w:rsid w:val="001C79E4"/>
    <w:rsid w:val="001C7DED"/>
    <w:rsid w:val="001D016D"/>
    <w:rsid w:val="001D0408"/>
    <w:rsid w:val="001D0655"/>
    <w:rsid w:val="001D06A6"/>
    <w:rsid w:val="001D0799"/>
    <w:rsid w:val="001D0D24"/>
    <w:rsid w:val="001D1100"/>
    <w:rsid w:val="001D1391"/>
    <w:rsid w:val="001D1C05"/>
    <w:rsid w:val="001D1D9E"/>
    <w:rsid w:val="001D1FB5"/>
    <w:rsid w:val="001D20DD"/>
    <w:rsid w:val="001D2344"/>
    <w:rsid w:val="001D25D7"/>
    <w:rsid w:val="001D2C31"/>
    <w:rsid w:val="001D2C59"/>
    <w:rsid w:val="001D2CEA"/>
    <w:rsid w:val="001D2E24"/>
    <w:rsid w:val="001D3630"/>
    <w:rsid w:val="001D3E73"/>
    <w:rsid w:val="001D3F29"/>
    <w:rsid w:val="001D497B"/>
    <w:rsid w:val="001D4C44"/>
    <w:rsid w:val="001D4FAA"/>
    <w:rsid w:val="001D50B2"/>
    <w:rsid w:val="001D523F"/>
    <w:rsid w:val="001D5402"/>
    <w:rsid w:val="001D55A5"/>
    <w:rsid w:val="001D5606"/>
    <w:rsid w:val="001D56A0"/>
    <w:rsid w:val="001D5831"/>
    <w:rsid w:val="001D60E2"/>
    <w:rsid w:val="001D60EC"/>
    <w:rsid w:val="001D6701"/>
    <w:rsid w:val="001D71F4"/>
    <w:rsid w:val="001D726E"/>
    <w:rsid w:val="001D7357"/>
    <w:rsid w:val="001D73D2"/>
    <w:rsid w:val="001D7645"/>
    <w:rsid w:val="001E067D"/>
    <w:rsid w:val="001E0BF9"/>
    <w:rsid w:val="001E1B52"/>
    <w:rsid w:val="001E1CB3"/>
    <w:rsid w:val="001E1E86"/>
    <w:rsid w:val="001E238E"/>
    <w:rsid w:val="001E2483"/>
    <w:rsid w:val="001E25EB"/>
    <w:rsid w:val="001E2983"/>
    <w:rsid w:val="001E2B1E"/>
    <w:rsid w:val="001E2CFF"/>
    <w:rsid w:val="001E2F24"/>
    <w:rsid w:val="001E30D4"/>
    <w:rsid w:val="001E34DF"/>
    <w:rsid w:val="001E3D50"/>
    <w:rsid w:val="001E3E2E"/>
    <w:rsid w:val="001E40AB"/>
    <w:rsid w:val="001E4294"/>
    <w:rsid w:val="001E4A9E"/>
    <w:rsid w:val="001E52EB"/>
    <w:rsid w:val="001E558E"/>
    <w:rsid w:val="001E5685"/>
    <w:rsid w:val="001E573F"/>
    <w:rsid w:val="001E5B2A"/>
    <w:rsid w:val="001E5C3B"/>
    <w:rsid w:val="001E61D2"/>
    <w:rsid w:val="001E6975"/>
    <w:rsid w:val="001E6EF1"/>
    <w:rsid w:val="001E700D"/>
    <w:rsid w:val="001E740C"/>
    <w:rsid w:val="001E7F7E"/>
    <w:rsid w:val="001F03E2"/>
    <w:rsid w:val="001F0631"/>
    <w:rsid w:val="001F0820"/>
    <w:rsid w:val="001F09AC"/>
    <w:rsid w:val="001F0A77"/>
    <w:rsid w:val="001F1235"/>
    <w:rsid w:val="001F14E5"/>
    <w:rsid w:val="001F159A"/>
    <w:rsid w:val="001F1A9F"/>
    <w:rsid w:val="001F1C1E"/>
    <w:rsid w:val="001F1CB3"/>
    <w:rsid w:val="001F29A4"/>
    <w:rsid w:val="001F3447"/>
    <w:rsid w:val="001F3492"/>
    <w:rsid w:val="001F3780"/>
    <w:rsid w:val="001F389C"/>
    <w:rsid w:val="001F38B5"/>
    <w:rsid w:val="001F3BBB"/>
    <w:rsid w:val="001F3C77"/>
    <w:rsid w:val="001F4081"/>
    <w:rsid w:val="001F4448"/>
    <w:rsid w:val="001F4BE8"/>
    <w:rsid w:val="001F56EF"/>
    <w:rsid w:val="001F5A31"/>
    <w:rsid w:val="001F5DFF"/>
    <w:rsid w:val="001F622C"/>
    <w:rsid w:val="001F67E1"/>
    <w:rsid w:val="001F6FA1"/>
    <w:rsid w:val="001F7361"/>
    <w:rsid w:val="001F7E0A"/>
    <w:rsid w:val="00200165"/>
    <w:rsid w:val="002003C6"/>
    <w:rsid w:val="00200C8D"/>
    <w:rsid w:val="002011A2"/>
    <w:rsid w:val="002011B0"/>
    <w:rsid w:val="0020152C"/>
    <w:rsid w:val="002017EC"/>
    <w:rsid w:val="0020220A"/>
    <w:rsid w:val="00202548"/>
    <w:rsid w:val="00202ECA"/>
    <w:rsid w:val="00202F04"/>
    <w:rsid w:val="00203181"/>
    <w:rsid w:val="0020328E"/>
    <w:rsid w:val="00203783"/>
    <w:rsid w:val="0020385B"/>
    <w:rsid w:val="0020385F"/>
    <w:rsid w:val="00203E76"/>
    <w:rsid w:val="0020495A"/>
    <w:rsid w:val="00204B68"/>
    <w:rsid w:val="00205425"/>
    <w:rsid w:val="002057D0"/>
    <w:rsid w:val="00206012"/>
    <w:rsid w:val="00206017"/>
    <w:rsid w:val="002068A0"/>
    <w:rsid w:val="00206AC0"/>
    <w:rsid w:val="00207021"/>
    <w:rsid w:val="00207064"/>
    <w:rsid w:val="0020732F"/>
    <w:rsid w:val="00207D00"/>
    <w:rsid w:val="00207FC6"/>
    <w:rsid w:val="002105C1"/>
    <w:rsid w:val="00210E33"/>
    <w:rsid w:val="002116FD"/>
    <w:rsid w:val="00211DAA"/>
    <w:rsid w:val="00212203"/>
    <w:rsid w:val="00213EF5"/>
    <w:rsid w:val="00214B65"/>
    <w:rsid w:val="00215180"/>
    <w:rsid w:val="0021625A"/>
    <w:rsid w:val="002165C2"/>
    <w:rsid w:val="00216BF5"/>
    <w:rsid w:val="00216E57"/>
    <w:rsid w:val="00217EDD"/>
    <w:rsid w:val="00221BC7"/>
    <w:rsid w:val="00223B49"/>
    <w:rsid w:val="00223CA3"/>
    <w:rsid w:val="00223D5A"/>
    <w:rsid w:val="00223E17"/>
    <w:rsid w:val="00223FB7"/>
    <w:rsid w:val="002240EC"/>
    <w:rsid w:val="002241C0"/>
    <w:rsid w:val="002244B8"/>
    <w:rsid w:val="002248A7"/>
    <w:rsid w:val="00224DD4"/>
    <w:rsid w:val="00224E0A"/>
    <w:rsid w:val="00225A74"/>
    <w:rsid w:val="00225DB6"/>
    <w:rsid w:val="00225E89"/>
    <w:rsid w:val="0022609B"/>
    <w:rsid w:val="00226303"/>
    <w:rsid w:val="00226491"/>
    <w:rsid w:val="00226E68"/>
    <w:rsid w:val="002278A0"/>
    <w:rsid w:val="00227B32"/>
    <w:rsid w:val="00227D6F"/>
    <w:rsid w:val="00227E23"/>
    <w:rsid w:val="00227EDF"/>
    <w:rsid w:val="00230066"/>
    <w:rsid w:val="00230364"/>
    <w:rsid w:val="0023066C"/>
    <w:rsid w:val="0023097C"/>
    <w:rsid w:val="002309CC"/>
    <w:rsid w:val="002309EA"/>
    <w:rsid w:val="00231A16"/>
    <w:rsid w:val="00231BA9"/>
    <w:rsid w:val="0023209F"/>
    <w:rsid w:val="0023286D"/>
    <w:rsid w:val="00233127"/>
    <w:rsid w:val="00233C01"/>
    <w:rsid w:val="0023413C"/>
    <w:rsid w:val="002346F0"/>
    <w:rsid w:val="00235116"/>
    <w:rsid w:val="002358DA"/>
    <w:rsid w:val="0023629D"/>
    <w:rsid w:val="00237255"/>
    <w:rsid w:val="002377B6"/>
    <w:rsid w:val="00237D92"/>
    <w:rsid w:val="00240FF7"/>
    <w:rsid w:val="00241534"/>
    <w:rsid w:val="002424AF"/>
    <w:rsid w:val="00242B26"/>
    <w:rsid w:val="002435FC"/>
    <w:rsid w:val="002439DC"/>
    <w:rsid w:val="00243A9F"/>
    <w:rsid w:val="002441D2"/>
    <w:rsid w:val="00244343"/>
    <w:rsid w:val="00244650"/>
    <w:rsid w:val="00244DC8"/>
    <w:rsid w:val="002452A0"/>
    <w:rsid w:val="002458BA"/>
    <w:rsid w:val="0024590E"/>
    <w:rsid w:val="00245CE9"/>
    <w:rsid w:val="00245F70"/>
    <w:rsid w:val="0024636C"/>
    <w:rsid w:val="002468E9"/>
    <w:rsid w:val="00246B60"/>
    <w:rsid w:val="00247451"/>
    <w:rsid w:val="00247925"/>
    <w:rsid w:val="00247991"/>
    <w:rsid w:val="00247B80"/>
    <w:rsid w:val="00250056"/>
    <w:rsid w:val="00250320"/>
    <w:rsid w:val="00251006"/>
    <w:rsid w:val="00251CBA"/>
    <w:rsid w:val="00251CC8"/>
    <w:rsid w:val="002524D5"/>
    <w:rsid w:val="002531D7"/>
    <w:rsid w:val="0025366A"/>
    <w:rsid w:val="00253A79"/>
    <w:rsid w:val="00253B1D"/>
    <w:rsid w:val="0025496F"/>
    <w:rsid w:val="00254DCF"/>
    <w:rsid w:val="0025534B"/>
    <w:rsid w:val="0025564F"/>
    <w:rsid w:val="00255BB7"/>
    <w:rsid w:val="00255E6D"/>
    <w:rsid w:val="00256F41"/>
    <w:rsid w:val="00257149"/>
    <w:rsid w:val="00257541"/>
    <w:rsid w:val="00257A39"/>
    <w:rsid w:val="00257AC4"/>
    <w:rsid w:val="00257BBE"/>
    <w:rsid w:val="00260015"/>
    <w:rsid w:val="00260019"/>
    <w:rsid w:val="0026072D"/>
    <w:rsid w:val="00260B9B"/>
    <w:rsid w:val="002613A8"/>
    <w:rsid w:val="00261A03"/>
    <w:rsid w:val="00261A77"/>
    <w:rsid w:val="00261DA0"/>
    <w:rsid w:val="00261EEF"/>
    <w:rsid w:val="0026254B"/>
    <w:rsid w:val="00262A1A"/>
    <w:rsid w:val="00262A87"/>
    <w:rsid w:val="00262FBE"/>
    <w:rsid w:val="0026336A"/>
    <w:rsid w:val="0026412F"/>
    <w:rsid w:val="0026469E"/>
    <w:rsid w:val="00264A3C"/>
    <w:rsid w:val="00264B72"/>
    <w:rsid w:val="00264D26"/>
    <w:rsid w:val="00265511"/>
    <w:rsid w:val="00265770"/>
    <w:rsid w:val="002659A3"/>
    <w:rsid w:val="00265D2D"/>
    <w:rsid w:val="0026652E"/>
    <w:rsid w:val="00267642"/>
    <w:rsid w:val="00267AEA"/>
    <w:rsid w:val="00267B93"/>
    <w:rsid w:val="00267BE5"/>
    <w:rsid w:val="00267CBA"/>
    <w:rsid w:val="002700E6"/>
    <w:rsid w:val="00270ADF"/>
    <w:rsid w:val="00270BB3"/>
    <w:rsid w:val="00270FF7"/>
    <w:rsid w:val="002711E3"/>
    <w:rsid w:val="00271D7C"/>
    <w:rsid w:val="00271ED6"/>
    <w:rsid w:val="0027294B"/>
    <w:rsid w:val="002729CA"/>
    <w:rsid w:val="002729FD"/>
    <w:rsid w:val="00272DF2"/>
    <w:rsid w:val="00272E8C"/>
    <w:rsid w:val="00273492"/>
    <w:rsid w:val="00273EB4"/>
    <w:rsid w:val="00274682"/>
    <w:rsid w:val="00274A8B"/>
    <w:rsid w:val="00274C34"/>
    <w:rsid w:val="00274FFE"/>
    <w:rsid w:val="00275158"/>
    <w:rsid w:val="00275A72"/>
    <w:rsid w:val="00275C5A"/>
    <w:rsid w:val="00276552"/>
    <w:rsid w:val="00276793"/>
    <w:rsid w:val="00276E87"/>
    <w:rsid w:val="0027713A"/>
    <w:rsid w:val="0027798E"/>
    <w:rsid w:val="002806FB"/>
    <w:rsid w:val="00280D45"/>
    <w:rsid w:val="00280F88"/>
    <w:rsid w:val="00281014"/>
    <w:rsid w:val="00281F07"/>
    <w:rsid w:val="00282CB3"/>
    <w:rsid w:val="00283177"/>
    <w:rsid w:val="002833EC"/>
    <w:rsid w:val="0028376E"/>
    <w:rsid w:val="00283A4C"/>
    <w:rsid w:val="00283FDF"/>
    <w:rsid w:val="00284558"/>
    <w:rsid w:val="00284784"/>
    <w:rsid w:val="00285298"/>
    <w:rsid w:val="00285667"/>
    <w:rsid w:val="00285BCE"/>
    <w:rsid w:val="00285F60"/>
    <w:rsid w:val="0028665D"/>
    <w:rsid w:val="0028700A"/>
    <w:rsid w:val="002871D7"/>
    <w:rsid w:val="00287570"/>
    <w:rsid w:val="00287598"/>
    <w:rsid w:val="00287A38"/>
    <w:rsid w:val="00287A57"/>
    <w:rsid w:val="00287B5C"/>
    <w:rsid w:val="00287CD4"/>
    <w:rsid w:val="0029088D"/>
    <w:rsid w:val="00290E9C"/>
    <w:rsid w:val="002913A2"/>
    <w:rsid w:val="0029207E"/>
    <w:rsid w:val="002925BA"/>
    <w:rsid w:val="00292703"/>
    <w:rsid w:val="00292995"/>
    <w:rsid w:val="00292B37"/>
    <w:rsid w:val="00292CEF"/>
    <w:rsid w:val="00293435"/>
    <w:rsid w:val="00293B12"/>
    <w:rsid w:val="00294C91"/>
    <w:rsid w:val="002962AD"/>
    <w:rsid w:val="00296548"/>
    <w:rsid w:val="002967D5"/>
    <w:rsid w:val="00296857"/>
    <w:rsid w:val="0029693E"/>
    <w:rsid w:val="00296954"/>
    <w:rsid w:val="00296BB2"/>
    <w:rsid w:val="00296DEB"/>
    <w:rsid w:val="00296EE9"/>
    <w:rsid w:val="00297574"/>
    <w:rsid w:val="002976C3"/>
    <w:rsid w:val="002A034F"/>
    <w:rsid w:val="002A0412"/>
    <w:rsid w:val="002A1077"/>
    <w:rsid w:val="002A14AB"/>
    <w:rsid w:val="002A14B7"/>
    <w:rsid w:val="002A1A34"/>
    <w:rsid w:val="002A1F21"/>
    <w:rsid w:val="002A2733"/>
    <w:rsid w:val="002A2ADE"/>
    <w:rsid w:val="002A2C7B"/>
    <w:rsid w:val="002A2F50"/>
    <w:rsid w:val="002A39E6"/>
    <w:rsid w:val="002A4959"/>
    <w:rsid w:val="002A4A8F"/>
    <w:rsid w:val="002A4D40"/>
    <w:rsid w:val="002A4ECE"/>
    <w:rsid w:val="002A5EF2"/>
    <w:rsid w:val="002A668B"/>
    <w:rsid w:val="002A67B4"/>
    <w:rsid w:val="002A728B"/>
    <w:rsid w:val="002A73A1"/>
    <w:rsid w:val="002A743D"/>
    <w:rsid w:val="002A7943"/>
    <w:rsid w:val="002A7AFF"/>
    <w:rsid w:val="002A7C92"/>
    <w:rsid w:val="002A7E3B"/>
    <w:rsid w:val="002B05A1"/>
    <w:rsid w:val="002B09A4"/>
    <w:rsid w:val="002B1087"/>
    <w:rsid w:val="002B10E0"/>
    <w:rsid w:val="002B1C1F"/>
    <w:rsid w:val="002B1DE8"/>
    <w:rsid w:val="002B2A29"/>
    <w:rsid w:val="002B2C52"/>
    <w:rsid w:val="002B2E58"/>
    <w:rsid w:val="002B318C"/>
    <w:rsid w:val="002B3605"/>
    <w:rsid w:val="002B3FA2"/>
    <w:rsid w:val="002B432F"/>
    <w:rsid w:val="002B521B"/>
    <w:rsid w:val="002B5680"/>
    <w:rsid w:val="002B56C1"/>
    <w:rsid w:val="002B586B"/>
    <w:rsid w:val="002B5ACD"/>
    <w:rsid w:val="002B5CD7"/>
    <w:rsid w:val="002B608B"/>
    <w:rsid w:val="002B62B3"/>
    <w:rsid w:val="002B66D6"/>
    <w:rsid w:val="002B673A"/>
    <w:rsid w:val="002B6754"/>
    <w:rsid w:val="002B6CCE"/>
    <w:rsid w:val="002B6DED"/>
    <w:rsid w:val="002B76A4"/>
    <w:rsid w:val="002B786D"/>
    <w:rsid w:val="002B789B"/>
    <w:rsid w:val="002B79EA"/>
    <w:rsid w:val="002B7AA4"/>
    <w:rsid w:val="002C0D8E"/>
    <w:rsid w:val="002C12F6"/>
    <w:rsid w:val="002C14BD"/>
    <w:rsid w:val="002C2067"/>
    <w:rsid w:val="002C211E"/>
    <w:rsid w:val="002C2510"/>
    <w:rsid w:val="002C273D"/>
    <w:rsid w:val="002C2775"/>
    <w:rsid w:val="002C27C1"/>
    <w:rsid w:val="002C283E"/>
    <w:rsid w:val="002C3316"/>
    <w:rsid w:val="002C36E3"/>
    <w:rsid w:val="002C36F9"/>
    <w:rsid w:val="002C38B0"/>
    <w:rsid w:val="002C38F8"/>
    <w:rsid w:val="002C3C83"/>
    <w:rsid w:val="002C3C8E"/>
    <w:rsid w:val="002C3E08"/>
    <w:rsid w:val="002C43ED"/>
    <w:rsid w:val="002C47C6"/>
    <w:rsid w:val="002C4C06"/>
    <w:rsid w:val="002C5099"/>
    <w:rsid w:val="002C5491"/>
    <w:rsid w:val="002C5889"/>
    <w:rsid w:val="002C5C3E"/>
    <w:rsid w:val="002C633F"/>
    <w:rsid w:val="002C6AF0"/>
    <w:rsid w:val="002C71CE"/>
    <w:rsid w:val="002C7C25"/>
    <w:rsid w:val="002D0326"/>
    <w:rsid w:val="002D083B"/>
    <w:rsid w:val="002D08F8"/>
    <w:rsid w:val="002D13C6"/>
    <w:rsid w:val="002D1D29"/>
    <w:rsid w:val="002D1DDE"/>
    <w:rsid w:val="002D1E91"/>
    <w:rsid w:val="002D2064"/>
    <w:rsid w:val="002D297A"/>
    <w:rsid w:val="002D2A1F"/>
    <w:rsid w:val="002D2A2E"/>
    <w:rsid w:val="002D3726"/>
    <w:rsid w:val="002D375F"/>
    <w:rsid w:val="002D4A4E"/>
    <w:rsid w:val="002D53BD"/>
    <w:rsid w:val="002D5444"/>
    <w:rsid w:val="002D577C"/>
    <w:rsid w:val="002D62CA"/>
    <w:rsid w:val="002D64BF"/>
    <w:rsid w:val="002D6A36"/>
    <w:rsid w:val="002D7137"/>
    <w:rsid w:val="002D725B"/>
    <w:rsid w:val="002D7832"/>
    <w:rsid w:val="002D7A37"/>
    <w:rsid w:val="002E08A0"/>
    <w:rsid w:val="002E1071"/>
    <w:rsid w:val="002E1077"/>
    <w:rsid w:val="002E1157"/>
    <w:rsid w:val="002E1593"/>
    <w:rsid w:val="002E15B9"/>
    <w:rsid w:val="002E15E4"/>
    <w:rsid w:val="002E2158"/>
    <w:rsid w:val="002E2437"/>
    <w:rsid w:val="002E256E"/>
    <w:rsid w:val="002E2D99"/>
    <w:rsid w:val="002E312B"/>
    <w:rsid w:val="002E33ED"/>
    <w:rsid w:val="002E3D70"/>
    <w:rsid w:val="002E43F2"/>
    <w:rsid w:val="002E4AD7"/>
    <w:rsid w:val="002E4F02"/>
    <w:rsid w:val="002E52CE"/>
    <w:rsid w:val="002E5547"/>
    <w:rsid w:val="002E580C"/>
    <w:rsid w:val="002E596F"/>
    <w:rsid w:val="002E6040"/>
    <w:rsid w:val="002E60CB"/>
    <w:rsid w:val="002E6222"/>
    <w:rsid w:val="002E6338"/>
    <w:rsid w:val="002E65F3"/>
    <w:rsid w:val="002E6753"/>
    <w:rsid w:val="002E6C2C"/>
    <w:rsid w:val="002E7394"/>
    <w:rsid w:val="002E74F4"/>
    <w:rsid w:val="002E7722"/>
    <w:rsid w:val="002E7847"/>
    <w:rsid w:val="002E7B89"/>
    <w:rsid w:val="002F0080"/>
    <w:rsid w:val="002F046A"/>
    <w:rsid w:val="002F07BA"/>
    <w:rsid w:val="002F08BB"/>
    <w:rsid w:val="002F08E5"/>
    <w:rsid w:val="002F09E9"/>
    <w:rsid w:val="002F0DA9"/>
    <w:rsid w:val="002F1014"/>
    <w:rsid w:val="002F15D5"/>
    <w:rsid w:val="002F1A8D"/>
    <w:rsid w:val="002F1D07"/>
    <w:rsid w:val="002F1E3B"/>
    <w:rsid w:val="002F23B6"/>
    <w:rsid w:val="002F3667"/>
    <w:rsid w:val="002F39E2"/>
    <w:rsid w:val="002F4836"/>
    <w:rsid w:val="002F58A2"/>
    <w:rsid w:val="002F59CE"/>
    <w:rsid w:val="002F5A7A"/>
    <w:rsid w:val="002F5FB1"/>
    <w:rsid w:val="002F6199"/>
    <w:rsid w:val="002F643C"/>
    <w:rsid w:val="002F70F8"/>
    <w:rsid w:val="002F71C0"/>
    <w:rsid w:val="002F74F1"/>
    <w:rsid w:val="002F7DEF"/>
    <w:rsid w:val="0030031D"/>
    <w:rsid w:val="00300B2F"/>
    <w:rsid w:val="00301017"/>
    <w:rsid w:val="003010FC"/>
    <w:rsid w:val="003011ED"/>
    <w:rsid w:val="0030155F"/>
    <w:rsid w:val="00301B98"/>
    <w:rsid w:val="0030294C"/>
    <w:rsid w:val="003032C6"/>
    <w:rsid w:val="00304B30"/>
    <w:rsid w:val="00304D5B"/>
    <w:rsid w:val="0030527C"/>
    <w:rsid w:val="0030587B"/>
    <w:rsid w:val="003059EE"/>
    <w:rsid w:val="00305E18"/>
    <w:rsid w:val="00305F1F"/>
    <w:rsid w:val="00306D98"/>
    <w:rsid w:val="00306F34"/>
    <w:rsid w:val="00307435"/>
    <w:rsid w:val="003075B0"/>
    <w:rsid w:val="0030786C"/>
    <w:rsid w:val="00307965"/>
    <w:rsid w:val="0031031A"/>
    <w:rsid w:val="0031034A"/>
    <w:rsid w:val="00310981"/>
    <w:rsid w:val="00311087"/>
    <w:rsid w:val="0031161B"/>
    <w:rsid w:val="003117FA"/>
    <w:rsid w:val="003118A7"/>
    <w:rsid w:val="00311D9B"/>
    <w:rsid w:val="00312287"/>
    <w:rsid w:val="003123BB"/>
    <w:rsid w:val="003124D9"/>
    <w:rsid w:val="00312594"/>
    <w:rsid w:val="0031285E"/>
    <w:rsid w:val="00312B61"/>
    <w:rsid w:val="00313249"/>
    <w:rsid w:val="003148CA"/>
    <w:rsid w:val="00314F3A"/>
    <w:rsid w:val="00315498"/>
    <w:rsid w:val="003157F0"/>
    <w:rsid w:val="00315C8D"/>
    <w:rsid w:val="00315CAB"/>
    <w:rsid w:val="00316190"/>
    <w:rsid w:val="00316474"/>
    <w:rsid w:val="0031670B"/>
    <w:rsid w:val="0031686E"/>
    <w:rsid w:val="0031719F"/>
    <w:rsid w:val="00317A23"/>
    <w:rsid w:val="00320764"/>
    <w:rsid w:val="00321068"/>
    <w:rsid w:val="00321538"/>
    <w:rsid w:val="00321618"/>
    <w:rsid w:val="00321B8E"/>
    <w:rsid w:val="00321EF6"/>
    <w:rsid w:val="00322107"/>
    <w:rsid w:val="00322355"/>
    <w:rsid w:val="00322846"/>
    <w:rsid w:val="003228F1"/>
    <w:rsid w:val="00322CE9"/>
    <w:rsid w:val="00322EC4"/>
    <w:rsid w:val="0032376C"/>
    <w:rsid w:val="00323ADA"/>
    <w:rsid w:val="00323C08"/>
    <w:rsid w:val="00323C6A"/>
    <w:rsid w:val="00323D61"/>
    <w:rsid w:val="00323E5F"/>
    <w:rsid w:val="0032412F"/>
    <w:rsid w:val="00324907"/>
    <w:rsid w:val="00324F44"/>
    <w:rsid w:val="00325AF0"/>
    <w:rsid w:val="00326238"/>
    <w:rsid w:val="00326830"/>
    <w:rsid w:val="00326DA7"/>
    <w:rsid w:val="00327015"/>
    <w:rsid w:val="003270E4"/>
    <w:rsid w:val="00327990"/>
    <w:rsid w:val="003279B6"/>
    <w:rsid w:val="00330565"/>
    <w:rsid w:val="0033094A"/>
    <w:rsid w:val="003309C0"/>
    <w:rsid w:val="00330DAA"/>
    <w:rsid w:val="00330E9D"/>
    <w:rsid w:val="00330EF4"/>
    <w:rsid w:val="00330F5C"/>
    <w:rsid w:val="00331185"/>
    <w:rsid w:val="0033139C"/>
    <w:rsid w:val="00331616"/>
    <w:rsid w:val="0033180C"/>
    <w:rsid w:val="00331B4E"/>
    <w:rsid w:val="0033239A"/>
    <w:rsid w:val="00332A81"/>
    <w:rsid w:val="00332E8E"/>
    <w:rsid w:val="00333176"/>
    <w:rsid w:val="003331CC"/>
    <w:rsid w:val="00333303"/>
    <w:rsid w:val="00333407"/>
    <w:rsid w:val="003338A9"/>
    <w:rsid w:val="00333DDF"/>
    <w:rsid w:val="0033441C"/>
    <w:rsid w:val="00334AAD"/>
    <w:rsid w:val="00334CF0"/>
    <w:rsid w:val="00334DF0"/>
    <w:rsid w:val="0033564C"/>
    <w:rsid w:val="00335863"/>
    <w:rsid w:val="003366C9"/>
    <w:rsid w:val="00336B8B"/>
    <w:rsid w:val="003371B0"/>
    <w:rsid w:val="00337648"/>
    <w:rsid w:val="0033776A"/>
    <w:rsid w:val="00337AD3"/>
    <w:rsid w:val="00337F91"/>
    <w:rsid w:val="003404AA"/>
    <w:rsid w:val="00340DF1"/>
    <w:rsid w:val="00340ED8"/>
    <w:rsid w:val="00341867"/>
    <w:rsid w:val="00341A5D"/>
    <w:rsid w:val="00341B14"/>
    <w:rsid w:val="00341CA6"/>
    <w:rsid w:val="003422DB"/>
    <w:rsid w:val="00342442"/>
    <w:rsid w:val="00342593"/>
    <w:rsid w:val="003435AE"/>
    <w:rsid w:val="00343D2A"/>
    <w:rsid w:val="00343DCD"/>
    <w:rsid w:val="003447B9"/>
    <w:rsid w:val="00344BBB"/>
    <w:rsid w:val="003451CF"/>
    <w:rsid w:val="003458B6"/>
    <w:rsid w:val="00346439"/>
    <w:rsid w:val="00346557"/>
    <w:rsid w:val="00346581"/>
    <w:rsid w:val="00346B8E"/>
    <w:rsid w:val="00346F48"/>
    <w:rsid w:val="0034702B"/>
    <w:rsid w:val="003470E2"/>
    <w:rsid w:val="003477AB"/>
    <w:rsid w:val="00347BDF"/>
    <w:rsid w:val="00347E6B"/>
    <w:rsid w:val="003500BE"/>
    <w:rsid w:val="003507E9"/>
    <w:rsid w:val="00350F94"/>
    <w:rsid w:val="003517F9"/>
    <w:rsid w:val="00351902"/>
    <w:rsid w:val="00351BA9"/>
    <w:rsid w:val="00351C9A"/>
    <w:rsid w:val="003523CE"/>
    <w:rsid w:val="00352879"/>
    <w:rsid w:val="0035306E"/>
    <w:rsid w:val="00353355"/>
    <w:rsid w:val="003535DC"/>
    <w:rsid w:val="00353C41"/>
    <w:rsid w:val="003547C3"/>
    <w:rsid w:val="00354F64"/>
    <w:rsid w:val="003550DA"/>
    <w:rsid w:val="003556A1"/>
    <w:rsid w:val="00355B67"/>
    <w:rsid w:val="003560EA"/>
    <w:rsid w:val="0035620E"/>
    <w:rsid w:val="003565F2"/>
    <w:rsid w:val="00356D49"/>
    <w:rsid w:val="003570FD"/>
    <w:rsid w:val="003575BE"/>
    <w:rsid w:val="00357833"/>
    <w:rsid w:val="00357AA1"/>
    <w:rsid w:val="00357AA3"/>
    <w:rsid w:val="00357F5B"/>
    <w:rsid w:val="00360345"/>
    <w:rsid w:val="0036039E"/>
    <w:rsid w:val="00360817"/>
    <w:rsid w:val="003609CB"/>
    <w:rsid w:val="00360C2F"/>
    <w:rsid w:val="0036104A"/>
    <w:rsid w:val="003615BA"/>
    <w:rsid w:val="00361A05"/>
    <w:rsid w:val="00361F8F"/>
    <w:rsid w:val="003624C4"/>
    <w:rsid w:val="003633AD"/>
    <w:rsid w:val="00363B00"/>
    <w:rsid w:val="00363E34"/>
    <w:rsid w:val="00364354"/>
    <w:rsid w:val="00364465"/>
    <w:rsid w:val="00364A7C"/>
    <w:rsid w:val="00364A81"/>
    <w:rsid w:val="00364BEA"/>
    <w:rsid w:val="00364F54"/>
    <w:rsid w:val="003650F3"/>
    <w:rsid w:val="003654AC"/>
    <w:rsid w:val="00367963"/>
    <w:rsid w:val="00367A3A"/>
    <w:rsid w:val="00370264"/>
    <w:rsid w:val="00370559"/>
    <w:rsid w:val="003710CF"/>
    <w:rsid w:val="003710FD"/>
    <w:rsid w:val="003713F7"/>
    <w:rsid w:val="00371AB7"/>
    <w:rsid w:val="00372047"/>
    <w:rsid w:val="003728EE"/>
    <w:rsid w:val="00372E39"/>
    <w:rsid w:val="0037358A"/>
    <w:rsid w:val="003737A3"/>
    <w:rsid w:val="00373F2A"/>
    <w:rsid w:val="0037423E"/>
    <w:rsid w:val="003744E4"/>
    <w:rsid w:val="00374557"/>
    <w:rsid w:val="00374DBD"/>
    <w:rsid w:val="003750F6"/>
    <w:rsid w:val="003755B9"/>
    <w:rsid w:val="00375855"/>
    <w:rsid w:val="00375905"/>
    <w:rsid w:val="00375B56"/>
    <w:rsid w:val="00375B94"/>
    <w:rsid w:val="003760FC"/>
    <w:rsid w:val="00376C14"/>
    <w:rsid w:val="00376D68"/>
    <w:rsid w:val="0037746B"/>
    <w:rsid w:val="0038045C"/>
    <w:rsid w:val="0038084F"/>
    <w:rsid w:val="003814E6"/>
    <w:rsid w:val="00381605"/>
    <w:rsid w:val="0038161E"/>
    <w:rsid w:val="00381966"/>
    <w:rsid w:val="00381A8E"/>
    <w:rsid w:val="00382637"/>
    <w:rsid w:val="0038290D"/>
    <w:rsid w:val="003832B7"/>
    <w:rsid w:val="00383546"/>
    <w:rsid w:val="0038365C"/>
    <w:rsid w:val="0038369B"/>
    <w:rsid w:val="00383B78"/>
    <w:rsid w:val="00383BCB"/>
    <w:rsid w:val="00383FC4"/>
    <w:rsid w:val="003847C3"/>
    <w:rsid w:val="003848CB"/>
    <w:rsid w:val="00384E29"/>
    <w:rsid w:val="00385259"/>
    <w:rsid w:val="003852EC"/>
    <w:rsid w:val="00385A9D"/>
    <w:rsid w:val="00386342"/>
    <w:rsid w:val="00387121"/>
    <w:rsid w:val="003871F9"/>
    <w:rsid w:val="0038720E"/>
    <w:rsid w:val="00387C31"/>
    <w:rsid w:val="0039001A"/>
    <w:rsid w:val="003902B1"/>
    <w:rsid w:val="0039179C"/>
    <w:rsid w:val="00392936"/>
    <w:rsid w:val="00392BE1"/>
    <w:rsid w:val="00392F1C"/>
    <w:rsid w:val="00395B73"/>
    <w:rsid w:val="00396896"/>
    <w:rsid w:val="003968F2"/>
    <w:rsid w:val="00396FD0"/>
    <w:rsid w:val="00397269"/>
    <w:rsid w:val="00397946"/>
    <w:rsid w:val="00397FD7"/>
    <w:rsid w:val="003A080A"/>
    <w:rsid w:val="003A09C7"/>
    <w:rsid w:val="003A12A0"/>
    <w:rsid w:val="003A1A7A"/>
    <w:rsid w:val="003A2392"/>
    <w:rsid w:val="003A2831"/>
    <w:rsid w:val="003A334E"/>
    <w:rsid w:val="003A3CB6"/>
    <w:rsid w:val="003A3ED1"/>
    <w:rsid w:val="003A44DB"/>
    <w:rsid w:val="003A472D"/>
    <w:rsid w:val="003A4C14"/>
    <w:rsid w:val="003A563E"/>
    <w:rsid w:val="003A5A52"/>
    <w:rsid w:val="003A63C5"/>
    <w:rsid w:val="003A727A"/>
    <w:rsid w:val="003A7CDC"/>
    <w:rsid w:val="003A7F2A"/>
    <w:rsid w:val="003B0B36"/>
    <w:rsid w:val="003B1505"/>
    <w:rsid w:val="003B1850"/>
    <w:rsid w:val="003B2120"/>
    <w:rsid w:val="003B216C"/>
    <w:rsid w:val="003B2593"/>
    <w:rsid w:val="003B2798"/>
    <w:rsid w:val="003B281E"/>
    <w:rsid w:val="003B35E2"/>
    <w:rsid w:val="003B3857"/>
    <w:rsid w:val="003B393F"/>
    <w:rsid w:val="003B3971"/>
    <w:rsid w:val="003B4372"/>
    <w:rsid w:val="003B4A37"/>
    <w:rsid w:val="003B5125"/>
    <w:rsid w:val="003B52DD"/>
    <w:rsid w:val="003B53E8"/>
    <w:rsid w:val="003B540C"/>
    <w:rsid w:val="003B55D1"/>
    <w:rsid w:val="003B5A18"/>
    <w:rsid w:val="003B5B61"/>
    <w:rsid w:val="003B5F65"/>
    <w:rsid w:val="003B61E3"/>
    <w:rsid w:val="003B623C"/>
    <w:rsid w:val="003B7021"/>
    <w:rsid w:val="003B7A85"/>
    <w:rsid w:val="003C057E"/>
    <w:rsid w:val="003C0CD4"/>
    <w:rsid w:val="003C1654"/>
    <w:rsid w:val="003C16D4"/>
    <w:rsid w:val="003C1E60"/>
    <w:rsid w:val="003C1F75"/>
    <w:rsid w:val="003C1FC9"/>
    <w:rsid w:val="003C21CD"/>
    <w:rsid w:val="003C2412"/>
    <w:rsid w:val="003C2884"/>
    <w:rsid w:val="003C2C5F"/>
    <w:rsid w:val="003C38B4"/>
    <w:rsid w:val="003C4327"/>
    <w:rsid w:val="003C5542"/>
    <w:rsid w:val="003C5565"/>
    <w:rsid w:val="003C56EE"/>
    <w:rsid w:val="003C5D5B"/>
    <w:rsid w:val="003C6296"/>
    <w:rsid w:val="003C6452"/>
    <w:rsid w:val="003C6491"/>
    <w:rsid w:val="003C6D4C"/>
    <w:rsid w:val="003C6ECC"/>
    <w:rsid w:val="003C70A8"/>
    <w:rsid w:val="003C7656"/>
    <w:rsid w:val="003C7C15"/>
    <w:rsid w:val="003C7D19"/>
    <w:rsid w:val="003C7D2F"/>
    <w:rsid w:val="003D060F"/>
    <w:rsid w:val="003D0C5A"/>
    <w:rsid w:val="003D0CB3"/>
    <w:rsid w:val="003D114E"/>
    <w:rsid w:val="003D1828"/>
    <w:rsid w:val="003D1DE4"/>
    <w:rsid w:val="003D1E9A"/>
    <w:rsid w:val="003D2422"/>
    <w:rsid w:val="003D2B04"/>
    <w:rsid w:val="003D3859"/>
    <w:rsid w:val="003D39A1"/>
    <w:rsid w:val="003D3EF9"/>
    <w:rsid w:val="003D3FBF"/>
    <w:rsid w:val="003D454D"/>
    <w:rsid w:val="003D46FA"/>
    <w:rsid w:val="003D4A30"/>
    <w:rsid w:val="003D5582"/>
    <w:rsid w:val="003D5B7C"/>
    <w:rsid w:val="003D5C3B"/>
    <w:rsid w:val="003D624E"/>
    <w:rsid w:val="003D6267"/>
    <w:rsid w:val="003D677A"/>
    <w:rsid w:val="003D68DF"/>
    <w:rsid w:val="003D69E7"/>
    <w:rsid w:val="003D6BA6"/>
    <w:rsid w:val="003D740D"/>
    <w:rsid w:val="003D7452"/>
    <w:rsid w:val="003D78A1"/>
    <w:rsid w:val="003D79BB"/>
    <w:rsid w:val="003D7C98"/>
    <w:rsid w:val="003D7D9D"/>
    <w:rsid w:val="003E0543"/>
    <w:rsid w:val="003E0653"/>
    <w:rsid w:val="003E0B07"/>
    <w:rsid w:val="003E1006"/>
    <w:rsid w:val="003E149A"/>
    <w:rsid w:val="003E18BC"/>
    <w:rsid w:val="003E2911"/>
    <w:rsid w:val="003E2999"/>
    <w:rsid w:val="003E2F46"/>
    <w:rsid w:val="003E32CA"/>
    <w:rsid w:val="003E335B"/>
    <w:rsid w:val="003E3B3B"/>
    <w:rsid w:val="003E42B3"/>
    <w:rsid w:val="003E4EB7"/>
    <w:rsid w:val="003E4EED"/>
    <w:rsid w:val="003E529D"/>
    <w:rsid w:val="003E5603"/>
    <w:rsid w:val="003E57E8"/>
    <w:rsid w:val="003E59D5"/>
    <w:rsid w:val="003E6E7F"/>
    <w:rsid w:val="003E71C4"/>
    <w:rsid w:val="003E749E"/>
    <w:rsid w:val="003E7763"/>
    <w:rsid w:val="003E7FB2"/>
    <w:rsid w:val="003F0076"/>
    <w:rsid w:val="003F00F5"/>
    <w:rsid w:val="003F1019"/>
    <w:rsid w:val="003F1217"/>
    <w:rsid w:val="003F2116"/>
    <w:rsid w:val="003F2E6A"/>
    <w:rsid w:val="003F36C5"/>
    <w:rsid w:val="003F3B3A"/>
    <w:rsid w:val="003F3E94"/>
    <w:rsid w:val="003F4156"/>
    <w:rsid w:val="003F48BF"/>
    <w:rsid w:val="003F4CDD"/>
    <w:rsid w:val="003F54C7"/>
    <w:rsid w:val="003F58BD"/>
    <w:rsid w:val="003F5A24"/>
    <w:rsid w:val="003F5ADF"/>
    <w:rsid w:val="003F5E6E"/>
    <w:rsid w:val="003F61D5"/>
    <w:rsid w:val="003F6204"/>
    <w:rsid w:val="003F6315"/>
    <w:rsid w:val="003F6646"/>
    <w:rsid w:val="003F69B0"/>
    <w:rsid w:val="003F71AC"/>
    <w:rsid w:val="003F730B"/>
    <w:rsid w:val="003F73AB"/>
    <w:rsid w:val="0040000D"/>
    <w:rsid w:val="00400791"/>
    <w:rsid w:val="00400B29"/>
    <w:rsid w:val="00400DC5"/>
    <w:rsid w:val="004018D9"/>
    <w:rsid w:val="00401AF8"/>
    <w:rsid w:val="00402116"/>
    <w:rsid w:val="00402812"/>
    <w:rsid w:val="004038F0"/>
    <w:rsid w:val="00403B9F"/>
    <w:rsid w:val="00403D31"/>
    <w:rsid w:val="00404160"/>
    <w:rsid w:val="004042B4"/>
    <w:rsid w:val="004044DE"/>
    <w:rsid w:val="00404929"/>
    <w:rsid w:val="00404B7C"/>
    <w:rsid w:val="00404C38"/>
    <w:rsid w:val="0040504B"/>
    <w:rsid w:val="004050DE"/>
    <w:rsid w:val="00405283"/>
    <w:rsid w:val="0040534F"/>
    <w:rsid w:val="004059F4"/>
    <w:rsid w:val="00405B4F"/>
    <w:rsid w:val="00405EA5"/>
    <w:rsid w:val="004061B8"/>
    <w:rsid w:val="00406745"/>
    <w:rsid w:val="004069C3"/>
    <w:rsid w:val="0040701D"/>
    <w:rsid w:val="00407FE5"/>
    <w:rsid w:val="004101B0"/>
    <w:rsid w:val="00410326"/>
    <w:rsid w:val="00410708"/>
    <w:rsid w:val="00410757"/>
    <w:rsid w:val="00410EC7"/>
    <w:rsid w:val="00411038"/>
    <w:rsid w:val="00411B39"/>
    <w:rsid w:val="00412251"/>
    <w:rsid w:val="004127A7"/>
    <w:rsid w:val="00412811"/>
    <w:rsid w:val="00412B69"/>
    <w:rsid w:val="00412F7C"/>
    <w:rsid w:val="00413128"/>
    <w:rsid w:val="00413259"/>
    <w:rsid w:val="00413A1E"/>
    <w:rsid w:val="00414271"/>
    <w:rsid w:val="00414332"/>
    <w:rsid w:val="00414403"/>
    <w:rsid w:val="00414476"/>
    <w:rsid w:val="00414555"/>
    <w:rsid w:val="00414C2E"/>
    <w:rsid w:val="004151CF"/>
    <w:rsid w:val="004155AA"/>
    <w:rsid w:val="0041570D"/>
    <w:rsid w:val="00415AAB"/>
    <w:rsid w:val="00416364"/>
    <w:rsid w:val="00416B41"/>
    <w:rsid w:val="00416E46"/>
    <w:rsid w:val="00416F17"/>
    <w:rsid w:val="00417773"/>
    <w:rsid w:val="0041785A"/>
    <w:rsid w:val="00417BDB"/>
    <w:rsid w:val="0042047F"/>
    <w:rsid w:val="00420AA6"/>
    <w:rsid w:val="00420B9F"/>
    <w:rsid w:val="00420C6E"/>
    <w:rsid w:val="00420EDE"/>
    <w:rsid w:val="004210F0"/>
    <w:rsid w:val="00421631"/>
    <w:rsid w:val="0042192C"/>
    <w:rsid w:val="00421BE6"/>
    <w:rsid w:val="00421C9B"/>
    <w:rsid w:val="00421DF4"/>
    <w:rsid w:val="00421ED0"/>
    <w:rsid w:val="00422260"/>
    <w:rsid w:val="0042249F"/>
    <w:rsid w:val="0042262C"/>
    <w:rsid w:val="0042264D"/>
    <w:rsid w:val="004226CB"/>
    <w:rsid w:val="004232E0"/>
    <w:rsid w:val="00423362"/>
    <w:rsid w:val="00423380"/>
    <w:rsid w:val="0042346C"/>
    <w:rsid w:val="00423EF7"/>
    <w:rsid w:val="0042413F"/>
    <w:rsid w:val="00424388"/>
    <w:rsid w:val="0042533E"/>
    <w:rsid w:val="00426385"/>
    <w:rsid w:val="0042678A"/>
    <w:rsid w:val="00426C50"/>
    <w:rsid w:val="00427003"/>
    <w:rsid w:val="00427624"/>
    <w:rsid w:val="004277DB"/>
    <w:rsid w:val="00427DCD"/>
    <w:rsid w:val="00427F46"/>
    <w:rsid w:val="0043008C"/>
    <w:rsid w:val="004308DF"/>
    <w:rsid w:val="00430AD1"/>
    <w:rsid w:val="004311A9"/>
    <w:rsid w:val="004319F8"/>
    <w:rsid w:val="00431E55"/>
    <w:rsid w:val="004320A3"/>
    <w:rsid w:val="004321F6"/>
    <w:rsid w:val="004326E7"/>
    <w:rsid w:val="00433044"/>
    <w:rsid w:val="00433617"/>
    <w:rsid w:val="00433764"/>
    <w:rsid w:val="00433E25"/>
    <w:rsid w:val="00433E44"/>
    <w:rsid w:val="00434088"/>
    <w:rsid w:val="00434230"/>
    <w:rsid w:val="004344A3"/>
    <w:rsid w:val="00434D3C"/>
    <w:rsid w:val="004351E1"/>
    <w:rsid w:val="004355D2"/>
    <w:rsid w:val="004361ED"/>
    <w:rsid w:val="004365D2"/>
    <w:rsid w:val="004372D3"/>
    <w:rsid w:val="0043730B"/>
    <w:rsid w:val="004374A5"/>
    <w:rsid w:val="00437551"/>
    <w:rsid w:val="004375B9"/>
    <w:rsid w:val="004376AC"/>
    <w:rsid w:val="004378B2"/>
    <w:rsid w:val="00437A2E"/>
    <w:rsid w:val="00437EB5"/>
    <w:rsid w:val="00437FCD"/>
    <w:rsid w:val="00440803"/>
    <w:rsid w:val="00440C8F"/>
    <w:rsid w:val="00441346"/>
    <w:rsid w:val="0044168F"/>
    <w:rsid w:val="00441763"/>
    <w:rsid w:val="0044214C"/>
    <w:rsid w:val="004428D0"/>
    <w:rsid w:val="004428FC"/>
    <w:rsid w:val="0044291D"/>
    <w:rsid w:val="00443881"/>
    <w:rsid w:val="00443DFC"/>
    <w:rsid w:val="00444185"/>
    <w:rsid w:val="004443A7"/>
    <w:rsid w:val="0044442C"/>
    <w:rsid w:val="00444FCA"/>
    <w:rsid w:val="00445941"/>
    <w:rsid w:val="0044595E"/>
    <w:rsid w:val="004464EB"/>
    <w:rsid w:val="00447D26"/>
    <w:rsid w:val="00447DFC"/>
    <w:rsid w:val="004509E9"/>
    <w:rsid w:val="004511B9"/>
    <w:rsid w:val="00451709"/>
    <w:rsid w:val="004519D0"/>
    <w:rsid w:val="00451AA3"/>
    <w:rsid w:val="004524BC"/>
    <w:rsid w:val="00452ABB"/>
    <w:rsid w:val="0045313C"/>
    <w:rsid w:val="004533CF"/>
    <w:rsid w:val="00453A48"/>
    <w:rsid w:val="00453B35"/>
    <w:rsid w:val="00453DAE"/>
    <w:rsid w:val="00453F95"/>
    <w:rsid w:val="00454436"/>
    <w:rsid w:val="004548BB"/>
    <w:rsid w:val="00454A0D"/>
    <w:rsid w:val="00454B53"/>
    <w:rsid w:val="00454FA4"/>
    <w:rsid w:val="004554C3"/>
    <w:rsid w:val="00455CCF"/>
    <w:rsid w:val="00455D45"/>
    <w:rsid w:val="0045610F"/>
    <w:rsid w:val="0045619F"/>
    <w:rsid w:val="00457642"/>
    <w:rsid w:val="00457B42"/>
    <w:rsid w:val="00457B50"/>
    <w:rsid w:val="00457C6B"/>
    <w:rsid w:val="0046031C"/>
    <w:rsid w:val="00460D4C"/>
    <w:rsid w:val="00460DAB"/>
    <w:rsid w:val="00460E6B"/>
    <w:rsid w:val="004610D8"/>
    <w:rsid w:val="0046163B"/>
    <w:rsid w:val="00461D6C"/>
    <w:rsid w:val="00461FE7"/>
    <w:rsid w:val="004627C0"/>
    <w:rsid w:val="00462FE0"/>
    <w:rsid w:val="00463090"/>
    <w:rsid w:val="004636A4"/>
    <w:rsid w:val="004636A6"/>
    <w:rsid w:val="004637F9"/>
    <w:rsid w:val="004638B2"/>
    <w:rsid w:val="00464595"/>
    <w:rsid w:val="004648E2"/>
    <w:rsid w:val="00464ABF"/>
    <w:rsid w:val="00464B2F"/>
    <w:rsid w:val="00464CB0"/>
    <w:rsid w:val="00464E06"/>
    <w:rsid w:val="00464EE8"/>
    <w:rsid w:val="00464F9A"/>
    <w:rsid w:val="004656D5"/>
    <w:rsid w:val="004658B5"/>
    <w:rsid w:val="0046591C"/>
    <w:rsid w:val="00465E69"/>
    <w:rsid w:val="004663ED"/>
    <w:rsid w:val="00466B4A"/>
    <w:rsid w:val="00467134"/>
    <w:rsid w:val="004673D7"/>
    <w:rsid w:val="00467C5C"/>
    <w:rsid w:val="004701A3"/>
    <w:rsid w:val="00470445"/>
    <w:rsid w:val="004705F4"/>
    <w:rsid w:val="00470DBA"/>
    <w:rsid w:val="00470DF6"/>
    <w:rsid w:val="004716CB"/>
    <w:rsid w:val="00471C1B"/>
    <w:rsid w:val="00471EA5"/>
    <w:rsid w:val="00472815"/>
    <w:rsid w:val="00472A79"/>
    <w:rsid w:val="0047308F"/>
    <w:rsid w:val="00473255"/>
    <w:rsid w:val="00473A2B"/>
    <w:rsid w:val="00473D88"/>
    <w:rsid w:val="00473F19"/>
    <w:rsid w:val="004747E3"/>
    <w:rsid w:val="00474EFD"/>
    <w:rsid w:val="00475176"/>
    <w:rsid w:val="0047595F"/>
    <w:rsid w:val="00475A82"/>
    <w:rsid w:val="00475E22"/>
    <w:rsid w:val="004767F5"/>
    <w:rsid w:val="00476ADE"/>
    <w:rsid w:val="0047702C"/>
    <w:rsid w:val="00477304"/>
    <w:rsid w:val="00480701"/>
    <w:rsid w:val="0048088E"/>
    <w:rsid w:val="00480A0F"/>
    <w:rsid w:val="00480F2B"/>
    <w:rsid w:val="00481672"/>
    <w:rsid w:val="004816C5"/>
    <w:rsid w:val="00481781"/>
    <w:rsid w:val="00481DE2"/>
    <w:rsid w:val="00481E27"/>
    <w:rsid w:val="00482720"/>
    <w:rsid w:val="00482B17"/>
    <w:rsid w:val="00482C6B"/>
    <w:rsid w:val="00482DED"/>
    <w:rsid w:val="00482E24"/>
    <w:rsid w:val="004834B7"/>
    <w:rsid w:val="004835E7"/>
    <w:rsid w:val="00484570"/>
    <w:rsid w:val="00484700"/>
    <w:rsid w:val="00484E79"/>
    <w:rsid w:val="004859E1"/>
    <w:rsid w:val="00485C33"/>
    <w:rsid w:val="004867E2"/>
    <w:rsid w:val="00486C46"/>
    <w:rsid w:val="004874C4"/>
    <w:rsid w:val="004874F5"/>
    <w:rsid w:val="00490B17"/>
    <w:rsid w:val="00490F09"/>
    <w:rsid w:val="00491B3A"/>
    <w:rsid w:val="00491DBD"/>
    <w:rsid w:val="00491F8D"/>
    <w:rsid w:val="0049260C"/>
    <w:rsid w:val="00492694"/>
    <w:rsid w:val="00492CA4"/>
    <w:rsid w:val="00492CA6"/>
    <w:rsid w:val="00492CFD"/>
    <w:rsid w:val="00493086"/>
    <w:rsid w:val="00493683"/>
    <w:rsid w:val="00494207"/>
    <w:rsid w:val="0049488E"/>
    <w:rsid w:val="004949BB"/>
    <w:rsid w:val="00494DD5"/>
    <w:rsid w:val="004950EC"/>
    <w:rsid w:val="0049513D"/>
    <w:rsid w:val="004962C1"/>
    <w:rsid w:val="004962D2"/>
    <w:rsid w:val="00496347"/>
    <w:rsid w:val="004965CA"/>
    <w:rsid w:val="004975B3"/>
    <w:rsid w:val="00497B68"/>
    <w:rsid w:val="004A01F8"/>
    <w:rsid w:val="004A04AD"/>
    <w:rsid w:val="004A0DA1"/>
    <w:rsid w:val="004A0EA0"/>
    <w:rsid w:val="004A13D6"/>
    <w:rsid w:val="004A15F2"/>
    <w:rsid w:val="004A1EA5"/>
    <w:rsid w:val="004A20F8"/>
    <w:rsid w:val="004A253F"/>
    <w:rsid w:val="004A25AE"/>
    <w:rsid w:val="004A2B9A"/>
    <w:rsid w:val="004A2D3C"/>
    <w:rsid w:val="004A2F0E"/>
    <w:rsid w:val="004A368D"/>
    <w:rsid w:val="004A3E6C"/>
    <w:rsid w:val="004A4E12"/>
    <w:rsid w:val="004A4F1E"/>
    <w:rsid w:val="004A52E9"/>
    <w:rsid w:val="004A52F2"/>
    <w:rsid w:val="004A58E6"/>
    <w:rsid w:val="004A59C8"/>
    <w:rsid w:val="004A6040"/>
    <w:rsid w:val="004A6370"/>
    <w:rsid w:val="004A6597"/>
    <w:rsid w:val="004A6F59"/>
    <w:rsid w:val="004A749A"/>
    <w:rsid w:val="004A7848"/>
    <w:rsid w:val="004A793B"/>
    <w:rsid w:val="004A7ED1"/>
    <w:rsid w:val="004B02BC"/>
    <w:rsid w:val="004B0725"/>
    <w:rsid w:val="004B08FE"/>
    <w:rsid w:val="004B0BAF"/>
    <w:rsid w:val="004B1C2F"/>
    <w:rsid w:val="004B1CB4"/>
    <w:rsid w:val="004B1E68"/>
    <w:rsid w:val="004B252C"/>
    <w:rsid w:val="004B2C05"/>
    <w:rsid w:val="004B2F18"/>
    <w:rsid w:val="004B3225"/>
    <w:rsid w:val="004B3B48"/>
    <w:rsid w:val="004B3DDB"/>
    <w:rsid w:val="004B3EBC"/>
    <w:rsid w:val="004B406E"/>
    <w:rsid w:val="004B44FD"/>
    <w:rsid w:val="004B480B"/>
    <w:rsid w:val="004B4811"/>
    <w:rsid w:val="004B4CAB"/>
    <w:rsid w:val="004B50B0"/>
    <w:rsid w:val="004B5887"/>
    <w:rsid w:val="004B5CFC"/>
    <w:rsid w:val="004B6F79"/>
    <w:rsid w:val="004B7159"/>
    <w:rsid w:val="004B74CA"/>
    <w:rsid w:val="004B75E1"/>
    <w:rsid w:val="004B774D"/>
    <w:rsid w:val="004B789F"/>
    <w:rsid w:val="004B7A89"/>
    <w:rsid w:val="004C0500"/>
    <w:rsid w:val="004C07D9"/>
    <w:rsid w:val="004C0E40"/>
    <w:rsid w:val="004C1439"/>
    <w:rsid w:val="004C2AC2"/>
    <w:rsid w:val="004C2BE1"/>
    <w:rsid w:val="004C3B02"/>
    <w:rsid w:val="004C4AED"/>
    <w:rsid w:val="004C51BA"/>
    <w:rsid w:val="004C5AEE"/>
    <w:rsid w:val="004C5E90"/>
    <w:rsid w:val="004C610D"/>
    <w:rsid w:val="004C7042"/>
    <w:rsid w:val="004C70A8"/>
    <w:rsid w:val="004C7A87"/>
    <w:rsid w:val="004C7B65"/>
    <w:rsid w:val="004D09AC"/>
    <w:rsid w:val="004D1022"/>
    <w:rsid w:val="004D1C49"/>
    <w:rsid w:val="004D2C2D"/>
    <w:rsid w:val="004D2CC0"/>
    <w:rsid w:val="004D3372"/>
    <w:rsid w:val="004D37AA"/>
    <w:rsid w:val="004D42C3"/>
    <w:rsid w:val="004D47BB"/>
    <w:rsid w:val="004D4C9F"/>
    <w:rsid w:val="004D5CE6"/>
    <w:rsid w:val="004D5D68"/>
    <w:rsid w:val="004D6566"/>
    <w:rsid w:val="004D69B5"/>
    <w:rsid w:val="004D6A4E"/>
    <w:rsid w:val="004D6CEE"/>
    <w:rsid w:val="004D71DF"/>
    <w:rsid w:val="004D7227"/>
    <w:rsid w:val="004D7B5E"/>
    <w:rsid w:val="004E0644"/>
    <w:rsid w:val="004E06E8"/>
    <w:rsid w:val="004E0E7F"/>
    <w:rsid w:val="004E0EB8"/>
    <w:rsid w:val="004E1417"/>
    <w:rsid w:val="004E18E9"/>
    <w:rsid w:val="004E19A2"/>
    <w:rsid w:val="004E23AC"/>
    <w:rsid w:val="004E25B9"/>
    <w:rsid w:val="004E2ADC"/>
    <w:rsid w:val="004E2FE9"/>
    <w:rsid w:val="004E3061"/>
    <w:rsid w:val="004E353B"/>
    <w:rsid w:val="004E3FBD"/>
    <w:rsid w:val="004E4278"/>
    <w:rsid w:val="004E43B2"/>
    <w:rsid w:val="004E4C77"/>
    <w:rsid w:val="004E5324"/>
    <w:rsid w:val="004E593B"/>
    <w:rsid w:val="004E5BEB"/>
    <w:rsid w:val="004E5DE1"/>
    <w:rsid w:val="004E6748"/>
    <w:rsid w:val="004E690F"/>
    <w:rsid w:val="004E6F7E"/>
    <w:rsid w:val="004E7722"/>
    <w:rsid w:val="004E792E"/>
    <w:rsid w:val="004F038C"/>
    <w:rsid w:val="004F097A"/>
    <w:rsid w:val="004F1371"/>
    <w:rsid w:val="004F1386"/>
    <w:rsid w:val="004F13BA"/>
    <w:rsid w:val="004F1423"/>
    <w:rsid w:val="004F15D4"/>
    <w:rsid w:val="004F1CA8"/>
    <w:rsid w:val="004F1D02"/>
    <w:rsid w:val="004F203E"/>
    <w:rsid w:val="004F2515"/>
    <w:rsid w:val="004F2679"/>
    <w:rsid w:val="004F28B6"/>
    <w:rsid w:val="004F2A91"/>
    <w:rsid w:val="004F2F21"/>
    <w:rsid w:val="004F3367"/>
    <w:rsid w:val="004F3385"/>
    <w:rsid w:val="004F377F"/>
    <w:rsid w:val="004F3DE5"/>
    <w:rsid w:val="004F3EA9"/>
    <w:rsid w:val="004F4197"/>
    <w:rsid w:val="004F42DE"/>
    <w:rsid w:val="004F4754"/>
    <w:rsid w:val="004F4A58"/>
    <w:rsid w:val="004F5246"/>
    <w:rsid w:val="004F52D0"/>
    <w:rsid w:val="004F52E3"/>
    <w:rsid w:val="004F54BD"/>
    <w:rsid w:val="004F55E3"/>
    <w:rsid w:val="004F5649"/>
    <w:rsid w:val="004F5978"/>
    <w:rsid w:val="004F651F"/>
    <w:rsid w:val="004F6737"/>
    <w:rsid w:val="004F6913"/>
    <w:rsid w:val="004F6E36"/>
    <w:rsid w:val="004F7865"/>
    <w:rsid w:val="005003E5"/>
    <w:rsid w:val="00500B6F"/>
    <w:rsid w:val="005013CA"/>
    <w:rsid w:val="005014B8"/>
    <w:rsid w:val="0050174E"/>
    <w:rsid w:val="00501854"/>
    <w:rsid w:val="00501D6C"/>
    <w:rsid w:val="0050219B"/>
    <w:rsid w:val="00502ABC"/>
    <w:rsid w:val="00502ABF"/>
    <w:rsid w:val="00503A9C"/>
    <w:rsid w:val="00503B3D"/>
    <w:rsid w:val="00503CB6"/>
    <w:rsid w:val="00503F17"/>
    <w:rsid w:val="00503F3A"/>
    <w:rsid w:val="0050491B"/>
    <w:rsid w:val="00504B76"/>
    <w:rsid w:val="00504CDD"/>
    <w:rsid w:val="005059E3"/>
    <w:rsid w:val="00505D60"/>
    <w:rsid w:val="005068B8"/>
    <w:rsid w:val="00506928"/>
    <w:rsid w:val="0050719E"/>
    <w:rsid w:val="005077EF"/>
    <w:rsid w:val="005078CD"/>
    <w:rsid w:val="00507D3F"/>
    <w:rsid w:val="00507EC7"/>
    <w:rsid w:val="00507FE4"/>
    <w:rsid w:val="00510084"/>
    <w:rsid w:val="00510AAE"/>
    <w:rsid w:val="00510B99"/>
    <w:rsid w:val="00510E57"/>
    <w:rsid w:val="00510E6C"/>
    <w:rsid w:val="00511486"/>
    <w:rsid w:val="00511AD5"/>
    <w:rsid w:val="00511DC7"/>
    <w:rsid w:val="005120C5"/>
    <w:rsid w:val="005123B8"/>
    <w:rsid w:val="005123D2"/>
    <w:rsid w:val="0051369D"/>
    <w:rsid w:val="00513716"/>
    <w:rsid w:val="00513811"/>
    <w:rsid w:val="005142C5"/>
    <w:rsid w:val="00514491"/>
    <w:rsid w:val="00514619"/>
    <w:rsid w:val="00514C12"/>
    <w:rsid w:val="0051501B"/>
    <w:rsid w:val="005152B5"/>
    <w:rsid w:val="005154D1"/>
    <w:rsid w:val="00515626"/>
    <w:rsid w:val="00515886"/>
    <w:rsid w:val="00515E74"/>
    <w:rsid w:val="0051620F"/>
    <w:rsid w:val="005162EA"/>
    <w:rsid w:val="00516AED"/>
    <w:rsid w:val="00516C11"/>
    <w:rsid w:val="00517948"/>
    <w:rsid w:val="00517B8C"/>
    <w:rsid w:val="00517BB1"/>
    <w:rsid w:val="00520B28"/>
    <w:rsid w:val="0052123C"/>
    <w:rsid w:val="00521319"/>
    <w:rsid w:val="005218ED"/>
    <w:rsid w:val="0052275B"/>
    <w:rsid w:val="005228D0"/>
    <w:rsid w:val="00522BC8"/>
    <w:rsid w:val="005235CF"/>
    <w:rsid w:val="00523C28"/>
    <w:rsid w:val="00523CCB"/>
    <w:rsid w:val="0052404E"/>
    <w:rsid w:val="005246FF"/>
    <w:rsid w:val="00525205"/>
    <w:rsid w:val="005254A8"/>
    <w:rsid w:val="00525796"/>
    <w:rsid w:val="00525835"/>
    <w:rsid w:val="00525A39"/>
    <w:rsid w:val="00525AF1"/>
    <w:rsid w:val="0052656E"/>
    <w:rsid w:val="00526DB8"/>
    <w:rsid w:val="00526DC3"/>
    <w:rsid w:val="00526F13"/>
    <w:rsid w:val="00527B74"/>
    <w:rsid w:val="0053043D"/>
    <w:rsid w:val="00530989"/>
    <w:rsid w:val="00530B48"/>
    <w:rsid w:val="00531664"/>
    <w:rsid w:val="00531762"/>
    <w:rsid w:val="0053176B"/>
    <w:rsid w:val="00531CC7"/>
    <w:rsid w:val="005327D5"/>
    <w:rsid w:val="00532B5B"/>
    <w:rsid w:val="00532D9C"/>
    <w:rsid w:val="00532F40"/>
    <w:rsid w:val="005331F1"/>
    <w:rsid w:val="005341B3"/>
    <w:rsid w:val="005343E7"/>
    <w:rsid w:val="00534A7A"/>
    <w:rsid w:val="0053589E"/>
    <w:rsid w:val="005367DC"/>
    <w:rsid w:val="00536F42"/>
    <w:rsid w:val="00537116"/>
    <w:rsid w:val="00537182"/>
    <w:rsid w:val="00537A16"/>
    <w:rsid w:val="00537A9B"/>
    <w:rsid w:val="00537B9C"/>
    <w:rsid w:val="00537F1F"/>
    <w:rsid w:val="0054078E"/>
    <w:rsid w:val="00540C23"/>
    <w:rsid w:val="005413EA"/>
    <w:rsid w:val="005418AD"/>
    <w:rsid w:val="00541DAD"/>
    <w:rsid w:val="00541EDD"/>
    <w:rsid w:val="005420CC"/>
    <w:rsid w:val="00542743"/>
    <w:rsid w:val="00542ADC"/>
    <w:rsid w:val="00542C2D"/>
    <w:rsid w:val="0054360C"/>
    <w:rsid w:val="00543B73"/>
    <w:rsid w:val="00544F80"/>
    <w:rsid w:val="005451C2"/>
    <w:rsid w:val="00545272"/>
    <w:rsid w:val="00545902"/>
    <w:rsid w:val="00546CCB"/>
    <w:rsid w:val="005473C3"/>
    <w:rsid w:val="005478BD"/>
    <w:rsid w:val="005479E3"/>
    <w:rsid w:val="00547B24"/>
    <w:rsid w:val="00547FF1"/>
    <w:rsid w:val="00550371"/>
    <w:rsid w:val="005507E6"/>
    <w:rsid w:val="00550CFE"/>
    <w:rsid w:val="00551985"/>
    <w:rsid w:val="00551E20"/>
    <w:rsid w:val="00551F27"/>
    <w:rsid w:val="00552107"/>
    <w:rsid w:val="005527FF"/>
    <w:rsid w:val="00552BD3"/>
    <w:rsid w:val="00552D58"/>
    <w:rsid w:val="005532A0"/>
    <w:rsid w:val="005534F0"/>
    <w:rsid w:val="005535FD"/>
    <w:rsid w:val="00554170"/>
    <w:rsid w:val="00554306"/>
    <w:rsid w:val="00554A54"/>
    <w:rsid w:val="00555109"/>
    <w:rsid w:val="005553E0"/>
    <w:rsid w:val="00556031"/>
    <w:rsid w:val="00556B35"/>
    <w:rsid w:val="00556EF0"/>
    <w:rsid w:val="0055741A"/>
    <w:rsid w:val="005575CF"/>
    <w:rsid w:val="0055761D"/>
    <w:rsid w:val="005576FA"/>
    <w:rsid w:val="00557DF8"/>
    <w:rsid w:val="005611B7"/>
    <w:rsid w:val="005614CB"/>
    <w:rsid w:val="0056154D"/>
    <w:rsid w:val="005618D4"/>
    <w:rsid w:val="0056237C"/>
    <w:rsid w:val="00562D33"/>
    <w:rsid w:val="005631A8"/>
    <w:rsid w:val="005633B4"/>
    <w:rsid w:val="00564867"/>
    <w:rsid w:val="00564DA4"/>
    <w:rsid w:val="00564DAB"/>
    <w:rsid w:val="0056500B"/>
    <w:rsid w:val="00565885"/>
    <w:rsid w:val="00565C79"/>
    <w:rsid w:val="00565DF0"/>
    <w:rsid w:val="00565E6C"/>
    <w:rsid w:val="00566493"/>
    <w:rsid w:val="00566751"/>
    <w:rsid w:val="0056696F"/>
    <w:rsid w:val="00566BBC"/>
    <w:rsid w:val="00566C46"/>
    <w:rsid w:val="00566D48"/>
    <w:rsid w:val="00567648"/>
    <w:rsid w:val="00567F7E"/>
    <w:rsid w:val="0057027B"/>
    <w:rsid w:val="00570307"/>
    <w:rsid w:val="00570ACC"/>
    <w:rsid w:val="00571791"/>
    <w:rsid w:val="00571A2C"/>
    <w:rsid w:val="00571B73"/>
    <w:rsid w:val="00572269"/>
    <w:rsid w:val="0057226A"/>
    <w:rsid w:val="0057244A"/>
    <w:rsid w:val="00572F26"/>
    <w:rsid w:val="00574B0B"/>
    <w:rsid w:val="00574B0D"/>
    <w:rsid w:val="00574C84"/>
    <w:rsid w:val="005750C5"/>
    <w:rsid w:val="005752DE"/>
    <w:rsid w:val="00575430"/>
    <w:rsid w:val="0057593A"/>
    <w:rsid w:val="005759AA"/>
    <w:rsid w:val="00575D60"/>
    <w:rsid w:val="00575D8D"/>
    <w:rsid w:val="00575DC0"/>
    <w:rsid w:val="00576972"/>
    <w:rsid w:val="00576D28"/>
    <w:rsid w:val="00577248"/>
    <w:rsid w:val="00577A96"/>
    <w:rsid w:val="00577CC4"/>
    <w:rsid w:val="00577FB6"/>
    <w:rsid w:val="00581346"/>
    <w:rsid w:val="0058176D"/>
    <w:rsid w:val="0058183B"/>
    <w:rsid w:val="00582847"/>
    <w:rsid w:val="00582FE7"/>
    <w:rsid w:val="0058328D"/>
    <w:rsid w:val="00583699"/>
    <w:rsid w:val="0058374F"/>
    <w:rsid w:val="005840CB"/>
    <w:rsid w:val="0058459E"/>
    <w:rsid w:val="00584CA3"/>
    <w:rsid w:val="005853C0"/>
    <w:rsid w:val="0058569D"/>
    <w:rsid w:val="00585CDD"/>
    <w:rsid w:val="0058645C"/>
    <w:rsid w:val="005866C6"/>
    <w:rsid w:val="00586755"/>
    <w:rsid w:val="005869A9"/>
    <w:rsid w:val="00587058"/>
    <w:rsid w:val="00587B6E"/>
    <w:rsid w:val="00587D29"/>
    <w:rsid w:val="00587DF0"/>
    <w:rsid w:val="0059030C"/>
    <w:rsid w:val="00590D76"/>
    <w:rsid w:val="00591043"/>
    <w:rsid w:val="005912B6"/>
    <w:rsid w:val="00591957"/>
    <w:rsid w:val="00591CE5"/>
    <w:rsid w:val="00592839"/>
    <w:rsid w:val="00592AA5"/>
    <w:rsid w:val="00592AC1"/>
    <w:rsid w:val="00592ED9"/>
    <w:rsid w:val="0059330B"/>
    <w:rsid w:val="0059343B"/>
    <w:rsid w:val="00593F8E"/>
    <w:rsid w:val="00594113"/>
    <w:rsid w:val="0059415F"/>
    <w:rsid w:val="00594325"/>
    <w:rsid w:val="0059463C"/>
    <w:rsid w:val="005948F4"/>
    <w:rsid w:val="00594E0F"/>
    <w:rsid w:val="00595632"/>
    <w:rsid w:val="00595851"/>
    <w:rsid w:val="00595E17"/>
    <w:rsid w:val="005964E0"/>
    <w:rsid w:val="00596BA4"/>
    <w:rsid w:val="00596F98"/>
    <w:rsid w:val="00597630"/>
    <w:rsid w:val="00597804"/>
    <w:rsid w:val="00597BF9"/>
    <w:rsid w:val="005A0343"/>
    <w:rsid w:val="005A0412"/>
    <w:rsid w:val="005A09F0"/>
    <w:rsid w:val="005A0A6A"/>
    <w:rsid w:val="005A0C11"/>
    <w:rsid w:val="005A0C1D"/>
    <w:rsid w:val="005A0C60"/>
    <w:rsid w:val="005A1217"/>
    <w:rsid w:val="005A184E"/>
    <w:rsid w:val="005A2116"/>
    <w:rsid w:val="005A245A"/>
    <w:rsid w:val="005A2821"/>
    <w:rsid w:val="005A2D4C"/>
    <w:rsid w:val="005A306C"/>
    <w:rsid w:val="005A309A"/>
    <w:rsid w:val="005A30F3"/>
    <w:rsid w:val="005A31D3"/>
    <w:rsid w:val="005A355B"/>
    <w:rsid w:val="005A373D"/>
    <w:rsid w:val="005A3DF9"/>
    <w:rsid w:val="005A3E5E"/>
    <w:rsid w:val="005A4529"/>
    <w:rsid w:val="005A4DBE"/>
    <w:rsid w:val="005A5A6E"/>
    <w:rsid w:val="005A63D1"/>
    <w:rsid w:val="005A66E8"/>
    <w:rsid w:val="005A6D8F"/>
    <w:rsid w:val="005A70F9"/>
    <w:rsid w:val="005A73B2"/>
    <w:rsid w:val="005A773E"/>
    <w:rsid w:val="005A7A92"/>
    <w:rsid w:val="005B0AE2"/>
    <w:rsid w:val="005B0B58"/>
    <w:rsid w:val="005B1094"/>
    <w:rsid w:val="005B1841"/>
    <w:rsid w:val="005B1CC0"/>
    <w:rsid w:val="005B21A4"/>
    <w:rsid w:val="005B2873"/>
    <w:rsid w:val="005B2AAE"/>
    <w:rsid w:val="005B2BC6"/>
    <w:rsid w:val="005B2E6D"/>
    <w:rsid w:val="005B30ED"/>
    <w:rsid w:val="005B344D"/>
    <w:rsid w:val="005B37E5"/>
    <w:rsid w:val="005B3CD3"/>
    <w:rsid w:val="005B408B"/>
    <w:rsid w:val="005B414C"/>
    <w:rsid w:val="005B4487"/>
    <w:rsid w:val="005B4E53"/>
    <w:rsid w:val="005B5857"/>
    <w:rsid w:val="005B5E60"/>
    <w:rsid w:val="005B6C9F"/>
    <w:rsid w:val="005B7A5E"/>
    <w:rsid w:val="005B7A6B"/>
    <w:rsid w:val="005C009E"/>
    <w:rsid w:val="005C01DB"/>
    <w:rsid w:val="005C03D0"/>
    <w:rsid w:val="005C05B4"/>
    <w:rsid w:val="005C082C"/>
    <w:rsid w:val="005C136B"/>
    <w:rsid w:val="005C15FD"/>
    <w:rsid w:val="005C1969"/>
    <w:rsid w:val="005C19C4"/>
    <w:rsid w:val="005C1B83"/>
    <w:rsid w:val="005C25FF"/>
    <w:rsid w:val="005C28F8"/>
    <w:rsid w:val="005C2944"/>
    <w:rsid w:val="005C2CFB"/>
    <w:rsid w:val="005C2D55"/>
    <w:rsid w:val="005C346B"/>
    <w:rsid w:val="005C3733"/>
    <w:rsid w:val="005C3AC9"/>
    <w:rsid w:val="005C421B"/>
    <w:rsid w:val="005C4381"/>
    <w:rsid w:val="005C4F73"/>
    <w:rsid w:val="005C5356"/>
    <w:rsid w:val="005C56CE"/>
    <w:rsid w:val="005C5ABC"/>
    <w:rsid w:val="005C658E"/>
    <w:rsid w:val="005C6996"/>
    <w:rsid w:val="005C6D42"/>
    <w:rsid w:val="005C6EE7"/>
    <w:rsid w:val="005D044D"/>
    <w:rsid w:val="005D0ABD"/>
    <w:rsid w:val="005D165E"/>
    <w:rsid w:val="005D1712"/>
    <w:rsid w:val="005D1877"/>
    <w:rsid w:val="005D18AD"/>
    <w:rsid w:val="005D193D"/>
    <w:rsid w:val="005D25BA"/>
    <w:rsid w:val="005D26B4"/>
    <w:rsid w:val="005D2DF2"/>
    <w:rsid w:val="005D3277"/>
    <w:rsid w:val="005D37AA"/>
    <w:rsid w:val="005D4B18"/>
    <w:rsid w:val="005D4D2D"/>
    <w:rsid w:val="005D5A75"/>
    <w:rsid w:val="005D62B2"/>
    <w:rsid w:val="005D6373"/>
    <w:rsid w:val="005D687D"/>
    <w:rsid w:val="005D6C12"/>
    <w:rsid w:val="005D6DB1"/>
    <w:rsid w:val="005D72F3"/>
    <w:rsid w:val="005D7A7D"/>
    <w:rsid w:val="005D7DBE"/>
    <w:rsid w:val="005E07E3"/>
    <w:rsid w:val="005E0F9D"/>
    <w:rsid w:val="005E167A"/>
    <w:rsid w:val="005E1995"/>
    <w:rsid w:val="005E248B"/>
    <w:rsid w:val="005E2F8C"/>
    <w:rsid w:val="005E333A"/>
    <w:rsid w:val="005E3387"/>
    <w:rsid w:val="005E3711"/>
    <w:rsid w:val="005E4870"/>
    <w:rsid w:val="005E530F"/>
    <w:rsid w:val="005E5655"/>
    <w:rsid w:val="005E5857"/>
    <w:rsid w:val="005E59FC"/>
    <w:rsid w:val="005E5B87"/>
    <w:rsid w:val="005E613A"/>
    <w:rsid w:val="005E64D3"/>
    <w:rsid w:val="005E6A85"/>
    <w:rsid w:val="005E6CBC"/>
    <w:rsid w:val="005E6E36"/>
    <w:rsid w:val="005E70AB"/>
    <w:rsid w:val="005E7215"/>
    <w:rsid w:val="005E72EC"/>
    <w:rsid w:val="005E72FF"/>
    <w:rsid w:val="005E73C0"/>
    <w:rsid w:val="005E76C0"/>
    <w:rsid w:val="005F0409"/>
    <w:rsid w:val="005F07ED"/>
    <w:rsid w:val="005F0D08"/>
    <w:rsid w:val="005F2095"/>
    <w:rsid w:val="005F2706"/>
    <w:rsid w:val="005F3A19"/>
    <w:rsid w:val="005F3B43"/>
    <w:rsid w:val="005F53DC"/>
    <w:rsid w:val="005F612B"/>
    <w:rsid w:val="005F615E"/>
    <w:rsid w:val="005F626B"/>
    <w:rsid w:val="005F632F"/>
    <w:rsid w:val="005F6A8F"/>
    <w:rsid w:val="005F6BB7"/>
    <w:rsid w:val="005F7170"/>
    <w:rsid w:val="005F73CE"/>
    <w:rsid w:val="005F7588"/>
    <w:rsid w:val="006000C9"/>
    <w:rsid w:val="00600227"/>
    <w:rsid w:val="00601B30"/>
    <w:rsid w:val="006028D3"/>
    <w:rsid w:val="006028D9"/>
    <w:rsid w:val="00602C25"/>
    <w:rsid w:val="0060327A"/>
    <w:rsid w:val="00603728"/>
    <w:rsid w:val="0060372E"/>
    <w:rsid w:val="00603DB9"/>
    <w:rsid w:val="00604AD6"/>
    <w:rsid w:val="00605D58"/>
    <w:rsid w:val="00606404"/>
    <w:rsid w:val="0060698F"/>
    <w:rsid w:val="00606FBA"/>
    <w:rsid w:val="006070C2"/>
    <w:rsid w:val="006074F8"/>
    <w:rsid w:val="00607669"/>
    <w:rsid w:val="006076F4"/>
    <w:rsid w:val="00607AFD"/>
    <w:rsid w:val="00610CD7"/>
    <w:rsid w:val="00611393"/>
    <w:rsid w:val="00611555"/>
    <w:rsid w:val="0061184D"/>
    <w:rsid w:val="00611B12"/>
    <w:rsid w:val="00611D71"/>
    <w:rsid w:val="0061211C"/>
    <w:rsid w:val="00612CC6"/>
    <w:rsid w:val="00612DC6"/>
    <w:rsid w:val="00612F97"/>
    <w:rsid w:val="0061345D"/>
    <w:rsid w:val="0061376E"/>
    <w:rsid w:val="006139E8"/>
    <w:rsid w:val="00613F02"/>
    <w:rsid w:val="006145B8"/>
    <w:rsid w:val="006146A0"/>
    <w:rsid w:val="0061494C"/>
    <w:rsid w:val="00614A8F"/>
    <w:rsid w:val="0061513E"/>
    <w:rsid w:val="0061549B"/>
    <w:rsid w:val="006154DA"/>
    <w:rsid w:val="006154EB"/>
    <w:rsid w:val="00615AC8"/>
    <w:rsid w:val="00615DAE"/>
    <w:rsid w:val="006160A9"/>
    <w:rsid w:val="006164A0"/>
    <w:rsid w:val="00616802"/>
    <w:rsid w:val="0061680F"/>
    <w:rsid w:val="0061693A"/>
    <w:rsid w:val="00616A96"/>
    <w:rsid w:val="00616E0D"/>
    <w:rsid w:val="0061718E"/>
    <w:rsid w:val="00617E12"/>
    <w:rsid w:val="006202BD"/>
    <w:rsid w:val="006202EB"/>
    <w:rsid w:val="0062033B"/>
    <w:rsid w:val="00620B28"/>
    <w:rsid w:val="00620C05"/>
    <w:rsid w:val="00620C25"/>
    <w:rsid w:val="00620CA4"/>
    <w:rsid w:val="00621477"/>
    <w:rsid w:val="00621ADA"/>
    <w:rsid w:val="00621C82"/>
    <w:rsid w:val="0062291A"/>
    <w:rsid w:val="00622B17"/>
    <w:rsid w:val="00622E88"/>
    <w:rsid w:val="00622F7C"/>
    <w:rsid w:val="006231E3"/>
    <w:rsid w:val="006232A3"/>
    <w:rsid w:val="006237AE"/>
    <w:rsid w:val="00623ECD"/>
    <w:rsid w:val="00623F7B"/>
    <w:rsid w:val="00624BD4"/>
    <w:rsid w:val="00624C6A"/>
    <w:rsid w:val="00624C76"/>
    <w:rsid w:val="00624E4B"/>
    <w:rsid w:val="00625123"/>
    <w:rsid w:val="00625296"/>
    <w:rsid w:val="00625B13"/>
    <w:rsid w:val="0062604C"/>
    <w:rsid w:val="0062669E"/>
    <w:rsid w:val="006269F6"/>
    <w:rsid w:val="00626C86"/>
    <w:rsid w:val="00626CE9"/>
    <w:rsid w:val="00626DD4"/>
    <w:rsid w:val="0062727C"/>
    <w:rsid w:val="00627513"/>
    <w:rsid w:val="00627834"/>
    <w:rsid w:val="0063158F"/>
    <w:rsid w:val="00631D6B"/>
    <w:rsid w:val="00632183"/>
    <w:rsid w:val="006321A6"/>
    <w:rsid w:val="00632432"/>
    <w:rsid w:val="006330A1"/>
    <w:rsid w:val="00633976"/>
    <w:rsid w:val="00633B1C"/>
    <w:rsid w:val="0063479F"/>
    <w:rsid w:val="00634DD6"/>
    <w:rsid w:val="00634FB6"/>
    <w:rsid w:val="0063504E"/>
    <w:rsid w:val="006352C1"/>
    <w:rsid w:val="006353F0"/>
    <w:rsid w:val="006357B5"/>
    <w:rsid w:val="00635C39"/>
    <w:rsid w:val="006362B9"/>
    <w:rsid w:val="006364A1"/>
    <w:rsid w:val="006365EC"/>
    <w:rsid w:val="0063678E"/>
    <w:rsid w:val="00636DFA"/>
    <w:rsid w:val="00637196"/>
    <w:rsid w:val="00637368"/>
    <w:rsid w:val="00637BFD"/>
    <w:rsid w:val="00637C5C"/>
    <w:rsid w:val="006406CE"/>
    <w:rsid w:val="00640B17"/>
    <w:rsid w:val="00640E63"/>
    <w:rsid w:val="00640FE1"/>
    <w:rsid w:val="00641C4E"/>
    <w:rsid w:val="00641D83"/>
    <w:rsid w:val="00641FB3"/>
    <w:rsid w:val="0064215C"/>
    <w:rsid w:val="0064269F"/>
    <w:rsid w:val="00642C5E"/>
    <w:rsid w:val="006436F6"/>
    <w:rsid w:val="00643B56"/>
    <w:rsid w:val="0064434C"/>
    <w:rsid w:val="006446A4"/>
    <w:rsid w:val="00644C66"/>
    <w:rsid w:val="0064558E"/>
    <w:rsid w:val="00645DE5"/>
    <w:rsid w:val="0064665A"/>
    <w:rsid w:val="006471CC"/>
    <w:rsid w:val="006472FE"/>
    <w:rsid w:val="00647816"/>
    <w:rsid w:val="00647A29"/>
    <w:rsid w:val="00647D94"/>
    <w:rsid w:val="0065079F"/>
    <w:rsid w:val="006507B8"/>
    <w:rsid w:val="00650AE6"/>
    <w:rsid w:val="00650D9E"/>
    <w:rsid w:val="00650FEB"/>
    <w:rsid w:val="006516C9"/>
    <w:rsid w:val="0065185C"/>
    <w:rsid w:val="00651E25"/>
    <w:rsid w:val="00652595"/>
    <w:rsid w:val="00652689"/>
    <w:rsid w:val="00652A28"/>
    <w:rsid w:val="00652F44"/>
    <w:rsid w:val="0065347A"/>
    <w:rsid w:val="0065379F"/>
    <w:rsid w:val="00653AB6"/>
    <w:rsid w:val="00653F50"/>
    <w:rsid w:val="00654789"/>
    <w:rsid w:val="00654A4B"/>
    <w:rsid w:val="00654D88"/>
    <w:rsid w:val="0065505F"/>
    <w:rsid w:val="00655A42"/>
    <w:rsid w:val="00655C96"/>
    <w:rsid w:val="00656188"/>
    <w:rsid w:val="0065656D"/>
    <w:rsid w:val="0065668B"/>
    <w:rsid w:val="006569DD"/>
    <w:rsid w:val="00656AC4"/>
    <w:rsid w:val="0065715A"/>
    <w:rsid w:val="0065789C"/>
    <w:rsid w:val="0065790D"/>
    <w:rsid w:val="00657E73"/>
    <w:rsid w:val="0066008F"/>
    <w:rsid w:val="00660786"/>
    <w:rsid w:val="00660D40"/>
    <w:rsid w:val="00660E80"/>
    <w:rsid w:val="006610F1"/>
    <w:rsid w:val="00661C6B"/>
    <w:rsid w:val="0066230E"/>
    <w:rsid w:val="0066274C"/>
    <w:rsid w:val="00662BB3"/>
    <w:rsid w:val="00662C65"/>
    <w:rsid w:val="00662D3E"/>
    <w:rsid w:val="006636A6"/>
    <w:rsid w:val="00663A50"/>
    <w:rsid w:val="00663F3C"/>
    <w:rsid w:val="0066410E"/>
    <w:rsid w:val="0066452D"/>
    <w:rsid w:val="00665A62"/>
    <w:rsid w:val="00665BC2"/>
    <w:rsid w:val="00665E4D"/>
    <w:rsid w:val="00666D9E"/>
    <w:rsid w:val="00667041"/>
    <w:rsid w:val="006675F9"/>
    <w:rsid w:val="006676F2"/>
    <w:rsid w:val="00667827"/>
    <w:rsid w:val="00667BE3"/>
    <w:rsid w:val="0067066D"/>
    <w:rsid w:val="00670A2A"/>
    <w:rsid w:val="00670E2F"/>
    <w:rsid w:val="00671004"/>
    <w:rsid w:val="00671A75"/>
    <w:rsid w:val="00672646"/>
    <w:rsid w:val="0067372F"/>
    <w:rsid w:val="00673D21"/>
    <w:rsid w:val="00674E42"/>
    <w:rsid w:val="00676254"/>
    <w:rsid w:val="00676563"/>
    <w:rsid w:val="00676D13"/>
    <w:rsid w:val="00676D1B"/>
    <w:rsid w:val="00676DCA"/>
    <w:rsid w:val="00676FD5"/>
    <w:rsid w:val="006776DF"/>
    <w:rsid w:val="00677A4C"/>
    <w:rsid w:val="0068000E"/>
    <w:rsid w:val="006806FE"/>
    <w:rsid w:val="0068071B"/>
    <w:rsid w:val="00680DC4"/>
    <w:rsid w:val="006812D2"/>
    <w:rsid w:val="006813F8"/>
    <w:rsid w:val="00681440"/>
    <w:rsid w:val="006814A2"/>
    <w:rsid w:val="00681B33"/>
    <w:rsid w:val="00682112"/>
    <w:rsid w:val="006824DF"/>
    <w:rsid w:val="006829E0"/>
    <w:rsid w:val="00682BA6"/>
    <w:rsid w:val="0068329D"/>
    <w:rsid w:val="006837B2"/>
    <w:rsid w:val="00683FBA"/>
    <w:rsid w:val="00684CF0"/>
    <w:rsid w:val="006850A7"/>
    <w:rsid w:val="00685E32"/>
    <w:rsid w:val="00686681"/>
    <w:rsid w:val="006867D1"/>
    <w:rsid w:val="00686957"/>
    <w:rsid w:val="00686ECB"/>
    <w:rsid w:val="00687111"/>
    <w:rsid w:val="00687248"/>
    <w:rsid w:val="006872BA"/>
    <w:rsid w:val="00687840"/>
    <w:rsid w:val="0068799A"/>
    <w:rsid w:val="006879BE"/>
    <w:rsid w:val="00687CC0"/>
    <w:rsid w:val="00687D23"/>
    <w:rsid w:val="006901E4"/>
    <w:rsid w:val="006906E3"/>
    <w:rsid w:val="00690795"/>
    <w:rsid w:val="00690BB2"/>
    <w:rsid w:val="00690C97"/>
    <w:rsid w:val="00690CEB"/>
    <w:rsid w:val="00691648"/>
    <w:rsid w:val="006917D7"/>
    <w:rsid w:val="0069194F"/>
    <w:rsid w:val="00691A20"/>
    <w:rsid w:val="00693253"/>
    <w:rsid w:val="00693704"/>
    <w:rsid w:val="006937D0"/>
    <w:rsid w:val="0069434C"/>
    <w:rsid w:val="006949B7"/>
    <w:rsid w:val="00694A10"/>
    <w:rsid w:val="00694DB3"/>
    <w:rsid w:val="00694E36"/>
    <w:rsid w:val="00694F44"/>
    <w:rsid w:val="006952B8"/>
    <w:rsid w:val="00695559"/>
    <w:rsid w:val="00695C20"/>
    <w:rsid w:val="0069660A"/>
    <w:rsid w:val="006966FD"/>
    <w:rsid w:val="00696EF9"/>
    <w:rsid w:val="00696F51"/>
    <w:rsid w:val="00697353"/>
    <w:rsid w:val="0069768D"/>
    <w:rsid w:val="0069774E"/>
    <w:rsid w:val="006977EC"/>
    <w:rsid w:val="006979A5"/>
    <w:rsid w:val="00697D42"/>
    <w:rsid w:val="00697D76"/>
    <w:rsid w:val="006A016F"/>
    <w:rsid w:val="006A0223"/>
    <w:rsid w:val="006A0719"/>
    <w:rsid w:val="006A099B"/>
    <w:rsid w:val="006A0DF7"/>
    <w:rsid w:val="006A2034"/>
    <w:rsid w:val="006A2890"/>
    <w:rsid w:val="006A38AC"/>
    <w:rsid w:val="006A4321"/>
    <w:rsid w:val="006A43D9"/>
    <w:rsid w:val="006A48A3"/>
    <w:rsid w:val="006A48DC"/>
    <w:rsid w:val="006A51F2"/>
    <w:rsid w:val="006A605B"/>
    <w:rsid w:val="006A6442"/>
    <w:rsid w:val="006A6A23"/>
    <w:rsid w:val="006A6B99"/>
    <w:rsid w:val="006A74A5"/>
    <w:rsid w:val="006A788D"/>
    <w:rsid w:val="006A7E5F"/>
    <w:rsid w:val="006B04AF"/>
    <w:rsid w:val="006B0BE3"/>
    <w:rsid w:val="006B103A"/>
    <w:rsid w:val="006B105A"/>
    <w:rsid w:val="006B1220"/>
    <w:rsid w:val="006B1622"/>
    <w:rsid w:val="006B16F5"/>
    <w:rsid w:val="006B261B"/>
    <w:rsid w:val="006B2C90"/>
    <w:rsid w:val="006B349B"/>
    <w:rsid w:val="006B34C5"/>
    <w:rsid w:val="006B35E6"/>
    <w:rsid w:val="006B400F"/>
    <w:rsid w:val="006B4023"/>
    <w:rsid w:val="006B413B"/>
    <w:rsid w:val="006B4256"/>
    <w:rsid w:val="006B463A"/>
    <w:rsid w:val="006B465A"/>
    <w:rsid w:val="006B4E7B"/>
    <w:rsid w:val="006B4F11"/>
    <w:rsid w:val="006B50BF"/>
    <w:rsid w:val="006B5BAF"/>
    <w:rsid w:val="006B60C0"/>
    <w:rsid w:val="006B66BE"/>
    <w:rsid w:val="006B6AEF"/>
    <w:rsid w:val="006B6DD0"/>
    <w:rsid w:val="006B6FE6"/>
    <w:rsid w:val="006B7354"/>
    <w:rsid w:val="006B762E"/>
    <w:rsid w:val="006B7917"/>
    <w:rsid w:val="006B79DB"/>
    <w:rsid w:val="006B7DF1"/>
    <w:rsid w:val="006B7EB1"/>
    <w:rsid w:val="006B7EF5"/>
    <w:rsid w:val="006C0399"/>
    <w:rsid w:val="006C0DA6"/>
    <w:rsid w:val="006C0E7F"/>
    <w:rsid w:val="006C0E9A"/>
    <w:rsid w:val="006C1638"/>
    <w:rsid w:val="006C23FD"/>
    <w:rsid w:val="006C278D"/>
    <w:rsid w:val="006C2A8E"/>
    <w:rsid w:val="006C2D26"/>
    <w:rsid w:val="006C3255"/>
    <w:rsid w:val="006C32CB"/>
    <w:rsid w:val="006C3421"/>
    <w:rsid w:val="006C37A9"/>
    <w:rsid w:val="006C3A01"/>
    <w:rsid w:val="006C3F26"/>
    <w:rsid w:val="006C483A"/>
    <w:rsid w:val="006C5268"/>
    <w:rsid w:val="006C537E"/>
    <w:rsid w:val="006C5CE9"/>
    <w:rsid w:val="006C6058"/>
    <w:rsid w:val="006C6B2F"/>
    <w:rsid w:val="006C6CC4"/>
    <w:rsid w:val="006C7A64"/>
    <w:rsid w:val="006C7D0F"/>
    <w:rsid w:val="006D0D17"/>
    <w:rsid w:val="006D1445"/>
    <w:rsid w:val="006D2C83"/>
    <w:rsid w:val="006D3C7D"/>
    <w:rsid w:val="006D3CCD"/>
    <w:rsid w:val="006D3CDB"/>
    <w:rsid w:val="006D3E13"/>
    <w:rsid w:val="006D421B"/>
    <w:rsid w:val="006D4659"/>
    <w:rsid w:val="006D5496"/>
    <w:rsid w:val="006D55FA"/>
    <w:rsid w:val="006D5802"/>
    <w:rsid w:val="006D5B80"/>
    <w:rsid w:val="006D5BC8"/>
    <w:rsid w:val="006D5CE2"/>
    <w:rsid w:val="006D5D5F"/>
    <w:rsid w:val="006D6547"/>
    <w:rsid w:val="006D68FB"/>
    <w:rsid w:val="006D6970"/>
    <w:rsid w:val="006D69E2"/>
    <w:rsid w:val="006D6F92"/>
    <w:rsid w:val="006D706F"/>
    <w:rsid w:val="006D7932"/>
    <w:rsid w:val="006E02FF"/>
    <w:rsid w:val="006E0647"/>
    <w:rsid w:val="006E0AF1"/>
    <w:rsid w:val="006E1026"/>
    <w:rsid w:val="006E124B"/>
    <w:rsid w:val="006E14A7"/>
    <w:rsid w:val="006E1716"/>
    <w:rsid w:val="006E1A01"/>
    <w:rsid w:val="006E1E22"/>
    <w:rsid w:val="006E2868"/>
    <w:rsid w:val="006E2AEB"/>
    <w:rsid w:val="006E2BCC"/>
    <w:rsid w:val="006E2C7C"/>
    <w:rsid w:val="006E2F64"/>
    <w:rsid w:val="006E3741"/>
    <w:rsid w:val="006E4BC7"/>
    <w:rsid w:val="006E4F0C"/>
    <w:rsid w:val="006E579B"/>
    <w:rsid w:val="006E5BA8"/>
    <w:rsid w:val="006E658C"/>
    <w:rsid w:val="006E78EB"/>
    <w:rsid w:val="006E7A2F"/>
    <w:rsid w:val="006F0333"/>
    <w:rsid w:val="006F0A50"/>
    <w:rsid w:val="006F10AD"/>
    <w:rsid w:val="006F12ED"/>
    <w:rsid w:val="006F1D40"/>
    <w:rsid w:val="006F22E9"/>
    <w:rsid w:val="006F23C0"/>
    <w:rsid w:val="006F306C"/>
    <w:rsid w:val="006F377A"/>
    <w:rsid w:val="006F37BF"/>
    <w:rsid w:val="006F38D5"/>
    <w:rsid w:val="006F3A40"/>
    <w:rsid w:val="006F3E84"/>
    <w:rsid w:val="006F4497"/>
    <w:rsid w:val="006F4933"/>
    <w:rsid w:val="006F4E5A"/>
    <w:rsid w:val="006F4F3B"/>
    <w:rsid w:val="006F636E"/>
    <w:rsid w:val="006F63A5"/>
    <w:rsid w:val="006F63F5"/>
    <w:rsid w:val="006F6EC9"/>
    <w:rsid w:val="006F70F4"/>
    <w:rsid w:val="0070111B"/>
    <w:rsid w:val="00701307"/>
    <w:rsid w:val="0070142B"/>
    <w:rsid w:val="0070190D"/>
    <w:rsid w:val="00702099"/>
    <w:rsid w:val="0070276E"/>
    <w:rsid w:val="00702F8F"/>
    <w:rsid w:val="00703808"/>
    <w:rsid w:val="0070408B"/>
    <w:rsid w:val="007041E2"/>
    <w:rsid w:val="0070477E"/>
    <w:rsid w:val="00704AFA"/>
    <w:rsid w:val="00705019"/>
    <w:rsid w:val="00705086"/>
    <w:rsid w:val="00705BB9"/>
    <w:rsid w:val="007067A0"/>
    <w:rsid w:val="00706EEE"/>
    <w:rsid w:val="007070EA"/>
    <w:rsid w:val="0070733F"/>
    <w:rsid w:val="007079FC"/>
    <w:rsid w:val="00710360"/>
    <w:rsid w:val="00710E4B"/>
    <w:rsid w:val="007110EB"/>
    <w:rsid w:val="00711192"/>
    <w:rsid w:val="0071142E"/>
    <w:rsid w:val="00711A36"/>
    <w:rsid w:val="00712013"/>
    <w:rsid w:val="007125D3"/>
    <w:rsid w:val="00712C1F"/>
    <w:rsid w:val="00712CE7"/>
    <w:rsid w:val="00712DEB"/>
    <w:rsid w:val="007131D2"/>
    <w:rsid w:val="00713683"/>
    <w:rsid w:val="0071387E"/>
    <w:rsid w:val="00714C26"/>
    <w:rsid w:val="00714C2F"/>
    <w:rsid w:val="00714DC1"/>
    <w:rsid w:val="007150DB"/>
    <w:rsid w:val="007151D2"/>
    <w:rsid w:val="007151E8"/>
    <w:rsid w:val="0071529C"/>
    <w:rsid w:val="007157E3"/>
    <w:rsid w:val="00716275"/>
    <w:rsid w:val="00716462"/>
    <w:rsid w:val="007165F3"/>
    <w:rsid w:val="007170DA"/>
    <w:rsid w:val="007172AD"/>
    <w:rsid w:val="00717376"/>
    <w:rsid w:val="0071744D"/>
    <w:rsid w:val="00717546"/>
    <w:rsid w:val="00717727"/>
    <w:rsid w:val="0072001F"/>
    <w:rsid w:val="00720176"/>
    <w:rsid w:val="00720801"/>
    <w:rsid w:val="00720DA6"/>
    <w:rsid w:val="00720FAF"/>
    <w:rsid w:val="00721D39"/>
    <w:rsid w:val="007221FC"/>
    <w:rsid w:val="00722384"/>
    <w:rsid w:val="00722B1B"/>
    <w:rsid w:val="00722BF8"/>
    <w:rsid w:val="0072309F"/>
    <w:rsid w:val="007233E7"/>
    <w:rsid w:val="00723FB7"/>
    <w:rsid w:val="007240AA"/>
    <w:rsid w:val="0072416F"/>
    <w:rsid w:val="007244E2"/>
    <w:rsid w:val="007251AB"/>
    <w:rsid w:val="0072524F"/>
    <w:rsid w:val="00725309"/>
    <w:rsid w:val="007257B0"/>
    <w:rsid w:val="00725CBF"/>
    <w:rsid w:val="00726013"/>
    <w:rsid w:val="007266DF"/>
    <w:rsid w:val="00727BD4"/>
    <w:rsid w:val="00727C94"/>
    <w:rsid w:val="00727D6F"/>
    <w:rsid w:val="00730009"/>
    <w:rsid w:val="007305F1"/>
    <w:rsid w:val="007306C6"/>
    <w:rsid w:val="00730986"/>
    <w:rsid w:val="00730D34"/>
    <w:rsid w:val="00730E51"/>
    <w:rsid w:val="00730FDA"/>
    <w:rsid w:val="007315BA"/>
    <w:rsid w:val="00731B0A"/>
    <w:rsid w:val="00731B88"/>
    <w:rsid w:val="00731EAE"/>
    <w:rsid w:val="00732665"/>
    <w:rsid w:val="0073280C"/>
    <w:rsid w:val="00733073"/>
    <w:rsid w:val="00733DE1"/>
    <w:rsid w:val="00733FD7"/>
    <w:rsid w:val="00734AC9"/>
    <w:rsid w:val="00734C40"/>
    <w:rsid w:val="00734FA2"/>
    <w:rsid w:val="00735033"/>
    <w:rsid w:val="00735086"/>
    <w:rsid w:val="007350A1"/>
    <w:rsid w:val="00735328"/>
    <w:rsid w:val="00735388"/>
    <w:rsid w:val="00735E16"/>
    <w:rsid w:val="00735E40"/>
    <w:rsid w:val="00736596"/>
    <w:rsid w:val="0073685B"/>
    <w:rsid w:val="007372BD"/>
    <w:rsid w:val="007376DD"/>
    <w:rsid w:val="0074015E"/>
    <w:rsid w:val="00740187"/>
    <w:rsid w:val="00740DFD"/>
    <w:rsid w:val="007424EA"/>
    <w:rsid w:val="0074379B"/>
    <w:rsid w:val="007437F0"/>
    <w:rsid w:val="0074489D"/>
    <w:rsid w:val="007449BF"/>
    <w:rsid w:val="007454D8"/>
    <w:rsid w:val="00745573"/>
    <w:rsid w:val="0074596A"/>
    <w:rsid w:val="007460E7"/>
    <w:rsid w:val="007463FE"/>
    <w:rsid w:val="007466B8"/>
    <w:rsid w:val="00746BC0"/>
    <w:rsid w:val="00746C6C"/>
    <w:rsid w:val="0075000D"/>
    <w:rsid w:val="007500F0"/>
    <w:rsid w:val="00750A25"/>
    <w:rsid w:val="007510B4"/>
    <w:rsid w:val="0075182F"/>
    <w:rsid w:val="00751D67"/>
    <w:rsid w:val="00752142"/>
    <w:rsid w:val="007523F9"/>
    <w:rsid w:val="007532FB"/>
    <w:rsid w:val="0075357E"/>
    <w:rsid w:val="00753B29"/>
    <w:rsid w:val="007549D1"/>
    <w:rsid w:val="00754DC8"/>
    <w:rsid w:val="007560A9"/>
    <w:rsid w:val="00756501"/>
    <w:rsid w:val="0075677A"/>
    <w:rsid w:val="0075684D"/>
    <w:rsid w:val="00756931"/>
    <w:rsid w:val="007570F9"/>
    <w:rsid w:val="00757291"/>
    <w:rsid w:val="007573E8"/>
    <w:rsid w:val="007575E5"/>
    <w:rsid w:val="00757E1D"/>
    <w:rsid w:val="00757E82"/>
    <w:rsid w:val="00760BFA"/>
    <w:rsid w:val="00760C4E"/>
    <w:rsid w:val="00760CC2"/>
    <w:rsid w:val="00760F9E"/>
    <w:rsid w:val="007616E6"/>
    <w:rsid w:val="007618E2"/>
    <w:rsid w:val="00761A79"/>
    <w:rsid w:val="00761BA3"/>
    <w:rsid w:val="00761C98"/>
    <w:rsid w:val="007620B4"/>
    <w:rsid w:val="00762630"/>
    <w:rsid w:val="007627BE"/>
    <w:rsid w:val="007631C3"/>
    <w:rsid w:val="0076383B"/>
    <w:rsid w:val="007644F4"/>
    <w:rsid w:val="00764532"/>
    <w:rsid w:val="00764F03"/>
    <w:rsid w:val="0076582B"/>
    <w:rsid w:val="00765B1A"/>
    <w:rsid w:val="00765DC1"/>
    <w:rsid w:val="007661F1"/>
    <w:rsid w:val="007665C4"/>
    <w:rsid w:val="00766F79"/>
    <w:rsid w:val="007675F1"/>
    <w:rsid w:val="00770896"/>
    <w:rsid w:val="00771F88"/>
    <w:rsid w:val="00772C18"/>
    <w:rsid w:val="007733FB"/>
    <w:rsid w:val="00773911"/>
    <w:rsid w:val="00773C38"/>
    <w:rsid w:val="00773F97"/>
    <w:rsid w:val="007741A8"/>
    <w:rsid w:val="00774C3C"/>
    <w:rsid w:val="007753A9"/>
    <w:rsid w:val="00775627"/>
    <w:rsid w:val="00775DDE"/>
    <w:rsid w:val="007764DF"/>
    <w:rsid w:val="00776A29"/>
    <w:rsid w:val="007772D9"/>
    <w:rsid w:val="00777335"/>
    <w:rsid w:val="007779C9"/>
    <w:rsid w:val="00777E74"/>
    <w:rsid w:val="00777FF3"/>
    <w:rsid w:val="00780979"/>
    <w:rsid w:val="00780FE0"/>
    <w:rsid w:val="00781823"/>
    <w:rsid w:val="00781A7C"/>
    <w:rsid w:val="00781CFB"/>
    <w:rsid w:val="00781D97"/>
    <w:rsid w:val="00781F8E"/>
    <w:rsid w:val="007821EB"/>
    <w:rsid w:val="00782620"/>
    <w:rsid w:val="00782652"/>
    <w:rsid w:val="007828BC"/>
    <w:rsid w:val="007831C0"/>
    <w:rsid w:val="0078347B"/>
    <w:rsid w:val="00783520"/>
    <w:rsid w:val="0078398D"/>
    <w:rsid w:val="00783EA0"/>
    <w:rsid w:val="007843F2"/>
    <w:rsid w:val="007846FA"/>
    <w:rsid w:val="007847AC"/>
    <w:rsid w:val="007848AF"/>
    <w:rsid w:val="00784A7E"/>
    <w:rsid w:val="0078568A"/>
    <w:rsid w:val="00785A9F"/>
    <w:rsid w:val="00786299"/>
    <w:rsid w:val="00786402"/>
    <w:rsid w:val="00786411"/>
    <w:rsid w:val="0078663C"/>
    <w:rsid w:val="00786EC3"/>
    <w:rsid w:val="00787572"/>
    <w:rsid w:val="00787638"/>
    <w:rsid w:val="00787D81"/>
    <w:rsid w:val="00787E08"/>
    <w:rsid w:val="00787F5D"/>
    <w:rsid w:val="00791189"/>
    <w:rsid w:val="0079197D"/>
    <w:rsid w:val="00791A8B"/>
    <w:rsid w:val="00791BA1"/>
    <w:rsid w:val="00791D96"/>
    <w:rsid w:val="00792298"/>
    <w:rsid w:val="007925DF"/>
    <w:rsid w:val="00792604"/>
    <w:rsid w:val="0079285A"/>
    <w:rsid w:val="00792867"/>
    <w:rsid w:val="007928F9"/>
    <w:rsid w:val="00792D6E"/>
    <w:rsid w:val="007931F2"/>
    <w:rsid w:val="00793352"/>
    <w:rsid w:val="00793D77"/>
    <w:rsid w:val="00794048"/>
    <w:rsid w:val="00794103"/>
    <w:rsid w:val="00794319"/>
    <w:rsid w:val="0079441D"/>
    <w:rsid w:val="00794687"/>
    <w:rsid w:val="00795E1E"/>
    <w:rsid w:val="0079617A"/>
    <w:rsid w:val="007966B6"/>
    <w:rsid w:val="007971EA"/>
    <w:rsid w:val="00797BE8"/>
    <w:rsid w:val="007A08AA"/>
    <w:rsid w:val="007A0A12"/>
    <w:rsid w:val="007A0D31"/>
    <w:rsid w:val="007A115C"/>
    <w:rsid w:val="007A119F"/>
    <w:rsid w:val="007A132D"/>
    <w:rsid w:val="007A1345"/>
    <w:rsid w:val="007A1F7A"/>
    <w:rsid w:val="007A203A"/>
    <w:rsid w:val="007A22D5"/>
    <w:rsid w:val="007A23D1"/>
    <w:rsid w:val="007A24BF"/>
    <w:rsid w:val="007A2DDB"/>
    <w:rsid w:val="007A2E0C"/>
    <w:rsid w:val="007A2FC0"/>
    <w:rsid w:val="007A407E"/>
    <w:rsid w:val="007A477C"/>
    <w:rsid w:val="007A51C6"/>
    <w:rsid w:val="007A5733"/>
    <w:rsid w:val="007A59A5"/>
    <w:rsid w:val="007A5B28"/>
    <w:rsid w:val="007A5E36"/>
    <w:rsid w:val="007A6161"/>
    <w:rsid w:val="007A63F0"/>
    <w:rsid w:val="007A6ACE"/>
    <w:rsid w:val="007A6B95"/>
    <w:rsid w:val="007A70AA"/>
    <w:rsid w:val="007A70BA"/>
    <w:rsid w:val="007A7361"/>
    <w:rsid w:val="007A7AA4"/>
    <w:rsid w:val="007A7BBB"/>
    <w:rsid w:val="007A7C59"/>
    <w:rsid w:val="007A7DD7"/>
    <w:rsid w:val="007B0315"/>
    <w:rsid w:val="007B0D68"/>
    <w:rsid w:val="007B1228"/>
    <w:rsid w:val="007B1362"/>
    <w:rsid w:val="007B14EC"/>
    <w:rsid w:val="007B1708"/>
    <w:rsid w:val="007B1B65"/>
    <w:rsid w:val="007B1BA3"/>
    <w:rsid w:val="007B22F4"/>
    <w:rsid w:val="007B251D"/>
    <w:rsid w:val="007B2E33"/>
    <w:rsid w:val="007B3533"/>
    <w:rsid w:val="007B3549"/>
    <w:rsid w:val="007B3A83"/>
    <w:rsid w:val="007B4091"/>
    <w:rsid w:val="007B4B29"/>
    <w:rsid w:val="007B4F3D"/>
    <w:rsid w:val="007B4F58"/>
    <w:rsid w:val="007B528D"/>
    <w:rsid w:val="007B568B"/>
    <w:rsid w:val="007B57CE"/>
    <w:rsid w:val="007B5C2C"/>
    <w:rsid w:val="007B5E16"/>
    <w:rsid w:val="007B63CA"/>
    <w:rsid w:val="007B6495"/>
    <w:rsid w:val="007B77D1"/>
    <w:rsid w:val="007C040A"/>
    <w:rsid w:val="007C0696"/>
    <w:rsid w:val="007C07C7"/>
    <w:rsid w:val="007C0A64"/>
    <w:rsid w:val="007C0FF0"/>
    <w:rsid w:val="007C1523"/>
    <w:rsid w:val="007C1CD9"/>
    <w:rsid w:val="007C27F3"/>
    <w:rsid w:val="007C2C09"/>
    <w:rsid w:val="007C2CA3"/>
    <w:rsid w:val="007C2D4B"/>
    <w:rsid w:val="007C2E5C"/>
    <w:rsid w:val="007C32EF"/>
    <w:rsid w:val="007C3587"/>
    <w:rsid w:val="007C361D"/>
    <w:rsid w:val="007C3D11"/>
    <w:rsid w:val="007C41F9"/>
    <w:rsid w:val="007C43ED"/>
    <w:rsid w:val="007C43F5"/>
    <w:rsid w:val="007C4570"/>
    <w:rsid w:val="007C4B84"/>
    <w:rsid w:val="007C4C6B"/>
    <w:rsid w:val="007C520E"/>
    <w:rsid w:val="007C53D6"/>
    <w:rsid w:val="007C5883"/>
    <w:rsid w:val="007C6013"/>
    <w:rsid w:val="007C602F"/>
    <w:rsid w:val="007C612F"/>
    <w:rsid w:val="007C634C"/>
    <w:rsid w:val="007C70FF"/>
    <w:rsid w:val="007C7207"/>
    <w:rsid w:val="007C78BA"/>
    <w:rsid w:val="007C7C25"/>
    <w:rsid w:val="007C7C8B"/>
    <w:rsid w:val="007D004F"/>
    <w:rsid w:val="007D035F"/>
    <w:rsid w:val="007D06B2"/>
    <w:rsid w:val="007D09FD"/>
    <w:rsid w:val="007D0B38"/>
    <w:rsid w:val="007D0D77"/>
    <w:rsid w:val="007D1492"/>
    <w:rsid w:val="007D196C"/>
    <w:rsid w:val="007D1C17"/>
    <w:rsid w:val="007D1E8E"/>
    <w:rsid w:val="007D1F83"/>
    <w:rsid w:val="007D20DC"/>
    <w:rsid w:val="007D21A1"/>
    <w:rsid w:val="007D3123"/>
    <w:rsid w:val="007D359D"/>
    <w:rsid w:val="007D376E"/>
    <w:rsid w:val="007D382A"/>
    <w:rsid w:val="007D3BB6"/>
    <w:rsid w:val="007D3C57"/>
    <w:rsid w:val="007D403B"/>
    <w:rsid w:val="007D42D9"/>
    <w:rsid w:val="007D46DF"/>
    <w:rsid w:val="007D4DA4"/>
    <w:rsid w:val="007D524E"/>
    <w:rsid w:val="007D5440"/>
    <w:rsid w:val="007D580C"/>
    <w:rsid w:val="007D5814"/>
    <w:rsid w:val="007D61A9"/>
    <w:rsid w:val="007D649B"/>
    <w:rsid w:val="007D650C"/>
    <w:rsid w:val="007D688B"/>
    <w:rsid w:val="007D69EB"/>
    <w:rsid w:val="007D6BBE"/>
    <w:rsid w:val="007D6F63"/>
    <w:rsid w:val="007D723D"/>
    <w:rsid w:val="007D7C2E"/>
    <w:rsid w:val="007E02BB"/>
    <w:rsid w:val="007E05F5"/>
    <w:rsid w:val="007E061F"/>
    <w:rsid w:val="007E0CEA"/>
    <w:rsid w:val="007E0ED2"/>
    <w:rsid w:val="007E0ED5"/>
    <w:rsid w:val="007E128F"/>
    <w:rsid w:val="007E1335"/>
    <w:rsid w:val="007E1FA3"/>
    <w:rsid w:val="007E2628"/>
    <w:rsid w:val="007E2854"/>
    <w:rsid w:val="007E365E"/>
    <w:rsid w:val="007E41C3"/>
    <w:rsid w:val="007E41F5"/>
    <w:rsid w:val="007E469E"/>
    <w:rsid w:val="007E4B91"/>
    <w:rsid w:val="007E516E"/>
    <w:rsid w:val="007E562E"/>
    <w:rsid w:val="007E75FE"/>
    <w:rsid w:val="007E7EDB"/>
    <w:rsid w:val="007F00FB"/>
    <w:rsid w:val="007F0C10"/>
    <w:rsid w:val="007F1017"/>
    <w:rsid w:val="007F1655"/>
    <w:rsid w:val="007F2138"/>
    <w:rsid w:val="007F2249"/>
    <w:rsid w:val="007F30A6"/>
    <w:rsid w:val="007F357D"/>
    <w:rsid w:val="007F39CF"/>
    <w:rsid w:val="007F41FF"/>
    <w:rsid w:val="007F4A3F"/>
    <w:rsid w:val="007F4A61"/>
    <w:rsid w:val="007F4CB6"/>
    <w:rsid w:val="007F4F6A"/>
    <w:rsid w:val="007F5255"/>
    <w:rsid w:val="007F56CC"/>
    <w:rsid w:val="007F5A50"/>
    <w:rsid w:val="007F5DD3"/>
    <w:rsid w:val="007F5E06"/>
    <w:rsid w:val="007F61C2"/>
    <w:rsid w:val="007F64EC"/>
    <w:rsid w:val="007F67BA"/>
    <w:rsid w:val="007F6A45"/>
    <w:rsid w:val="007F757B"/>
    <w:rsid w:val="00800AC0"/>
    <w:rsid w:val="00800B62"/>
    <w:rsid w:val="008018F8"/>
    <w:rsid w:val="00801A10"/>
    <w:rsid w:val="00801C7F"/>
    <w:rsid w:val="0080235F"/>
    <w:rsid w:val="0080267A"/>
    <w:rsid w:val="00802CE2"/>
    <w:rsid w:val="00803AD4"/>
    <w:rsid w:val="00803CE8"/>
    <w:rsid w:val="00803FDD"/>
    <w:rsid w:val="00803FED"/>
    <w:rsid w:val="00804A7B"/>
    <w:rsid w:val="00804D09"/>
    <w:rsid w:val="00804E52"/>
    <w:rsid w:val="00804F89"/>
    <w:rsid w:val="00805142"/>
    <w:rsid w:val="0080566B"/>
    <w:rsid w:val="00805E90"/>
    <w:rsid w:val="00805FCE"/>
    <w:rsid w:val="00806270"/>
    <w:rsid w:val="00806318"/>
    <w:rsid w:val="008064FD"/>
    <w:rsid w:val="00806C5B"/>
    <w:rsid w:val="00806CD4"/>
    <w:rsid w:val="00806F3F"/>
    <w:rsid w:val="008074EE"/>
    <w:rsid w:val="00807743"/>
    <w:rsid w:val="00807A8B"/>
    <w:rsid w:val="00807B95"/>
    <w:rsid w:val="00810596"/>
    <w:rsid w:val="00810D56"/>
    <w:rsid w:val="00810DAF"/>
    <w:rsid w:val="008110D7"/>
    <w:rsid w:val="00811383"/>
    <w:rsid w:val="00811B1D"/>
    <w:rsid w:val="00811D3E"/>
    <w:rsid w:val="00811D47"/>
    <w:rsid w:val="00812149"/>
    <w:rsid w:val="0081231C"/>
    <w:rsid w:val="00812CAC"/>
    <w:rsid w:val="0081469E"/>
    <w:rsid w:val="008148A6"/>
    <w:rsid w:val="00814C9C"/>
    <w:rsid w:val="00814CA6"/>
    <w:rsid w:val="008155A9"/>
    <w:rsid w:val="008155D5"/>
    <w:rsid w:val="0081574A"/>
    <w:rsid w:val="00815792"/>
    <w:rsid w:val="00815941"/>
    <w:rsid w:val="00815FD5"/>
    <w:rsid w:val="00816011"/>
    <w:rsid w:val="00816177"/>
    <w:rsid w:val="00816361"/>
    <w:rsid w:val="008164AE"/>
    <w:rsid w:val="008166EF"/>
    <w:rsid w:val="00816A79"/>
    <w:rsid w:val="00816C07"/>
    <w:rsid w:val="00816FEF"/>
    <w:rsid w:val="008176AE"/>
    <w:rsid w:val="00817A27"/>
    <w:rsid w:val="00817A6C"/>
    <w:rsid w:val="00817CAA"/>
    <w:rsid w:val="008206BB"/>
    <w:rsid w:val="00820948"/>
    <w:rsid w:val="00820A8C"/>
    <w:rsid w:val="0082131F"/>
    <w:rsid w:val="008215FB"/>
    <w:rsid w:val="00821B52"/>
    <w:rsid w:val="00821E05"/>
    <w:rsid w:val="00821F39"/>
    <w:rsid w:val="008220CC"/>
    <w:rsid w:val="0082242C"/>
    <w:rsid w:val="00822AAD"/>
    <w:rsid w:val="00823174"/>
    <w:rsid w:val="008243D4"/>
    <w:rsid w:val="008244C5"/>
    <w:rsid w:val="00824596"/>
    <w:rsid w:val="00824A7A"/>
    <w:rsid w:val="00824B1A"/>
    <w:rsid w:val="008252BC"/>
    <w:rsid w:val="00825751"/>
    <w:rsid w:val="00825D32"/>
    <w:rsid w:val="0082600F"/>
    <w:rsid w:val="008264EB"/>
    <w:rsid w:val="008268CE"/>
    <w:rsid w:val="00826988"/>
    <w:rsid w:val="0082733A"/>
    <w:rsid w:val="00827920"/>
    <w:rsid w:val="00827C23"/>
    <w:rsid w:val="008301A5"/>
    <w:rsid w:val="00830F72"/>
    <w:rsid w:val="00830FB2"/>
    <w:rsid w:val="008311BE"/>
    <w:rsid w:val="00831200"/>
    <w:rsid w:val="00833536"/>
    <w:rsid w:val="0083380B"/>
    <w:rsid w:val="00833B05"/>
    <w:rsid w:val="00833D99"/>
    <w:rsid w:val="00833EBD"/>
    <w:rsid w:val="0083429A"/>
    <w:rsid w:val="0083473E"/>
    <w:rsid w:val="00834B47"/>
    <w:rsid w:val="00834BFF"/>
    <w:rsid w:val="00834C6B"/>
    <w:rsid w:val="00834CB5"/>
    <w:rsid w:val="00834D81"/>
    <w:rsid w:val="00835152"/>
    <w:rsid w:val="008360B0"/>
    <w:rsid w:val="0083611E"/>
    <w:rsid w:val="008362B4"/>
    <w:rsid w:val="00836BE8"/>
    <w:rsid w:val="00837141"/>
    <w:rsid w:val="008373D8"/>
    <w:rsid w:val="0083753C"/>
    <w:rsid w:val="008376E9"/>
    <w:rsid w:val="008378EC"/>
    <w:rsid w:val="0084089E"/>
    <w:rsid w:val="00840CA2"/>
    <w:rsid w:val="00841121"/>
    <w:rsid w:val="00841809"/>
    <w:rsid w:val="0084214F"/>
    <w:rsid w:val="008424F2"/>
    <w:rsid w:val="008436C2"/>
    <w:rsid w:val="0084374F"/>
    <w:rsid w:val="008438CB"/>
    <w:rsid w:val="00843CC7"/>
    <w:rsid w:val="00843F6D"/>
    <w:rsid w:val="00844086"/>
    <w:rsid w:val="008442C6"/>
    <w:rsid w:val="00844760"/>
    <w:rsid w:val="00844A22"/>
    <w:rsid w:val="00845099"/>
    <w:rsid w:val="008451AC"/>
    <w:rsid w:val="00846AD6"/>
    <w:rsid w:val="00846AEC"/>
    <w:rsid w:val="00847433"/>
    <w:rsid w:val="00847703"/>
    <w:rsid w:val="00847C9A"/>
    <w:rsid w:val="00847D9F"/>
    <w:rsid w:val="00847DF5"/>
    <w:rsid w:val="00850181"/>
    <w:rsid w:val="00850EDF"/>
    <w:rsid w:val="00850EF2"/>
    <w:rsid w:val="0085178F"/>
    <w:rsid w:val="00852219"/>
    <w:rsid w:val="008524D7"/>
    <w:rsid w:val="00852C79"/>
    <w:rsid w:val="0085309D"/>
    <w:rsid w:val="00853954"/>
    <w:rsid w:val="00853CDC"/>
    <w:rsid w:val="008553E7"/>
    <w:rsid w:val="0085540B"/>
    <w:rsid w:val="008554FA"/>
    <w:rsid w:val="00855646"/>
    <w:rsid w:val="00855F9E"/>
    <w:rsid w:val="0085679D"/>
    <w:rsid w:val="00856897"/>
    <w:rsid w:val="0085695D"/>
    <w:rsid w:val="00856AE3"/>
    <w:rsid w:val="00856E9A"/>
    <w:rsid w:val="00857117"/>
    <w:rsid w:val="0085729C"/>
    <w:rsid w:val="008574D5"/>
    <w:rsid w:val="00857569"/>
    <w:rsid w:val="00860028"/>
    <w:rsid w:val="0086075D"/>
    <w:rsid w:val="008609A3"/>
    <w:rsid w:val="00861713"/>
    <w:rsid w:val="008621B4"/>
    <w:rsid w:val="0086236F"/>
    <w:rsid w:val="00862502"/>
    <w:rsid w:val="00862578"/>
    <w:rsid w:val="00862CC1"/>
    <w:rsid w:val="00863304"/>
    <w:rsid w:val="0086357E"/>
    <w:rsid w:val="00863B0C"/>
    <w:rsid w:val="008642A7"/>
    <w:rsid w:val="008644D7"/>
    <w:rsid w:val="00864508"/>
    <w:rsid w:val="00864C4B"/>
    <w:rsid w:val="00864E8B"/>
    <w:rsid w:val="00864EAF"/>
    <w:rsid w:val="00865962"/>
    <w:rsid w:val="008660D4"/>
    <w:rsid w:val="00866234"/>
    <w:rsid w:val="00866337"/>
    <w:rsid w:val="00866713"/>
    <w:rsid w:val="0086684C"/>
    <w:rsid w:val="00867D2A"/>
    <w:rsid w:val="00867D67"/>
    <w:rsid w:val="00870AB9"/>
    <w:rsid w:val="00870CF0"/>
    <w:rsid w:val="0087148E"/>
    <w:rsid w:val="00871A8B"/>
    <w:rsid w:val="00871FA9"/>
    <w:rsid w:val="008720B8"/>
    <w:rsid w:val="008728E9"/>
    <w:rsid w:val="0087359B"/>
    <w:rsid w:val="00873CD0"/>
    <w:rsid w:val="00873F22"/>
    <w:rsid w:val="00874034"/>
    <w:rsid w:val="00874265"/>
    <w:rsid w:val="00874DE1"/>
    <w:rsid w:val="0087521B"/>
    <w:rsid w:val="00875B60"/>
    <w:rsid w:val="00875DE0"/>
    <w:rsid w:val="00875E4F"/>
    <w:rsid w:val="0087658E"/>
    <w:rsid w:val="00876AC5"/>
    <w:rsid w:val="0087743B"/>
    <w:rsid w:val="00877B64"/>
    <w:rsid w:val="00877D86"/>
    <w:rsid w:val="00877E8F"/>
    <w:rsid w:val="0088125A"/>
    <w:rsid w:val="0088138D"/>
    <w:rsid w:val="00882874"/>
    <w:rsid w:val="00882891"/>
    <w:rsid w:val="00882BA9"/>
    <w:rsid w:val="00882E3C"/>
    <w:rsid w:val="0088308A"/>
    <w:rsid w:val="008834FA"/>
    <w:rsid w:val="00883631"/>
    <w:rsid w:val="00883787"/>
    <w:rsid w:val="00883B42"/>
    <w:rsid w:val="00884444"/>
    <w:rsid w:val="0088475B"/>
    <w:rsid w:val="00884B85"/>
    <w:rsid w:val="00885092"/>
    <w:rsid w:val="008855E4"/>
    <w:rsid w:val="008856C6"/>
    <w:rsid w:val="00885CC4"/>
    <w:rsid w:val="00886CD2"/>
    <w:rsid w:val="00887054"/>
    <w:rsid w:val="008902C6"/>
    <w:rsid w:val="00890744"/>
    <w:rsid w:val="0089077E"/>
    <w:rsid w:val="00890C87"/>
    <w:rsid w:val="0089102F"/>
    <w:rsid w:val="00891BA0"/>
    <w:rsid w:val="00891E6F"/>
    <w:rsid w:val="00892262"/>
    <w:rsid w:val="008924D6"/>
    <w:rsid w:val="0089275D"/>
    <w:rsid w:val="00892A36"/>
    <w:rsid w:val="00892F66"/>
    <w:rsid w:val="00893239"/>
    <w:rsid w:val="008936C6"/>
    <w:rsid w:val="00893EEA"/>
    <w:rsid w:val="0089420E"/>
    <w:rsid w:val="00894489"/>
    <w:rsid w:val="00894CD6"/>
    <w:rsid w:val="00894F61"/>
    <w:rsid w:val="0089515F"/>
    <w:rsid w:val="0089533D"/>
    <w:rsid w:val="008963A5"/>
    <w:rsid w:val="00896562"/>
    <w:rsid w:val="00896D5D"/>
    <w:rsid w:val="00896F9E"/>
    <w:rsid w:val="00897287"/>
    <w:rsid w:val="00897C9A"/>
    <w:rsid w:val="00897EC3"/>
    <w:rsid w:val="008A0FCC"/>
    <w:rsid w:val="008A1373"/>
    <w:rsid w:val="008A1BF3"/>
    <w:rsid w:val="008A3158"/>
    <w:rsid w:val="008A3363"/>
    <w:rsid w:val="008A3371"/>
    <w:rsid w:val="008A3869"/>
    <w:rsid w:val="008A39F0"/>
    <w:rsid w:val="008A3B82"/>
    <w:rsid w:val="008A3C3E"/>
    <w:rsid w:val="008A3CF6"/>
    <w:rsid w:val="008A4208"/>
    <w:rsid w:val="008A4B2A"/>
    <w:rsid w:val="008A4C0C"/>
    <w:rsid w:val="008A5232"/>
    <w:rsid w:val="008A57FD"/>
    <w:rsid w:val="008A5864"/>
    <w:rsid w:val="008A588D"/>
    <w:rsid w:val="008A5B01"/>
    <w:rsid w:val="008A6552"/>
    <w:rsid w:val="008A6563"/>
    <w:rsid w:val="008A66AB"/>
    <w:rsid w:val="008A6B4A"/>
    <w:rsid w:val="008A6ECD"/>
    <w:rsid w:val="008A70DC"/>
    <w:rsid w:val="008A73A6"/>
    <w:rsid w:val="008A76B4"/>
    <w:rsid w:val="008A79DE"/>
    <w:rsid w:val="008A7B3C"/>
    <w:rsid w:val="008A7CB1"/>
    <w:rsid w:val="008A7DAA"/>
    <w:rsid w:val="008A7F35"/>
    <w:rsid w:val="008B0022"/>
    <w:rsid w:val="008B0B46"/>
    <w:rsid w:val="008B1335"/>
    <w:rsid w:val="008B1757"/>
    <w:rsid w:val="008B1774"/>
    <w:rsid w:val="008B1C33"/>
    <w:rsid w:val="008B276F"/>
    <w:rsid w:val="008B2D2C"/>
    <w:rsid w:val="008B2F75"/>
    <w:rsid w:val="008B31CA"/>
    <w:rsid w:val="008B32F1"/>
    <w:rsid w:val="008B35FC"/>
    <w:rsid w:val="008B362E"/>
    <w:rsid w:val="008B3B4A"/>
    <w:rsid w:val="008B40E4"/>
    <w:rsid w:val="008B40FA"/>
    <w:rsid w:val="008B413F"/>
    <w:rsid w:val="008B4B6F"/>
    <w:rsid w:val="008B5023"/>
    <w:rsid w:val="008B50AD"/>
    <w:rsid w:val="008B539D"/>
    <w:rsid w:val="008B5D86"/>
    <w:rsid w:val="008B623A"/>
    <w:rsid w:val="008B642A"/>
    <w:rsid w:val="008B6445"/>
    <w:rsid w:val="008B6DD3"/>
    <w:rsid w:val="008B71E2"/>
    <w:rsid w:val="008B75AE"/>
    <w:rsid w:val="008B792C"/>
    <w:rsid w:val="008B7992"/>
    <w:rsid w:val="008B7B93"/>
    <w:rsid w:val="008B7D7E"/>
    <w:rsid w:val="008B7FEE"/>
    <w:rsid w:val="008C070B"/>
    <w:rsid w:val="008C0DBC"/>
    <w:rsid w:val="008C141C"/>
    <w:rsid w:val="008C207F"/>
    <w:rsid w:val="008C274B"/>
    <w:rsid w:val="008C2BF6"/>
    <w:rsid w:val="008C3517"/>
    <w:rsid w:val="008C3D1E"/>
    <w:rsid w:val="008C3E33"/>
    <w:rsid w:val="008C47F4"/>
    <w:rsid w:val="008C4CEB"/>
    <w:rsid w:val="008C54D6"/>
    <w:rsid w:val="008C5610"/>
    <w:rsid w:val="008C5739"/>
    <w:rsid w:val="008C5BC0"/>
    <w:rsid w:val="008C5BCC"/>
    <w:rsid w:val="008C5F81"/>
    <w:rsid w:val="008C6AC0"/>
    <w:rsid w:val="008C6BDB"/>
    <w:rsid w:val="008C6EF4"/>
    <w:rsid w:val="008C7048"/>
    <w:rsid w:val="008C7282"/>
    <w:rsid w:val="008C729A"/>
    <w:rsid w:val="008C7337"/>
    <w:rsid w:val="008C742A"/>
    <w:rsid w:val="008C7ECB"/>
    <w:rsid w:val="008D0BA0"/>
    <w:rsid w:val="008D142D"/>
    <w:rsid w:val="008D19F6"/>
    <w:rsid w:val="008D21FF"/>
    <w:rsid w:val="008D22F5"/>
    <w:rsid w:val="008D33C8"/>
    <w:rsid w:val="008D36A8"/>
    <w:rsid w:val="008D37F7"/>
    <w:rsid w:val="008D3B86"/>
    <w:rsid w:val="008D4266"/>
    <w:rsid w:val="008D43FD"/>
    <w:rsid w:val="008D463D"/>
    <w:rsid w:val="008D4755"/>
    <w:rsid w:val="008D4C3D"/>
    <w:rsid w:val="008D5136"/>
    <w:rsid w:val="008D5432"/>
    <w:rsid w:val="008D5746"/>
    <w:rsid w:val="008D58B7"/>
    <w:rsid w:val="008D6517"/>
    <w:rsid w:val="008D6CD7"/>
    <w:rsid w:val="008D743C"/>
    <w:rsid w:val="008D7739"/>
    <w:rsid w:val="008D78AE"/>
    <w:rsid w:val="008E04E1"/>
    <w:rsid w:val="008E0C52"/>
    <w:rsid w:val="008E0D3C"/>
    <w:rsid w:val="008E1B9E"/>
    <w:rsid w:val="008E2433"/>
    <w:rsid w:val="008E2630"/>
    <w:rsid w:val="008E26D6"/>
    <w:rsid w:val="008E272A"/>
    <w:rsid w:val="008E277A"/>
    <w:rsid w:val="008E2BF7"/>
    <w:rsid w:val="008E3989"/>
    <w:rsid w:val="008E3C88"/>
    <w:rsid w:val="008E3F25"/>
    <w:rsid w:val="008E3F5F"/>
    <w:rsid w:val="008E3F96"/>
    <w:rsid w:val="008E41C8"/>
    <w:rsid w:val="008E4F33"/>
    <w:rsid w:val="008E5325"/>
    <w:rsid w:val="008E5417"/>
    <w:rsid w:val="008E55AB"/>
    <w:rsid w:val="008E5791"/>
    <w:rsid w:val="008E5C19"/>
    <w:rsid w:val="008E69C6"/>
    <w:rsid w:val="008E6CB1"/>
    <w:rsid w:val="008E78F7"/>
    <w:rsid w:val="008E7D06"/>
    <w:rsid w:val="008F120A"/>
    <w:rsid w:val="008F123B"/>
    <w:rsid w:val="008F1669"/>
    <w:rsid w:val="008F1B24"/>
    <w:rsid w:val="008F27E0"/>
    <w:rsid w:val="008F2BA3"/>
    <w:rsid w:val="008F2C34"/>
    <w:rsid w:val="008F2E04"/>
    <w:rsid w:val="008F2FC9"/>
    <w:rsid w:val="008F326A"/>
    <w:rsid w:val="008F3A64"/>
    <w:rsid w:val="008F3BC4"/>
    <w:rsid w:val="008F3CA4"/>
    <w:rsid w:val="008F48EB"/>
    <w:rsid w:val="008F4EC1"/>
    <w:rsid w:val="008F4F0B"/>
    <w:rsid w:val="008F56AC"/>
    <w:rsid w:val="008F61EC"/>
    <w:rsid w:val="008F62F2"/>
    <w:rsid w:val="008F6943"/>
    <w:rsid w:val="008F6CAC"/>
    <w:rsid w:val="008F70C1"/>
    <w:rsid w:val="008F74CF"/>
    <w:rsid w:val="008F7658"/>
    <w:rsid w:val="008F7BA0"/>
    <w:rsid w:val="009001E8"/>
    <w:rsid w:val="009005C8"/>
    <w:rsid w:val="009006DA"/>
    <w:rsid w:val="009016A3"/>
    <w:rsid w:val="009019DE"/>
    <w:rsid w:val="00902299"/>
    <w:rsid w:val="0090311A"/>
    <w:rsid w:val="00903152"/>
    <w:rsid w:val="009046C4"/>
    <w:rsid w:val="0090528D"/>
    <w:rsid w:val="00905DD0"/>
    <w:rsid w:val="009062A5"/>
    <w:rsid w:val="009062F6"/>
    <w:rsid w:val="0090681A"/>
    <w:rsid w:val="00906850"/>
    <w:rsid w:val="00906F0C"/>
    <w:rsid w:val="009072F8"/>
    <w:rsid w:val="00907636"/>
    <w:rsid w:val="00907699"/>
    <w:rsid w:val="00907918"/>
    <w:rsid w:val="009101AA"/>
    <w:rsid w:val="00910237"/>
    <w:rsid w:val="0091051A"/>
    <w:rsid w:val="00910FA7"/>
    <w:rsid w:val="00911272"/>
    <w:rsid w:val="00911339"/>
    <w:rsid w:val="00911476"/>
    <w:rsid w:val="00911851"/>
    <w:rsid w:val="00911D64"/>
    <w:rsid w:val="00912388"/>
    <w:rsid w:val="009124B6"/>
    <w:rsid w:val="00912A58"/>
    <w:rsid w:val="00912BDE"/>
    <w:rsid w:val="009135D6"/>
    <w:rsid w:val="00913766"/>
    <w:rsid w:val="009137A3"/>
    <w:rsid w:val="00913B2B"/>
    <w:rsid w:val="00914208"/>
    <w:rsid w:val="0091498F"/>
    <w:rsid w:val="00914C77"/>
    <w:rsid w:val="00914EBE"/>
    <w:rsid w:val="0091522A"/>
    <w:rsid w:val="00915A62"/>
    <w:rsid w:val="00915F0D"/>
    <w:rsid w:val="00916C67"/>
    <w:rsid w:val="00916F2B"/>
    <w:rsid w:val="009170A6"/>
    <w:rsid w:val="00917230"/>
    <w:rsid w:val="0091776A"/>
    <w:rsid w:val="00920226"/>
    <w:rsid w:val="0092123D"/>
    <w:rsid w:val="00921263"/>
    <w:rsid w:val="0092195B"/>
    <w:rsid w:val="00921ACB"/>
    <w:rsid w:val="009221A0"/>
    <w:rsid w:val="00922B11"/>
    <w:rsid w:val="00923024"/>
    <w:rsid w:val="0092369B"/>
    <w:rsid w:val="00923C7B"/>
    <w:rsid w:val="00923EC6"/>
    <w:rsid w:val="00924DA8"/>
    <w:rsid w:val="009255EF"/>
    <w:rsid w:val="00925DCD"/>
    <w:rsid w:val="00926076"/>
    <w:rsid w:val="009262CB"/>
    <w:rsid w:val="009269FF"/>
    <w:rsid w:val="00926C46"/>
    <w:rsid w:val="00926C92"/>
    <w:rsid w:val="00926C98"/>
    <w:rsid w:val="0093064D"/>
    <w:rsid w:val="009306B8"/>
    <w:rsid w:val="009309BD"/>
    <w:rsid w:val="009312E1"/>
    <w:rsid w:val="0093209F"/>
    <w:rsid w:val="00932189"/>
    <w:rsid w:val="009321BC"/>
    <w:rsid w:val="00932E0D"/>
    <w:rsid w:val="00933271"/>
    <w:rsid w:val="009333C8"/>
    <w:rsid w:val="00933E53"/>
    <w:rsid w:val="0093484C"/>
    <w:rsid w:val="00934988"/>
    <w:rsid w:val="00934C4D"/>
    <w:rsid w:val="00935221"/>
    <w:rsid w:val="0093568D"/>
    <w:rsid w:val="00935798"/>
    <w:rsid w:val="00936037"/>
    <w:rsid w:val="0093626D"/>
    <w:rsid w:val="00936954"/>
    <w:rsid w:val="00936F35"/>
    <w:rsid w:val="00937089"/>
    <w:rsid w:val="0094097A"/>
    <w:rsid w:val="00940F5D"/>
    <w:rsid w:val="00941AD0"/>
    <w:rsid w:val="00942D86"/>
    <w:rsid w:val="00943513"/>
    <w:rsid w:val="0094368B"/>
    <w:rsid w:val="00943918"/>
    <w:rsid w:val="00943A76"/>
    <w:rsid w:val="00944001"/>
    <w:rsid w:val="00944127"/>
    <w:rsid w:val="009442BE"/>
    <w:rsid w:val="00944649"/>
    <w:rsid w:val="00944B71"/>
    <w:rsid w:val="00944CE1"/>
    <w:rsid w:val="00944F8A"/>
    <w:rsid w:val="009452F2"/>
    <w:rsid w:val="00945862"/>
    <w:rsid w:val="00945C47"/>
    <w:rsid w:val="00945C8B"/>
    <w:rsid w:val="00945D8F"/>
    <w:rsid w:val="00945F09"/>
    <w:rsid w:val="0094611A"/>
    <w:rsid w:val="0094615B"/>
    <w:rsid w:val="00946BAE"/>
    <w:rsid w:val="00946BD8"/>
    <w:rsid w:val="00946D0E"/>
    <w:rsid w:val="009477BF"/>
    <w:rsid w:val="009478DB"/>
    <w:rsid w:val="009506C7"/>
    <w:rsid w:val="00950A5E"/>
    <w:rsid w:val="009510A2"/>
    <w:rsid w:val="009514ED"/>
    <w:rsid w:val="00951ED8"/>
    <w:rsid w:val="0095220A"/>
    <w:rsid w:val="00952500"/>
    <w:rsid w:val="009529A6"/>
    <w:rsid w:val="009529EF"/>
    <w:rsid w:val="00952AFA"/>
    <w:rsid w:val="00952F85"/>
    <w:rsid w:val="00953257"/>
    <w:rsid w:val="0095335F"/>
    <w:rsid w:val="0095396D"/>
    <w:rsid w:val="00953B47"/>
    <w:rsid w:val="00954376"/>
    <w:rsid w:val="0095474C"/>
    <w:rsid w:val="00954C7C"/>
    <w:rsid w:val="0095549A"/>
    <w:rsid w:val="00955B13"/>
    <w:rsid w:val="00955C91"/>
    <w:rsid w:val="00956FAF"/>
    <w:rsid w:val="00957222"/>
    <w:rsid w:val="009572F7"/>
    <w:rsid w:val="00957D92"/>
    <w:rsid w:val="0096003B"/>
    <w:rsid w:val="009602B2"/>
    <w:rsid w:val="00960458"/>
    <w:rsid w:val="00961488"/>
    <w:rsid w:val="009615FB"/>
    <w:rsid w:val="00961776"/>
    <w:rsid w:val="00961D9D"/>
    <w:rsid w:val="00961E50"/>
    <w:rsid w:val="009621C2"/>
    <w:rsid w:val="00962CB9"/>
    <w:rsid w:val="00964196"/>
    <w:rsid w:val="00964312"/>
    <w:rsid w:val="00964389"/>
    <w:rsid w:val="0096439C"/>
    <w:rsid w:val="009648D2"/>
    <w:rsid w:val="00965713"/>
    <w:rsid w:val="00965B8A"/>
    <w:rsid w:val="00966F4E"/>
    <w:rsid w:val="00967500"/>
    <w:rsid w:val="0096797C"/>
    <w:rsid w:val="009679B2"/>
    <w:rsid w:val="00967D8D"/>
    <w:rsid w:val="00967E6B"/>
    <w:rsid w:val="00967F9D"/>
    <w:rsid w:val="0097071F"/>
    <w:rsid w:val="00970A02"/>
    <w:rsid w:val="00970A09"/>
    <w:rsid w:val="00970A3C"/>
    <w:rsid w:val="00970C35"/>
    <w:rsid w:val="00971150"/>
    <w:rsid w:val="0097118C"/>
    <w:rsid w:val="009717AC"/>
    <w:rsid w:val="009719C2"/>
    <w:rsid w:val="00971BBC"/>
    <w:rsid w:val="00971BD6"/>
    <w:rsid w:val="0097236D"/>
    <w:rsid w:val="009729ED"/>
    <w:rsid w:val="00972FD0"/>
    <w:rsid w:val="00973458"/>
    <w:rsid w:val="0097362D"/>
    <w:rsid w:val="00973BF2"/>
    <w:rsid w:val="00974B5A"/>
    <w:rsid w:val="00974D49"/>
    <w:rsid w:val="00974DFC"/>
    <w:rsid w:val="009751C1"/>
    <w:rsid w:val="009759EA"/>
    <w:rsid w:val="00975DC4"/>
    <w:rsid w:val="0097616C"/>
    <w:rsid w:val="009764FC"/>
    <w:rsid w:val="00976884"/>
    <w:rsid w:val="00976AF7"/>
    <w:rsid w:val="0097772D"/>
    <w:rsid w:val="0097779A"/>
    <w:rsid w:val="0097780B"/>
    <w:rsid w:val="00977E2D"/>
    <w:rsid w:val="00980608"/>
    <w:rsid w:val="00980835"/>
    <w:rsid w:val="00980DB1"/>
    <w:rsid w:val="009811F1"/>
    <w:rsid w:val="0098122E"/>
    <w:rsid w:val="00981305"/>
    <w:rsid w:val="00981D0A"/>
    <w:rsid w:val="00982224"/>
    <w:rsid w:val="00982281"/>
    <w:rsid w:val="0098262F"/>
    <w:rsid w:val="009829DB"/>
    <w:rsid w:val="00982C57"/>
    <w:rsid w:val="009831B6"/>
    <w:rsid w:val="00983934"/>
    <w:rsid w:val="00983976"/>
    <w:rsid w:val="00983BA9"/>
    <w:rsid w:val="00983E57"/>
    <w:rsid w:val="00984460"/>
    <w:rsid w:val="00984BD9"/>
    <w:rsid w:val="00984FF0"/>
    <w:rsid w:val="00985022"/>
    <w:rsid w:val="009851A9"/>
    <w:rsid w:val="00985DE2"/>
    <w:rsid w:val="009864E6"/>
    <w:rsid w:val="0098675D"/>
    <w:rsid w:val="00986C2E"/>
    <w:rsid w:val="00986F1F"/>
    <w:rsid w:val="009872B0"/>
    <w:rsid w:val="0098753C"/>
    <w:rsid w:val="009876C1"/>
    <w:rsid w:val="00987983"/>
    <w:rsid w:val="00987BA4"/>
    <w:rsid w:val="00987E21"/>
    <w:rsid w:val="009905C4"/>
    <w:rsid w:val="00991CE0"/>
    <w:rsid w:val="00992573"/>
    <w:rsid w:val="009926E0"/>
    <w:rsid w:val="009937F8"/>
    <w:rsid w:val="0099381E"/>
    <w:rsid w:val="00993E3E"/>
    <w:rsid w:val="0099451E"/>
    <w:rsid w:val="00994602"/>
    <w:rsid w:val="009955A9"/>
    <w:rsid w:val="0099661B"/>
    <w:rsid w:val="0099693A"/>
    <w:rsid w:val="00996B1A"/>
    <w:rsid w:val="00997807"/>
    <w:rsid w:val="00997F8E"/>
    <w:rsid w:val="009A088B"/>
    <w:rsid w:val="009A098C"/>
    <w:rsid w:val="009A1061"/>
    <w:rsid w:val="009A127B"/>
    <w:rsid w:val="009A18F6"/>
    <w:rsid w:val="009A1EE3"/>
    <w:rsid w:val="009A2DCC"/>
    <w:rsid w:val="009A2F4B"/>
    <w:rsid w:val="009A315D"/>
    <w:rsid w:val="009A33B8"/>
    <w:rsid w:val="009A3782"/>
    <w:rsid w:val="009A389D"/>
    <w:rsid w:val="009A3955"/>
    <w:rsid w:val="009A4003"/>
    <w:rsid w:val="009A494C"/>
    <w:rsid w:val="009A5ABC"/>
    <w:rsid w:val="009A5B80"/>
    <w:rsid w:val="009A6AC2"/>
    <w:rsid w:val="009A7A46"/>
    <w:rsid w:val="009A7CC8"/>
    <w:rsid w:val="009A7D65"/>
    <w:rsid w:val="009A7D7B"/>
    <w:rsid w:val="009A7E10"/>
    <w:rsid w:val="009A7F10"/>
    <w:rsid w:val="009A7FDD"/>
    <w:rsid w:val="009B05CD"/>
    <w:rsid w:val="009B0E33"/>
    <w:rsid w:val="009B0E63"/>
    <w:rsid w:val="009B1286"/>
    <w:rsid w:val="009B12BA"/>
    <w:rsid w:val="009B17AF"/>
    <w:rsid w:val="009B17C5"/>
    <w:rsid w:val="009B24F2"/>
    <w:rsid w:val="009B2720"/>
    <w:rsid w:val="009B3049"/>
    <w:rsid w:val="009B3E26"/>
    <w:rsid w:val="009B3F9E"/>
    <w:rsid w:val="009B439A"/>
    <w:rsid w:val="009B4ABE"/>
    <w:rsid w:val="009B51CA"/>
    <w:rsid w:val="009B56E7"/>
    <w:rsid w:val="009B5C20"/>
    <w:rsid w:val="009B6C4C"/>
    <w:rsid w:val="009B7396"/>
    <w:rsid w:val="009B7C10"/>
    <w:rsid w:val="009B7E16"/>
    <w:rsid w:val="009C03E2"/>
    <w:rsid w:val="009C0408"/>
    <w:rsid w:val="009C0EDF"/>
    <w:rsid w:val="009C1271"/>
    <w:rsid w:val="009C2B3A"/>
    <w:rsid w:val="009C32BF"/>
    <w:rsid w:val="009C3706"/>
    <w:rsid w:val="009C3A3A"/>
    <w:rsid w:val="009C3A98"/>
    <w:rsid w:val="009C3EBC"/>
    <w:rsid w:val="009C426B"/>
    <w:rsid w:val="009C4DA4"/>
    <w:rsid w:val="009C50D6"/>
    <w:rsid w:val="009C56B5"/>
    <w:rsid w:val="009C6A29"/>
    <w:rsid w:val="009C6CEA"/>
    <w:rsid w:val="009C71D7"/>
    <w:rsid w:val="009C780B"/>
    <w:rsid w:val="009C793D"/>
    <w:rsid w:val="009C7A35"/>
    <w:rsid w:val="009C7B85"/>
    <w:rsid w:val="009C7E0E"/>
    <w:rsid w:val="009C7F88"/>
    <w:rsid w:val="009D0254"/>
    <w:rsid w:val="009D03AA"/>
    <w:rsid w:val="009D0751"/>
    <w:rsid w:val="009D0897"/>
    <w:rsid w:val="009D0A01"/>
    <w:rsid w:val="009D0AAA"/>
    <w:rsid w:val="009D0BCD"/>
    <w:rsid w:val="009D0C7D"/>
    <w:rsid w:val="009D0DEC"/>
    <w:rsid w:val="009D1047"/>
    <w:rsid w:val="009D106A"/>
    <w:rsid w:val="009D106F"/>
    <w:rsid w:val="009D1075"/>
    <w:rsid w:val="009D15F6"/>
    <w:rsid w:val="009D16BC"/>
    <w:rsid w:val="009D1A64"/>
    <w:rsid w:val="009D2249"/>
    <w:rsid w:val="009D2445"/>
    <w:rsid w:val="009D244D"/>
    <w:rsid w:val="009D280D"/>
    <w:rsid w:val="009D2D16"/>
    <w:rsid w:val="009D2D26"/>
    <w:rsid w:val="009D38F3"/>
    <w:rsid w:val="009D391D"/>
    <w:rsid w:val="009D3E4B"/>
    <w:rsid w:val="009D5113"/>
    <w:rsid w:val="009D5680"/>
    <w:rsid w:val="009D577B"/>
    <w:rsid w:val="009D5B91"/>
    <w:rsid w:val="009D5D27"/>
    <w:rsid w:val="009D78BE"/>
    <w:rsid w:val="009D78C0"/>
    <w:rsid w:val="009D792E"/>
    <w:rsid w:val="009E02DE"/>
    <w:rsid w:val="009E033F"/>
    <w:rsid w:val="009E05B6"/>
    <w:rsid w:val="009E0B94"/>
    <w:rsid w:val="009E0DFE"/>
    <w:rsid w:val="009E10BF"/>
    <w:rsid w:val="009E12BD"/>
    <w:rsid w:val="009E1445"/>
    <w:rsid w:val="009E18CF"/>
    <w:rsid w:val="009E19B2"/>
    <w:rsid w:val="009E1BF7"/>
    <w:rsid w:val="009E2271"/>
    <w:rsid w:val="009E2BD9"/>
    <w:rsid w:val="009E31F6"/>
    <w:rsid w:val="009E3670"/>
    <w:rsid w:val="009E3AAA"/>
    <w:rsid w:val="009E3BEE"/>
    <w:rsid w:val="009E4A58"/>
    <w:rsid w:val="009E4ADA"/>
    <w:rsid w:val="009E4C07"/>
    <w:rsid w:val="009E5651"/>
    <w:rsid w:val="009E615D"/>
    <w:rsid w:val="009E62E1"/>
    <w:rsid w:val="009E690C"/>
    <w:rsid w:val="009E6E93"/>
    <w:rsid w:val="009E6EA6"/>
    <w:rsid w:val="009E7512"/>
    <w:rsid w:val="009E777F"/>
    <w:rsid w:val="009E7F5B"/>
    <w:rsid w:val="009F05DF"/>
    <w:rsid w:val="009F0614"/>
    <w:rsid w:val="009F0743"/>
    <w:rsid w:val="009F08AF"/>
    <w:rsid w:val="009F0A0A"/>
    <w:rsid w:val="009F0A50"/>
    <w:rsid w:val="009F10C3"/>
    <w:rsid w:val="009F10F5"/>
    <w:rsid w:val="009F1997"/>
    <w:rsid w:val="009F1C35"/>
    <w:rsid w:val="009F1C4B"/>
    <w:rsid w:val="009F244F"/>
    <w:rsid w:val="009F3035"/>
    <w:rsid w:val="009F384F"/>
    <w:rsid w:val="009F3A7C"/>
    <w:rsid w:val="009F4D0A"/>
    <w:rsid w:val="009F6120"/>
    <w:rsid w:val="009F7EB6"/>
    <w:rsid w:val="00A00820"/>
    <w:rsid w:val="00A00968"/>
    <w:rsid w:val="00A00B6A"/>
    <w:rsid w:val="00A00D76"/>
    <w:rsid w:val="00A01184"/>
    <w:rsid w:val="00A01449"/>
    <w:rsid w:val="00A01AB8"/>
    <w:rsid w:val="00A01B12"/>
    <w:rsid w:val="00A031F9"/>
    <w:rsid w:val="00A037C2"/>
    <w:rsid w:val="00A03A19"/>
    <w:rsid w:val="00A03A2F"/>
    <w:rsid w:val="00A03D43"/>
    <w:rsid w:val="00A04070"/>
    <w:rsid w:val="00A04380"/>
    <w:rsid w:val="00A04786"/>
    <w:rsid w:val="00A0484B"/>
    <w:rsid w:val="00A04BF0"/>
    <w:rsid w:val="00A04D2A"/>
    <w:rsid w:val="00A04DA1"/>
    <w:rsid w:val="00A0537E"/>
    <w:rsid w:val="00A05472"/>
    <w:rsid w:val="00A05518"/>
    <w:rsid w:val="00A05C12"/>
    <w:rsid w:val="00A05C32"/>
    <w:rsid w:val="00A0653F"/>
    <w:rsid w:val="00A06C4D"/>
    <w:rsid w:val="00A101AA"/>
    <w:rsid w:val="00A104F6"/>
    <w:rsid w:val="00A107F3"/>
    <w:rsid w:val="00A10F64"/>
    <w:rsid w:val="00A11CD0"/>
    <w:rsid w:val="00A1220C"/>
    <w:rsid w:val="00A12CA3"/>
    <w:rsid w:val="00A13948"/>
    <w:rsid w:val="00A13F78"/>
    <w:rsid w:val="00A14DDE"/>
    <w:rsid w:val="00A14FCE"/>
    <w:rsid w:val="00A1555B"/>
    <w:rsid w:val="00A155C5"/>
    <w:rsid w:val="00A1586C"/>
    <w:rsid w:val="00A15FE9"/>
    <w:rsid w:val="00A16789"/>
    <w:rsid w:val="00A16AD8"/>
    <w:rsid w:val="00A172E7"/>
    <w:rsid w:val="00A17C07"/>
    <w:rsid w:val="00A17FFC"/>
    <w:rsid w:val="00A2021E"/>
    <w:rsid w:val="00A20E88"/>
    <w:rsid w:val="00A210C2"/>
    <w:rsid w:val="00A211AA"/>
    <w:rsid w:val="00A21C95"/>
    <w:rsid w:val="00A21CB3"/>
    <w:rsid w:val="00A21CF3"/>
    <w:rsid w:val="00A223F4"/>
    <w:rsid w:val="00A23171"/>
    <w:rsid w:val="00A23178"/>
    <w:rsid w:val="00A23671"/>
    <w:rsid w:val="00A237B8"/>
    <w:rsid w:val="00A237E6"/>
    <w:rsid w:val="00A24475"/>
    <w:rsid w:val="00A24813"/>
    <w:rsid w:val="00A24BEB"/>
    <w:rsid w:val="00A24E96"/>
    <w:rsid w:val="00A25207"/>
    <w:rsid w:val="00A262F9"/>
    <w:rsid w:val="00A272E7"/>
    <w:rsid w:val="00A27584"/>
    <w:rsid w:val="00A27AEC"/>
    <w:rsid w:val="00A27D18"/>
    <w:rsid w:val="00A30739"/>
    <w:rsid w:val="00A309DF"/>
    <w:rsid w:val="00A30B0D"/>
    <w:rsid w:val="00A312D2"/>
    <w:rsid w:val="00A316A8"/>
    <w:rsid w:val="00A31C74"/>
    <w:rsid w:val="00A320DB"/>
    <w:rsid w:val="00A324ED"/>
    <w:rsid w:val="00A32A7F"/>
    <w:rsid w:val="00A32B22"/>
    <w:rsid w:val="00A33AC1"/>
    <w:rsid w:val="00A33D23"/>
    <w:rsid w:val="00A33E15"/>
    <w:rsid w:val="00A34269"/>
    <w:rsid w:val="00A34B66"/>
    <w:rsid w:val="00A352A1"/>
    <w:rsid w:val="00A35D16"/>
    <w:rsid w:val="00A36254"/>
    <w:rsid w:val="00A3692D"/>
    <w:rsid w:val="00A3726E"/>
    <w:rsid w:val="00A37BCD"/>
    <w:rsid w:val="00A4034C"/>
    <w:rsid w:val="00A40951"/>
    <w:rsid w:val="00A41689"/>
    <w:rsid w:val="00A41C3A"/>
    <w:rsid w:val="00A421AF"/>
    <w:rsid w:val="00A42592"/>
    <w:rsid w:val="00A4294E"/>
    <w:rsid w:val="00A42BF4"/>
    <w:rsid w:val="00A43161"/>
    <w:rsid w:val="00A43340"/>
    <w:rsid w:val="00A43540"/>
    <w:rsid w:val="00A4394F"/>
    <w:rsid w:val="00A43BEE"/>
    <w:rsid w:val="00A43C59"/>
    <w:rsid w:val="00A43DF2"/>
    <w:rsid w:val="00A4431E"/>
    <w:rsid w:val="00A44D99"/>
    <w:rsid w:val="00A464C2"/>
    <w:rsid w:val="00A46A71"/>
    <w:rsid w:val="00A47EC6"/>
    <w:rsid w:val="00A50187"/>
    <w:rsid w:val="00A50380"/>
    <w:rsid w:val="00A508A1"/>
    <w:rsid w:val="00A50ECD"/>
    <w:rsid w:val="00A512E6"/>
    <w:rsid w:val="00A513EA"/>
    <w:rsid w:val="00A518F3"/>
    <w:rsid w:val="00A51BDF"/>
    <w:rsid w:val="00A52123"/>
    <w:rsid w:val="00A52665"/>
    <w:rsid w:val="00A52729"/>
    <w:rsid w:val="00A53675"/>
    <w:rsid w:val="00A53B47"/>
    <w:rsid w:val="00A543BB"/>
    <w:rsid w:val="00A54BC5"/>
    <w:rsid w:val="00A54E4C"/>
    <w:rsid w:val="00A5506C"/>
    <w:rsid w:val="00A552CC"/>
    <w:rsid w:val="00A55991"/>
    <w:rsid w:val="00A56063"/>
    <w:rsid w:val="00A564D7"/>
    <w:rsid w:val="00A56B6A"/>
    <w:rsid w:val="00A578DC"/>
    <w:rsid w:val="00A57DCD"/>
    <w:rsid w:val="00A57EEA"/>
    <w:rsid w:val="00A57F34"/>
    <w:rsid w:val="00A60017"/>
    <w:rsid w:val="00A60E8E"/>
    <w:rsid w:val="00A61402"/>
    <w:rsid w:val="00A624B0"/>
    <w:rsid w:val="00A625B3"/>
    <w:rsid w:val="00A626B4"/>
    <w:rsid w:val="00A628A2"/>
    <w:rsid w:val="00A628D7"/>
    <w:rsid w:val="00A62EE3"/>
    <w:rsid w:val="00A6351E"/>
    <w:rsid w:val="00A6358F"/>
    <w:rsid w:val="00A637BE"/>
    <w:rsid w:val="00A6382F"/>
    <w:rsid w:val="00A63BCD"/>
    <w:rsid w:val="00A63E30"/>
    <w:rsid w:val="00A640E2"/>
    <w:rsid w:val="00A6419A"/>
    <w:rsid w:val="00A64B37"/>
    <w:rsid w:val="00A64D65"/>
    <w:rsid w:val="00A65201"/>
    <w:rsid w:val="00A65623"/>
    <w:rsid w:val="00A65B69"/>
    <w:rsid w:val="00A65B6D"/>
    <w:rsid w:val="00A66C3F"/>
    <w:rsid w:val="00A6725B"/>
    <w:rsid w:val="00A67931"/>
    <w:rsid w:val="00A70121"/>
    <w:rsid w:val="00A70443"/>
    <w:rsid w:val="00A70605"/>
    <w:rsid w:val="00A7068E"/>
    <w:rsid w:val="00A71D03"/>
    <w:rsid w:val="00A726EA"/>
    <w:rsid w:val="00A72947"/>
    <w:rsid w:val="00A73134"/>
    <w:rsid w:val="00A7365A"/>
    <w:rsid w:val="00A736E7"/>
    <w:rsid w:val="00A740E5"/>
    <w:rsid w:val="00A741F3"/>
    <w:rsid w:val="00A74321"/>
    <w:rsid w:val="00A74ABE"/>
    <w:rsid w:val="00A74E24"/>
    <w:rsid w:val="00A74F2F"/>
    <w:rsid w:val="00A752CA"/>
    <w:rsid w:val="00A75601"/>
    <w:rsid w:val="00A7577F"/>
    <w:rsid w:val="00A7579E"/>
    <w:rsid w:val="00A76001"/>
    <w:rsid w:val="00A760E6"/>
    <w:rsid w:val="00A777B2"/>
    <w:rsid w:val="00A80931"/>
    <w:rsid w:val="00A813F0"/>
    <w:rsid w:val="00A81840"/>
    <w:rsid w:val="00A82295"/>
    <w:rsid w:val="00A8239D"/>
    <w:rsid w:val="00A825D4"/>
    <w:rsid w:val="00A828F6"/>
    <w:rsid w:val="00A82954"/>
    <w:rsid w:val="00A82B73"/>
    <w:rsid w:val="00A83B8D"/>
    <w:rsid w:val="00A8440F"/>
    <w:rsid w:val="00A84562"/>
    <w:rsid w:val="00A84A81"/>
    <w:rsid w:val="00A84B3E"/>
    <w:rsid w:val="00A85240"/>
    <w:rsid w:val="00A8574E"/>
    <w:rsid w:val="00A85C7C"/>
    <w:rsid w:val="00A868AB"/>
    <w:rsid w:val="00A8692B"/>
    <w:rsid w:val="00A86D5A"/>
    <w:rsid w:val="00A86E8B"/>
    <w:rsid w:val="00A86F81"/>
    <w:rsid w:val="00A87164"/>
    <w:rsid w:val="00A871A9"/>
    <w:rsid w:val="00A87C6D"/>
    <w:rsid w:val="00A90056"/>
    <w:rsid w:val="00A90B7A"/>
    <w:rsid w:val="00A91257"/>
    <w:rsid w:val="00A9128C"/>
    <w:rsid w:val="00A91A6A"/>
    <w:rsid w:val="00A91D3D"/>
    <w:rsid w:val="00A91D7E"/>
    <w:rsid w:val="00A927A0"/>
    <w:rsid w:val="00A92913"/>
    <w:rsid w:val="00A9296A"/>
    <w:rsid w:val="00A93072"/>
    <w:rsid w:val="00A93383"/>
    <w:rsid w:val="00A938BD"/>
    <w:rsid w:val="00A93953"/>
    <w:rsid w:val="00A94301"/>
    <w:rsid w:val="00A94A99"/>
    <w:rsid w:val="00A94B3B"/>
    <w:rsid w:val="00A94BFF"/>
    <w:rsid w:val="00A94CC4"/>
    <w:rsid w:val="00A9514F"/>
    <w:rsid w:val="00A9566D"/>
    <w:rsid w:val="00A9583C"/>
    <w:rsid w:val="00A959D8"/>
    <w:rsid w:val="00A95FBF"/>
    <w:rsid w:val="00A9640F"/>
    <w:rsid w:val="00A96FA8"/>
    <w:rsid w:val="00A97EE2"/>
    <w:rsid w:val="00AA04D4"/>
    <w:rsid w:val="00AA05C2"/>
    <w:rsid w:val="00AA063F"/>
    <w:rsid w:val="00AA0A0F"/>
    <w:rsid w:val="00AA0FC5"/>
    <w:rsid w:val="00AA113D"/>
    <w:rsid w:val="00AA11F8"/>
    <w:rsid w:val="00AA1C3F"/>
    <w:rsid w:val="00AA2EBB"/>
    <w:rsid w:val="00AA31AE"/>
    <w:rsid w:val="00AA394B"/>
    <w:rsid w:val="00AA40F3"/>
    <w:rsid w:val="00AA4D0F"/>
    <w:rsid w:val="00AA4D38"/>
    <w:rsid w:val="00AA5BCD"/>
    <w:rsid w:val="00AA5EBA"/>
    <w:rsid w:val="00AA6BD5"/>
    <w:rsid w:val="00AA6BD8"/>
    <w:rsid w:val="00AA6C7D"/>
    <w:rsid w:val="00AA70DA"/>
    <w:rsid w:val="00AA76AF"/>
    <w:rsid w:val="00AA776E"/>
    <w:rsid w:val="00AA7966"/>
    <w:rsid w:val="00AA7B5A"/>
    <w:rsid w:val="00AA7FD6"/>
    <w:rsid w:val="00AB02D0"/>
    <w:rsid w:val="00AB042A"/>
    <w:rsid w:val="00AB069C"/>
    <w:rsid w:val="00AB0B3D"/>
    <w:rsid w:val="00AB0D0D"/>
    <w:rsid w:val="00AB11AD"/>
    <w:rsid w:val="00AB160E"/>
    <w:rsid w:val="00AB18A0"/>
    <w:rsid w:val="00AB19EF"/>
    <w:rsid w:val="00AB1D6F"/>
    <w:rsid w:val="00AB1DDE"/>
    <w:rsid w:val="00AB1FFE"/>
    <w:rsid w:val="00AB2495"/>
    <w:rsid w:val="00AB2D34"/>
    <w:rsid w:val="00AB2DB4"/>
    <w:rsid w:val="00AB3430"/>
    <w:rsid w:val="00AB37B9"/>
    <w:rsid w:val="00AB3CD5"/>
    <w:rsid w:val="00AB4103"/>
    <w:rsid w:val="00AB4677"/>
    <w:rsid w:val="00AB4AD1"/>
    <w:rsid w:val="00AB4E25"/>
    <w:rsid w:val="00AB53BC"/>
    <w:rsid w:val="00AB5ACB"/>
    <w:rsid w:val="00AB5E07"/>
    <w:rsid w:val="00AB5F23"/>
    <w:rsid w:val="00AB740E"/>
    <w:rsid w:val="00AB759A"/>
    <w:rsid w:val="00AB7CFA"/>
    <w:rsid w:val="00AC051E"/>
    <w:rsid w:val="00AC0DCC"/>
    <w:rsid w:val="00AC3008"/>
    <w:rsid w:val="00AC3288"/>
    <w:rsid w:val="00AC3500"/>
    <w:rsid w:val="00AC4D83"/>
    <w:rsid w:val="00AC5B42"/>
    <w:rsid w:val="00AC5B48"/>
    <w:rsid w:val="00AC5C82"/>
    <w:rsid w:val="00AC5C8D"/>
    <w:rsid w:val="00AC5D6B"/>
    <w:rsid w:val="00AC71D7"/>
    <w:rsid w:val="00AC7D8D"/>
    <w:rsid w:val="00AC7F3E"/>
    <w:rsid w:val="00AD0072"/>
    <w:rsid w:val="00AD0D4F"/>
    <w:rsid w:val="00AD1330"/>
    <w:rsid w:val="00AD13B7"/>
    <w:rsid w:val="00AD1450"/>
    <w:rsid w:val="00AD15E8"/>
    <w:rsid w:val="00AD1898"/>
    <w:rsid w:val="00AD1958"/>
    <w:rsid w:val="00AD1EE6"/>
    <w:rsid w:val="00AD24AC"/>
    <w:rsid w:val="00AD2F7C"/>
    <w:rsid w:val="00AD2FFA"/>
    <w:rsid w:val="00AD356D"/>
    <w:rsid w:val="00AD3E38"/>
    <w:rsid w:val="00AD4492"/>
    <w:rsid w:val="00AD4493"/>
    <w:rsid w:val="00AD4507"/>
    <w:rsid w:val="00AD45E5"/>
    <w:rsid w:val="00AD4762"/>
    <w:rsid w:val="00AD5E6F"/>
    <w:rsid w:val="00AD5FB2"/>
    <w:rsid w:val="00AD6502"/>
    <w:rsid w:val="00AD773C"/>
    <w:rsid w:val="00AD7C76"/>
    <w:rsid w:val="00AD7EA4"/>
    <w:rsid w:val="00AE0695"/>
    <w:rsid w:val="00AE1005"/>
    <w:rsid w:val="00AE159A"/>
    <w:rsid w:val="00AE18FB"/>
    <w:rsid w:val="00AE307B"/>
    <w:rsid w:val="00AE3298"/>
    <w:rsid w:val="00AE3BE8"/>
    <w:rsid w:val="00AE3E7E"/>
    <w:rsid w:val="00AE4D71"/>
    <w:rsid w:val="00AE4F1E"/>
    <w:rsid w:val="00AE5371"/>
    <w:rsid w:val="00AE5460"/>
    <w:rsid w:val="00AE57FD"/>
    <w:rsid w:val="00AE6160"/>
    <w:rsid w:val="00AE6D9E"/>
    <w:rsid w:val="00AE7203"/>
    <w:rsid w:val="00AE7A4C"/>
    <w:rsid w:val="00AE7E53"/>
    <w:rsid w:val="00AF0C6C"/>
    <w:rsid w:val="00AF1315"/>
    <w:rsid w:val="00AF199B"/>
    <w:rsid w:val="00AF19BF"/>
    <w:rsid w:val="00AF1BBE"/>
    <w:rsid w:val="00AF238E"/>
    <w:rsid w:val="00AF28B5"/>
    <w:rsid w:val="00AF2D0F"/>
    <w:rsid w:val="00AF2DC3"/>
    <w:rsid w:val="00AF2DDB"/>
    <w:rsid w:val="00AF30A9"/>
    <w:rsid w:val="00AF3D6B"/>
    <w:rsid w:val="00AF544C"/>
    <w:rsid w:val="00AF643E"/>
    <w:rsid w:val="00AF6F71"/>
    <w:rsid w:val="00AF71F7"/>
    <w:rsid w:val="00AF729B"/>
    <w:rsid w:val="00AF7413"/>
    <w:rsid w:val="00AF755E"/>
    <w:rsid w:val="00AF77E5"/>
    <w:rsid w:val="00AF79EE"/>
    <w:rsid w:val="00B00625"/>
    <w:rsid w:val="00B01AF4"/>
    <w:rsid w:val="00B020BB"/>
    <w:rsid w:val="00B023BE"/>
    <w:rsid w:val="00B025EE"/>
    <w:rsid w:val="00B033E5"/>
    <w:rsid w:val="00B03A63"/>
    <w:rsid w:val="00B03AC8"/>
    <w:rsid w:val="00B03D14"/>
    <w:rsid w:val="00B03E38"/>
    <w:rsid w:val="00B066F8"/>
    <w:rsid w:val="00B06C73"/>
    <w:rsid w:val="00B07226"/>
    <w:rsid w:val="00B0767C"/>
    <w:rsid w:val="00B077B5"/>
    <w:rsid w:val="00B07F62"/>
    <w:rsid w:val="00B110FA"/>
    <w:rsid w:val="00B11341"/>
    <w:rsid w:val="00B11840"/>
    <w:rsid w:val="00B12227"/>
    <w:rsid w:val="00B129A4"/>
    <w:rsid w:val="00B12DBB"/>
    <w:rsid w:val="00B13F97"/>
    <w:rsid w:val="00B144B7"/>
    <w:rsid w:val="00B14694"/>
    <w:rsid w:val="00B158B5"/>
    <w:rsid w:val="00B15995"/>
    <w:rsid w:val="00B15AAD"/>
    <w:rsid w:val="00B15E12"/>
    <w:rsid w:val="00B15FF6"/>
    <w:rsid w:val="00B16191"/>
    <w:rsid w:val="00B16A63"/>
    <w:rsid w:val="00B16BBA"/>
    <w:rsid w:val="00B17390"/>
    <w:rsid w:val="00B1795D"/>
    <w:rsid w:val="00B201A4"/>
    <w:rsid w:val="00B201D1"/>
    <w:rsid w:val="00B202D8"/>
    <w:rsid w:val="00B203B2"/>
    <w:rsid w:val="00B213A6"/>
    <w:rsid w:val="00B2152C"/>
    <w:rsid w:val="00B21C40"/>
    <w:rsid w:val="00B21E67"/>
    <w:rsid w:val="00B21FAB"/>
    <w:rsid w:val="00B2282F"/>
    <w:rsid w:val="00B2284A"/>
    <w:rsid w:val="00B235B0"/>
    <w:rsid w:val="00B23B89"/>
    <w:rsid w:val="00B23C66"/>
    <w:rsid w:val="00B24498"/>
    <w:rsid w:val="00B2474C"/>
    <w:rsid w:val="00B247CB"/>
    <w:rsid w:val="00B24A00"/>
    <w:rsid w:val="00B24DF6"/>
    <w:rsid w:val="00B24EF1"/>
    <w:rsid w:val="00B24F68"/>
    <w:rsid w:val="00B25146"/>
    <w:rsid w:val="00B254E5"/>
    <w:rsid w:val="00B2566F"/>
    <w:rsid w:val="00B25A08"/>
    <w:rsid w:val="00B25A25"/>
    <w:rsid w:val="00B27638"/>
    <w:rsid w:val="00B27A61"/>
    <w:rsid w:val="00B30228"/>
    <w:rsid w:val="00B303A8"/>
    <w:rsid w:val="00B308BC"/>
    <w:rsid w:val="00B31941"/>
    <w:rsid w:val="00B31F7B"/>
    <w:rsid w:val="00B320C0"/>
    <w:rsid w:val="00B324D2"/>
    <w:rsid w:val="00B32832"/>
    <w:rsid w:val="00B32C00"/>
    <w:rsid w:val="00B32E98"/>
    <w:rsid w:val="00B339CF"/>
    <w:rsid w:val="00B34175"/>
    <w:rsid w:val="00B34ABD"/>
    <w:rsid w:val="00B34C63"/>
    <w:rsid w:val="00B34FE2"/>
    <w:rsid w:val="00B35166"/>
    <w:rsid w:val="00B35497"/>
    <w:rsid w:val="00B35687"/>
    <w:rsid w:val="00B3575C"/>
    <w:rsid w:val="00B357D8"/>
    <w:rsid w:val="00B35DDC"/>
    <w:rsid w:val="00B360F4"/>
    <w:rsid w:val="00B362D3"/>
    <w:rsid w:val="00B36442"/>
    <w:rsid w:val="00B36A00"/>
    <w:rsid w:val="00B36DD5"/>
    <w:rsid w:val="00B36F2A"/>
    <w:rsid w:val="00B3722A"/>
    <w:rsid w:val="00B37735"/>
    <w:rsid w:val="00B377F3"/>
    <w:rsid w:val="00B3792B"/>
    <w:rsid w:val="00B37BFC"/>
    <w:rsid w:val="00B40358"/>
    <w:rsid w:val="00B41614"/>
    <w:rsid w:val="00B42851"/>
    <w:rsid w:val="00B42F80"/>
    <w:rsid w:val="00B433FC"/>
    <w:rsid w:val="00B435CB"/>
    <w:rsid w:val="00B44662"/>
    <w:rsid w:val="00B44B6F"/>
    <w:rsid w:val="00B44CC0"/>
    <w:rsid w:val="00B44E96"/>
    <w:rsid w:val="00B44F3B"/>
    <w:rsid w:val="00B451EF"/>
    <w:rsid w:val="00B45583"/>
    <w:rsid w:val="00B457B4"/>
    <w:rsid w:val="00B4597F"/>
    <w:rsid w:val="00B465EC"/>
    <w:rsid w:val="00B46D5A"/>
    <w:rsid w:val="00B46FF6"/>
    <w:rsid w:val="00B47192"/>
    <w:rsid w:val="00B4727A"/>
    <w:rsid w:val="00B47A05"/>
    <w:rsid w:val="00B47DAE"/>
    <w:rsid w:val="00B5020B"/>
    <w:rsid w:val="00B505C8"/>
    <w:rsid w:val="00B50B0A"/>
    <w:rsid w:val="00B50C1B"/>
    <w:rsid w:val="00B50DB8"/>
    <w:rsid w:val="00B51A09"/>
    <w:rsid w:val="00B51B16"/>
    <w:rsid w:val="00B52F03"/>
    <w:rsid w:val="00B533A6"/>
    <w:rsid w:val="00B53585"/>
    <w:rsid w:val="00B535ED"/>
    <w:rsid w:val="00B53654"/>
    <w:rsid w:val="00B53905"/>
    <w:rsid w:val="00B53DFC"/>
    <w:rsid w:val="00B53F42"/>
    <w:rsid w:val="00B5408F"/>
    <w:rsid w:val="00B546DB"/>
    <w:rsid w:val="00B5478A"/>
    <w:rsid w:val="00B54B5B"/>
    <w:rsid w:val="00B54C57"/>
    <w:rsid w:val="00B55199"/>
    <w:rsid w:val="00B55457"/>
    <w:rsid w:val="00B5562E"/>
    <w:rsid w:val="00B55862"/>
    <w:rsid w:val="00B55B2F"/>
    <w:rsid w:val="00B55BA6"/>
    <w:rsid w:val="00B55D65"/>
    <w:rsid w:val="00B55FEB"/>
    <w:rsid w:val="00B56305"/>
    <w:rsid w:val="00B57000"/>
    <w:rsid w:val="00B5715B"/>
    <w:rsid w:val="00B57307"/>
    <w:rsid w:val="00B5756C"/>
    <w:rsid w:val="00B57DB6"/>
    <w:rsid w:val="00B601F7"/>
    <w:rsid w:val="00B6069B"/>
    <w:rsid w:val="00B6077C"/>
    <w:rsid w:val="00B60939"/>
    <w:rsid w:val="00B60AFD"/>
    <w:rsid w:val="00B60D81"/>
    <w:rsid w:val="00B621AC"/>
    <w:rsid w:val="00B624E4"/>
    <w:rsid w:val="00B62715"/>
    <w:rsid w:val="00B62824"/>
    <w:rsid w:val="00B62CEE"/>
    <w:rsid w:val="00B637C9"/>
    <w:rsid w:val="00B638AD"/>
    <w:rsid w:val="00B63F81"/>
    <w:rsid w:val="00B644DC"/>
    <w:rsid w:val="00B64637"/>
    <w:rsid w:val="00B650D9"/>
    <w:rsid w:val="00B65611"/>
    <w:rsid w:val="00B656D4"/>
    <w:rsid w:val="00B65752"/>
    <w:rsid w:val="00B659C9"/>
    <w:rsid w:val="00B659EA"/>
    <w:rsid w:val="00B66914"/>
    <w:rsid w:val="00B66F7F"/>
    <w:rsid w:val="00B67370"/>
    <w:rsid w:val="00B67CA3"/>
    <w:rsid w:val="00B70376"/>
    <w:rsid w:val="00B7048D"/>
    <w:rsid w:val="00B70A53"/>
    <w:rsid w:val="00B70E8E"/>
    <w:rsid w:val="00B71045"/>
    <w:rsid w:val="00B7157E"/>
    <w:rsid w:val="00B721D4"/>
    <w:rsid w:val="00B72371"/>
    <w:rsid w:val="00B72BD0"/>
    <w:rsid w:val="00B73AA2"/>
    <w:rsid w:val="00B73CDC"/>
    <w:rsid w:val="00B73F7A"/>
    <w:rsid w:val="00B7438A"/>
    <w:rsid w:val="00B746CB"/>
    <w:rsid w:val="00B746E4"/>
    <w:rsid w:val="00B75D6B"/>
    <w:rsid w:val="00B760B5"/>
    <w:rsid w:val="00B76467"/>
    <w:rsid w:val="00B76806"/>
    <w:rsid w:val="00B76C92"/>
    <w:rsid w:val="00B76F6F"/>
    <w:rsid w:val="00B77080"/>
    <w:rsid w:val="00B7753D"/>
    <w:rsid w:val="00B777A8"/>
    <w:rsid w:val="00B77BD9"/>
    <w:rsid w:val="00B80228"/>
    <w:rsid w:val="00B802C5"/>
    <w:rsid w:val="00B805CD"/>
    <w:rsid w:val="00B8072A"/>
    <w:rsid w:val="00B80843"/>
    <w:rsid w:val="00B80EFD"/>
    <w:rsid w:val="00B810A4"/>
    <w:rsid w:val="00B81775"/>
    <w:rsid w:val="00B818A4"/>
    <w:rsid w:val="00B8194F"/>
    <w:rsid w:val="00B81A43"/>
    <w:rsid w:val="00B82C1C"/>
    <w:rsid w:val="00B83352"/>
    <w:rsid w:val="00B83377"/>
    <w:rsid w:val="00B8354A"/>
    <w:rsid w:val="00B83564"/>
    <w:rsid w:val="00B83739"/>
    <w:rsid w:val="00B837AD"/>
    <w:rsid w:val="00B839DB"/>
    <w:rsid w:val="00B83C32"/>
    <w:rsid w:val="00B83E90"/>
    <w:rsid w:val="00B83EAC"/>
    <w:rsid w:val="00B84102"/>
    <w:rsid w:val="00B84117"/>
    <w:rsid w:val="00B844FB"/>
    <w:rsid w:val="00B8466A"/>
    <w:rsid w:val="00B84FBB"/>
    <w:rsid w:val="00B85144"/>
    <w:rsid w:val="00B858F0"/>
    <w:rsid w:val="00B85AA2"/>
    <w:rsid w:val="00B85C5B"/>
    <w:rsid w:val="00B85E52"/>
    <w:rsid w:val="00B85FE6"/>
    <w:rsid w:val="00B860D7"/>
    <w:rsid w:val="00B862C6"/>
    <w:rsid w:val="00B8649C"/>
    <w:rsid w:val="00B8695D"/>
    <w:rsid w:val="00B86ED9"/>
    <w:rsid w:val="00B870E9"/>
    <w:rsid w:val="00B87B59"/>
    <w:rsid w:val="00B87F0A"/>
    <w:rsid w:val="00B9017E"/>
    <w:rsid w:val="00B901A2"/>
    <w:rsid w:val="00B90CA6"/>
    <w:rsid w:val="00B91550"/>
    <w:rsid w:val="00B91D50"/>
    <w:rsid w:val="00B92627"/>
    <w:rsid w:val="00B92AA9"/>
    <w:rsid w:val="00B92D0B"/>
    <w:rsid w:val="00B9412B"/>
    <w:rsid w:val="00B941DD"/>
    <w:rsid w:val="00B9435C"/>
    <w:rsid w:val="00B946CA"/>
    <w:rsid w:val="00B94945"/>
    <w:rsid w:val="00B94A73"/>
    <w:rsid w:val="00B94DD6"/>
    <w:rsid w:val="00B9517C"/>
    <w:rsid w:val="00B9519C"/>
    <w:rsid w:val="00B95226"/>
    <w:rsid w:val="00B954DD"/>
    <w:rsid w:val="00B96B81"/>
    <w:rsid w:val="00B971DC"/>
    <w:rsid w:val="00B972C0"/>
    <w:rsid w:val="00BA00B5"/>
    <w:rsid w:val="00BA02AB"/>
    <w:rsid w:val="00BA06CA"/>
    <w:rsid w:val="00BA08A1"/>
    <w:rsid w:val="00BA11F8"/>
    <w:rsid w:val="00BA18C0"/>
    <w:rsid w:val="00BA19AB"/>
    <w:rsid w:val="00BA1BC8"/>
    <w:rsid w:val="00BA1E29"/>
    <w:rsid w:val="00BA2820"/>
    <w:rsid w:val="00BA2953"/>
    <w:rsid w:val="00BA2F01"/>
    <w:rsid w:val="00BA322D"/>
    <w:rsid w:val="00BA32C0"/>
    <w:rsid w:val="00BA3642"/>
    <w:rsid w:val="00BA3C4B"/>
    <w:rsid w:val="00BA481D"/>
    <w:rsid w:val="00BA5186"/>
    <w:rsid w:val="00BA5677"/>
    <w:rsid w:val="00BA5879"/>
    <w:rsid w:val="00BA5BEC"/>
    <w:rsid w:val="00BA6017"/>
    <w:rsid w:val="00BA63FA"/>
    <w:rsid w:val="00BA6A1D"/>
    <w:rsid w:val="00BA6F84"/>
    <w:rsid w:val="00BA7BC2"/>
    <w:rsid w:val="00BB00B3"/>
    <w:rsid w:val="00BB097C"/>
    <w:rsid w:val="00BB0BDD"/>
    <w:rsid w:val="00BB0E64"/>
    <w:rsid w:val="00BB110E"/>
    <w:rsid w:val="00BB1565"/>
    <w:rsid w:val="00BB176C"/>
    <w:rsid w:val="00BB18E1"/>
    <w:rsid w:val="00BB20E3"/>
    <w:rsid w:val="00BB2A73"/>
    <w:rsid w:val="00BB3461"/>
    <w:rsid w:val="00BB3A45"/>
    <w:rsid w:val="00BB3CB9"/>
    <w:rsid w:val="00BB4ACC"/>
    <w:rsid w:val="00BB5572"/>
    <w:rsid w:val="00BB5CE9"/>
    <w:rsid w:val="00BB5D85"/>
    <w:rsid w:val="00BB6278"/>
    <w:rsid w:val="00BB68D5"/>
    <w:rsid w:val="00BB703E"/>
    <w:rsid w:val="00BB732D"/>
    <w:rsid w:val="00BB7405"/>
    <w:rsid w:val="00BB7788"/>
    <w:rsid w:val="00BC0396"/>
    <w:rsid w:val="00BC08C4"/>
    <w:rsid w:val="00BC16D2"/>
    <w:rsid w:val="00BC1C4E"/>
    <w:rsid w:val="00BC1D46"/>
    <w:rsid w:val="00BC2489"/>
    <w:rsid w:val="00BC25AB"/>
    <w:rsid w:val="00BC2A0C"/>
    <w:rsid w:val="00BC2BEC"/>
    <w:rsid w:val="00BC32B3"/>
    <w:rsid w:val="00BC3418"/>
    <w:rsid w:val="00BC3631"/>
    <w:rsid w:val="00BC3698"/>
    <w:rsid w:val="00BC3CAA"/>
    <w:rsid w:val="00BC42A3"/>
    <w:rsid w:val="00BC49BF"/>
    <w:rsid w:val="00BC4E73"/>
    <w:rsid w:val="00BC5029"/>
    <w:rsid w:val="00BC538E"/>
    <w:rsid w:val="00BC591F"/>
    <w:rsid w:val="00BC62C6"/>
    <w:rsid w:val="00BC6AEA"/>
    <w:rsid w:val="00BC7A76"/>
    <w:rsid w:val="00BC7D6D"/>
    <w:rsid w:val="00BD0056"/>
    <w:rsid w:val="00BD00B8"/>
    <w:rsid w:val="00BD03F2"/>
    <w:rsid w:val="00BD0C1B"/>
    <w:rsid w:val="00BD13AE"/>
    <w:rsid w:val="00BD1B02"/>
    <w:rsid w:val="00BD1E8A"/>
    <w:rsid w:val="00BD2108"/>
    <w:rsid w:val="00BD227D"/>
    <w:rsid w:val="00BD2531"/>
    <w:rsid w:val="00BD2743"/>
    <w:rsid w:val="00BD29DF"/>
    <w:rsid w:val="00BD4CF3"/>
    <w:rsid w:val="00BD4F8D"/>
    <w:rsid w:val="00BD5106"/>
    <w:rsid w:val="00BD53D5"/>
    <w:rsid w:val="00BD5B8C"/>
    <w:rsid w:val="00BD5D26"/>
    <w:rsid w:val="00BD6315"/>
    <w:rsid w:val="00BD64EF"/>
    <w:rsid w:val="00BD6581"/>
    <w:rsid w:val="00BD664B"/>
    <w:rsid w:val="00BD68A3"/>
    <w:rsid w:val="00BD6938"/>
    <w:rsid w:val="00BD6CF3"/>
    <w:rsid w:val="00BD7134"/>
    <w:rsid w:val="00BD7275"/>
    <w:rsid w:val="00BD7412"/>
    <w:rsid w:val="00BD766E"/>
    <w:rsid w:val="00BD7F72"/>
    <w:rsid w:val="00BE0720"/>
    <w:rsid w:val="00BE0ECA"/>
    <w:rsid w:val="00BE1BFE"/>
    <w:rsid w:val="00BE1F87"/>
    <w:rsid w:val="00BE2180"/>
    <w:rsid w:val="00BE21B1"/>
    <w:rsid w:val="00BE21F2"/>
    <w:rsid w:val="00BE2391"/>
    <w:rsid w:val="00BE24B3"/>
    <w:rsid w:val="00BE2AF9"/>
    <w:rsid w:val="00BE325E"/>
    <w:rsid w:val="00BE4275"/>
    <w:rsid w:val="00BE464B"/>
    <w:rsid w:val="00BE48B9"/>
    <w:rsid w:val="00BE4AF3"/>
    <w:rsid w:val="00BE53F3"/>
    <w:rsid w:val="00BE5741"/>
    <w:rsid w:val="00BE5C49"/>
    <w:rsid w:val="00BE6AA0"/>
    <w:rsid w:val="00BE6DF6"/>
    <w:rsid w:val="00BE75B2"/>
    <w:rsid w:val="00BE76D5"/>
    <w:rsid w:val="00BF025A"/>
    <w:rsid w:val="00BF06AE"/>
    <w:rsid w:val="00BF07EE"/>
    <w:rsid w:val="00BF0F95"/>
    <w:rsid w:val="00BF1314"/>
    <w:rsid w:val="00BF14FA"/>
    <w:rsid w:val="00BF16E9"/>
    <w:rsid w:val="00BF1765"/>
    <w:rsid w:val="00BF18CE"/>
    <w:rsid w:val="00BF2433"/>
    <w:rsid w:val="00BF270A"/>
    <w:rsid w:val="00BF2E6E"/>
    <w:rsid w:val="00BF3175"/>
    <w:rsid w:val="00BF3647"/>
    <w:rsid w:val="00BF38BB"/>
    <w:rsid w:val="00BF3C74"/>
    <w:rsid w:val="00BF479E"/>
    <w:rsid w:val="00BF5BB6"/>
    <w:rsid w:val="00BF5C17"/>
    <w:rsid w:val="00BF6080"/>
    <w:rsid w:val="00BF61C9"/>
    <w:rsid w:val="00BF634C"/>
    <w:rsid w:val="00BF63BD"/>
    <w:rsid w:val="00BF6C17"/>
    <w:rsid w:val="00BF6C94"/>
    <w:rsid w:val="00BF6DF2"/>
    <w:rsid w:val="00BF73FF"/>
    <w:rsid w:val="00BF7885"/>
    <w:rsid w:val="00BF7AB4"/>
    <w:rsid w:val="00C00320"/>
    <w:rsid w:val="00C00424"/>
    <w:rsid w:val="00C0074E"/>
    <w:rsid w:val="00C00803"/>
    <w:rsid w:val="00C00BA9"/>
    <w:rsid w:val="00C00BB0"/>
    <w:rsid w:val="00C017B7"/>
    <w:rsid w:val="00C0263D"/>
    <w:rsid w:val="00C036C6"/>
    <w:rsid w:val="00C03DE9"/>
    <w:rsid w:val="00C04A98"/>
    <w:rsid w:val="00C04CC4"/>
    <w:rsid w:val="00C053E4"/>
    <w:rsid w:val="00C06373"/>
    <w:rsid w:val="00C06680"/>
    <w:rsid w:val="00C07F5B"/>
    <w:rsid w:val="00C10222"/>
    <w:rsid w:val="00C10A20"/>
    <w:rsid w:val="00C11639"/>
    <w:rsid w:val="00C1179F"/>
    <w:rsid w:val="00C127B9"/>
    <w:rsid w:val="00C128FA"/>
    <w:rsid w:val="00C12BF4"/>
    <w:rsid w:val="00C12C14"/>
    <w:rsid w:val="00C12C5D"/>
    <w:rsid w:val="00C12F82"/>
    <w:rsid w:val="00C1376D"/>
    <w:rsid w:val="00C137C4"/>
    <w:rsid w:val="00C13800"/>
    <w:rsid w:val="00C13E75"/>
    <w:rsid w:val="00C14161"/>
    <w:rsid w:val="00C153A1"/>
    <w:rsid w:val="00C1568B"/>
    <w:rsid w:val="00C15EC1"/>
    <w:rsid w:val="00C15F04"/>
    <w:rsid w:val="00C16598"/>
    <w:rsid w:val="00C1688C"/>
    <w:rsid w:val="00C16D59"/>
    <w:rsid w:val="00C179B3"/>
    <w:rsid w:val="00C17E3F"/>
    <w:rsid w:val="00C200AA"/>
    <w:rsid w:val="00C201AC"/>
    <w:rsid w:val="00C2031A"/>
    <w:rsid w:val="00C2078E"/>
    <w:rsid w:val="00C20805"/>
    <w:rsid w:val="00C20C6C"/>
    <w:rsid w:val="00C211E2"/>
    <w:rsid w:val="00C21864"/>
    <w:rsid w:val="00C21FA0"/>
    <w:rsid w:val="00C22025"/>
    <w:rsid w:val="00C22C56"/>
    <w:rsid w:val="00C23510"/>
    <w:rsid w:val="00C235B4"/>
    <w:rsid w:val="00C2365A"/>
    <w:rsid w:val="00C237ED"/>
    <w:rsid w:val="00C23EC0"/>
    <w:rsid w:val="00C242D5"/>
    <w:rsid w:val="00C24632"/>
    <w:rsid w:val="00C248A0"/>
    <w:rsid w:val="00C248DF"/>
    <w:rsid w:val="00C24A50"/>
    <w:rsid w:val="00C24E0E"/>
    <w:rsid w:val="00C25231"/>
    <w:rsid w:val="00C25418"/>
    <w:rsid w:val="00C254D8"/>
    <w:rsid w:val="00C2560B"/>
    <w:rsid w:val="00C256D7"/>
    <w:rsid w:val="00C259EE"/>
    <w:rsid w:val="00C25A64"/>
    <w:rsid w:val="00C25C62"/>
    <w:rsid w:val="00C25D9C"/>
    <w:rsid w:val="00C2656C"/>
    <w:rsid w:val="00C26D37"/>
    <w:rsid w:val="00C2778B"/>
    <w:rsid w:val="00C2780E"/>
    <w:rsid w:val="00C278B8"/>
    <w:rsid w:val="00C278C1"/>
    <w:rsid w:val="00C30258"/>
    <w:rsid w:val="00C30262"/>
    <w:rsid w:val="00C305D9"/>
    <w:rsid w:val="00C308D6"/>
    <w:rsid w:val="00C30BBF"/>
    <w:rsid w:val="00C314CF"/>
    <w:rsid w:val="00C31649"/>
    <w:rsid w:val="00C31ECC"/>
    <w:rsid w:val="00C31FA0"/>
    <w:rsid w:val="00C32021"/>
    <w:rsid w:val="00C32273"/>
    <w:rsid w:val="00C3282B"/>
    <w:rsid w:val="00C328D5"/>
    <w:rsid w:val="00C32C43"/>
    <w:rsid w:val="00C32CFD"/>
    <w:rsid w:val="00C330B3"/>
    <w:rsid w:val="00C33314"/>
    <w:rsid w:val="00C339ED"/>
    <w:rsid w:val="00C3434C"/>
    <w:rsid w:val="00C35055"/>
    <w:rsid w:val="00C351BA"/>
    <w:rsid w:val="00C3522E"/>
    <w:rsid w:val="00C35585"/>
    <w:rsid w:val="00C35638"/>
    <w:rsid w:val="00C35F9A"/>
    <w:rsid w:val="00C360D6"/>
    <w:rsid w:val="00C36188"/>
    <w:rsid w:val="00C36465"/>
    <w:rsid w:val="00C364F1"/>
    <w:rsid w:val="00C378D1"/>
    <w:rsid w:val="00C37C0E"/>
    <w:rsid w:val="00C37E4B"/>
    <w:rsid w:val="00C402D8"/>
    <w:rsid w:val="00C40385"/>
    <w:rsid w:val="00C40FE2"/>
    <w:rsid w:val="00C4113E"/>
    <w:rsid w:val="00C41768"/>
    <w:rsid w:val="00C41C28"/>
    <w:rsid w:val="00C422EA"/>
    <w:rsid w:val="00C426D4"/>
    <w:rsid w:val="00C42AC3"/>
    <w:rsid w:val="00C42E77"/>
    <w:rsid w:val="00C43448"/>
    <w:rsid w:val="00C436AB"/>
    <w:rsid w:val="00C43E0D"/>
    <w:rsid w:val="00C44C4D"/>
    <w:rsid w:val="00C4568D"/>
    <w:rsid w:val="00C45D0A"/>
    <w:rsid w:val="00C45E00"/>
    <w:rsid w:val="00C45E9D"/>
    <w:rsid w:val="00C45F65"/>
    <w:rsid w:val="00C462DC"/>
    <w:rsid w:val="00C4647F"/>
    <w:rsid w:val="00C4684B"/>
    <w:rsid w:val="00C46A0F"/>
    <w:rsid w:val="00C475AA"/>
    <w:rsid w:val="00C475EF"/>
    <w:rsid w:val="00C476BA"/>
    <w:rsid w:val="00C47B22"/>
    <w:rsid w:val="00C47C6F"/>
    <w:rsid w:val="00C47E1D"/>
    <w:rsid w:val="00C5022B"/>
    <w:rsid w:val="00C519EF"/>
    <w:rsid w:val="00C527C7"/>
    <w:rsid w:val="00C52C17"/>
    <w:rsid w:val="00C5353F"/>
    <w:rsid w:val="00C538C3"/>
    <w:rsid w:val="00C53C98"/>
    <w:rsid w:val="00C53D0A"/>
    <w:rsid w:val="00C53F5A"/>
    <w:rsid w:val="00C53FF2"/>
    <w:rsid w:val="00C544DE"/>
    <w:rsid w:val="00C548B5"/>
    <w:rsid w:val="00C549BB"/>
    <w:rsid w:val="00C54FEC"/>
    <w:rsid w:val="00C55386"/>
    <w:rsid w:val="00C55A07"/>
    <w:rsid w:val="00C560D8"/>
    <w:rsid w:val="00C561CD"/>
    <w:rsid w:val="00C56449"/>
    <w:rsid w:val="00C56BFE"/>
    <w:rsid w:val="00C56FCF"/>
    <w:rsid w:val="00C572F6"/>
    <w:rsid w:val="00C578C3"/>
    <w:rsid w:val="00C57B6C"/>
    <w:rsid w:val="00C57EC7"/>
    <w:rsid w:val="00C61A59"/>
    <w:rsid w:val="00C61BB6"/>
    <w:rsid w:val="00C61D8B"/>
    <w:rsid w:val="00C61DCB"/>
    <w:rsid w:val="00C6229E"/>
    <w:rsid w:val="00C62562"/>
    <w:rsid w:val="00C628A6"/>
    <w:rsid w:val="00C62CA1"/>
    <w:rsid w:val="00C630D9"/>
    <w:rsid w:val="00C63125"/>
    <w:rsid w:val="00C6325B"/>
    <w:rsid w:val="00C632E0"/>
    <w:rsid w:val="00C63B2C"/>
    <w:rsid w:val="00C63B7D"/>
    <w:rsid w:val="00C642E6"/>
    <w:rsid w:val="00C64344"/>
    <w:rsid w:val="00C64842"/>
    <w:rsid w:val="00C648B3"/>
    <w:rsid w:val="00C6493F"/>
    <w:rsid w:val="00C64A65"/>
    <w:rsid w:val="00C65108"/>
    <w:rsid w:val="00C65428"/>
    <w:rsid w:val="00C65576"/>
    <w:rsid w:val="00C66165"/>
    <w:rsid w:val="00C667F1"/>
    <w:rsid w:val="00C67142"/>
    <w:rsid w:val="00C671AF"/>
    <w:rsid w:val="00C67AE9"/>
    <w:rsid w:val="00C67AEF"/>
    <w:rsid w:val="00C7060A"/>
    <w:rsid w:val="00C70C0A"/>
    <w:rsid w:val="00C7151A"/>
    <w:rsid w:val="00C717E3"/>
    <w:rsid w:val="00C71F60"/>
    <w:rsid w:val="00C72241"/>
    <w:rsid w:val="00C724AB"/>
    <w:rsid w:val="00C72F34"/>
    <w:rsid w:val="00C735B8"/>
    <w:rsid w:val="00C7367C"/>
    <w:rsid w:val="00C73D86"/>
    <w:rsid w:val="00C745F3"/>
    <w:rsid w:val="00C748F8"/>
    <w:rsid w:val="00C74D5A"/>
    <w:rsid w:val="00C750C8"/>
    <w:rsid w:val="00C751DE"/>
    <w:rsid w:val="00C75309"/>
    <w:rsid w:val="00C7560F"/>
    <w:rsid w:val="00C7577F"/>
    <w:rsid w:val="00C75A10"/>
    <w:rsid w:val="00C75A64"/>
    <w:rsid w:val="00C75C6B"/>
    <w:rsid w:val="00C7666F"/>
    <w:rsid w:val="00C769D2"/>
    <w:rsid w:val="00C76A09"/>
    <w:rsid w:val="00C77DD9"/>
    <w:rsid w:val="00C80A0E"/>
    <w:rsid w:val="00C80CCB"/>
    <w:rsid w:val="00C80F37"/>
    <w:rsid w:val="00C80F4E"/>
    <w:rsid w:val="00C816FB"/>
    <w:rsid w:val="00C81AFE"/>
    <w:rsid w:val="00C81F34"/>
    <w:rsid w:val="00C8213F"/>
    <w:rsid w:val="00C8220D"/>
    <w:rsid w:val="00C8303F"/>
    <w:rsid w:val="00C8353C"/>
    <w:rsid w:val="00C83DEE"/>
    <w:rsid w:val="00C8464A"/>
    <w:rsid w:val="00C848B0"/>
    <w:rsid w:val="00C84C80"/>
    <w:rsid w:val="00C85154"/>
    <w:rsid w:val="00C851AD"/>
    <w:rsid w:val="00C85A70"/>
    <w:rsid w:val="00C85ED3"/>
    <w:rsid w:val="00C85F2A"/>
    <w:rsid w:val="00C86D9B"/>
    <w:rsid w:val="00C87054"/>
    <w:rsid w:val="00C874A5"/>
    <w:rsid w:val="00C8797A"/>
    <w:rsid w:val="00C87E04"/>
    <w:rsid w:val="00C900B8"/>
    <w:rsid w:val="00C90197"/>
    <w:rsid w:val="00C902C0"/>
    <w:rsid w:val="00C90A54"/>
    <w:rsid w:val="00C90C71"/>
    <w:rsid w:val="00C91FD1"/>
    <w:rsid w:val="00C92C38"/>
    <w:rsid w:val="00C92EEB"/>
    <w:rsid w:val="00C931CF"/>
    <w:rsid w:val="00C938CF"/>
    <w:rsid w:val="00C94053"/>
    <w:rsid w:val="00C947FC"/>
    <w:rsid w:val="00C960DC"/>
    <w:rsid w:val="00C9624D"/>
    <w:rsid w:val="00C969DA"/>
    <w:rsid w:val="00C96A55"/>
    <w:rsid w:val="00C96B7A"/>
    <w:rsid w:val="00C96DFD"/>
    <w:rsid w:val="00C97675"/>
    <w:rsid w:val="00C97954"/>
    <w:rsid w:val="00C97A87"/>
    <w:rsid w:val="00CA0004"/>
    <w:rsid w:val="00CA074F"/>
    <w:rsid w:val="00CA083B"/>
    <w:rsid w:val="00CA0E57"/>
    <w:rsid w:val="00CA147B"/>
    <w:rsid w:val="00CA188E"/>
    <w:rsid w:val="00CA1A69"/>
    <w:rsid w:val="00CA1C68"/>
    <w:rsid w:val="00CA1D52"/>
    <w:rsid w:val="00CA2C77"/>
    <w:rsid w:val="00CA2F33"/>
    <w:rsid w:val="00CA313B"/>
    <w:rsid w:val="00CA32D9"/>
    <w:rsid w:val="00CA3994"/>
    <w:rsid w:val="00CA3AB0"/>
    <w:rsid w:val="00CA444F"/>
    <w:rsid w:val="00CA48EA"/>
    <w:rsid w:val="00CA4A71"/>
    <w:rsid w:val="00CA4C5B"/>
    <w:rsid w:val="00CA5245"/>
    <w:rsid w:val="00CA5280"/>
    <w:rsid w:val="00CA52DB"/>
    <w:rsid w:val="00CA56E5"/>
    <w:rsid w:val="00CA619B"/>
    <w:rsid w:val="00CA63E8"/>
    <w:rsid w:val="00CA6483"/>
    <w:rsid w:val="00CA6F0A"/>
    <w:rsid w:val="00CA6F4E"/>
    <w:rsid w:val="00CA71F4"/>
    <w:rsid w:val="00CA727E"/>
    <w:rsid w:val="00CA7647"/>
    <w:rsid w:val="00CA7B09"/>
    <w:rsid w:val="00CB00D6"/>
    <w:rsid w:val="00CB0FB3"/>
    <w:rsid w:val="00CB0FE3"/>
    <w:rsid w:val="00CB12A5"/>
    <w:rsid w:val="00CB1CAC"/>
    <w:rsid w:val="00CB1EC2"/>
    <w:rsid w:val="00CB2F2A"/>
    <w:rsid w:val="00CB3269"/>
    <w:rsid w:val="00CB35F7"/>
    <w:rsid w:val="00CB3905"/>
    <w:rsid w:val="00CB3BA0"/>
    <w:rsid w:val="00CB3BDB"/>
    <w:rsid w:val="00CB3E3F"/>
    <w:rsid w:val="00CB400B"/>
    <w:rsid w:val="00CB45D8"/>
    <w:rsid w:val="00CB4BB4"/>
    <w:rsid w:val="00CB4BB9"/>
    <w:rsid w:val="00CB4C5E"/>
    <w:rsid w:val="00CB5013"/>
    <w:rsid w:val="00CB5490"/>
    <w:rsid w:val="00CB5539"/>
    <w:rsid w:val="00CB5B1A"/>
    <w:rsid w:val="00CB5CE0"/>
    <w:rsid w:val="00CB6B22"/>
    <w:rsid w:val="00CB6F36"/>
    <w:rsid w:val="00CB751F"/>
    <w:rsid w:val="00CB7DEC"/>
    <w:rsid w:val="00CB7F00"/>
    <w:rsid w:val="00CB7F5F"/>
    <w:rsid w:val="00CC0317"/>
    <w:rsid w:val="00CC08AF"/>
    <w:rsid w:val="00CC0E56"/>
    <w:rsid w:val="00CC1240"/>
    <w:rsid w:val="00CC1718"/>
    <w:rsid w:val="00CC17B7"/>
    <w:rsid w:val="00CC1873"/>
    <w:rsid w:val="00CC1B39"/>
    <w:rsid w:val="00CC1BFA"/>
    <w:rsid w:val="00CC1C72"/>
    <w:rsid w:val="00CC2C8C"/>
    <w:rsid w:val="00CC2E9F"/>
    <w:rsid w:val="00CC35EA"/>
    <w:rsid w:val="00CC3848"/>
    <w:rsid w:val="00CC3881"/>
    <w:rsid w:val="00CC40CB"/>
    <w:rsid w:val="00CC40CE"/>
    <w:rsid w:val="00CC4BDC"/>
    <w:rsid w:val="00CC50D9"/>
    <w:rsid w:val="00CC5903"/>
    <w:rsid w:val="00CC6D5E"/>
    <w:rsid w:val="00CC7650"/>
    <w:rsid w:val="00CC7A4B"/>
    <w:rsid w:val="00CC7C62"/>
    <w:rsid w:val="00CC7E36"/>
    <w:rsid w:val="00CD010D"/>
    <w:rsid w:val="00CD0200"/>
    <w:rsid w:val="00CD0B9C"/>
    <w:rsid w:val="00CD1C0A"/>
    <w:rsid w:val="00CD1CD8"/>
    <w:rsid w:val="00CD206B"/>
    <w:rsid w:val="00CD247A"/>
    <w:rsid w:val="00CD328D"/>
    <w:rsid w:val="00CD334E"/>
    <w:rsid w:val="00CD3848"/>
    <w:rsid w:val="00CD3C9B"/>
    <w:rsid w:val="00CD3F77"/>
    <w:rsid w:val="00CD4128"/>
    <w:rsid w:val="00CD4407"/>
    <w:rsid w:val="00CD4525"/>
    <w:rsid w:val="00CD461D"/>
    <w:rsid w:val="00CD5324"/>
    <w:rsid w:val="00CD54E1"/>
    <w:rsid w:val="00CD5D0C"/>
    <w:rsid w:val="00CD66E1"/>
    <w:rsid w:val="00CD686D"/>
    <w:rsid w:val="00CD6ADC"/>
    <w:rsid w:val="00CD7193"/>
    <w:rsid w:val="00CD72CD"/>
    <w:rsid w:val="00CE09DC"/>
    <w:rsid w:val="00CE1490"/>
    <w:rsid w:val="00CE18F0"/>
    <w:rsid w:val="00CE2CD0"/>
    <w:rsid w:val="00CE3177"/>
    <w:rsid w:val="00CE3665"/>
    <w:rsid w:val="00CE38C8"/>
    <w:rsid w:val="00CE3D9A"/>
    <w:rsid w:val="00CE4230"/>
    <w:rsid w:val="00CE460F"/>
    <w:rsid w:val="00CE46A3"/>
    <w:rsid w:val="00CE5034"/>
    <w:rsid w:val="00CE5155"/>
    <w:rsid w:val="00CE524F"/>
    <w:rsid w:val="00CE543C"/>
    <w:rsid w:val="00CE54BB"/>
    <w:rsid w:val="00CE5757"/>
    <w:rsid w:val="00CE58C7"/>
    <w:rsid w:val="00CE58CC"/>
    <w:rsid w:val="00CE6069"/>
    <w:rsid w:val="00CE6274"/>
    <w:rsid w:val="00CE67C1"/>
    <w:rsid w:val="00CE68CA"/>
    <w:rsid w:val="00CE68FC"/>
    <w:rsid w:val="00CE75D0"/>
    <w:rsid w:val="00CE77B6"/>
    <w:rsid w:val="00CF01DF"/>
    <w:rsid w:val="00CF0582"/>
    <w:rsid w:val="00CF0657"/>
    <w:rsid w:val="00CF093B"/>
    <w:rsid w:val="00CF0999"/>
    <w:rsid w:val="00CF10F9"/>
    <w:rsid w:val="00CF1281"/>
    <w:rsid w:val="00CF19C9"/>
    <w:rsid w:val="00CF212D"/>
    <w:rsid w:val="00CF2A87"/>
    <w:rsid w:val="00CF2B8D"/>
    <w:rsid w:val="00CF3716"/>
    <w:rsid w:val="00CF3A1B"/>
    <w:rsid w:val="00CF3D84"/>
    <w:rsid w:val="00CF40D5"/>
    <w:rsid w:val="00CF448D"/>
    <w:rsid w:val="00CF456B"/>
    <w:rsid w:val="00CF4D20"/>
    <w:rsid w:val="00CF4F21"/>
    <w:rsid w:val="00CF5047"/>
    <w:rsid w:val="00CF5470"/>
    <w:rsid w:val="00CF55DF"/>
    <w:rsid w:val="00CF5A22"/>
    <w:rsid w:val="00CF5C9A"/>
    <w:rsid w:val="00CF5CF0"/>
    <w:rsid w:val="00CF5DAF"/>
    <w:rsid w:val="00CF708F"/>
    <w:rsid w:val="00CF71F7"/>
    <w:rsid w:val="00CF74F0"/>
    <w:rsid w:val="00CF7A9A"/>
    <w:rsid w:val="00D01C6B"/>
    <w:rsid w:val="00D020FD"/>
    <w:rsid w:val="00D0262E"/>
    <w:rsid w:val="00D028FC"/>
    <w:rsid w:val="00D03081"/>
    <w:rsid w:val="00D03363"/>
    <w:rsid w:val="00D03679"/>
    <w:rsid w:val="00D039C1"/>
    <w:rsid w:val="00D04291"/>
    <w:rsid w:val="00D0473C"/>
    <w:rsid w:val="00D048F7"/>
    <w:rsid w:val="00D04E77"/>
    <w:rsid w:val="00D056C6"/>
    <w:rsid w:val="00D05B33"/>
    <w:rsid w:val="00D05E3D"/>
    <w:rsid w:val="00D05E4C"/>
    <w:rsid w:val="00D05F37"/>
    <w:rsid w:val="00D06139"/>
    <w:rsid w:val="00D067CD"/>
    <w:rsid w:val="00D07F3D"/>
    <w:rsid w:val="00D10668"/>
    <w:rsid w:val="00D10689"/>
    <w:rsid w:val="00D10ABC"/>
    <w:rsid w:val="00D11021"/>
    <w:rsid w:val="00D110BD"/>
    <w:rsid w:val="00D111C7"/>
    <w:rsid w:val="00D121EA"/>
    <w:rsid w:val="00D12380"/>
    <w:rsid w:val="00D125E0"/>
    <w:rsid w:val="00D12A0D"/>
    <w:rsid w:val="00D12A40"/>
    <w:rsid w:val="00D12A42"/>
    <w:rsid w:val="00D13675"/>
    <w:rsid w:val="00D13BE2"/>
    <w:rsid w:val="00D141E1"/>
    <w:rsid w:val="00D14B48"/>
    <w:rsid w:val="00D15073"/>
    <w:rsid w:val="00D15314"/>
    <w:rsid w:val="00D1538E"/>
    <w:rsid w:val="00D15B48"/>
    <w:rsid w:val="00D15D32"/>
    <w:rsid w:val="00D16946"/>
    <w:rsid w:val="00D17D6C"/>
    <w:rsid w:val="00D209B2"/>
    <w:rsid w:val="00D20DB9"/>
    <w:rsid w:val="00D20E11"/>
    <w:rsid w:val="00D213EE"/>
    <w:rsid w:val="00D2150C"/>
    <w:rsid w:val="00D2155B"/>
    <w:rsid w:val="00D21870"/>
    <w:rsid w:val="00D2223C"/>
    <w:rsid w:val="00D224EC"/>
    <w:rsid w:val="00D2265C"/>
    <w:rsid w:val="00D22A9F"/>
    <w:rsid w:val="00D236EC"/>
    <w:rsid w:val="00D23D11"/>
    <w:rsid w:val="00D24070"/>
    <w:rsid w:val="00D244B6"/>
    <w:rsid w:val="00D246EF"/>
    <w:rsid w:val="00D24B5C"/>
    <w:rsid w:val="00D24EE7"/>
    <w:rsid w:val="00D24FD4"/>
    <w:rsid w:val="00D2533E"/>
    <w:rsid w:val="00D2603E"/>
    <w:rsid w:val="00D26085"/>
    <w:rsid w:val="00D2754D"/>
    <w:rsid w:val="00D275B6"/>
    <w:rsid w:val="00D27A9E"/>
    <w:rsid w:val="00D27B27"/>
    <w:rsid w:val="00D30775"/>
    <w:rsid w:val="00D30D5B"/>
    <w:rsid w:val="00D30FAC"/>
    <w:rsid w:val="00D31426"/>
    <w:rsid w:val="00D321C2"/>
    <w:rsid w:val="00D324F9"/>
    <w:rsid w:val="00D326DA"/>
    <w:rsid w:val="00D3296C"/>
    <w:rsid w:val="00D32A93"/>
    <w:rsid w:val="00D32DF6"/>
    <w:rsid w:val="00D32F33"/>
    <w:rsid w:val="00D33BE9"/>
    <w:rsid w:val="00D33D49"/>
    <w:rsid w:val="00D33F93"/>
    <w:rsid w:val="00D344CA"/>
    <w:rsid w:val="00D345D7"/>
    <w:rsid w:val="00D3531B"/>
    <w:rsid w:val="00D357FF"/>
    <w:rsid w:val="00D359F5"/>
    <w:rsid w:val="00D362FC"/>
    <w:rsid w:val="00D36428"/>
    <w:rsid w:val="00D3677D"/>
    <w:rsid w:val="00D36EA7"/>
    <w:rsid w:val="00D375CB"/>
    <w:rsid w:val="00D37B83"/>
    <w:rsid w:val="00D37BC4"/>
    <w:rsid w:val="00D37EE9"/>
    <w:rsid w:val="00D404F0"/>
    <w:rsid w:val="00D4108B"/>
    <w:rsid w:val="00D413B5"/>
    <w:rsid w:val="00D416E3"/>
    <w:rsid w:val="00D424C7"/>
    <w:rsid w:val="00D42646"/>
    <w:rsid w:val="00D42E66"/>
    <w:rsid w:val="00D433F1"/>
    <w:rsid w:val="00D43681"/>
    <w:rsid w:val="00D437BF"/>
    <w:rsid w:val="00D43ADF"/>
    <w:rsid w:val="00D43B2A"/>
    <w:rsid w:val="00D43CA3"/>
    <w:rsid w:val="00D43CF1"/>
    <w:rsid w:val="00D43D83"/>
    <w:rsid w:val="00D43E53"/>
    <w:rsid w:val="00D444C3"/>
    <w:rsid w:val="00D449D3"/>
    <w:rsid w:val="00D45801"/>
    <w:rsid w:val="00D46586"/>
    <w:rsid w:val="00D47575"/>
    <w:rsid w:val="00D475E6"/>
    <w:rsid w:val="00D4770E"/>
    <w:rsid w:val="00D47DBE"/>
    <w:rsid w:val="00D507EF"/>
    <w:rsid w:val="00D50C7D"/>
    <w:rsid w:val="00D50CCA"/>
    <w:rsid w:val="00D51188"/>
    <w:rsid w:val="00D51341"/>
    <w:rsid w:val="00D5148C"/>
    <w:rsid w:val="00D51779"/>
    <w:rsid w:val="00D5243B"/>
    <w:rsid w:val="00D525B7"/>
    <w:rsid w:val="00D52A85"/>
    <w:rsid w:val="00D52E8D"/>
    <w:rsid w:val="00D52F4B"/>
    <w:rsid w:val="00D53182"/>
    <w:rsid w:val="00D533EC"/>
    <w:rsid w:val="00D53696"/>
    <w:rsid w:val="00D55145"/>
    <w:rsid w:val="00D55218"/>
    <w:rsid w:val="00D5568A"/>
    <w:rsid w:val="00D556EF"/>
    <w:rsid w:val="00D5573E"/>
    <w:rsid w:val="00D55E7A"/>
    <w:rsid w:val="00D55ED2"/>
    <w:rsid w:val="00D55FBF"/>
    <w:rsid w:val="00D56A16"/>
    <w:rsid w:val="00D56A95"/>
    <w:rsid w:val="00D56F8F"/>
    <w:rsid w:val="00D570A9"/>
    <w:rsid w:val="00D573B7"/>
    <w:rsid w:val="00D57428"/>
    <w:rsid w:val="00D5769D"/>
    <w:rsid w:val="00D57A22"/>
    <w:rsid w:val="00D57B0D"/>
    <w:rsid w:val="00D60037"/>
    <w:rsid w:val="00D60639"/>
    <w:rsid w:val="00D6076E"/>
    <w:rsid w:val="00D60781"/>
    <w:rsid w:val="00D60AF8"/>
    <w:rsid w:val="00D60D50"/>
    <w:rsid w:val="00D6133E"/>
    <w:rsid w:val="00D619B7"/>
    <w:rsid w:val="00D61D45"/>
    <w:rsid w:val="00D61DD1"/>
    <w:rsid w:val="00D62DE2"/>
    <w:rsid w:val="00D63128"/>
    <w:rsid w:val="00D638D3"/>
    <w:rsid w:val="00D63941"/>
    <w:rsid w:val="00D645EF"/>
    <w:rsid w:val="00D64C23"/>
    <w:rsid w:val="00D65153"/>
    <w:rsid w:val="00D6527D"/>
    <w:rsid w:val="00D659BC"/>
    <w:rsid w:val="00D65F87"/>
    <w:rsid w:val="00D66BC6"/>
    <w:rsid w:val="00D6715D"/>
    <w:rsid w:val="00D6751C"/>
    <w:rsid w:val="00D67A55"/>
    <w:rsid w:val="00D70A10"/>
    <w:rsid w:val="00D70F16"/>
    <w:rsid w:val="00D70F3C"/>
    <w:rsid w:val="00D711D7"/>
    <w:rsid w:val="00D7154F"/>
    <w:rsid w:val="00D71B60"/>
    <w:rsid w:val="00D72617"/>
    <w:rsid w:val="00D72641"/>
    <w:rsid w:val="00D72773"/>
    <w:rsid w:val="00D72D4D"/>
    <w:rsid w:val="00D72F57"/>
    <w:rsid w:val="00D73092"/>
    <w:rsid w:val="00D730AB"/>
    <w:rsid w:val="00D731C2"/>
    <w:rsid w:val="00D731EC"/>
    <w:rsid w:val="00D73FC6"/>
    <w:rsid w:val="00D74AAC"/>
    <w:rsid w:val="00D75023"/>
    <w:rsid w:val="00D75654"/>
    <w:rsid w:val="00D75924"/>
    <w:rsid w:val="00D75B4A"/>
    <w:rsid w:val="00D761BD"/>
    <w:rsid w:val="00D76A44"/>
    <w:rsid w:val="00D76BF9"/>
    <w:rsid w:val="00D76F9C"/>
    <w:rsid w:val="00D7721D"/>
    <w:rsid w:val="00D773AB"/>
    <w:rsid w:val="00D7766D"/>
    <w:rsid w:val="00D77B11"/>
    <w:rsid w:val="00D77C8A"/>
    <w:rsid w:val="00D801A4"/>
    <w:rsid w:val="00D8095A"/>
    <w:rsid w:val="00D8157D"/>
    <w:rsid w:val="00D815EF"/>
    <w:rsid w:val="00D81949"/>
    <w:rsid w:val="00D81D66"/>
    <w:rsid w:val="00D81F26"/>
    <w:rsid w:val="00D822DF"/>
    <w:rsid w:val="00D822E2"/>
    <w:rsid w:val="00D8269E"/>
    <w:rsid w:val="00D827A1"/>
    <w:rsid w:val="00D82BAE"/>
    <w:rsid w:val="00D83421"/>
    <w:rsid w:val="00D83825"/>
    <w:rsid w:val="00D84186"/>
    <w:rsid w:val="00D843F2"/>
    <w:rsid w:val="00D850D5"/>
    <w:rsid w:val="00D851DE"/>
    <w:rsid w:val="00D854AA"/>
    <w:rsid w:val="00D855D0"/>
    <w:rsid w:val="00D8577B"/>
    <w:rsid w:val="00D85A48"/>
    <w:rsid w:val="00D86094"/>
    <w:rsid w:val="00D86231"/>
    <w:rsid w:val="00D86A72"/>
    <w:rsid w:val="00D86D87"/>
    <w:rsid w:val="00D87430"/>
    <w:rsid w:val="00D8761E"/>
    <w:rsid w:val="00D87B0D"/>
    <w:rsid w:val="00D905BC"/>
    <w:rsid w:val="00D90D26"/>
    <w:rsid w:val="00D90E5B"/>
    <w:rsid w:val="00D9108D"/>
    <w:rsid w:val="00D912AB"/>
    <w:rsid w:val="00D91651"/>
    <w:rsid w:val="00D91923"/>
    <w:rsid w:val="00D91EFD"/>
    <w:rsid w:val="00D921E2"/>
    <w:rsid w:val="00D92598"/>
    <w:rsid w:val="00D92A4B"/>
    <w:rsid w:val="00D92D9D"/>
    <w:rsid w:val="00D93753"/>
    <w:rsid w:val="00D93A06"/>
    <w:rsid w:val="00D93C74"/>
    <w:rsid w:val="00D93E28"/>
    <w:rsid w:val="00D9510A"/>
    <w:rsid w:val="00D959E4"/>
    <w:rsid w:val="00D96684"/>
    <w:rsid w:val="00D966D4"/>
    <w:rsid w:val="00D96786"/>
    <w:rsid w:val="00D97139"/>
    <w:rsid w:val="00D9724F"/>
    <w:rsid w:val="00D9760A"/>
    <w:rsid w:val="00D9773A"/>
    <w:rsid w:val="00D9797A"/>
    <w:rsid w:val="00DA02F0"/>
    <w:rsid w:val="00DA15DA"/>
    <w:rsid w:val="00DA1F92"/>
    <w:rsid w:val="00DA2023"/>
    <w:rsid w:val="00DA3167"/>
    <w:rsid w:val="00DA32A6"/>
    <w:rsid w:val="00DA3761"/>
    <w:rsid w:val="00DA3980"/>
    <w:rsid w:val="00DA3B34"/>
    <w:rsid w:val="00DA3D93"/>
    <w:rsid w:val="00DA428B"/>
    <w:rsid w:val="00DA4914"/>
    <w:rsid w:val="00DA4C64"/>
    <w:rsid w:val="00DA4DC3"/>
    <w:rsid w:val="00DA5227"/>
    <w:rsid w:val="00DA7587"/>
    <w:rsid w:val="00DA77A5"/>
    <w:rsid w:val="00DA7934"/>
    <w:rsid w:val="00DB0A57"/>
    <w:rsid w:val="00DB0C5A"/>
    <w:rsid w:val="00DB0CA4"/>
    <w:rsid w:val="00DB0E36"/>
    <w:rsid w:val="00DB0E5A"/>
    <w:rsid w:val="00DB135A"/>
    <w:rsid w:val="00DB1C66"/>
    <w:rsid w:val="00DB2051"/>
    <w:rsid w:val="00DB2368"/>
    <w:rsid w:val="00DB2723"/>
    <w:rsid w:val="00DB30EC"/>
    <w:rsid w:val="00DB345C"/>
    <w:rsid w:val="00DB34BC"/>
    <w:rsid w:val="00DB3949"/>
    <w:rsid w:val="00DB3AE3"/>
    <w:rsid w:val="00DB3DB4"/>
    <w:rsid w:val="00DB3DBF"/>
    <w:rsid w:val="00DB3F0F"/>
    <w:rsid w:val="00DB41E8"/>
    <w:rsid w:val="00DB484F"/>
    <w:rsid w:val="00DB4AE2"/>
    <w:rsid w:val="00DB4D7E"/>
    <w:rsid w:val="00DB4DB0"/>
    <w:rsid w:val="00DB4E4E"/>
    <w:rsid w:val="00DB5C13"/>
    <w:rsid w:val="00DB5C8D"/>
    <w:rsid w:val="00DB5CDA"/>
    <w:rsid w:val="00DB64A7"/>
    <w:rsid w:val="00DB6797"/>
    <w:rsid w:val="00DB6A9E"/>
    <w:rsid w:val="00DB6E27"/>
    <w:rsid w:val="00DB6ECE"/>
    <w:rsid w:val="00DB755F"/>
    <w:rsid w:val="00DB75F8"/>
    <w:rsid w:val="00DC04F6"/>
    <w:rsid w:val="00DC0690"/>
    <w:rsid w:val="00DC0922"/>
    <w:rsid w:val="00DC138D"/>
    <w:rsid w:val="00DC1612"/>
    <w:rsid w:val="00DC171C"/>
    <w:rsid w:val="00DC1787"/>
    <w:rsid w:val="00DC191E"/>
    <w:rsid w:val="00DC1AA9"/>
    <w:rsid w:val="00DC1D65"/>
    <w:rsid w:val="00DC23D4"/>
    <w:rsid w:val="00DC2525"/>
    <w:rsid w:val="00DC26FC"/>
    <w:rsid w:val="00DC28A4"/>
    <w:rsid w:val="00DC2E72"/>
    <w:rsid w:val="00DC2FC8"/>
    <w:rsid w:val="00DC3072"/>
    <w:rsid w:val="00DC33FA"/>
    <w:rsid w:val="00DC350D"/>
    <w:rsid w:val="00DC3707"/>
    <w:rsid w:val="00DC38F2"/>
    <w:rsid w:val="00DC3BA5"/>
    <w:rsid w:val="00DC3C57"/>
    <w:rsid w:val="00DC4186"/>
    <w:rsid w:val="00DC4E14"/>
    <w:rsid w:val="00DC5501"/>
    <w:rsid w:val="00DC556E"/>
    <w:rsid w:val="00DC56C0"/>
    <w:rsid w:val="00DC5DE4"/>
    <w:rsid w:val="00DC6376"/>
    <w:rsid w:val="00DC63B7"/>
    <w:rsid w:val="00DC6554"/>
    <w:rsid w:val="00DC6F4A"/>
    <w:rsid w:val="00DC7154"/>
    <w:rsid w:val="00DC7362"/>
    <w:rsid w:val="00DC757A"/>
    <w:rsid w:val="00DC7870"/>
    <w:rsid w:val="00DC7E8A"/>
    <w:rsid w:val="00DD0017"/>
    <w:rsid w:val="00DD0271"/>
    <w:rsid w:val="00DD0D2A"/>
    <w:rsid w:val="00DD0F56"/>
    <w:rsid w:val="00DD0F78"/>
    <w:rsid w:val="00DD1244"/>
    <w:rsid w:val="00DD16B9"/>
    <w:rsid w:val="00DD21D0"/>
    <w:rsid w:val="00DD273C"/>
    <w:rsid w:val="00DD3835"/>
    <w:rsid w:val="00DD3C42"/>
    <w:rsid w:val="00DD3F05"/>
    <w:rsid w:val="00DD3F28"/>
    <w:rsid w:val="00DD41F0"/>
    <w:rsid w:val="00DD4446"/>
    <w:rsid w:val="00DD4537"/>
    <w:rsid w:val="00DD4812"/>
    <w:rsid w:val="00DD4BEB"/>
    <w:rsid w:val="00DD4CB4"/>
    <w:rsid w:val="00DD4CBF"/>
    <w:rsid w:val="00DD4E15"/>
    <w:rsid w:val="00DD4F46"/>
    <w:rsid w:val="00DD51AD"/>
    <w:rsid w:val="00DD5699"/>
    <w:rsid w:val="00DD5C2C"/>
    <w:rsid w:val="00DD66C8"/>
    <w:rsid w:val="00DD6D6C"/>
    <w:rsid w:val="00DD6DD3"/>
    <w:rsid w:val="00DD757B"/>
    <w:rsid w:val="00DD7A3E"/>
    <w:rsid w:val="00DE0BA7"/>
    <w:rsid w:val="00DE0EC3"/>
    <w:rsid w:val="00DE0FB9"/>
    <w:rsid w:val="00DE101A"/>
    <w:rsid w:val="00DE1604"/>
    <w:rsid w:val="00DE2170"/>
    <w:rsid w:val="00DE2304"/>
    <w:rsid w:val="00DE2A63"/>
    <w:rsid w:val="00DE2B22"/>
    <w:rsid w:val="00DE2B8B"/>
    <w:rsid w:val="00DE3037"/>
    <w:rsid w:val="00DE3138"/>
    <w:rsid w:val="00DE37D3"/>
    <w:rsid w:val="00DE37F8"/>
    <w:rsid w:val="00DE4273"/>
    <w:rsid w:val="00DE4979"/>
    <w:rsid w:val="00DE4B6A"/>
    <w:rsid w:val="00DE4F38"/>
    <w:rsid w:val="00DE4FCB"/>
    <w:rsid w:val="00DE4FE1"/>
    <w:rsid w:val="00DE5D07"/>
    <w:rsid w:val="00DE5D42"/>
    <w:rsid w:val="00DE6658"/>
    <w:rsid w:val="00DE6D29"/>
    <w:rsid w:val="00DE6DAB"/>
    <w:rsid w:val="00DE6F3E"/>
    <w:rsid w:val="00DE72A7"/>
    <w:rsid w:val="00DE77D1"/>
    <w:rsid w:val="00DE7832"/>
    <w:rsid w:val="00DE7A6C"/>
    <w:rsid w:val="00DE7EFE"/>
    <w:rsid w:val="00DF0126"/>
    <w:rsid w:val="00DF0D1C"/>
    <w:rsid w:val="00DF105B"/>
    <w:rsid w:val="00DF1198"/>
    <w:rsid w:val="00DF18FC"/>
    <w:rsid w:val="00DF1B50"/>
    <w:rsid w:val="00DF22C8"/>
    <w:rsid w:val="00DF291D"/>
    <w:rsid w:val="00DF2A6B"/>
    <w:rsid w:val="00DF2DE7"/>
    <w:rsid w:val="00DF2FE2"/>
    <w:rsid w:val="00DF393A"/>
    <w:rsid w:val="00DF421D"/>
    <w:rsid w:val="00DF4475"/>
    <w:rsid w:val="00DF4599"/>
    <w:rsid w:val="00DF4F42"/>
    <w:rsid w:val="00DF5679"/>
    <w:rsid w:val="00DF567F"/>
    <w:rsid w:val="00DF56C0"/>
    <w:rsid w:val="00DF5D2B"/>
    <w:rsid w:val="00DF61C7"/>
    <w:rsid w:val="00DF6341"/>
    <w:rsid w:val="00DF667B"/>
    <w:rsid w:val="00DF67D2"/>
    <w:rsid w:val="00DF6ED9"/>
    <w:rsid w:val="00E00586"/>
    <w:rsid w:val="00E008A8"/>
    <w:rsid w:val="00E00910"/>
    <w:rsid w:val="00E00E8E"/>
    <w:rsid w:val="00E00EF6"/>
    <w:rsid w:val="00E012C0"/>
    <w:rsid w:val="00E02367"/>
    <w:rsid w:val="00E02D69"/>
    <w:rsid w:val="00E03D58"/>
    <w:rsid w:val="00E047C9"/>
    <w:rsid w:val="00E05630"/>
    <w:rsid w:val="00E05A82"/>
    <w:rsid w:val="00E05F92"/>
    <w:rsid w:val="00E063E3"/>
    <w:rsid w:val="00E066D0"/>
    <w:rsid w:val="00E06B7C"/>
    <w:rsid w:val="00E06DBB"/>
    <w:rsid w:val="00E06DCC"/>
    <w:rsid w:val="00E06EC0"/>
    <w:rsid w:val="00E0764E"/>
    <w:rsid w:val="00E0793E"/>
    <w:rsid w:val="00E10149"/>
    <w:rsid w:val="00E1015A"/>
    <w:rsid w:val="00E1093F"/>
    <w:rsid w:val="00E10DB8"/>
    <w:rsid w:val="00E110AA"/>
    <w:rsid w:val="00E11340"/>
    <w:rsid w:val="00E122A1"/>
    <w:rsid w:val="00E12B54"/>
    <w:rsid w:val="00E12BC1"/>
    <w:rsid w:val="00E13AA3"/>
    <w:rsid w:val="00E13BAB"/>
    <w:rsid w:val="00E13EC6"/>
    <w:rsid w:val="00E15072"/>
    <w:rsid w:val="00E15104"/>
    <w:rsid w:val="00E153AF"/>
    <w:rsid w:val="00E15A1C"/>
    <w:rsid w:val="00E15E28"/>
    <w:rsid w:val="00E16372"/>
    <w:rsid w:val="00E16373"/>
    <w:rsid w:val="00E16A11"/>
    <w:rsid w:val="00E16AD8"/>
    <w:rsid w:val="00E16CF4"/>
    <w:rsid w:val="00E16DDE"/>
    <w:rsid w:val="00E175D0"/>
    <w:rsid w:val="00E17CE7"/>
    <w:rsid w:val="00E17FFA"/>
    <w:rsid w:val="00E20562"/>
    <w:rsid w:val="00E20E4D"/>
    <w:rsid w:val="00E20ED6"/>
    <w:rsid w:val="00E20FDB"/>
    <w:rsid w:val="00E21358"/>
    <w:rsid w:val="00E21510"/>
    <w:rsid w:val="00E21639"/>
    <w:rsid w:val="00E217E6"/>
    <w:rsid w:val="00E2249B"/>
    <w:rsid w:val="00E22A0D"/>
    <w:rsid w:val="00E22B2F"/>
    <w:rsid w:val="00E22E7C"/>
    <w:rsid w:val="00E22EFE"/>
    <w:rsid w:val="00E2399A"/>
    <w:rsid w:val="00E23E5A"/>
    <w:rsid w:val="00E244F6"/>
    <w:rsid w:val="00E247F3"/>
    <w:rsid w:val="00E24C17"/>
    <w:rsid w:val="00E24F61"/>
    <w:rsid w:val="00E25535"/>
    <w:rsid w:val="00E258DB"/>
    <w:rsid w:val="00E26182"/>
    <w:rsid w:val="00E2619D"/>
    <w:rsid w:val="00E26516"/>
    <w:rsid w:val="00E26A27"/>
    <w:rsid w:val="00E2710C"/>
    <w:rsid w:val="00E276EB"/>
    <w:rsid w:val="00E2771E"/>
    <w:rsid w:val="00E27CBB"/>
    <w:rsid w:val="00E27EF0"/>
    <w:rsid w:val="00E3004B"/>
    <w:rsid w:val="00E30303"/>
    <w:rsid w:val="00E30E7B"/>
    <w:rsid w:val="00E30FCE"/>
    <w:rsid w:val="00E311EF"/>
    <w:rsid w:val="00E31329"/>
    <w:rsid w:val="00E3193F"/>
    <w:rsid w:val="00E32180"/>
    <w:rsid w:val="00E32E1B"/>
    <w:rsid w:val="00E34515"/>
    <w:rsid w:val="00E34948"/>
    <w:rsid w:val="00E34B2E"/>
    <w:rsid w:val="00E34DC5"/>
    <w:rsid w:val="00E35872"/>
    <w:rsid w:val="00E35BAA"/>
    <w:rsid w:val="00E35C28"/>
    <w:rsid w:val="00E36007"/>
    <w:rsid w:val="00E365C2"/>
    <w:rsid w:val="00E36685"/>
    <w:rsid w:val="00E36826"/>
    <w:rsid w:val="00E36ACA"/>
    <w:rsid w:val="00E36C21"/>
    <w:rsid w:val="00E36D64"/>
    <w:rsid w:val="00E3716F"/>
    <w:rsid w:val="00E37569"/>
    <w:rsid w:val="00E401B2"/>
    <w:rsid w:val="00E408E7"/>
    <w:rsid w:val="00E40C51"/>
    <w:rsid w:val="00E40D18"/>
    <w:rsid w:val="00E41E30"/>
    <w:rsid w:val="00E4236A"/>
    <w:rsid w:val="00E42BBB"/>
    <w:rsid w:val="00E42F73"/>
    <w:rsid w:val="00E43467"/>
    <w:rsid w:val="00E43D70"/>
    <w:rsid w:val="00E43F78"/>
    <w:rsid w:val="00E443CE"/>
    <w:rsid w:val="00E446FA"/>
    <w:rsid w:val="00E44B9A"/>
    <w:rsid w:val="00E44C63"/>
    <w:rsid w:val="00E44D06"/>
    <w:rsid w:val="00E45630"/>
    <w:rsid w:val="00E45893"/>
    <w:rsid w:val="00E45A07"/>
    <w:rsid w:val="00E46602"/>
    <w:rsid w:val="00E466F3"/>
    <w:rsid w:val="00E467C7"/>
    <w:rsid w:val="00E4771D"/>
    <w:rsid w:val="00E47831"/>
    <w:rsid w:val="00E47AAE"/>
    <w:rsid w:val="00E47B2C"/>
    <w:rsid w:val="00E47C3A"/>
    <w:rsid w:val="00E47FE7"/>
    <w:rsid w:val="00E50078"/>
    <w:rsid w:val="00E50816"/>
    <w:rsid w:val="00E50BF0"/>
    <w:rsid w:val="00E50C30"/>
    <w:rsid w:val="00E50FA4"/>
    <w:rsid w:val="00E51168"/>
    <w:rsid w:val="00E51560"/>
    <w:rsid w:val="00E51821"/>
    <w:rsid w:val="00E524AE"/>
    <w:rsid w:val="00E530E7"/>
    <w:rsid w:val="00E53589"/>
    <w:rsid w:val="00E538F9"/>
    <w:rsid w:val="00E53B87"/>
    <w:rsid w:val="00E53FC8"/>
    <w:rsid w:val="00E54347"/>
    <w:rsid w:val="00E54D68"/>
    <w:rsid w:val="00E55424"/>
    <w:rsid w:val="00E55915"/>
    <w:rsid w:val="00E55998"/>
    <w:rsid w:val="00E55B27"/>
    <w:rsid w:val="00E55BB5"/>
    <w:rsid w:val="00E55CBC"/>
    <w:rsid w:val="00E56055"/>
    <w:rsid w:val="00E56D0E"/>
    <w:rsid w:val="00E57068"/>
    <w:rsid w:val="00E572B3"/>
    <w:rsid w:val="00E57579"/>
    <w:rsid w:val="00E5764B"/>
    <w:rsid w:val="00E60DBB"/>
    <w:rsid w:val="00E611DF"/>
    <w:rsid w:val="00E61738"/>
    <w:rsid w:val="00E617DA"/>
    <w:rsid w:val="00E62883"/>
    <w:rsid w:val="00E6296C"/>
    <w:rsid w:val="00E62F43"/>
    <w:rsid w:val="00E63FAE"/>
    <w:rsid w:val="00E6445B"/>
    <w:rsid w:val="00E64EFD"/>
    <w:rsid w:val="00E65284"/>
    <w:rsid w:val="00E65992"/>
    <w:rsid w:val="00E65D71"/>
    <w:rsid w:val="00E65E79"/>
    <w:rsid w:val="00E660AF"/>
    <w:rsid w:val="00E6632C"/>
    <w:rsid w:val="00E66514"/>
    <w:rsid w:val="00E665F5"/>
    <w:rsid w:val="00E66BA2"/>
    <w:rsid w:val="00E66D3E"/>
    <w:rsid w:val="00E67416"/>
    <w:rsid w:val="00E67498"/>
    <w:rsid w:val="00E67D9D"/>
    <w:rsid w:val="00E70C29"/>
    <w:rsid w:val="00E718B6"/>
    <w:rsid w:val="00E71950"/>
    <w:rsid w:val="00E71E3F"/>
    <w:rsid w:val="00E723BA"/>
    <w:rsid w:val="00E72C4E"/>
    <w:rsid w:val="00E72D9A"/>
    <w:rsid w:val="00E731FE"/>
    <w:rsid w:val="00E73581"/>
    <w:rsid w:val="00E7399F"/>
    <w:rsid w:val="00E73AA6"/>
    <w:rsid w:val="00E74986"/>
    <w:rsid w:val="00E74F72"/>
    <w:rsid w:val="00E7563D"/>
    <w:rsid w:val="00E761EE"/>
    <w:rsid w:val="00E76A1E"/>
    <w:rsid w:val="00E76AFA"/>
    <w:rsid w:val="00E76E4D"/>
    <w:rsid w:val="00E77F45"/>
    <w:rsid w:val="00E77F73"/>
    <w:rsid w:val="00E8076B"/>
    <w:rsid w:val="00E80C53"/>
    <w:rsid w:val="00E81287"/>
    <w:rsid w:val="00E81A60"/>
    <w:rsid w:val="00E81BB0"/>
    <w:rsid w:val="00E81C52"/>
    <w:rsid w:val="00E81DBB"/>
    <w:rsid w:val="00E82154"/>
    <w:rsid w:val="00E823E3"/>
    <w:rsid w:val="00E824C8"/>
    <w:rsid w:val="00E833F7"/>
    <w:rsid w:val="00E83616"/>
    <w:rsid w:val="00E838D4"/>
    <w:rsid w:val="00E838E0"/>
    <w:rsid w:val="00E839AB"/>
    <w:rsid w:val="00E83B5A"/>
    <w:rsid w:val="00E83BDF"/>
    <w:rsid w:val="00E83E09"/>
    <w:rsid w:val="00E83EE7"/>
    <w:rsid w:val="00E849B3"/>
    <w:rsid w:val="00E84D1B"/>
    <w:rsid w:val="00E850FA"/>
    <w:rsid w:val="00E851DF"/>
    <w:rsid w:val="00E85311"/>
    <w:rsid w:val="00E8563A"/>
    <w:rsid w:val="00E85730"/>
    <w:rsid w:val="00E85A99"/>
    <w:rsid w:val="00E85BC7"/>
    <w:rsid w:val="00E85D37"/>
    <w:rsid w:val="00E866CE"/>
    <w:rsid w:val="00E86821"/>
    <w:rsid w:val="00E86A1D"/>
    <w:rsid w:val="00E86A78"/>
    <w:rsid w:val="00E86B1E"/>
    <w:rsid w:val="00E86D5D"/>
    <w:rsid w:val="00E86FCC"/>
    <w:rsid w:val="00E8755B"/>
    <w:rsid w:val="00E8778A"/>
    <w:rsid w:val="00E87821"/>
    <w:rsid w:val="00E87A1D"/>
    <w:rsid w:val="00E87B22"/>
    <w:rsid w:val="00E87F1D"/>
    <w:rsid w:val="00E87FBD"/>
    <w:rsid w:val="00E900D3"/>
    <w:rsid w:val="00E9067B"/>
    <w:rsid w:val="00E9094A"/>
    <w:rsid w:val="00E90B84"/>
    <w:rsid w:val="00E91D35"/>
    <w:rsid w:val="00E923BA"/>
    <w:rsid w:val="00E926A5"/>
    <w:rsid w:val="00E929DA"/>
    <w:rsid w:val="00E934FD"/>
    <w:rsid w:val="00E937E5"/>
    <w:rsid w:val="00E93835"/>
    <w:rsid w:val="00E93B45"/>
    <w:rsid w:val="00E93CCC"/>
    <w:rsid w:val="00E93D0E"/>
    <w:rsid w:val="00E940EC"/>
    <w:rsid w:val="00E941CA"/>
    <w:rsid w:val="00E94350"/>
    <w:rsid w:val="00E943B4"/>
    <w:rsid w:val="00E944EE"/>
    <w:rsid w:val="00E9501F"/>
    <w:rsid w:val="00E956F3"/>
    <w:rsid w:val="00E9594B"/>
    <w:rsid w:val="00E95A24"/>
    <w:rsid w:val="00E961DA"/>
    <w:rsid w:val="00E962CC"/>
    <w:rsid w:val="00E96729"/>
    <w:rsid w:val="00E969F7"/>
    <w:rsid w:val="00E97902"/>
    <w:rsid w:val="00E97A4C"/>
    <w:rsid w:val="00EA05E0"/>
    <w:rsid w:val="00EA169E"/>
    <w:rsid w:val="00EA17C3"/>
    <w:rsid w:val="00EA1F46"/>
    <w:rsid w:val="00EA2171"/>
    <w:rsid w:val="00EA2C20"/>
    <w:rsid w:val="00EA2CAA"/>
    <w:rsid w:val="00EA2D51"/>
    <w:rsid w:val="00EA3864"/>
    <w:rsid w:val="00EA49B0"/>
    <w:rsid w:val="00EA5146"/>
    <w:rsid w:val="00EA59B4"/>
    <w:rsid w:val="00EA7012"/>
    <w:rsid w:val="00EA7DF1"/>
    <w:rsid w:val="00EA7F1C"/>
    <w:rsid w:val="00EB15B6"/>
    <w:rsid w:val="00EB2236"/>
    <w:rsid w:val="00EB27C4"/>
    <w:rsid w:val="00EB2A51"/>
    <w:rsid w:val="00EB2DB8"/>
    <w:rsid w:val="00EB3C6D"/>
    <w:rsid w:val="00EB3D06"/>
    <w:rsid w:val="00EB3E2C"/>
    <w:rsid w:val="00EB3E4A"/>
    <w:rsid w:val="00EB48AC"/>
    <w:rsid w:val="00EB4916"/>
    <w:rsid w:val="00EB4E9D"/>
    <w:rsid w:val="00EB5093"/>
    <w:rsid w:val="00EB516A"/>
    <w:rsid w:val="00EB5F77"/>
    <w:rsid w:val="00EB6426"/>
    <w:rsid w:val="00EB6D83"/>
    <w:rsid w:val="00EB6FD6"/>
    <w:rsid w:val="00EB744C"/>
    <w:rsid w:val="00EB791D"/>
    <w:rsid w:val="00EB7978"/>
    <w:rsid w:val="00EB7A14"/>
    <w:rsid w:val="00EC00C9"/>
    <w:rsid w:val="00EC011B"/>
    <w:rsid w:val="00EC0DD9"/>
    <w:rsid w:val="00EC1309"/>
    <w:rsid w:val="00EC18FC"/>
    <w:rsid w:val="00EC1BB0"/>
    <w:rsid w:val="00EC1C26"/>
    <w:rsid w:val="00EC2649"/>
    <w:rsid w:val="00EC2762"/>
    <w:rsid w:val="00EC28F2"/>
    <w:rsid w:val="00EC2915"/>
    <w:rsid w:val="00EC2B59"/>
    <w:rsid w:val="00EC2DAB"/>
    <w:rsid w:val="00EC3066"/>
    <w:rsid w:val="00EC31ED"/>
    <w:rsid w:val="00EC33C4"/>
    <w:rsid w:val="00EC3E97"/>
    <w:rsid w:val="00EC40FF"/>
    <w:rsid w:val="00EC426E"/>
    <w:rsid w:val="00EC4368"/>
    <w:rsid w:val="00EC4F07"/>
    <w:rsid w:val="00EC5041"/>
    <w:rsid w:val="00EC5613"/>
    <w:rsid w:val="00EC57AD"/>
    <w:rsid w:val="00EC5836"/>
    <w:rsid w:val="00EC654B"/>
    <w:rsid w:val="00EC688C"/>
    <w:rsid w:val="00ED00E9"/>
    <w:rsid w:val="00ED0364"/>
    <w:rsid w:val="00ED0758"/>
    <w:rsid w:val="00ED0B06"/>
    <w:rsid w:val="00ED0CBB"/>
    <w:rsid w:val="00ED12E3"/>
    <w:rsid w:val="00ED1305"/>
    <w:rsid w:val="00ED15FD"/>
    <w:rsid w:val="00ED30E5"/>
    <w:rsid w:val="00ED31D0"/>
    <w:rsid w:val="00ED36B5"/>
    <w:rsid w:val="00ED3A29"/>
    <w:rsid w:val="00ED4209"/>
    <w:rsid w:val="00ED4B04"/>
    <w:rsid w:val="00ED5005"/>
    <w:rsid w:val="00ED5163"/>
    <w:rsid w:val="00ED551F"/>
    <w:rsid w:val="00ED57EA"/>
    <w:rsid w:val="00ED5BD4"/>
    <w:rsid w:val="00ED613F"/>
    <w:rsid w:val="00ED6518"/>
    <w:rsid w:val="00ED6BAA"/>
    <w:rsid w:val="00ED6F61"/>
    <w:rsid w:val="00ED76C2"/>
    <w:rsid w:val="00ED77EA"/>
    <w:rsid w:val="00EE07D3"/>
    <w:rsid w:val="00EE0A3B"/>
    <w:rsid w:val="00EE0A82"/>
    <w:rsid w:val="00EE100C"/>
    <w:rsid w:val="00EE17E7"/>
    <w:rsid w:val="00EE1996"/>
    <w:rsid w:val="00EE1C01"/>
    <w:rsid w:val="00EE20A4"/>
    <w:rsid w:val="00EE22AF"/>
    <w:rsid w:val="00EE25E9"/>
    <w:rsid w:val="00EE28FA"/>
    <w:rsid w:val="00EE30CC"/>
    <w:rsid w:val="00EE35BE"/>
    <w:rsid w:val="00EE3796"/>
    <w:rsid w:val="00EE3B6B"/>
    <w:rsid w:val="00EE3EB6"/>
    <w:rsid w:val="00EE4111"/>
    <w:rsid w:val="00EE4454"/>
    <w:rsid w:val="00EE44A0"/>
    <w:rsid w:val="00EE4A3E"/>
    <w:rsid w:val="00EE4F75"/>
    <w:rsid w:val="00EE5044"/>
    <w:rsid w:val="00EE51DF"/>
    <w:rsid w:val="00EE5212"/>
    <w:rsid w:val="00EE5467"/>
    <w:rsid w:val="00EE55FF"/>
    <w:rsid w:val="00EE582C"/>
    <w:rsid w:val="00EE5A1D"/>
    <w:rsid w:val="00EE6A84"/>
    <w:rsid w:val="00EE6DBA"/>
    <w:rsid w:val="00EE6F96"/>
    <w:rsid w:val="00EE715D"/>
    <w:rsid w:val="00EE72B1"/>
    <w:rsid w:val="00EF0171"/>
    <w:rsid w:val="00EF0FD7"/>
    <w:rsid w:val="00EF152E"/>
    <w:rsid w:val="00EF1A6B"/>
    <w:rsid w:val="00EF1B25"/>
    <w:rsid w:val="00EF1DA0"/>
    <w:rsid w:val="00EF2126"/>
    <w:rsid w:val="00EF2901"/>
    <w:rsid w:val="00EF2ADA"/>
    <w:rsid w:val="00EF2C75"/>
    <w:rsid w:val="00EF2FCB"/>
    <w:rsid w:val="00EF347B"/>
    <w:rsid w:val="00EF3913"/>
    <w:rsid w:val="00EF39C0"/>
    <w:rsid w:val="00EF3C80"/>
    <w:rsid w:val="00EF46EA"/>
    <w:rsid w:val="00EF4747"/>
    <w:rsid w:val="00EF4BB7"/>
    <w:rsid w:val="00EF4BF8"/>
    <w:rsid w:val="00EF4F2D"/>
    <w:rsid w:val="00EF561E"/>
    <w:rsid w:val="00EF5817"/>
    <w:rsid w:val="00EF5AB6"/>
    <w:rsid w:val="00EF5B28"/>
    <w:rsid w:val="00EF618D"/>
    <w:rsid w:val="00EF6A47"/>
    <w:rsid w:val="00EF6AE5"/>
    <w:rsid w:val="00EF6BA8"/>
    <w:rsid w:val="00EF6C09"/>
    <w:rsid w:val="00EF7248"/>
    <w:rsid w:val="00EF7463"/>
    <w:rsid w:val="00EF79C5"/>
    <w:rsid w:val="00EF7ACB"/>
    <w:rsid w:val="00EF7B41"/>
    <w:rsid w:val="00F0076C"/>
    <w:rsid w:val="00F00A1C"/>
    <w:rsid w:val="00F016EE"/>
    <w:rsid w:val="00F02253"/>
    <w:rsid w:val="00F02F5E"/>
    <w:rsid w:val="00F0330B"/>
    <w:rsid w:val="00F03970"/>
    <w:rsid w:val="00F03C2E"/>
    <w:rsid w:val="00F03F4A"/>
    <w:rsid w:val="00F03F7F"/>
    <w:rsid w:val="00F03FED"/>
    <w:rsid w:val="00F045EF"/>
    <w:rsid w:val="00F04675"/>
    <w:rsid w:val="00F04A66"/>
    <w:rsid w:val="00F04B4B"/>
    <w:rsid w:val="00F04F53"/>
    <w:rsid w:val="00F0516C"/>
    <w:rsid w:val="00F051F5"/>
    <w:rsid w:val="00F058A4"/>
    <w:rsid w:val="00F05C25"/>
    <w:rsid w:val="00F06363"/>
    <w:rsid w:val="00F067A2"/>
    <w:rsid w:val="00F0683C"/>
    <w:rsid w:val="00F0697F"/>
    <w:rsid w:val="00F06B21"/>
    <w:rsid w:val="00F06DF8"/>
    <w:rsid w:val="00F07508"/>
    <w:rsid w:val="00F07B3D"/>
    <w:rsid w:val="00F07B9E"/>
    <w:rsid w:val="00F07DC6"/>
    <w:rsid w:val="00F103C3"/>
    <w:rsid w:val="00F10635"/>
    <w:rsid w:val="00F10AD1"/>
    <w:rsid w:val="00F11156"/>
    <w:rsid w:val="00F1116F"/>
    <w:rsid w:val="00F117B8"/>
    <w:rsid w:val="00F119A4"/>
    <w:rsid w:val="00F11CFC"/>
    <w:rsid w:val="00F11D48"/>
    <w:rsid w:val="00F121A7"/>
    <w:rsid w:val="00F1263A"/>
    <w:rsid w:val="00F12D88"/>
    <w:rsid w:val="00F130C6"/>
    <w:rsid w:val="00F135FA"/>
    <w:rsid w:val="00F1392F"/>
    <w:rsid w:val="00F139C5"/>
    <w:rsid w:val="00F147A1"/>
    <w:rsid w:val="00F149A9"/>
    <w:rsid w:val="00F14FC6"/>
    <w:rsid w:val="00F15250"/>
    <w:rsid w:val="00F15B77"/>
    <w:rsid w:val="00F15B9E"/>
    <w:rsid w:val="00F166F4"/>
    <w:rsid w:val="00F1685A"/>
    <w:rsid w:val="00F16BB4"/>
    <w:rsid w:val="00F170CE"/>
    <w:rsid w:val="00F17800"/>
    <w:rsid w:val="00F20F45"/>
    <w:rsid w:val="00F21236"/>
    <w:rsid w:val="00F214AF"/>
    <w:rsid w:val="00F21A33"/>
    <w:rsid w:val="00F221A8"/>
    <w:rsid w:val="00F2286F"/>
    <w:rsid w:val="00F22B16"/>
    <w:rsid w:val="00F22E77"/>
    <w:rsid w:val="00F23562"/>
    <w:rsid w:val="00F239DF"/>
    <w:rsid w:val="00F23E9A"/>
    <w:rsid w:val="00F24248"/>
    <w:rsid w:val="00F24837"/>
    <w:rsid w:val="00F24E3C"/>
    <w:rsid w:val="00F256F7"/>
    <w:rsid w:val="00F2575F"/>
    <w:rsid w:val="00F257ED"/>
    <w:rsid w:val="00F25966"/>
    <w:rsid w:val="00F25DC1"/>
    <w:rsid w:val="00F26511"/>
    <w:rsid w:val="00F26577"/>
    <w:rsid w:val="00F266D8"/>
    <w:rsid w:val="00F269C3"/>
    <w:rsid w:val="00F274D2"/>
    <w:rsid w:val="00F27565"/>
    <w:rsid w:val="00F2785A"/>
    <w:rsid w:val="00F27CA2"/>
    <w:rsid w:val="00F3031B"/>
    <w:rsid w:val="00F310D4"/>
    <w:rsid w:val="00F312FE"/>
    <w:rsid w:val="00F31D5A"/>
    <w:rsid w:val="00F32119"/>
    <w:rsid w:val="00F3296F"/>
    <w:rsid w:val="00F32993"/>
    <w:rsid w:val="00F32CD1"/>
    <w:rsid w:val="00F33975"/>
    <w:rsid w:val="00F33DE9"/>
    <w:rsid w:val="00F33F37"/>
    <w:rsid w:val="00F3424A"/>
    <w:rsid w:val="00F35806"/>
    <w:rsid w:val="00F35C84"/>
    <w:rsid w:val="00F35E6D"/>
    <w:rsid w:val="00F3619A"/>
    <w:rsid w:val="00F37553"/>
    <w:rsid w:val="00F40736"/>
    <w:rsid w:val="00F40AAA"/>
    <w:rsid w:val="00F40BA7"/>
    <w:rsid w:val="00F40F9D"/>
    <w:rsid w:val="00F417A4"/>
    <w:rsid w:val="00F41A55"/>
    <w:rsid w:val="00F41ACD"/>
    <w:rsid w:val="00F41B72"/>
    <w:rsid w:val="00F41F9F"/>
    <w:rsid w:val="00F42016"/>
    <w:rsid w:val="00F42466"/>
    <w:rsid w:val="00F425E9"/>
    <w:rsid w:val="00F42AA0"/>
    <w:rsid w:val="00F42E09"/>
    <w:rsid w:val="00F4300C"/>
    <w:rsid w:val="00F432C9"/>
    <w:rsid w:val="00F4464F"/>
    <w:rsid w:val="00F4530D"/>
    <w:rsid w:val="00F459CA"/>
    <w:rsid w:val="00F45AF3"/>
    <w:rsid w:val="00F45F8C"/>
    <w:rsid w:val="00F46080"/>
    <w:rsid w:val="00F46CB6"/>
    <w:rsid w:val="00F46F5E"/>
    <w:rsid w:val="00F4741B"/>
    <w:rsid w:val="00F4756D"/>
    <w:rsid w:val="00F47DE8"/>
    <w:rsid w:val="00F50101"/>
    <w:rsid w:val="00F50A04"/>
    <w:rsid w:val="00F50CD1"/>
    <w:rsid w:val="00F518FE"/>
    <w:rsid w:val="00F520E5"/>
    <w:rsid w:val="00F52FFA"/>
    <w:rsid w:val="00F530B1"/>
    <w:rsid w:val="00F53A0F"/>
    <w:rsid w:val="00F54005"/>
    <w:rsid w:val="00F542C1"/>
    <w:rsid w:val="00F5488F"/>
    <w:rsid w:val="00F54B8F"/>
    <w:rsid w:val="00F54D3D"/>
    <w:rsid w:val="00F550E3"/>
    <w:rsid w:val="00F5580F"/>
    <w:rsid w:val="00F55B56"/>
    <w:rsid w:val="00F55DDA"/>
    <w:rsid w:val="00F55E71"/>
    <w:rsid w:val="00F55E73"/>
    <w:rsid w:val="00F55EDA"/>
    <w:rsid w:val="00F562EA"/>
    <w:rsid w:val="00F56718"/>
    <w:rsid w:val="00F56C80"/>
    <w:rsid w:val="00F56F50"/>
    <w:rsid w:val="00F57338"/>
    <w:rsid w:val="00F573A3"/>
    <w:rsid w:val="00F5754F"/>
    <w:rsid w:val="00F5760F"/>
    <w:rsid w:val="00F57B87"/>
    <w:rsid w:val="00F57D4D"/>
    <w:rsid w:val="00F57FD4"/>
    <w:rsid w:val="00F60092"/>
    <w:rsid w:val="00F6038B"/>
    <w:rsid w:val="00F61C18"/>
    <w:rsid w:val="00F62051"/>
    <w:rsid w:val="00F620BF"/>
    <w:rsid w:val="00F62E18"/>
    <w:rsid w:val="00F6300B"/>
    <w:rsid w:val="00F63286"/>
    <w:rsid w:val="00F63345"/>
    <w:rsid w:val="00F63BB2"/>
    <w:rsid w:val="00F63BE1"/>
    <w:rsid w:val="00F63D3C"/>
    <w:rsid w:val="00F63F13"/>
    <w:rsid w:val="00F640AF"/>
    <w:rsid w:val="00F64C0A"/>
    <w:rsid w:val="00F64EDC"/>
    <w:rsid w:val="00F6504B"/>
    <w:rsid w:val="00F653CB"/>
    <w:rsid w:val="00F659DA"/>
    <w:rsid w:val="00F65C01"/>
    <w:rsid w:val="00F65F49"/>
    <w:rsid w:val="00F65F4B"/>
    <w:rsid w:val="00F65F8A"/>
    <w:rsid w:val="00F66077"/>
    <w:rsid w:val="00F662F1"/>
    <w:rsid w:val="00F66F51"/>
    <w:rsid w:val="00F67132"/>
    <w:rsid w:val="00F674A9"/>
    <w:rsid w:val="00F67951"/>
    <w:rsid w:val="00F6798B"/>
    <w:rsid w:val="00F67A69"/>
    <w:rsid w:val="00F67C0E"/>
    <w:rsid w:val="00F70453"/>
    <w:rsid w:val="00F70BFF"/>
    <w:rsid w:val="00F70C9D"/>
    <w:rsid w:val="00F70E24"/>
    <w:rsid w:val="00F72984"/>
    <w:rsid w:val="00F72A99"/>
    <w:rsid w:val="00F731A2"/>
    <w:rsid w:val="00F732C8"/>
    <w:rsid w:val="00F737DF"/>
    <w:rsid w:val="00F73E08"/>
    <w:rsid w:val="00F74094"/>
    <w:rsid w:val="00F7478D"/>
    <w:rsid w:val="00F747F3"/>
    <w:rsid w:val="00F74CD9"/>
    <w:rsid w:val="00F75350"/>
    <w:rsid w:val="00F75744"/>
    <w:rsid w:val="00F75BC8"/>
    <w:rsid w:val="00F7786F"/>
    <w:rsid w:val="00F77A7D"/>
    <w:rsid w:val="00F77E55"/>
    <w:rsid w:val="00F803D3"/>
    <w:rsid w:val="00F8074A"/>
    <w:rsid w:val="00F80A7B"/>
    <w:rsid w:val="00F80C32"/>
    <w:rsid w:val="00F80E5D"/>
    <w:rsid w:val="00F815B3"/>
    <w:rsid w:val="00F81E66"/>
    <w:rsid w:val="00F81E78"/>
    <w:rsid w:val="00F8213B"/>
    <w:rsid w:val="00F8235C"/>
    <w:rsid w:val="00F8354E"/>
    <w:rsid w:val="00F835EF"/>
    <w:rsid w:val="00F83916"/>
    <w:rsid w:val="00F83B9F"/>
    <w:rsid w:val="00F83EAB"/>
    <w:rsid w:val="00F844A7"/>
    <w:rsid w:val="00F8501A"/>
    <w:rsid w:val="00F851CE"/>
    <w:rsid w:val="00F86513"/>
    <w:rsid w:val="00F8692A"/>
    <w:rsid w:val="00F8771C"/>
    <w:rsid w:val="00F90ABD"/>
    <w:rsid w:val="00F91219"/>
    <w:rsid w:val="00F9143D"/>
    <w:rsid w:val="00F91688"/>
    <w:rsid w:val="00F922A0"/>
    <w:rsid w:val="00F92444"/>
    <w:rsid w:val="00F92665"/>
    <w:rsid w:val="00F93042"/>
    <w:rsid w:val="00F9393E"/>
    <w:rsid w:val="00F93B1A"/>
    <w:rsid w:val="00F943C9"/>
    <w:rsid w:val="00F94693"/>
    <w:rsid w:val="00F9504D"/>
    <w:rsid w:val="00F9513E"/>
    <w:rsid w:val="00F958DD"/>
    <w:rsid w:val="00F95CD1"/>
    <w:rsid w:val="00F96328"/>
    <w:rsid w:val="00F96614"/>
    <w:rsid w:val="00F969B3"/>
    <w:rsid w:val="00F96FD0"/>
    <w:rsid w:val="00F971BC"/>
    <w:rsid w:val="00F97470"/>
    <w:rsid w:val="00F97886"/>
    <w:rsid w:val="00F97923"/>
    <w:rsid w:val="00F97A72"/>
    <w:rsid w:val="00F97A78"/>
    <w:rsid w:val="00F97F3B"/>
    <w:rsid w:val="00FA0145"/>
    <w:rsid w:val="00FA01D1"/>
    <w:rsid w:val="00FA035A"/>
    <w:rsid w:val="00FA038F"/>
    <w:rsid w:val="00FA05CE"/>
    <w:rsid w:val="00FA09FB"/>
    <w:rsid w:val="00FA0B20"/>
    <w:rsid w:val="00FA0D4F"/>
    <w:rsid w:val="00FA146E"/>
    <w:rsid w:val="00FA175B"/>
    <w:rsid w:val="00FA180D"/>
    <w:rsid w:val="00FA1A7A"/>
    <w:rsid w:val="00FA24E7"/>
    <w:rsid w:val="00FA28A0"/>
    <w:rsid w:val="00FA28A9"/>
    <w:rsid w:val="00FA2B9A"/>
    <w:rsid w:val="00FA341A"/>
    <w:rsid w:val="00FA343E"/>
    <w:rsid w:val="00FA4065"/>
    <w:rsid w:val="00FA4311"/>
    <w:rsid w:val="00FA44A2"/>
    <w:rsid w:val="00FA4571"/>
    <w:rsid w:val="00FA5386"/>
    <w:rsid w:val="00FA5EE6"/>
    <w:rsid w:val="00FA6024"/>
    <w:rsid w:val="00FA6159"/>
    <w:rsid w:val="00FA63F1"/>
    <w:rsid w:val="00FA7956"/>
    <w:rsid w:val="00FA7B20"/>
    <w:rsid w:val="00FA7BEC"/>
    <w:rsid w:val="00FA7E34"/>
    <w:rsid w:val="00FA7FCA"/>
    <w:rsid w:val="00FB0824"/>
    <w:rsid w:val="00FB15A3"/>
    <w:rsid w:val="00FB19D4"/>
    <w:rsid w:val="00FB20FE"/>
    <w:rsid w:val="00FB2DA8"/>
    <w:rsid w:val="00FB2FCB"/>
    <w:rsid w:val="00FB359E"/>
    <w:rsid w:val="00FB3B95"/>
    <w:rsid w:val="00FB4198"/>
    <w:rsid w:val="00FB41D0"/>
    <w:rsid w:val="00FB454F"/>
    <w:rsid w:val="00FB4C9C"/>
    <w:rsid w:val="00FB4D40"/>
    <w:rsid w:val="00FB5B76"/>
    <w:rsid w:val="00FB5DA2"/>
    <w:rsid w:val="00FB6039"/>
    <w:rsid w:val="00FB63DC"/>
    <w:rsid w:val="00FB6872"/>
    <w:rsid w:val="00FB6CBE"/>
    <w:rsid w:val="00FB6CCB"/>
    <w:rsid w:val="00FB709F"/>
    <w:rsid w:val="00FB7162"/>
    <w:rsid w:val="00FB732B"/>
    <w:rsid w:val="00FB77F2"/>
    <w:rsid w:val="00FB7A59"/>
    <w:rsid w:val="00FB7C55"/>
    <w:rsid w:val="00FC0250"/>
    <w:rsid w:val="00FC053B"/>
    <w:rsid w:val="00FC08C5"/>
    <w:rsid w:val="00FC09DB"/>
    <w:rsid w:val="00FC0A5F"/>
    <w:rsid w:val="00FC1074"/>
    <w:rsid w:val="00FC16E2"/>
    <w:rsid w:val="00FC1764"/>
    <w:rsid w:val="00FC1884"/>
    <w:rsid w:val="00FC1A04"/>
    <w:rsid w:val="00FC30B9"/>
    <w:rsid w:val="00FC371D"/>
    <w:rsid w:val="00FC3758"/>
    <w:rsid w:val="00FC495C"/>
    <w:rsid w:val="00FC4A20"/>
    <w:rsid w:val="00FC4A45"/>
    <w:rsid w:val="00FC4D20"/>
    <w:rsid w:val="00FC5025"/>
    <w:rsid w:val="00FC5205"/>
    <w:rsid w:val="00FC5C20"/>
    <w:rsid w:val="00FC5D74"/>
    <w:rsid w:val="00FC5F0B"/>
    <w:rsid w:val="00FC60F8"/>
    <w:rsid w:val="00FC617C"/>
    <w:rsid w:val="00FC61E9"/>
    <w:rsid w:val="00FC6EA7"/>
    <w:rsid w:val="00FC70D7"/>
    <w:rsid w:val="00FC7357"/>
    <w:rsid w:val="00FC7626"/>
    <w:rsid w:val="00FC7A76"/>
    <w:rsid w:val="00FD0B5E"/>
    <w:rsid w:val="00FD0F5B"/>
    <w:rsid w:val="00FD104B"/>
    <w:rsid w:val="00FD12B1"/>
    <w:rsid w:val="00FD152C"/>
    <w:rsid w:val="00FD1DF4"/>
    <w:rsid w:val="00FD2100"/>
    <w:rsid w:val="00FD2E7A"/>
    <w:rsid w:val="00FD359F"/>
    <w:rsid w:val="00FD36DA"/>
    <w:rsid w:val="00FD42E1"/>
    <w:rsid w:val="00FD436C"/>
    <w:rsid w:val="00FD446D"/>
    <w:rsid w:val="00FD4B4A"/>
    <w:rsid w:val="00FD4F2C"/>
    <w:rsid w:val="00FD536D"/>
    <w:rsid w:val="00FD53F9"/>
    <w:rsid w:val="00FD55C8"/>
    <w:rsid w:val="00FD5F2B"/>
    <w:rsid w:val="00FD6394"/>
    <w:rsid w:val="00FD63C4"/>
    <w:rsid w:val="00FD7C55"/>
    <w:rsid w:val="00FD7E4A"/>
    <w:rsid w:val="00FE0142"/>
    <w:rsid w:val="00FE079F"/>
    <w:rsid w:val="00FE090C"/>
    <w:rsid w:val="00FE0BFB"/>
    <w:rsid w:val="00FE0DD6"/>
    <w:rsid w:val="00FE0E6C"/>
    <w:rsid w:val="00FE1CDC"/>
    <w:rsid w:val="00FE2619"/>
    <w:rsid w:val="00FE2D0B"/>
    <w:rsid w:val="00FE3070"/>
    <w:rsid w:val="00FE4742"/>
    <w:rsid w:val="00FE505D"/>
    <w:rsid w:val="00FE70C3"/>
    <w:rsid w:val="00FE70FE"/>
    <w:rsid w:val="00FE77F9"/>
    <w:rsid w:val="00FE7D0F"/>
    <w:rsid w:val="00FF002C"/>
    <w:rsid w:val="00FF0152"/>
    <w:rsid w:val="00FF0596"/>
    <w:rsid w:val="00FF0CED"/>
    <w:rsid w:val="00FF1290"/>
    <w:rsid w:val="00FF13DB"/>
    <w:rsid w:val="00FF1A8B"/>
    <w:rsid w:val="00FF1ABA"/>
    <w:rsid w:val="00FF1BCD"/>
    <w:rsid w:val="00FF1CAF"/>
    <w:rsid w:val="00FF2127"/>
    <w:rsid w:val="00FF2AD9"/>
    <w:rsid w:val="00FF2E15"/>
    <w:rsid w:val="00FF2E3E"/>
    <w:rsid w:val="00FF2F28"/>
    <w:rsid w:val="00FF3423"/>
    <w:rsid w:val="00FF3433"/>
    <w:rsid w:val="00FF359F"/>
    <w:rsid w:val="00FF361C"/>
    <w:rsid w:val="00FF3BCA"/>
    <w:rsid w:val="00FF3DCF"/>
    <w:rsid w:val="00FF41A5"/>
    <w:rsid w:val="00FF492C"/>
    <w:rsid w:val="00FF4A21"/>
    <w:rsid w:val="00FF56C3"/>
    <w:rsid w:val="00FF5AA3"/>
    <w:rsid w:val="00FF5AD8"/>
    <w:rsid w:val="00FF5F27"/>
    <w:rsid w:val="00FF6287"/>
    <w:rsid w:val="00FF6B7C"/>
    <w:rsid w:val="00FF7712"/>
    <w:rsid w:val="00FF7AA1"/>
    <w:rsid w:val="00FF7D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647"/>
    <w:pPr>
      <w:jc w:val="both"/>
    </w:pPr>
    <w:rPr>
      <w:rFonts w:ascii="Calibri" w:hAnsi="Calibri" w:cs="Arial"/>
      <w:sz w:val="24"/>
      <w:szCs w:val="24"/>
    </w:rPr>
  </w:style>
  <w:style w:type="paragraph" w:styleId="Heading1">
    <w:name w:val="heading 1"/>
    <w:aliases w:val="PBAC Heading 1 Numbered"/>
    <w:basedOn w:val="Normal"/>
    <w:next w:val="Normal"/>
    <w:link w:val="Heading1Char"/>
    <w:uiPriority w:val="9"/>
    <w:qFormat/>
    <w:rsid w:val="001B204E"/>
    <w:pPr>
      <w:ind w:left="720" w:hanging="720"/>
      <w:outlineLvl w:val="0"/>
    </w:pPr>
    <w:rPr>
      <w:b/>
      <w:caps/>
      <w:sz w:val="32"/>
    </w:rPr>
  </w:style>
  <w:style w:type="paragraph" w:styleId="Heading2">
    <w:name w:val="heading 2"/>
    <w:aliases w:val="PBAC Heading 2 Numbered"/>
    <w:basedOn w:val="Normal"/>
    <w:next w:val="Normal"/>
    <w:link w:val="Heading2Char"/>
    <w:uiPriority w:val="9"/>
    <w:qFormat/>
    <w:rsid w:val="001B204E"/>
    <w:pPr>
      <w:outlineLvl w:val="1"/>
    </w:pPr>
    <w:rPr>
      <w:b/>
      <w:i/>
      <w:sz w:val="28"/>
    </w:rPr>
  </w:style>
  <w:style w:type="paragraph" w:styleId="Heading3">
    <w:name w:val="heading 3"/>
    <w:aliases w:val="PBAC Heading 3 Numbered"/>
    <w:basedOn w:val="Normal"/>
    <w:next w:val="Normal"/>
    <w:link w:val="Heading3Char"/>
    <w:uiPriority w:val="9"/>
    <w:qFormat/>
    <w:rsid w:val="001F7361"/>
    <w:pPr>
      <w:outlineLvl w:val="2"/>
    </w:pPr>
    <w:rPr>
      <w:u w:val="single"/>
    </w:rPr>
  </w:style>
  <w:style w:type="paragraph" w:styleId="Heading4">
    <w:name w:val="heading 4"/>
    <w:aliases w:val="PBAC Heading 4 Numbered"/>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BAC Heading 5 numbered"/>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BAC Heading 2 Numbered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99"/>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Dossier table,Section 3- footnotes,Summary Table,MSD Table Grid,RTI AMCP Table,Header Table,NICE instructions,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9"/>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customStyle="1" w:styleId="PBACTableText">
    <w:name w:val="PBAC Table Text"/>
    <w:basedOn w:val="Normal"/>
    <w:link w:val="PBACTableTextChar"/>
    <w:qFormat/>
    <w:rsid w:val="00B45583"/>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B45583"/>
    <w:rPr>
      <w:rFonts w:ascii="Arial Narrow" w:hAnsi="Arial Narrow"/>
      <w:lang w:eastAsia="en-US"/>
    </w:rPr>
  </w:style>
  <w:style w:type="paragraph" w:customStyle="1" w:styleId="Dash">
    <w:name w:val="Dash"/>
    <w:basedOn w:val="bullet"/>
    <w:rsid w:val="00B45583"/>
    <w:pPr>
      <w:numPr>
        <w:numId w:val="10"/>
      </w:numPr>
      <w:spacing w:after="40"/>
      <w:ind w:left="714" w:hanging="357"/>
    </w:pPr>
    <w:rPr>
      <w:rFonts w:asciiTheme="minorHAnsi" w:eastAsiaTheme="minorHAnsi" w:hAnsiTheme="minorHAnsi"/>
      <w:i w:val="0"/>
    </w:rPr>
  </w:style>
  <w:style w:type="paragraph" w:customStyle="1" w:styleId="PBACcaption">
    <w:name w:val="PBAC caption"/>
    <w:basedOn w:val="Normal"/>
    <w:link w:val="PBACcaptionChar"/>
    <w:qFormat/>
    <w:rsid w:val="00FE70FE"/>
    <w:pPr>
      <w:jc w:val="left"/>
    </w:pPr>
    <w:rPr>
      <w:rFonts w:ascii="Sabon" w:eastAsiaTheme="minorHAnsi" w:hAnsi="Sabon"/>
      <w:b/>
      <w:sz w:val="22"/>
      <w:szCs w:val="22"/>
      <w:lang w:eastAsia="en-US"/>
    </w:rPr>
  </w:style>
  <w:style w:type="character" w:customStyle="1" w:styleId="PBACcaptionChar">
    <w:name w:val="PBAC caption Char"/>
    <w:basedOn w:val="DefaultParagraphFont"/>
    <w:link w:val="PBACcaption"/>
    <w:rsid w:val="00FE70FE"/>
    <w:rPr>
      <w:rFonts w:ascii="Sabon" w:eastAsiaTheme="minorHAnsi" w:hAnsi="Sabon" w:cs="Arial"/>
      <w:b/>
      <w:sz w:val="22"/>
      <w:szCs w:val="22"/>
      <w:lang w:eastAsia="en-US"/>
    </w:rPr>
  </w:style>
  <w:style w:type="paragraph" w:styleId="FootnoteText">
    <w:name w:val="footnote text"/>
    <w:basedOn w:val="Normal"/>
    <w:link w:val="FootnoteTextChar"/>
    <w:unhideWhenUsed/>
    <w:rsid w:val="00DA15DA"/>
    <w:rPr>
      <w:sz w:val="20"/>
      <w:szCs w:val="20"/>
    </w:rPr>
  </w:style>
  <w:style w:type="character" w:customStyle="1" w:styleId="FootnoteTextChar">
    <w:name w:val="Footnote Text Char"/>
    <w:basedOn w:val="DefaultParagraphFont"/>
    <w:link w:val="FootnoteText"/>
    <w:rsid w:val="00DA15DA"/>
    <w:rPr>
      <w:rFonts w:ascii="Calibri" w:hAnsi="Calibri" w:cs="Arial"/>
    </w:rPr>
  </w:style>
  <w:style w:type="character" w:styleId="FootnoteReference">
    <w:name w:val="footnote reference"/>
    <w:basedOn w:val="DefaultParagraphFont"/>
    <w:uiPriority w:val="99"/>
    <w:semiHidden/>
    <w:unhideWhenUsed/>
    <w:rsid w:val="00DA15DA"/>
    <w:rPr>
      <w:vertAlign w:val="superscript"/>
    </w:rPr>
  </w:style>
  <w:style w:type="character" w:styleId="UnresolvedMention">
    <w:name w:val="Unresolved Mention"/>
    <w:basedOn w:val="DefaultParagraphFont"/>
    <w:uiPriority w:val="99"/>
    <w:semiHidden/>
    <w:unhideWhenUsed/>
    <w:rsid w:val="006516C9"/>
    <w:rPr>
      <w:color w:val="605E5C"/>
      <w:shd w:val="clear" w:color="auto" w:fill="E1DFDD"/>
    </w:rPr>
  </w:style>
  <w:style w:type="character" w:customStyle="1" w:styleId="Heading1Char">
    <w:name w:val="Heading 1 Char"/>
    <w:aliases w:val="PBAC Heading 1 Numbered Char"/>
    <w:basedOn w:val="DefaultParagraphFont"/>
    <w:link w:val="Heading1"/>
    <w:uiPriority w:val="1"/>
    <w:rsid w:val="009905C4"/>
    <w:rPr>
      <w:rFonts w:ascii="Calibri" w:hAnsi="Calibri" w:cs="Arial"/>
      <w:b/>
      <w:caps/>
      <w:sz w:val="32"/>
      <w:szCs w:val="24"/>
    </w:rPr>
  </w:style>
  <w:style w:type="character" w:customStyle="1" w:styleId="Heading3Char">
    <w:name w:val="Heading 3 Char"/>
    <w:aliases w:val="PBAC Heading 3 Numbered Char"/>
    <w:basedOn w:val="DefaultParagraphFont"/>
    <w:link w:val="Heading3"/>
    <w:rsid w:val="009905C4"/>
    <w:rPr>
      <w:rFonts w:ascii="Calibri" w:hAnsi="Calibri" w:cs="Arial"/>
      <w:sz w:val="24"/>
      <w:szCs w:val="24"/>
      <w:u w:val="single"/>
    </w:rPr>
  </w:style>
  <w:style w:type="character" w:customStyle="1" w:styleId="Heading4Char">
    <w:name w:val="Heading 4 Char"/>
    <w:aliases w:val="PBAC Heading 4 Numbered Char"/>
    <w:basedOn w:val="DefaultParagraphFont"/>
    <w:link w:val="Heading4"/>
    <w:rsid w:val="009905C4"/>
    <w:rPr>
      <w:rFonts w:ascii="Calibri" w:hAnsi="Calibri" w:cs="Arial"/>
      <w:b/>
      <w:bCs/>
      <w:i/>
      <w:sz w:val="26"/>
      <w:szCs w:val="28"/>
    </w:rPr>
  </w:style>
  <w:style w:type="character" w:customStyle="1" w:styleId="Heading5Char">
    <w:name w:val="Heading 5 Char"/>
    <w:aliases w:val="PBAC Heading 5 numbered Char"/>
    <w:basedOn w:val="DefaultParagraphFont"/>
    <w:link w:val="Heading5"/>
    <w:rsid w:val="009905C4"/>
    <w:rPr>
      <w:rFonts w:ascii="Calibri" w:hAnsi="Calibri" w:cs="Arial"/>
      <w:b/>
      <w:bCs/>
      <w:iCs/>
      <w:sz w:val="26"/>
      <w:szCs w:val="26"/>
    </w:rPr>
  </w:style>
  <w:style w:type="character" w:customStyle="1" w:styleId="Heading6Char">
    <w:name w:val="Heading 6 Char"/>
    <w:basedOn w:val="DefaultParagraphFont"/>
    <w:link w:val="Heading6"/>
    <w:rsid w:val="009905C4"/>
    <w:rPr>
      <w:rFonts w:ascii="Calibri" w:hAnsi="Calibri" w:cs="Arial"/>
      <w:b/>
      <w:bCs/>
      <w:i/>
      <w:sz w:val="24"/>
      <w:szCs w:val="24"/>
    </w:rPr>
  </w:style>
  <w:style w:type="paragraph" w:customStyle="1" w:styleId="PbacTableHeading">
    <w:name w:val="Pbac Table Heading"/>
    <w:basedOn w:val="PBACTableText"/>
    <w:qFormat/>
    <w:rsid w:val="004554C3"/>
    <w:pPr>
      <w:spacing w:before="0" w:after="80"/>
    </w:pPr>
    <w:rPr>
      <w:rFonts w:eastAsiaTheme="minorHAnsi" w:cs="Arial"/>
      <w:b/>
    </w:rPr>
  </w:style>
  <w:style w:type="paragraph" w:customStyle="1" w:styleId="SyneviNormal">
    <w:name w:val="Synevi Normal"/>
    <w:basedOn w:val="Normal"/>
    <w:link w:val="SyneviNormalChar"/>
    <w:qFormat/>
    <w:rsid w:val="004554C3"/>
    <w:pPr>
      <w:spacing w:line="360" w:lineRule="auto"/>
    </w:pPr>
    <w:rPr>
      <w:rFonts w:asciiTheme="minorHAnsi" w:eastAsia="SimSun" w:hAnsiTheme="minorHAnsi" w:cs="Times New Roman"/>
      <w:sz w:val="22"/>
      <w:szCs w:val="20"/>
      <w:lang w:val="en-US" w:eastAsia="en-US"/>
    </w:rPr>
  </w:style>
  <w:style w:type="character" w:customStyle="1" w:styleId="SyneviNormalChar">
    <w:name w:val="Synevi Normal Char"/>
    <w:basedOn w:val="DefaultParagraphFont"/>
    <w:link w:val="SyneviNormal"/>
    <w:rsid w:val="004554C3"/>
    <w:rPr>
      <w:rFonts w:asciiTheme="minorHAnsi" w:eastAsia="SimSun" w:hAnsiTheme="minorHAnsi"/>
      <w:sz w:val="22"/>
      <w:lang w:val="en-US" w:eastAsia="en-US"/>
    </w:rPr>
  </w:style>
  <w:style w:type="table" w:customStyle="1" w:styleId="RTIAMCPTable1">
    <w:name w:val="RTI AMCP Table1"/>
    <w:basedOn w:val="TableNormal"/>
    <w:next w:val="TableGrid"/>
    <w:uiPriority w:val="39"/>
    <w:rsid w:val="0045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B1082"/>
    <w:pPr>
      <w:jc w:val="center"/>
    </w:pPr>
    <w:rPr>
      <w:rFonts w:cs="Calibri"/>
      <w:noProof/>
    </w:rPr>
  </w:style>
  <w:style w:type="character" w:customStyle="1" w:styleId="EndNoteBibliographyTitleChar">
    <w:name w:val="EndNote Bibliography Title Char"/>
    <w:basedOn w:val="DefaultParagraphFont"/>
    <w:link w:val="EndNoteBibliographyTitle"/>
    <w:rsid w:val="001B1082"/>
    <w:rPr>
      <w:rFonts w:ascii="Calibri" w:hAnsi="Calibri" w:cs="Calibri"/>
      <w:noProof/>
      <w:sz w:val="24"/>
      <w:szCs w:val="24"/>
    </w:rPr>
  </w:style>
  <w:style w:type="paragraph" w:customStyle="1" w:styleId="EndNoteBibliography">
    <w:name w:val="EndNote Bibliography"/>
    <w:basedOn w:val="Normal"/>
    <w:link w:val="EndNoteBibliographyChar"/>
    <w:rsid w:val="001B1082"/>
    <w:rPr>
      <w:rFonts w:cs="Calibri"/>
      <w:noProof/>
    </w:rPr>
  </w:style>
  <w:style w:type="character" w:customStyle="1" w:styleId="EndNoteBibliographyChar">
    <w:name w:val="EndNote Bibliography Char"/>
    <w:basedOn w:val="DefaultParagraphFont"/>
    <w:link w:val="EndNoteBibliography"/>
    <w:rsid w:val="001B1082"/>
    <w:rPr>
      <w:rFonts w:ascii="Calibri" w:hAnsi="Calibri" w:cs="Calibri"/>
      <w:noProof/>
      <w:sz w:val="24"/>
      <w:szCs w:val="24"/>
    </w:rPr>
  </w:style>
  <w:style w:type="paragraph" w:customStyle="1" w:styleId="paragraph">
    <w:name w:val="paragraph"/>
    <w:basedOn w:val="Normal"/>
    <w:rsid w:val="00A752CA"/>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E34B2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34B2E"/>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603728"/>
    <w:rPr>
      <w:color w:val="2B579A"/>
      <w:shd w:val="clear" w:color="auto" w:fill="E1DFDD"/>
    </w:rPr>
  </w:style>
  <w:style w:type="paragraph" w:styleId="EndnoteText">
    <w:name w:val="endnote text"/>
    <w:basedOn w:val="Normal"/>
    <w:link w:val="EndnoteTextChar"/>
    <w:semiHidden/>
    <w:unhideWhenUsed/>
    <w:rsid w:val="00E06DCC"/>
    <w:rPr>
      <w:sz w:val="20"/>
      <w:szCs w:val="20"/>
    </w:rPr>
  </w:style>
  <w:style w:type="character" w:customStyle="1" w:styleId="EndnoteTextChar">
    <w:name w:val="Endnote Text Char"/>
    <w:basedOn w:val="DefaultParagraphFont"/>
    <w:link w:val="EndnoteText"/>
    <w:semiHidden/>
    <w:rsid w:val="00E06DCC"/>
    <w:rPr>
      <w:rFonts w:ascii="Calibri" w:hAnsi="Calibri" w:cs="Arial"/>
    </w:rPr>
  </w:style>
  <w:style w:type="character" w:styleId="EndnoteReference">
    <w:name w:val="endnote reference"/>
    <w:basedOn w:val="DefaultParagraphFont"/>
    <w:semiHidden/>
    <w:unhideWhenUsed/>
    <w:rsid w:val="00E06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52">
      <w:bodyDiv w:val="1"/>
      <w:marLeft w:val="0"/>
      <w:marRight w:val="0"/>
      <w:marTop w:val="0"/>
      <w:marBottom w:val="0"/>
      <w:divBdr>
        <w:top w:val="none" w:sz="0" w:space="0" w:color="auto"/>
        <w:left w:val="none" w:sz="0" w:space="0" w:color="auto"/>
        <w:bottom w:val="none" w:sz="0" w:space="0" w:color="auto"/>
        <w:right w:val="none" w:sz="0" w:space="0" w:color="auto"/>
      </w:divBdr>
    </w:div>
    <w:div w:id="2051602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461539">
      <w:bodyDiv w:val="1"/>
      <w:marLeft w:val="0"/>
      <w:marRight w:val="0"/>
      <w:marTop w:val="0"/>
      <w:marBottom w:val="0"/>
      <w:divBdr>
        <w:top w:val="none" w:sz="0" w:space="0" w:color="auto"/>
        <w:left w:val="none" w:sz="0" w:space="0" w:color="auto"/>
        <w:bottom w:val="none" w:sz="0" w:space="0" w:color="auto"/>
        <w:right w:val="none" w:sz="0" w:space="0" w:color="auto"/>
      </w:divBdr>
    </w:div>
    <w:div w:id="247007631">
      <w:bodyDiv w:val="1"/>
      <w:marLeft w:val="0"/>
      <w:marRight w:val="0"/>
      <w:marTop w:val="0"/>
      <w:marBottom w:val="0"/>
      <w:divBdr>
        <w:top w:val="none" w:sz="0" w:space="0" w:color="auto"/>
        <w:left w:val="none" w:sz="0" w:space="0" w:color="auto"/>
        <w:bottom w:val="none" w:sz="0" w:space="0" w:color="auto"/>
        <w:right w:val="none" w:sz="0" w:space="0" w:color="auto"/>
      </w:divBdr>
    </w:div>
    <w:div w:id="25644610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8990105">
      <w:bodyDiv w:val="1"/>
      <w:marLeft w:val="0"/>
      <w:marRight w:val="0"/>
      <w:marTop w:val="0"/>
      <w:marBottom w:val="0"/>
      <w:divBdr>
        <w:top w:val="none" w:sz="0" w:space="0" w:color="auto"/>
        <w:left w:val="none" w:sz="0" w:space="0" w:color="auto"/>
        <w:bottom w:val="none" w:sz="0" w:space="0" w:color="auto"/>
        <w:right w:val="none" w:sz="0" w:space="0" w:color="auto"/>
      </w:divBdr>
    </w:div>
    <w:div w:id="480587500">
      <w:bodyDiv w:val="1"/>
      <w:marLeft w:val="0"/>
      <w:marRight w:val="0"/>
      <w:marTop w:val="0"/>
      <w:marBottom w:val="0"/>
      <w:divBdr>
        <w:top w:val="none" w:sz="0" w:space="0" w:color="auto"/>
        <w:left w:val="none" w:sz="0" w:space="0" w:color="auto"/>
        <w:bottom w:val="none" w:sz="0" w:space="0" w:color="auto"/>
        <w:right w:val="none" w:sz="0" w:space="0" w:color="auto"/>
      </w:divBdr>
    </w:div>
    <w:div w:id="502355158">
      <w:bodyDiv w:val="1"/>
      <w:marLeft w:val="0"/>
      <w:marRight w:val="0"/>
      <w:marTop w:val="0"/>
      <w:marBottom w:val="0"/>
      <w:divBdr>
        <w:top w:val="none" w:sz="0" w:space="0" w:color="auto"/>
        <w:left w:val="none" w:sz="0" w:space="0" w:color="auto"/>
        <w:bottom w:val="none" w:sz="0" w:space="0" w:color="auto"/>
        <w:right w:val="none" w:sz="0" w:space="0" w:color="auto"/>
      </w:divBdr>
    </w:div>
    <w:div w:id="563033118">
      <w:bodyDiv w:val="1"/>
      <w:marLeft w:val="0"/>
      <w:marRight w:val="0"/>
      <w:marTop w:val="0"/>
      <w:marBottom w:val="0"/>
      <w:divBdr>
        <w:top w:val="none" w:sz="0" w:space="0" w:color="auto"/>
        <w:left w:val="none" w:sz="0" w:space="0" w:color="auto"/>
        <w:bottom w:val="none" w:sz="0" w:space="0" w:color="auto"/>
        <w:right w:val="none" w:sz="0" w:space="0" w:color="auto"/>
      </w:divBdr>
    </w:div>
    <w:div w:id="575406476">
      <w:bodyDiv w:val="1"/>
      <w:marLeft w:val="0"/>
      <w:marRight w:val="0"/>
      <w:marTop w:val="0"/>
      <w:marBottom w:val="0"/>
      <w:divBdr>
        <w:top w:val="none" w:sz="0" w:space="0" w:color="auto"/>
        <w:left w:val="none" w:sz="0" w:space="0" w:color="auto"/>
        <w:bottom w:val="none" w:sz="0" w:space="0" w:color="auto"/>
        <w:right w:val="none" w:sz="0" w:space="0" w:color="auto"/>
      </w:divBdr>
    </w:div>
    <w:div w:id="581063129">
      <w:bodyDiv w:val="1"/>
      <w:marLeft w:val="0"/>
      <w:marRight w:val="0"/>
      <w:marTop w:val="0"/>
      <w:marBottom w:val="0"/>
      <w:divBdr>
        <w:top w:val="none" w:sz="0" w:space="0" w:color="auto"/>
        <w:left w:val="none" w:sz="0" w:space="0" w:color="auto"/>
        <w:bottom w:val="none" w:sz="0" w:space="0" w:color="auto"/>
        <w:right w:val="none" w:sz="0" w:space="0" w:color="auto"/>
      </w:divBdr>
    </w:div>
    <w:div w:id="586768408">
      <w:bodyDiv w:val="1"/>
      <w:marLeft w:val="0"/>
      <w:marRight w:val="0"/>
      <w:marTop w:val="0"/>
      <w:marBottom w:val="0"/>
      <w:divBdr>
        <w:top w:val="none" w:sz="0" w:space="0" w:color="auto"/>
        <w:left w:val="none" w:sz="0" w:space="0" w:color="auto"/>
        <w:bottom w:val="none" w:sz="0" w:space="0" w:color="auto"/>
        <w:right w:val="none" w:sz="0" w:space="0" w:color="auto"/>
      </w:divBdr>
    </w:div>
    <w:div w:id="676425684">
      <w:bodyDiv w:val="1"/>
      <w:marLeft w:val="0"/>
      <w:marRight w:val="0"/>
      <w:marTop w:val="0"/>
      <w:marBottom w:val="0"/>
      <w:divBdr>
        <w:top w:val="none" w:sz="0" w:space="0" w:color="auto"/>
        <w:left w:val="none" w:sz="0" w:space="0" w:color="auto"/>
        <w:bottom w:val="none" w:sz="0" w:space="0" w:color="auto"/>
        <w:right w:val="none" w:sz="0" w:space="0" w:color="auto"/>
      </w:divBdr>
    </w:div>
    <w:div w:id="706027247">
      <w:bodyDiv w:val="1"/>
      <w:marLeft w:val="0"/>
      <w:marRight w:val="0"/>
      <w:marTop w:val="0"/>
      <w:marBottom w:val="0"/>
      <w:divBdr>
        <w:top w:val="none" w:sz="0" w:space="0" w:color="auto"/>
        <w:left w:val="none" w:sz="0" w:space="0" w:color="auto"/>
        <w:bottom w:val="none" w:sz="0" w:space="0" w:color="auto"/>
        <w:right w:val="none" w:sz="0" w:space="0" w:color="auto"/>
      </w:divBdr>
    </w:div>
    <w:div w:id="711425801">
      <w:bodyDiv w:val="1"/>
      <w:marLeft w:val="0"/>
      <w:marRight w:val="0"/>
      <w:marTop w:val="0"/>
      <w:marBottom w:val="0"/>
      <w:divBdr>
        <w:top w:val="none" w:sz="0" w:space="0" w:color="auto"/>
        <w:left w:val="none" w:sz="0" w:space="0" w:color="auto"/>
        <w:bottom w:val="none" w:sz="0" w:space="0" w:color="auto"/>
        <w:right w:val="none" w:sz="0" w:space="0" w:color="auto"/>
      </w:divBdr>
    </w:div>
    <w:div w:id="80127312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47929660">
      <w:bodyDiv w:val="1"/>
      <w:marLeft w:val="0"/>
      <w:marRight w:val="0"/>
      <w:marTop w:val="0"/>
      <w:marBottom w:val="0"/>
      <w:divBdr>
        <w:top w:val="none" w:sz="0" w:space="0" w:color="auto"/>
        <w:left w:val="none" w:sz="0" w:space="0" w:color="auto"/>
        <w:bottom w:val="none" w:sz="0" w:space="0" w:color="auto"/>
        <w:right w:val="none" w:sz="0" w:space="0" w:color="auto"/>
      </w:divBdr>
    </w:div>
    <w:div w:id="1027952164">
      <w:bodyDiv w:val="1"/>
      <w:marLeft w:val="0"/>
      <w:marRight w:val="0"/>
      <w:marTop w:val="0"/>
      <w:marBottom w:val="0"/>
      <w:divBdr>
        <w:top w:val="none" w:sz="0" w:space="0" w:color="auto"/>
        <w:left w:val="none" w:sz="0" w:space="0" w:color="auto"/>
        <w:bottom w:val="none" w:sz="0" w:space="0" w:color="auto"/>
        <w:right w:val="none" w:sz="0" w:space="0" w:color="auto"/>
      </w:divBdr>
    </w:div>
    <w:div w:id="1054541749">
      <w:bodyDiv w:val="1"/>
      <w:marLeft w:val="0"/>
      <w:marRight w:val="0"/>
      <w:marTop w:val="0"/>
      <w:marBottom w:val="0"/>
      <w:divBdr>
        <w:top w:val="none" w:sz="0" w:space="0" w:color="auto"/>
        <w:left w:val="none" w:sz="0" w:space="0" w:color="auto"/>
        <w:bottom w:val="none" w:sz="0" w:space="0" w:color="auto"/>
        <w:right w:val="none" w:sz="0" w:space="0" w:color="auto"/>
      </w:divBdr>
    </w:div>
    <w:div w:id="1079598325">
      <w:bodyDiv w:val="1"/>
      <w:marLeft w:val="0"/>
      <w:marRight w:val="0"/>
      <w:marTop w:val="0"/>
      <w:marBottom w:val="0"/>
      <w:divBdr>
        <w:top w:val="none" w:sz="0" w:space="0" w:color="auto"/>
        <w:left w:val="none" w:sz="0" w:space="0" w:color="auto"/>
        <w:bottom w:val="none" w:sz="0" w:space="0" w:color="auto"/>
        <w:right w:val="none" w:sz="0" w:space="0" w:color="auto"/>
      </w:divBdr>
    </w:div>
    <w:div w:id="1088816810">
      <w:bodyDiv w:val="1"/>
      <w:marLeft w:val="0"/>
      <w:marRight w:val="0"/>
      <w:marTop w:val="0"/>
      <w:marBottom w:val="0"/>
      <w:divBdr>
        <w:top w:val="none" w:sz="0" w:space="0" w:color="auto"/>
        <w:left w:val="none" w:sz="0" w:space="0" w:color="auto"/>
        <w:bottom w:val="none" w:sz="0" w:space="0" w:color="auto"/>
        <w:right w:val="none" w:sz="0" w:space="0" w:color="auto"/>
      </w:divBdr>
    </w:div>
    <w:div w:id="112512518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783332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8802926">
      <w:bodyDiv w:val="1"/>
      <w:marLeft w:val="0"/>
      <w:marRight w:val="0"/>
      <w:marTop w:val="0"/>
      <w:marBottom w:val="0"/>
      <w:divBdr>
        <w:top w:val="none" w:sz="0" w:space="0" w:color="auto"/>
        <w:left w:val="none" w:sz="0" w:space="0" w:color="auto"/>
        <w:bottom w:val="none" w:sz="0" w:space="0" w:color="auto"/>
        <w:right w:val="none" w:sz="0" w:space="0" w:color="auto"/>
      </w:divBdr>
    </w:div>
    <w:div w:id="1330863989">
      <w:bodyDiv w:val="1"/>
      <w:marLeft w:val="0"/>
      <w:marRight w:val="0"/>
      <w:marTop w:val="0"/>
      <w:marBottom w:val="0"/>
      <w:divBdr>
        <w:top w:val="none" w:sz="0" w:space="0" w:color="auto"/>
        <w:left w:val="none" w:sz="0" w:space="0" w:color="auto"/>
        <w:bottom w:val="none" w:sz="0" w:space="0" w:color="auto"/>
        <w:right w:val="none" w:sz="0" w:space="0" w:color="auto"/>
      </w:divBdr>
    </w:div>
    <w:div w:id="1333877684">
      <w:bodyDiv w:val="1"/>
      <w:marLeft w:val="0"/>
      <w:marRight w:val="0"/>
      <w:marTop w:val="0"/>
      <w:marBottom w:val="0"/>
      <w:divBdr>
        <w:top w:val="none" w:sz="0" w:space="0" w:color="auto"/>
        <w:left w:val="none" w:sz="0" w:space="0" w:color="auto"/>
        <w:bottom w:val="none" w:sz="0" w:space="0" w:color="auto"/>
        <w:right w:val="none" w:sz="0" w:space="0" w:color="auto"/>
      </w:divBdr>
    </w:div>
    <w:div w:id="1346596737">
      <w:bodyDiv w:val="1"/>
      <w:marLeft w:val="0"/>
      <w:marRight w:val="0"/>
      <w:marTop w:val="0"/>
      <w:marBottom w:val="0"/>
      <w:divBdr>
        <w:top w:val="none" w:sz="0" w:space="0" w:color="auto"/>
        <w:left w:val="none" w:sz="0" w:space="0" w:color="auto"/>
        <w:bottom w:val="none" w:sz="0" w:space="0" w:color="auto"/>
        <w:right w:val="none" w:sz="0" w:space="0" w:color="auto"/>
      </w:divBdr>
    </w:div>
    <w:div w:id="1349139818">
      <w:bodyDiv w:val="1"/>
      <w:marLeft w:val="0"/>
      <w:marRight w:val="0"/>
      <w:marTop w:val="0"/>
      <w:marBottom w:val="0"/>
      <w:divBdr>
        <w:top w:val="none" w:sz="0" w:space="0" w:color="auto"/>
        <w:left w:val="none" w:sz="0" w:space="0" w:color="auto"/>
        <w:bottom w:val="none" w:sz="0" w:space="0" w:color="auto"/>
        <w:right w:val="none" w:sz="0" w:space="0" w:color="auto"/>
      </w:divBdr>
    </w:div>
    <w:div w:id="1469781186">
      <w:bodyDiv w:val="1"/>
      <w:marLeft w:val="0"/>
      <w:marRight w:val="0"/>
      <w:marTop w:val="0"/>
      <w:marBottom w:val="0"/>
      <w:divBdr>
        <w:top w:val="none" w:sz="0" w:space="0" w:color="auto"/>
        <w:left w:val="none" w:sz="0" w:space="0" w:color="auto"/>
        <w:bottom w:val="none" w:sz="0" w:space="0" w:color="auto"/>
        <w:right w:val="none" w:sz="0" w:space="0" w:color="auto"/>
      </w:divBdr>
    </w:div>
    <w:div w:id="1597785869">
      <w:bodyDiv w:val="1"/>
      <w:marLeft w:val="0"/>
      <w:marRight w:val="0"/>
      <w:marTop w:val="0"/>
      <w:marBottom w:val="0"/>
      <w:divBdr>
        <w:top w:val="none" w:sz="0" w:space="0" w:color="auto"/>
        <w:left w:val="none" w:sz="0" w:space="0" w:color="auto"/>
        <w:bottom w:val="none" w:sz="0" w:space="0" w:color="auto"/>
        <w:right w:val="none" w:sz="0" w:space="0" w:color="auto"/>
      </w:divBdr>
    </w:div>
    <w:div w:id="1753354978">
      <w:bodyDiv w:val="1"/>
      <w:marLeft w:val="0"/>
      <w:marRight w:val="0"/>
      <w:marTop w:val="0"/>
      <w:marBottom w:val="0"/>
      <w:divBdr>
        <w:top w:val="none" w:sz="0" w:space="0" w:color="auto"/>
        <w:left w:val="none" w:sz="0" w:space="0" w:color="auto"/>
        <w:bottom w:val="none" w:sz="0" w:space="0" w:color="auto"/>
        <w:right w:val="none" w:sz="0" w:space="0" w:color="auto"/>
      </w:divBdr>
    </w:div>
    <w:div w:id="1801847233">
      <w:bodyDiv w:val="1"/>
      <w:marLeft w:val="0"/>
      <w:marRight w:val="0"/>
      <w:marTop w:val="0"/>
      <w:marBottom w:val="0"/>
      <w:divBdr>
        <w:top w:val="none" w:sz="0" w:space="0" w:color="auto"/>
        <w:left w:val="none" w:sz="0" w:space="0" w:color="auto"/>
        <w:bottom w:val="none" w:sz="0" w:space="0" w:color="auto"/>
        <w:right w:val="none" w:sz="0" w:space="0" w:color="auto"/>
      </w:divBdr>
    </w:div>
    <w:div w:id="18425033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24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ncci.canceraustralia.gov.au/diagnosis/distribution-cancer-stage/distribution-cancer-stage" TargetMode="External"/><Relationship Id="rId2" Type="http://schemas.openxmlformats.org/officeDocument/2006/relationships/hyperlink" Target="https://www.aihw.gov.au/reports/cancer/cancer-data-in-australia/" TargetMode="External"/><Relationship Id="rId1" Type="http://schemas.openxmlformats.org/officeDocument/2006/relationships/hyperlink" Target="https://www.aihw.gov.au/reports/cancer-screening/breastscreen-australia-monitoring-report-2020/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C4CFD-03E0-41B4-B4DE-B6C66BC7610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5C3D4740-AA6B-4F95-AB20-009F41E78214}"/>
</file>

<file path=customXml/itemProps4.xml><?xml version="1.0" encoding="utf-8"?>
<ds:datastoreItem xmlns:ds="http://schemas.openxmlformats.org/officeDocument/2006/customXml" ds:itemID="{531E3A20-B8B6-420C-AFB7-77C25D09B4CF}">
  <ds:schemaRefs>
    <ds:schemaRef ds:uri="http://schemas.microsoft.com/sharepoint/v3/contenttype/forms"/>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20270</Words>
  <Characters>115544</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135543</CharactersWithSpaces>
  <SharedDoc>false</SharedDoc>
  <HLinks>
    <vt:vector size="18" baseType="variant">
      <vt:variant>
        <vt:i4>4784142</vt:i4>
      </vt:variant>
      <vt:variant>
        <vt:i4>6</vt:i4>
      </vt:variant>
      <vt:variant>
        <vt:i4>0</vt:i4>
      </vt:variant>
      <vt:variant>
        <vt:i4>5</vt:i4>
      </vt:variant>
      <vt:variant>
        <vt:lpwstr>https://ncci.canceraustralia.gov.au/diagnosis/distribution-cancer-stage/distribution-cancer-stage</vt:lpwstr>
      </vt:variant>
      <vt:variant>
        <vt:lpwstr/>
      </vt:variant>
      <vt:variant>
        <vt:i4>983129</vt:i4>
      </vt:variant>
      <vt:variant>
        <vt:i4>3</vt:i4>
      </vt:variant>
      <vt:variant>
        <vt:i4>0</vt:i4>
      </vt:variant>
      <vt:variant>
        <vt:i4>5</vt:i4>
      </vt:variant>
      <vt:variant>
        <vt:lpwstr>https://www.aihw.gov.au/reports/cancer/cancer-data-in-australia/</vt:lpwstr>
      </vt:variant>
      <vt:variant>
        <vt:lpwstr/>
      </vt:variant>
      <vt:variant>
        <vt:i4>6750243</vt:i4>
      </vt:variant>
      <vt:variant>
        <vt:i4>0</vt:i4>
      </vt:variant>
      <vt:variant>
        <vt:i4>0</vt:i4>
      </vt:variant>
      <vt:variant>
        <vt:i4>5</vt:i4>
      </vt:variant>
      <vt:variant>
        <vt:lpwstr>https://www.aihw.gov.au/reports/cancer-screening/breastscreen-australia-monitoring-report-2020/summary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2025-10-23T00:21:00Z</dcterms:created>
  <dcterms:modified xsi:type="dcterms:W3CDTF">2025-11-14T07:19:00Z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69e24ff7,1fde5793,17bf99ab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347f6bc4,7271079b,77a54d60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2025-10-09T07:11:34Z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409b428a-8b27-48a7-a7d7-fae5fbd29b44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Order">
    <vt:r8>43963900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0x0101007FED174C5281F747A8037A05221D6DBD</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y fmtid="{D5CDD505-2E9C-101B-9397-08002B2CF9AE}" pid="26" name="MSIP_Label_7cd3e8b9-ffed-43a8-b7f4-cc2fa0382d36_Extended_MSFT_Method">
    <vt:lpwstr>Standard</vt:lpwstr>
  </property>
  <property fmtid="{D5CDD505-2E9C-101B-9397-08002B2CF9AE}" pid="27" name="Sensitivity">
    <vt:lpwstr>OFFICIAL</vt:lpwstr>
  </property>
  <property fmtid="{D5CDD505-2E9C-101B-9397-08002B2CF9AE}" pid="28" name="xd_Signature">
    <vt:bool>false</vt:bool>
  </property>
</Properties>
</file>